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5716"/>
        <w:tblW w:w="9484" w:type="dxa"/>
        <w:tblLook w:val="00A0" w:firstRow="1" w:lastRow="0" w:firstColumn="1" w:lastColumn="0" w:noHBand="0" w:noVBand="0"/>
      </w:tblPr>
      <w:tblGrid>
        <w:gridCol w:w="4769"/>
        <w:gridCol w:w="4715"/>
      </w:tblGrid>
      <w:tr w:rsidR="00A82A45" w:rsidRPr="00F242DD" w14:paraId="6F20D983" w14:textId="77777777" w:rsidTr="007873A0">
        <w:trPr>
          <w:trHeight w:val="360"/>
        </w:trPr>
        <w:tc>
          <w:tcPr>
            <w:tcW w:w="9484" w:type="dxa"/>
            <w:gridSpan w:val="2"/>
          </w:tcPr>
          <w:p w14:paraId="2BE44466" w14:textId="77777777" w:rsidR="00A82A45" w:rsidRPr="00F242DD" w:rsidRDefault="00A82A45" w:rsidP="007873A0">
            <w:pPr>
              <w:tabs>
                <w:tab w:val="left" w:pos="6135"/>
              </w:tabs>
              <w:jc w:val="center"/>
              <w:rPr>
                <w:b/>
                <w:bCs/>
                <w:sz w:val="28"/>
                <w:szCs w:val="28"/>
              </w:rPr>
            </w:pPr>
            <w:bookmarkStart w:id="0" w:name="_Toc520213119"/>
            <w:r w:rsidRPr="00F242DD">
              <w:rPr>
                <w:b/>
                <w:bCs/>
                <w:color w:val="808080"/>
              </w:rPr>
              <w:t xml:space="preserve">Клинические </w:t>
            </w:r>
            <w:r w:rsidRPr="00F242DD">
              <w:rPr>
                <w:b/>
                <w:bCs/>
                <w:noProof/>
                <w:color w:val="767171"/>
                <w:lang w:eastAsia="ru-RU"/>
              </w:rPr>
              <w:t>рекомендации</w:t>
            </w:r>
          </w:p>
        </w:tc>
      </w:tr>
      <w:tr w:rsidR="00A82A45" w:rsidRPr="00F242DD" w14:paraId="36BFD1EC" w14:textId="77777777" w:rsidTr="007873A0">
        <w:trPr>
          <w:trHeight w:val="629"/>
        </w:trPr>
        <w:tc>
          <w:tcPr>
            <w:tcW w:w="9484" w:type="dxa"/>
            <w:gridSpan w:val="2"/>
          </w:tcPr>
          <w:p w14:paraId="5A457C56" w14:textId="77777777" w:rsidR="00A82A45" w:rsidRPr="00F242DD" w:rsidRDefault="00A82A45" w:rsidP="007873A0">
            <w:pPr>
              <w:tabs>
                <w:tab w:val="left" w:pos="6135"/>
              </w:tabs>
              <w:jc w:val="center"/>
              <w:rPr>
                <w:sz w:val="28"/>
                <w:szCs w:val="28"/>
              </w:rPr>
            </w:pPr>
            <w:r w:rsidRPr="00F242DD">
              <w:rPr>
                <w:b/>
                <w:color w:val="000000"/>
                <w:sz w:val="44"/>
                <w:szCs w:val="44"/>
              </w:rPr>
              <w:t>Множественная миелома</w:t>
            </w:r>
          </w:p>
        </w:tc>
      </w:tr>
      <w:tr w:rsidR="00A82A45" w:rsidRPr="00F242DD" w14:paraId="7A808902" w14:textId="77777777" w:rsidTr="007873A0">
        <w:trPr>
          <w:trHeight w:val="438"/>
        </w:trPr>
        <w:tc>
          <w:tcPr>
            <w:tcW w:w="4769" w:type="dxa"/>
          </w:tcPr>
          <w:p w14:paraId="77E52D0A" w14:textId="77777777" w:rsidR="00A82A45" w:rsidRPr="00F242DD" w:rsidRDefault="00A82A45" w:rsidP="007873A0">
            <w:pPr>
              <w:tabs>
                <w:tab w:val="left" w:pos="6135"/>
              </w:tabs>
              <w:spacing w:line="276" w:lineRule="auto"/>
              <w:jc w:val="right"/>
              <w:rPr>
                <w:szCs w:val="28"/>
              </w:rPr>
            </w:pPr>
            <w:r w:rsidRPr="00F242DD">
              <w:rPr>
                <w:color w:val="808080"/>
                <w:szCs w:val="28"/>
              </w:rPr>
              <w:t>Кодирование по Международной статистической классификации болезней и проблем, связанных со здоровьем:</w:t>
            </w:r>
          </w:p>
        </w:tc>
        <w:tc>
          <w:tcPr>
            <w:tcW w:w="4715" w:type="dxa"/>
          </w:tcPr>
          <w:p w14:paraId="2DFDBE76" w14:textId="77777777" w:rsidR="00A82A45" w:rsidRPr="00F242DD" w:rsidRDefault="00A82A45" w:rsidP="007873A0">
            <w:pPr>
              <w:tabs>
                <w:tab w:val="left" w:pos="6135"/>
              </w:tabs>
              <w:spacing w:line="276" w:lineRule="auto"/>
              <w:jc w:val="left"/>
              <w:rPr>
                <w:szCs w:val="28"/>
              </w:rPr>
            </w:pPr>
            <w:r w:rsidRPr="00F242DD">
              <w:rPr>
                <w:szCs w:val="28"/>
              </w:rPr>
              <w:t>C90.0</w:t>
            </w:r>
          </w:p>
        </w:tc>
      </w:tr>
      <w:tr w:rsidR="00A82A45" w:rsidRPr="00F242DD" w14:paraId="4ABA5D77" w14:textId="77777777" w:rsidTr="007873A0">
        <w:trPr>
          <w:trHeight w:val="321"/>
        </w:trPr>
        <w:tc>
          <w:tcPr>
            <w:tcW w:w="4769" w:type="dxa"/>
          </w:tcPr>
          <w:p w14:paraId="30151141" w14:textId="77777777" w:rsidR="00A82A45" w:rsidRPr="00F242DD" w:rsidRDefault="00A82A45" w:rsidP="007873A0">
            <w:pPr>
              <w:tabs>
                <w:tab w:val="left" w:pos="6135"/>
              </w:tabs>
              <w:spacing w:line="276" w:lineRule="auto"/>
              <w:jc w:val="right"/>
              <w:rPr>
                <w:color w:val="808080"/>
                <w:szCs w:val="28"/>
              </w:rPr>
            </w:pPr>
            <w:r w:rsidRPr="00F242DD">
              <w:rPr>
                <w:rStyle w:val="pop-slug-vol"/>
                <w:color w:val="767171"/>
                <w:szCs w:val="28"/>
              </w:rPr>
              <w:t>Возрастная группа:</w:t>
            </w:r>
          </w:p>
        </w:tc>
        <w:tc>
          <w:tcPr>
            <w:tcW w:w="4715" w:type="dxa"/>
          </w:tcPr>
          <w:p w14:paraId="3343CA73" w14:textId="77777777" w:rsidR="00A82A45" w:rsidRPr="00F242DD" w:rsidRDefault="00A82A45" w:rsidP="007873A0">
            <w:pPr>
              <w:tabs>
                <w:tab w:val="left" w:pos="6135"/>
              </w:tabs>
              <w:spacing w:line="276" w:lineRule="auto"/>
              <w:jc w:val="left"/>
              <w:rPr>
                <w:szCs w:val="28"/>
              </w:rPr>
            </w:pPr>
            <w:r w:rsidRPr="00F242DD">
              <w:rPr>
                <w:szCs w:val="28"/>
              </w:rPr>
              <w:t>взрослые</w:t>
            </w:r>
          </w:p>
        </w:tc>
      </w:tr>
      <w:tr w:rsidR="00A82A45" w:rsidRPr="00F242DD" w14:paraId="7975AAEB" w14:textId="77777777" w:rsidTr="007873A0">
        <w:trPr>
          <w:trHeight w:val="335"/>
        </w:trPr>
        <w:tc>
          <w:tcPr>
            <w:tcW w:w="4769" w:type="dxa"/>
          </w:tcPr>
          <w:p w14:paraId="6AA08734" w14:textId="77777777" w:rsidR="00A82A45" w:rsidRPr="00F242DD" w:rsidRDefault="00A82A45" w:rsidP="007873A0">
            <w:pPr>
              <w:tabs>
                <w:tab w:val="left" w:pos="6135"/>
              </w:tabs>
              <w:spacing w:line="276" w:lineRule="auto"/>
              <w:jc w:val="right"/>
              <w:rPr>
                <w:color w:val="808080"/>
                <w:szCs w:val="28"/>
              </w:rPr>
            </w:pPr>
            <w:r w:rsidRPr="00F242DD">
              <w:rPr>
                <w:color w:val="808080"/>
              </w:rPr>
              <w:t>Год утверждения:</w:t>
            </w:r>
          </w:p>
        </w:tc>
        <w:tc>
          <w:tcPr>
            <w:tcW w:w="4715" w:type="dxa"/>
          </w:tcPr>
          <w:p w14:paraId="2B6FC217" w14:textId="77777777" w:rsidR="00A82A45" w:rsidRPr="00F242DD" w:rsidRDefault="00A82A45" w:rsidP="007873A0">
            <w:pPr>
              <w:tabs>
                <w:tab w:val="left" w:pos="6135"/>
              </w:tabs>
              <w:spacing w:line="276" w:lineRule="auto"/>
              <w:jc w:val="left"/>
            </w:pPr>
            <w:r w:rsidRPr="00F242DD">
              <w:rPr>
                <w:lang w:val="en-US"/>
              </w:rPr>
              <w:t xml:space="preserve">2020 </w:t>
            </w:r>
            <w:r w:rsidRPr="00F242DD">
              <w:t>г.</w:t>
            </w:r>
          </w:p>
        </w:tc>
      </w:tr>
      <w:tr w:rsidR="00A82A45" w:rsidRPr="00F242DD" w14:paraId="33CF8415" w14:textId="77777777" w:rsidTr="007873A0">
        <w:trPr>
          <w:trHeight w:val="120"/>
        </w:trPr>
        <w:tc>
          <w:tcPr>
            <w:tcW w:w="9484" w:type="dxa"/>
            <w:gridSpan w:val="2"/>
          </w:tcPr>
          <w:p w14:paraId="322AECE9" w14:textId="77777777" w:rsidR="00A82A45" w:rsidRPr="00F242DD" w:rsidRDefault="00A82A45" w:rsidP="007873A0">
            <w:pPr>
              <w:tabs>
                <w:tab w:val="left" w:pos="6135"/>
              </w:tabs>
              <w:rPr>
                <w:color w:val="FF0000"/>
                <w:sz w:val="20"/>
                <w:szCs w:val="20"/>
              </w:rPr>
            </w:pPr>
            <w:r w:rsidRPr="00F242DD">
              <w:rPr>
                <w:color w:val="808080"/>
              </w:rPr>
              <w:t>Разработчики клинических рекомендаций:</w:t>
            </w:r>
            <w:r w:rsidRPr="00F242DD">
              <w:rPr>
                <w:color w:val="FF0000"/>
                <w:sz w:val="20"/>
                <w:szCs w:val="20"/>
              </w:rPr>
              <w:t xml:space="preserve"> </w:t>
            </w:r>
          </w:p>
        </w:tc>
      </w:tr>
      <w:tr w:rsidR="00A82A45" w:rsidRPr="00F242DD" w14:paraId="59A39CB8" w14:textId="77777777" w:rsidTr="007873A0">
        <w:trPr>
          <w:trHeight w:val="1834"/>
        </w:trPr>
        <w:tc>
          <w:tcPr>
            <w:tcW w:w="9484" w:type="dxa"/>
            <w:gridSpan w:val="2"/>
          </w:tcPr>
          <w:p w14:paraId="3B0AE083" w14:textId="77777777" w:rsidR="00A82A45" w:rsidRPr="00F242DD" w:rsidRDefault="00A82A45" w:rsidP="007873A0">
            <w:pPr>
              <w:pStyle w:val="ad"/>
              <w:numPr>
                <w:ilvl w:val="0"/>
                <w:numId w:val="6"/>
              </w:numPr>
            </w:pPr>
            <w:r w:rsidRPr="00F242DD">
              <w:t>Общероссийский национальный союз "Ассоциация онкологов России"</w:t>
            </w:r>
          </w:p>
          <w:p w14:paraId="2B53D4FD" w14:textId="77777777" w:rsidR="00A82A45" w:rsidRPr="00F242DD" w:rsidRDefault="00A82A45" w:rsidP="007873A0">
            <w:pPr>
              <w:pStyle w:val="ad"/>
              <w:numPr>
                <w:ilvl w:val="0"/>
                <w:numId w:val="6"/>
              </w:numPr>
            </w:pPr>
            <w:r w:rsidRPr="00F242DD">
              <w:t>Некоммерческое партнерство содействия развитию гематологии и трансплантологии костного мозга "Национальное гематологическое общество"</w:t>
            </w:r>
          </w:p>
          <w:p w14:paraId="52351641" w14:textId="767D6FEB" w:rsidR="00A82A45" w:rsidRPr="00F242DD" w:rsidRDefault="00A82A45" w:rsidP="007873A0">
            <w:pPr>
              <w:pStyle w:val="ad"/>
              <w:numPr>
                <w:ilvl w:val="0"/>
                <w:numId w:val="6"/>
              </w:numPr>
              <w:rPr>
                <w:b/>
                <w:sz w:val="28"/>
              </w:rPr>
            </w:pPr>
            <w:r w:rsidRPr="00F242DD">
              <w:t>Региональная общественная организация "Общество онкогематологов"</w:t>
            </w:r>
          </w:p>
        </w:tc>
      </w:tr>
    </w:tbl>
    <w:tbl>
      <w:tblPr>
        <w:tblpPr w:leftFromText="180" w:rightFromText="180" w:vertAnchor="text" w:horzAnchor="margin" w:tblpXSpec="right" w:tblpY="83"/>
        <w:tblW w:w="8507" w:type="dxa"/>
        <w:tblLook w:val="0000" w:firstRow="0" w:lastRow="0" w:firstColumn="0" w:lastColumn="0" w:noHBand="0" w:noVBand="0"/>
      </w:tblPr>
      <w:tblGrid>
        <w:gridCol w:w="2616"/>
        <w:gridCol w:w="2942"/>
        <w:gridCol w:w="2949"/>
      </w:tblGrid>
      <w:tr w:rsidR="007873A0" w:rsidRPr="00A37FA2" w14:paraId="2554EE98" w14:textId="77777777" w:rsidTr="007873A0">
        <w:trPr>
          <w:trHeight w:val="2621"/>
        </w:trPr>
        <w:tc>
          <w:tcPr>
            <w:tcW w:w="2616" w:type="dxa"/>
          </w:tcPr>
          <w:p w14:paraId="3358A25A" w14:textId="77777777" w:rsidR="007873A0" w:rsidRPr="00A37FA2" w:rsidRDefault="007873A0" w:rsidP="007873A0">
            <w:pPr>
              <w:spacing w:before="0" w:after="0"/>
              <w:jc w:val="right"/>
              <w:rPr>
                <w:rFonts w:eastAsia="Times New Roman"/>
                <w:b/>
                <w:sz w:val="16"/>
                <w:szCs w:val="16"/>
              </w:rPr>
            </w:pPr>
            <w:r w:rsidRPr="00A37FA2">
              <w:rPr>
                <w:rFonts w:eastAsia="Times New Roman"/>
                <w:b/>
                <w:sz w:val="16"/>
                <w:szCs w:val="16"/>
              </w:rPr>
              <w:t>Утверждено:</w:t>
            </w:r>
          </w:p>
          <w:p w14:paraId="6A591F86" w14:textId="77777777" w:rsidR="007873A0" w:rsidRPr="00A37FA2" w:rsidRDefault="007873A0" w:rsidP="007873A0">
            <w:pPr>
              <w:spacing w:before="0" w:after="0"/>
              <w:jc w:val="right"/>
              <w:rPr>
                <w:rFonts w:eastAsia="Times New Roman"/>
                <w:bCs/>
                <w:sz w:val="16"/>
                <w:szCs w:val="16"/>
              </w:rPr>
            </w:pPr>
            <w:r w:rsidRPr="00A37FA2">
              <w:rPr>
                <w:rFonts w:eastAsia="Times New Roman"/>
                <w:bCs/>
                <w:sz w:val="16"/>
                <w:szCs w:val="16"/>
              </w:rPr>
              <w:t>Региональная общественная организация "Общество онкогематологов"</w:t>
            </w:r>
          </w:p>
          <w:p w14:paraId="7E27B4B7" w14:textId="77777777" w:rsidR="008D01E0" w:rsidRDefault="008D01E0" w:rsidP="007873A0">
            <w:pPr>
              <w:spacing w:before="0" w:after="0"/>
              <w:rPr>
                <w:rFonts w:eastAsia="Times New Roman"/>
                <w:b/>
                <w:sz w:val="16"/>
                <w:szCs w:val="16"/>
              </w:rPr>
            </w:pPr>
          </w:p>
          <w:p w14:paraId="18161867" w14:textId="30F2DEEB" w:rsidR="007873A0" w:rsidRPr="000A69E3" w:rsidRDefault="00FD15FE" w:rsidP="007873A0">
            <w:pPr>
              <w:spacing w:before="0" w:after="0"/>
              <w:rPr>
                <w:rFonts w:eastAsia="Times New Roman"/>
                <w:b/>
                <w:sz w:val="16"/>
                <w:szCs w:val="16"/>
              </w:rPr>
            </w:pPr>
            <w:r>
              <w:rPr>
                <w:rFonts w:eastAsia="Times New Roman"/>
                <w:b/>
                <w:sz w:val="16"/>
                <w:szCs w:val="16"/>
              </w:rPr>
              <w:t>Председатель обще</w:t>
            </w:r>
            <w:r w:rsidR="000A69E3">
              <w:rPr>
                <w:rFonts w:eastAsia="Times New Roman"/>
                <w:b/>
                <w:sz w:val="16"/>
                <w:szCs w:val="16"/>
              </w:rPr>
              <w:t>ства, академик РАН</w:t>
            </w:r>
          </w:p>
          <w:p w14:paraId="22B2D487" w14:textId="624A4910" w:rsidR="007873A0" w:rsidRPr="00A37FA2" w:rsidRDefault="000A69E3" w:rsidP="007873A0">
            <w:pPr>
              <w:spacing w:before="0" w:after="0"/>
              <w:rPr>
                <w:rFonts w:eastAsia="Times New Roman"/>
                <w:b/>
                <w:sz w:val="16"/>
                <w:szCs w:val="16"/>
              </w:rPr>
            </w:pPr>
            <w:r>
              <w:rPr>
                <w:rFonts w:eastAsia="Times New Roman"/>
                <w:b/>
                <w:sz w:val="16"/>
                <w:szCs w:val="16"/>
              </w:rPr>
              <w:t>_____________ Поддубная И.В.</w:t>
            </w:r>
          </w:p>
          <w:p w14:paraId="418FFFDB" w14:textId="77777777" w:rsidR="007873A0" w:rsidRPr="00A37FA2" w:rsidRDefault="007873A0" w:rsidP="007873A0">
            <w:pPr>
              <w:spacing w:before="0" w:after="0"/>
              <w:rPr>
                <w:rFonts w:eastAsia="Times New Roman"/>
                <w:b/>
                <w:sz w:val="16"/>
                <w:szCs w:val="16"/>
              </w:rPr>
            </w:pPr>
            <w:r w:rsidRPr="00A37FA2">
              <w:rPr>
                <w:rFonts w:eastAsia="Times New Roman"/>
                <w:b/>
                <w:sz w:val="16"/>
                <w:szCs w:val="16"/>
              </w:rPr>
              <w:t xml:space="preserve">                    м.п.</w:t>
            </w:r>
          </w:p>
        </w:tc>
        <w:tc>
          <w:tcPr>
            <w:tcW w:w="2942" w:type="dxa"/>
          </w:tcPr>
          <w:p w14:paraId="4C5752F8" w14:textId="77777777" w:rsidR="007873A0" w:rsidRPr="00A37FA2" w:rsidRDefault="007873A0" w:rsidP="007873A0">
            <w:pPr>
              <w:spacing w:before="0" w:after="0"/>
              <w:jc w:val="right"/>
              <w:rPr>
                <w:rFonts w:eastAsia="Times New Roman"/>
                <w:b/>
                <w:sz w:val="16"/>
                <w:szCs w:val="16"/>
              </w:rPr>
            </w:pPr>
            <w:r w:rsidRPr="00A37FA2">
              <w:rPr>
                <w:rFonts w:eastAsia="Times New Roman"/>
                <w:b/>
                <w:sz w:val="16"/>
                <w:szCs w:val="16"/>
              </w:rPr>
              <w:t>Утверждено:</w:t>
            </w:r>
          </w:p>
          <w:p w14:paraId="4D16C8D6" w14:textId="77777777" w:rsidR="007873A0" w:rsidRPr="00A37FA2" w:rsidRDefault="007873A0" w:rsidP="007873A0">
            <w:pPr>
              <w:spacing w:before="0" w:after="0"/>
              <w:jc w:val="right"/>
              <w:rPr>
                <w:rFonts w:eastAsia="Times New Roman"/>
                <w:bCs/>
                <w:sz w:val="16"/>
                <w:szCs w:val="16"/>
              </w:rPr>
            </w:pPr>
            <w:r w:rsidRPr="00A37FA2">
              <w:rPr>
                <w:rFonts w:eastAsia="Times New Roman"/>
                <w:bCs/>
                <w:sz w:val="16"/>
                <w:szCs w:val="16"/>
              </w:rPr>
              <w:t>Некоммерческое</w:t>
            </w:r>
            <w:r>
              <w:rPr>
                <w:rFonts w:eastAsia="Times New Roman"/>
                <w:bCs/>
                <w:sz w:val="16"/>
                <w:szCs w:val="16"/>
              </w:rPr>
              <w:t xml:space="preserve"> </w:t>
            </w:r>
            <w:r w:rsidRPr="00A37FA2">
              <w:rPr>
                <w:rFonts w:eastAsia="Times New Roman"/>
                <w:bCs/>
                <w:sz w:val="16"/>
                <w:szCs w:val="16"/>
              </w:rPr>
              <w:t>партнерство содействия развитию гематологии</w:t>
            </w:r>
            <w:r>
              <w:rPr>
                <w:rFonts w:eastAsia="Times New Roman"/>
                <w:bCs/>
                <w:sz w:val="16"/>
                <w:szCs w:val="16"/>
              </w:rPr>
              <w:t xml:space="preserve"> </w:t>
            </w:r>
            <w:r w:rsidRPr="00A37FA2">
              <w:rPr>
                <w:rFonts w:eastAsia="Times New Roman"/>
                <w:bCs/>
                <w:sz w:val="16"/>
                <w:szCs w:val="16"/>
              </w:rPr>
              <w:t xml:space="preserve">и </w:t>
            </w:r>
          </w:p>
          <w:p w14:paraId="7E23A449" w14:textId="77777777" w:rsidR="007873A0" w:rsidRDefault="007873A0" w:rsidP="007873A0">
            <w:pPr>
              <w:spacing w:before="0" w:after="0"/>
              <w:jc w:val="right"/>
              <w:rPr>
                <w:rFonts w:eastAsia="Times New Roman"/>
                <w:bCs/>
                <w:sz w:val="16"/>
                <w:szCs w:val="16"/>
              </w:rPr>
            </w:pPr>
            <w:r w:rsidRPr="00A37FA2">
              <w:rPr>
                <w:rFonts w:eastAsia="Times New Roman"/>
                <w:bCs/>
                <w:sz w:val="16"/>
                <w:szCs w:val="16"/>
              </w:rPr>
              <w:t>трансплантологии костного мозга "Национальное гематологическое общество"</w:t>
            </w:r>
          </w:p>
          <w:p w14:paraId="38628FF6" w14:textId="2E956897" w:rsidR="007873A0" w:rsidRPr="000A69E3" w:rsidRDefault="000A69E3" w:rsidP="007873A0">
            <w:pPr>
              <w:spacing w:before="0" w:after="0"/>
              <w:jc w:val="right"/>
              <w:rPr>
                <w:rFonts w:eastAsia="Times New Roman"/>
                <w:b/>
                <w:bCs/>
                <w:sz w:val="16"/>
                <w:szCs w:val="16"/>
              </w:rPr>
            </w:pPr>
            <w:r w:rsidRPr="000A69E3">
              <w:rPr>
                <w:rFonts w:eastAsia="Times New Roman"/>
                <w:b/>
                <w:bCs/>
                <w:sz w:val="16"/>
                <w:szCs w:val="16"/>
              </w:rPr>
              <w:t>Председатель</w:t>
            </w:r>
            <w:r>
              <w:rPr>
                <w:rFonts w:eastAsia="Times New Roman"/>
                <w:b/>
                <w:bCs/>
                <w:sz w:val="16"/>
                <w:szCs w:val="16"/>
              </w:rPr>
              <w:t xml:space="preserve"> НГО, академик РАН</w:t>
            </w:r>
          </w:p>
          <w:p w14:paraId="3839AB8E" w14:textId="51EF6601" w:rsidR="007873A0" w:rsidRPr="000A69E3" w:rsidRDefault="000A69E3" w:rsidP="007873A0">
            <w:pPr>
              <w:spacing w:before="0" w:after="0"/>
              <w:jc w:val="right"/>
              <w:rPr>
                <w:rFonts w:eastAsia="Times New Roman"/>
                <w:b/>
                <w:bCs/>
                <w:sz w:val="16"/>
                <w:szCs w:val="16"/>
              </w:rPr>
            </w:pPr>
            <w:r>
              <w:rPr>
                <w:rFonts w:eastAsia="Times New Roman"/>
                <w:bCs/>
                <w:sz w:val="16"/>
                <w:szCs w:val="16"/>
              </w:rPr>
              <w:t>____________________</w:t>
            </w:r>
            <w:r>
              <w:rPr>
                <w:rFonts w:eastAsia="Times New Roman"/>
                <w:b/>
                <w:bCs/>
                <w:sz w:val="16"/>
                <w:szCs w:val="16"/>
              </w:rPr>
              <w:t>Савченко В.Г.</w:t>
            </w:r>
          </w:p>
          <w:p w14:paraId="1777429A" w14:textId="77777777" w:rsidR="007873A0" w:rsidRPr="00A37FA2" w:rsidRDefault="007873A0" w:rsidP="007873A0">
            <w:pPr>
              <w:spacing w:before="0" w:after="0"/>
              <w:jc w:val="center"/>
              <w:rPr>
                <w:rFonts w:eastAsia="Times New Roman"/>
                <w:bCs/>
                <w:sz w:val="16"/>
                <w:szCs w:val="16"/>
              </w:rPr>
            </w:pPr>
            <w:r w:rsidRPr="00A37FA2">
              <w:rPr>
                <w:rFonts w:eastAsia="Times New Roman"/>
                <w:b/>
                <w:sz w:val="16"/>
                <w:szCs w:val="16"/>
              </w:rPr>
              <w:t>м.п.</w:t>
            </w:r>
          </w:p>
        </w:tc>
        <w:tc>
          <w:tcPr>
            <w:tcW w:w="2949" w:type="dxa"/>
          </w:tcPr>
          <w:p w14:paraId="5542C385" w14:textId="77777777" w:rsidR="007873A0" w:rsidRPr="00A37FA2" w:rsidRDefault="007873A0" w:rsidP="007873A0">
            <w:pPr>
              <w:spacing w:before="0" w:after="0"/>
              <w:jc w:val="right"/>
              <w:rPr>
                <w:rFonts w:eastAsia="Times New Roman"/>
                <w:b/>
                <w:sz w:val="16"/>
                <w:szCs w:val="16"/>
              </w:rPr>
            </w:pPr>
            <w:r w:rsidRPr="00A37FA2">
              <w:rPr>
                <w:rFonts w:eastAsia="Times New Roman"/>
                <w:b/>
                <w:sz w:val="16"/>
                <w:szCs w:val="16"/>
              </w:rPr>
              <w:t>Утверждено:</w:t>
            </w:r>
          </w:p>
          <w:p w14:paraId="7D539A48" w14:textId="77777777" w:rsidR="007873A0" w:rsidRPr="00A37FA2" w:rsidRDefault="007873A0" w:rsidP="007873A0">
            <w:pPr>
              <w:spacing w:before="0" w:after="0"/>
              <w:jc w:val="right"/>
              <w:rPr>
                <w:rFonts w:eastAsia="Times New Roman"/>
                <w:bCs/>
                <w:sz w:val="16"/>
                <w:szCs w:val="16"/>
              </w:rPr>
            </w:pPr>
            <w:r w:rsidRPr="00A37FA2">
              <w:rPr>
                <w:rFonts w:eastAsia="Times New Roman"/>
                <w:bCs/>
                <w:sz w:val="16"/>
                <w:szCs w:val="16"/>
              </w:rPr>
              <w:t>Общероссийский национальный союз</w:t>
            </w:r>
          </w:p>
          <w:p w14:paraId="0B52BB9D" w14:textId="77777777" w:rsidR="007873A0" w:rsidRPr="00A37FA2" w:rsidRDefault="007873A0" w:rsidP="007873A0">
            <w:pPr>
              <w:spacing w:before="0" w:after="0"/>
              <w:jc w:val="right"/>
              <w:rPr>
                <w:rFonts w:eastAsia="Times New Roman"/>
                <w:bCs/>
                <w:sz w:val="16"/>
                <w:szCs w:val="16"/>
              </w:rPr>
            </w:pPr>
            <w:r w:rsidRPr="00A37FA2">
              <w:rPr>
                <w:rFonts w:eastAsia="Times New Roman"/>
                <w:bCs/>
                <w:sz w:val="16"/>
                <w:szCs w:val="16"/>
              </w:rPr>
              <w:t>"Ассоциация онкологов России"</w:t>
            </w:r>
          </w:p>
          <w:p w14:paraId="54C11A12" w14:textId="77777777" w:rsidR="007873A0" w:rsidRDefault="007873A0" w:rsidP="007873A0">
            <w:pPr>
              <w:spacing w:before="0" w:after="0"/>
              <w:jc w:val="right"/>
              <w:rPr>
                <w:rFonts w:eastAsia="Times New Roman"/>
                <w:bCs/>
                <w:sz w:val="16"/>
                <w:szCs w:val="16"/>
              </w:rPr>
            </w:pPr>
          </w:p>
          <w:p w14:paraId="5AF5BFC3" w14:textId="77777777" w:rsidR="006F119F" w:rsidRDefault="006F119F" w:rsidP="007873A0">
            <w:pPr>
              <w:spacing w:before="0" w:after="0"/>
              <w:jc w:val="right"/>
              <w:rPr>
                <w:rFonts w:eastAsia="Times New Roman"/>
                <w:bCs/>
                <w:sz w:val="16"/>
                <w:szCs w:val="16"/>
              </w:rPr>
            </w:pPr>
          </w:p>
          <w:p w14:paraId="20BDE908" w14:textId="77777777" w:rsidR="008D01E0" w:rsidRPr="00A37FA2" w:rsidRDefault="008D01E0" w:rsidP="007873A0">
            <w:pPr>
              <w:spacing w:before="0" w:after="0"/>
              <w:jc w:val="right"/>
              <w:rPr>
                <w:rFonts w:eastAsia="Times New Roman"/>
                <w:bCs/>
                <w:sz w:val="16"/>
                <w:szCs w:val="16"/>
              </w:rPr>
            </w:pPr>
          </w:p>
          <w:p w14:paraId="0F121143" w14:textId="77777777" w:rsidR="007873A0" w:rsidRPr="00A37FA2" w:rsidRDefault="007873A0" w:rsidP="007873A0">
            <w:pPr>
              <w:spacing w:before="0" w:after="0"/>
              <w:jc w:val="right"/>
              <w:rPr>
                <w:rFonts w:eastAsia="Times New Roman"/>
                <w:b/>
                <w:sz w:val="16"/>
                <w:szCs w:val="16"/>
              </w:rPr>
            </w:pPr>
            <w:r w:rsidRPr="00A37FA2">
              <w:rPr>
                <w:rFonts w:eastAsia="Times New Roman"/>
                <w:b/>
                <w:sz w:val="16"/>
                <w:szCs w:val="16"/>
              </w:rPr>
              <w:t>Президент АОР, академик РАН</w:t>
            </w:r>
          </w:p>
          <w:p w14:paraId="432D0052" w14:textId="77777777" w:rsidR="007873A0" w:rsidRPr="00A37FA2" w:rsidRDefault="007873A0" w:rsidP="007873A0">
            <w:pPr>
              <w:spacing w:before="0" w:after="0"/>
              <w:jc w:val="right"/>
              <w:rPr>
                <w:rFonts w:eastAsia="Times New Roman"/>
                <w:b/>
                <w:sz w:val="16"/>
                <w:szCs w:val="16"/>
              </w:rPr>
            </w:pPr>
            <w:r w:rsidRPr="00A37FA2">
              <w:rPr>
                <w:rFonts w:eastAsia="Times New Roman"/>
                <w:b/>
                <w:sz w:val="16"/>
                <w:szCs w:val="16"/>
              </w:rPr>
              <w:t>_____________________Каприн А.Д.</w:t>
            </w:r>
          </w:p>
          <w:p w14:paraId="3072207B" w14:textId="77777777" w:rsidR="007873A0" w:rsidRPr="00A37FA2" w:rsidRDefault="007873A0" w:rsidP="007873A0">
            <w:pPr>
              <w:spacing w:before="0" w:after="0"/>
              <w:rPr>
                <w:rFonts w:eastAsia="Times New Roman"/>
                <w:b/>
                <w:sz w:val="16"/>
                <w:szCs w:val="16"/>
              </w:rPr>
            </w:pPr>
            <w:r w:rsidRPr="00A37FA2">
              <w:rPr>
                <w:rFonts w:eastAsia="Times New Roman"/>
                <w:b/>
                <w:sz w:val="16"/>
                <w:szCs w:val="16"/>
              </w:rPr>
              <w:t xml:space="preserve">                    м.п.</w:t>
            </w:r>
          </w:p>
        </w:tc>
      </w:tr>
    </w:tbl>
    <w:p w14:paraId="1E1116D9" w14:textId="4FB589D8" w:rsidR="00036C84" w:rsidRPr="00F242DD" w:rsidRDefault="00430246" w:rsidP="00036C84">
      <w:r w:rsidRPr="00F242DD">
        <w:rPr>
          <w:noProof/>
          <w:lang w:eastAsia="ru-RU"/>
        </w:rPr>
        <mc:AlternateContent>
          <mc:Choice Requires="wps">
            <w:drawing>
              <wp:anchor distT="0" distB="0" distL="114300" distR="114300" simplePos="0" relativeHeight="251653632" behindDoc="1" locked="0" layoutInCell="1" allowOverlap="1" wp14:anchorId="0DE24CE6" wp14:editId="20BCDD9A">
                <wp:simplePos x="0" y="0"/>
                <wp:positionH relativeFrom="page">
                  <wp:posOffset>361950</wp:posOffset>
                </wp:positionH>
                <wp:positionV relativeFrom="paragraph">
                  <wp:posOffset>-405765</wp:posOffset>
                </wp:positionV>
                <wp:extent cx="6889115" cy="10058400"/>
                <wp:effectExtent l="0" t="0" r="6985" b="0"/>
                <wp:wrapNone/>
                <wp:docPr id="81"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9115" cy="10058400"/>
                        </a:xfrm>
                        <a:prstGeom prst="rect">
                          <a:avLst/>
                        </a:prstGeom>
                        <a:solidFill>
                          <a:srgbClr val="FFFFFF"/>
                        </a:solidFill>
                        <a:ln w="12700" cap="flat" cmpd="sng" algn="ctr">
                          <a:noFill/>
                          <a:prstDash val="solid"/>
                          <a:miter lim="800000"/>
                        </a:ln>
                        <a:effectLst/>
                      </wps:spPr>
                      <wps:txbx>
                        <w:txbxContent>
                          <w:p w14:paraId="13AA1399" w14:textId="77777777" w:rsidR="006F119F" w:rsidRDefault="006F119F" w:rsidP="007873A0">
                            <w:pPr>
                              <w:spacing w:before="0" w:after="0"/>
                              <w:jc w:val="center"/>
                              <w:rPr>
                                <w:rFonts w:eastAsia="Times New Roman"/>
                                <w:bCs/>
                                <w:sz w:val="20"/>
                                <w:szCs w:val="20"/>
                              </w:rPr>
                            </w:pPr>
                            <w:bookmarkStart w:id="1" w:name="_Hlk31706458"/>
                          </w:p>
                          <w:p w14:paraId="6D7C645F" w14:textId="77777777" w:rsidR="006F119F" w:rsidRDefault="006F119F" w:rsidP="007873A0">
                            <w:pPr>
                              <w:spacing w:before="0" w:after="0"/>
                              <w:jc w:val="center"/>
                              <w:rPr>
                                <w:rFonts w:eastAsia="Times New Roman"/>
                                <w:bCs/>
                                <w:sz w:val="20"/>
                                <w:szCs w:val="20"/>
                              </w:rPr>
                            </w:pPr>
                          </w:p>
                          <w:p w14:paraId="63A23A32" w14:textId="77777777" w:rsidR="006F119F" w:rsidRDefault="006F119F" w:rsidP="007873A0">
                            <w:pPr>
                              <w:spacing w:before="0" w:after="0"/>
                              <w:jc w:val="center"/>
                              <w:rPr>
                                <w:rFonts w:eastAsia="Times New Roman"/>
                                <w:bCs/>
                                <w:sz w:val="20"/>
                                <w:szCs w:val="20"/>
                              </w:rPr>
                            </w:pPr>
                          </w:p>
                          <w:p w14:paraId="3FAEEC20" w14:textId="77777777" w:rsidR="006F119F" w:rsidRDefault="006F119F" w:rsidP="007873A0">
                            <w:pPr>
                              <w:spacing w:before="0" w:after="0"/>
                              <w:jc w:val="center"/>
                              <w:rPr>
                                <w:rFonts w:eastAsia="Times New Roman"/>
                                <w:bCs/>
                                <w:sz w:val="20"/>
                                <w:szCs w:val="20"/>
                              </w:rPr>
                            </w:pPr>
                          </w:p>
                          <w:p w14:paraId="46C14D9A" w14:textId="77777777" w:rsidR="006F119F" w:rsidRDefault="006F119F" w:rsidP="007873A0">
                            <w:pPr>
                              <w:spacing w:before="0" w:after="0"/>
                              <w:jc w:val="center"/>
                              <w:rPr>
                                <w:rFonts w:eastAsia="Times New Roman"/>
                                <w:bCs/>
                                <w:sz w:val="20"/>
                                <w:szCs w:val="20"/>
                              </w:rPr>
                            </w:pPr>
                          </w:p>
                          <w:p w14:paraId="03469BB9" w14:textId="77777777" w:rsidR="006F119F" w:rsidRDefault="006F119F" w:rsidP="007873A0">
                            <w:pPr>
                              <w:spacing w:before="0" w:after="0"/>
                              <w:jc w:val="center"/>
                              <w:rPr>
                                <w:rFonts w:eastAsia="Times New Roman"/>
                                <w:bCs/>
                                <w:sz w:val="20"/>
                                <w:szCs w:val="20"/>
                              </w:rPr>
                            </w:pPr>
                          </w:p>
                          <w:p w14:paraId="4DF705B0" w14:textId="77777777" w:rsidR="006F119F" w:rsidRDefault="006F119F" w:rsidP="007873A0">
                            <w:pPr>
                              <w:spacing w:before="0" w:after="0"/>
                              <w:jc w:val="center"/>
                              <w:rPr>
                                <w:rFonts w:eastAsia="Times New Roman"/>
                                <w:bCs/>
                                <w:sz w:val="20"/>
                                <w:szCs w:val="20"/>
                              </w:rPr>
                            </w:pPr>
                          </w:p>
                          <w:p w14:paraId="1D44B1CB" w14:textId="77777777" w:rsidR="006F119F" w:rsidRDefault="006F119F" w:rsidP="007873A0">
                            <w:pPr>
                              <w:spacing w:before="0" w:after="0"/>
                              <w:jc w:val="center"/>
                              <w:rPr>
                                <w:rFonts w:eastAsia="Times New Roman"/>
                                <w:bCs/>
                                <w:sz w:val="20"/>
                                <w:szCs w:val="20"/>
                              </w:rPr>
                            </w:pPr>
                          </w:p>
                          <w:p w14:paraId="2248C91F" w14:textId="77777777" w:rsidR="006F119F" w:rsidRDefault="006F119F" w:rsidP="007873A0">
                            <w:pPr>
                              <w:spacing w:before="0" w:after="0"/>
                              <w:jc w:val="center"/>
                              <w:rPr>
                                <w:rFonts w:eastAsia="Times New Roman"/>
                                <w:bCs/>
                                <w:sz w:val="20"/>
                                <w:szCs w:val="20"/>
                              </w:rPr>
                            </w:pPr>
                          </w:p>
                          <w:p w14:paraId="23DCD8A4" w14:textId="77777777" w:rsidR="006F119F" w:rsidRDefault="006F119F" w:rsidP="007873A0">
                            <w:pPr>
                              <w:spacing w:before="0" w:after="0"/>
                              <w:jc w:val="center"/>
                              <w:rPr>
                                <w:rFonts w:eastAsia="Times New Roman"/>
                                <w:bCs/>
                                <w:sz w:val="20"/>
                                <w:szCs w:val="20"/>
                              </w:rPr>
                            </w:pPr>
                          </w:p>
                          <w:p w14:paraId="609BD8BC" w14:textId="77777777" w:rsidR="006F119F" w:rsidRDefault="006F119F" w:rsidP="007873A0">
                            <w:pPr>
                              <w:spacing w:before="0" w:after="0"/>
                              <w:jc w:val="center"/>
                              <w:rPr>
                                <w:rFonts w:eastAsia="Times New Roman"/>
                                <w:bCs/>
                                <w:sz w:val="20"/>
                                <w:szCs w:val="20"/>
                              </w:rPr>
                            </w:pPr>
                          </w:p>
                          <w:p w14:paraId="20615A03" w14:textId="77777777" w:rsidR="006F119F" w:rsidRDefault="006F119F" w:rsidP="007873A0">
                            <w:pPr>
                              <w:spacing w:before="0" w:after="0"/>
                              <w:jc w:val="center"/>
                              <w:rPr>
                                <w:rFonts w:eastAsia="Times New Roman"/>
                                <w:bCs/>
                                <w:sz w:val="20"/>
                                <w:szCs w:val="20"/>
                              </w:rPr>
                            </w:pPr>
                          </w:p>
                          <w:p w14:paraId="5469449B" w14:textId="77777777" w:rsidR="006F119F" w:rsidRDefault="006F119F" w:rsidP="007873A0">
                            <w:pPr>
                              <w:spacing w:before="0" w:after="0"/>
                              <w:jc w:val="center"/>
                              <w:rPr>
                                <w:rFonts w:eastAsia="Times New Roman"/>
                                <w:bCs/>
                                <w:sz w:val="20"/>
                                <w:szCs w:val="20"/>
                              </w:rPr>
                            </w:pPr>
                          </w:p>
                          <w:p w14:paraId="0D2B1E08" w14:textId="77777777" w:rsidR="006F119F" w:rsidRDefault="006F119F" w:rsidP="007873A0">
                            <w:pPr>
                              <w:spacing w:before="0" w:after="0"/>
                              <w:jc w:val="center"/>
                              <w:rPr>
                                <w:rFonts w:eastAsia="Times New Roman"/>
                                <w:bCs/>
                                <w:sz w:val="20"/>
                                <w:szCs w:val="20"/>
                              </w:rPr>
                            </w:pPr>
                          </w:p>
                          <w:p w14:paraId="57755674" w14:textId="77777777" w:rsidR="006F119F" w:rsidRDefault="006F119F" w:rsidP="007873A0">
                            <w:pPr>
                              <w:spacing w:before="0" w:after="0"/>
                              <w:jc w:val="center"/>
                              <w:rPr>
                                <w:rFonts w:eastAsia="Times New Roman"/>
                                <w:bCs/>
                                <w:sz w:val="20"/>
                                <w:szCs w:val="20"/>
                              </w:rPr>
                            </w:pPr>
                          </w:p>
                          <w:p w14:paraId="690F9286" w14:textId="77777777" w:rsidR="006F119F" w:rsidRDefault="006F119F" w:rsidP="007873A0">
                            <w:pPr>
                              <w:spacing w:before="0" w:after="0"/>
                              <w:jc w:val="center"/>
                              <w:rPr>
                                <w:rFonts w:eastAsia="Times New Roman"/>
                                <w:bCs/>
                                <w:sz w:val="20"/>
                                <w:szCs w:val="20"/>
                              </w:rPr>
                            </w:pPr>
                          </w:p>
                          <w:p w14:paraId="46D8B0AC" w14:textId="77777777" w:rsidR="006F119F" w:rsidRDefault="006F119F" w:rsidP="007873A0">
                            <w:pPr>
                              <w:spacing w:before="0" w:after="0"/>
                              <w:jc w:val="center"/>
                              <w:rPr>
                                <w:rFonts w:eastAsia="Times New Roman"/>
                                <w:bCs/>
                                <w:sz w:val="20"/>
                                <w:szCs w:val="20"/>
                              </w:rPr>
                            </w:pPr>
                          </w:p>
                          <w:p w14:paraId="1FDC3BD7" w14:textId="77777777" w:rsidR="006F119F" w:rsidRDefault="006F119F" w:rsidP="007873A0">
                            <w:pPr>
                              <w:spacing w:before="0" w:after="0"/>
                              <w:jc w:val="center"/>
                              <w:rPr>
                                <w:rFonts w:eastAsia="Times New Roman"/>
                                <w:bCs/>
                                <w:sz w:val="20"/>
                                <w:szCs w:val="20"/>
                              </w:rPr>
                            </w:pPr>
                          </w:p>
                          <w:p w14:paraId="49FD3EB2" w14:textId="77777777" w:rsidR="006F119F" w:rsidRDefault="006F119F" w:rsidP="007873A0">
                            <w:pPr>
                              <w:spacing w:before="0" w:after="0"/>
                              <w:jc w:val="center"/>
                              <w:rPr>
                                <w:rFonts w:eastAsia="Times New Roman"/>
                                <w:bCs/>
                                <w:sz w:val="20"/>
                                <w:szCs w:val="20"/>
                              </w:rPr>
                            </w:pPr>
                          </w:p>
                          <w:p w14:paraId="25C7F060" w14:textId="77777777" w:rsidR="006F119F" w:rsidRDefault="006F119F" w:rsidP="007873A0">
                            <w:pPr>
                              <w:spacing w:before="0" w:after="0"/>
                              <w:jc w:val="center"/>
                              <w:rPr>
                                <w:rFonts w:eastAsia="Times New Roman"/>
                                <w:bCs/>
                                <w:sz w:val="20"/>
                                <w:szCs w:val="20"/>
                              </w:rPr>
                            </w:pPr>
                          </w:p>
                          <w:p w14:paraId="5226BC6C" w14:textId="77777777" w:rsidR="006F119F" w:rsidRDefault="006F119F" w:rsidP="007873A0">
                            <w:pPr>
                              <w:spacing w:before="0" w:after="0"/>
                              <w:jc w:val="center"/>
                              <w:rPr>
                                <w:rFonts w:eastAsia="Times New Roman"/>
                                <w:bCs/>
                                <w:sz w:val="20"/>
                                <w:szCs w:val="20"/>
                              </w:rPr>
                            </w:pPr>
                          </w:p>
                          <w:p w14:paraId="23C56472" w14:textId="77777777" w:rsidR="006F119F" w:rsidRDefault="006F119F" w:rsidP="007873A0">
                            <w:pPr>
                              <w:spacing w:before="0" w:after="0"/>
                              <w:jc w:val="center"/>
                              <w:rPr>
                                <w:rFonts w:eastAsia="Times New Roman"/>
                                <w:bCs/>
                                <w:sz w:val="20"/>
                                <w:szCs w:val="20"/>
                              </w:rPr>
                            </w:pPr>
                          </w:p>
                          <w:p w14:paraId="2EB1B75A" w14:textId="77777777" w:rsidR="006F119F" w:rsidRDefault="006F119F" w:rsidP="007873A0">
                            <w:pPr>
                              <w:spacing w:before="0" w:after="0"/>
                              <w:jc w:val="center"/>
                              <w:rPr>
                                <w:rFonts w:eastAsia="Times New Roman"/>
                                <w:bCs/>
                                <w:sz w:val="20"/>
                                <w:szCs w:val="20"/>
                              </w:rPr>
                            </w:pPr>
                          </w:p>
                          <w:p w14:paraId="3F03F584" w14:textId="77777777" w:rsidR="006F119F" w:rsidRDefault="006F119F" w:rsidP="007873A0">
                            <w:pPr>
                              <w:spacing w:before="0" w:after="0"/>
                              <w:jc w:val="center"/>
                              <w:rPr>
                                <w:rFonts w:eastAsia="Times New Roman"/>
                                <w:bCs/>
                                <w:sz w:val="20"/>
                                <w:szCs w:val="20"/>
                              </w:rPr>
                            </w:pPr>
                          </w:p>
                          <w:p w14:paraId="7F721135" w14:textId="77777777" w:rsidR="006F119F" w:rsidRDefault="006F119F" w:rsidP="007873A0">
                            <w:pPr>
                              <w:spacing w:before="0" w:after="0"/>
                              <w:jc w:val="center"/>
                              <w:rPr>
                                <w:rFonts w:eastAsia="Times New Roman"/>
                                <w:bCs/>
                                <w:sz w:val="20"/>
                                <w:szCs w:val="20"/>
                              </w:rPr>
                            </w:pPr>
                          </w:p>
                          <w:p w14:paraId="02A50B60" w14:textId="77777777" w:rsidR="006F119F" w:rsidRDefault="006F119F" w:rsidP="007873A0">
                            <w:pPr>
                              <w:spacing w:before="0" w:after="0"/>
                              <w:jc w:val="center"/>
                              <w:rPr>
                                <w:rFonts w:eastAsia="Times New Roman"/>
                                <w:bCs/>
                                <w:sz w:val="20"/>
                                <w:szCs w:val="20"/>
                              </w:rPr>
                            </w:pPr>
                          </w:p>
                          <w:p w14:paraId="1D42B458" w14:textId="77777777" w:rsidR="006F119F" w:rsidRDefault="006F119F" w:rsidP="007873A0">
                            <w:pPr>
                              <w:spacing w:before="0" w:after="0"/>
                              <w:jc w:val="center"/>
                              <w:rPr>
                                <w:rFonts w:eastAsia="Times New Roman"/>
                                <w:bCs/>
                                <w:sz w:val="20"/>
                                <w:szCs w:val="20"/>
                              </w:rPr>
                            </w:pPr>
                          </w:p>
                          <w:p w14:paraId="5043E908" w14:textId="77777777" w:rsidR="006F119F" w:rsidRDefault="006F119F" w:rsidP="007873A0">
                            <w:pPr>
                              <w:spacing w:before="0" w:after="0"/>
                              <w:jc w:val="center"/>
                              <w:rPr>
                                <w:rFonts w:eastAsia="Times New Roman"/>
                                <w:bCs/>
                                <w:sz w:val="20"/>
                                <w:szCs w:val="20"/>
                              </w:rPr>
                            </w:pPr>
                          </w:p>
                          <w:p w14:paraId="07149F06" w14:textId="465203E0" w:rsidR="006F119F" w:rsidRDefault="006F119F" w:rsidP="007873A0">
                            <w:pPr>
                              <w:spacing w:before="0" w:after="0"/>
                              <w:jc w:val="center"/>
                              <w:rPr>
                                <w:rFonts w:eastAsia="Times New Roman"/>
                                <w:bCs/>
                                <w:sz w:val="20"/>
                                <w:szCs w:val="20"/>
                              </w:rPr>
                            </w:pPr>
                          </w:p>
                          <w:p w14:paraId="536B8D3A" w14:textId="6015D6A4" w:rsidR="006F119F" w:rsidRDefault="006F119F" w:rsidP="007873A0">
                            <w:pPr>
                              <w:spacing w:before="0" w:after="0"/>
                              <w:jc w:val="center"/>
                              <w:rPr>
                                <w:rFonts w:eastAsia="Times New Roman"/>
                                <w:bCs/>
                                <w:sz w:val="20"/>
                                <w:szCs w:val="20"/>
                              </w:rPr>
                            </w:pPr>
                          </w:p>
                          <w:p w14:paraId="40D832FC" w14:textId="4128CC7B" w:rsidR="006F119F" w:rsidRDefault="006F119F" w:rsidP="007873A0">
                            <w:pPr>
                              <w:spacing w:before="0" w:after="0"/>
                              <w:jc w:val="center"/>
                              <w:rPr>
                                <w:rFonts w:eastAsia="Times New Roman"/>
                                <w:bCs/>
                                <w:sz w:val="20"/>
                                <w:szCs w:val="20"/>
                              </w:rPr>
                            </w:pPr>
                          </w:p>
                          <w:p w14:paraId="553969D7" w14:textId="169E512C" w:rsidR="006F119F" w:rsidRDefault="006F119F" w:rsidP="007873A0">
                            <w:pPr>
                              <w:spacing w:before="0" w:after="0"/>
                              <w:jc w:val="center"/>
                              <w:rPr>
                                <w:rFonts w:eastAsia="Times New Roman"/>
                                <w:bCs/>
                                <w:sz w:val="20"/>
                                <w:szCs w:val="20"/>
                              </w:rPr>
                            </w:pPr>
                          </w:p>
                          <w:p w14:paraId="529CC652" w14:textId="6371209D" w:rsidR="006F119F" w:rsidRDefault="006F119F" w:rsidP="007873A0">
                            <w:pPr>
                              <w:spacing w:before="0" w:after="0"/>
                              <w:jc w:val="center"/>
                              <w:rPr>
                                <w:rFonts w:eastAsia="Times New Roman"/>
                                <w:bCs/>
                                <w:sz w:val="20"/>
                                <w:szCs w:val="20"/>
                              </w:rPr>
                            </w:pPr>
                          </w:p>
                          <w:p w14:paraId="05FD054C" w14:textId="56C0FB6A" w:rsidR="006F119F" w:rsidRDefault="006F119F" w:rsidP="007873A0">
                            <w:pPr>
                              <w:spacing w:before="0" w:after="0"/>
                              <w:jc w:val="center"/>
                              <w:rPr>
                                <w:rFonts w:eastAsia="Times New Roman"/>
                                <w:bCs/>
                                <w:sz w:val="20"/>
                                <w:szCs w:val="20"/>
                              </w:rPr>
                            </w:pPr>
                          </w:p>
                          <w:p w14:paraId="447A044C" w14:textId="1803BBF1" w:rsidR="006F119F" w:rsidRDefault="006F119F" w:rsidP="007873A0">
                            <w:pPr>
                              <w:spacing w:before="0" w:after="0"/>
                              <w:jc w:val="center"/>
                              <w:rPr>
                                <w:rFonts w:eastAsia="Times New Roman"/>
                                <w:bCs/>
                                <w:sz w:val="20"/>
                                <w:szCs w:val="20"/>
                              </w:rPr>
                            </w:pPr>
                          </w:p>
                          <w:p w14:paraId="624DC857" w14:textId="5D0BAFDC" w:rsidR="006F119F" w:rsidRDefault="006F119F" w:rsidP="007873A0">
                            <w:pPr>
                              <w:spacing w:before="0" w:after="0"/>
                              <w:jc w:val="center"/>
                              <w:rPr>
                                <w:rFonts w:eastAsia="Times New Roman"/>
                                <w:bCs/>
                                <w:sz w:val="20"/>
                                <w:szCs w:val="20"/>
                              </w:rPr>
                            </w:pPr>
                          </w:p>
                          <w:p w14:paraId="2466673C" w14:textId="07933A3F" w:rsidR="006F119F" w:rsidRDefault="006F119F" w:rsidP="007873A0">
                            <w:pPr>
                              <w:spacing w:before="0" w:after="0"/>
                              <w:jc w:val="center"/>
                              <w:rPr>
                                <w:rFonts w:eastAsia="Times New Roman"/>
                                <w:bCs/>
                                <w:sz w:val="20"/>
                                <w:szCs w:val="20"/>
                              </w:rPr>
                            </w:pPr>
                          </w:p>
                          <w:p w14:paraId="362E475F" w14:textId="2874E21A" w:rsidR="006F119F" w:rsidRDefault="006F119F" w:rsidP="007873A0">
                            <w:pPr>
                              <w:spacing w:before="0" w:after="0"/>
                              <w:jc w:val="center"/>
                              <w:rPr>
                                <w:rFonts w:eastAsia="Times New Roman"/>
                                <w:bCs/>
                                <w:sz w:val="20"/>
                                <w:szCs w:val="20"/>
                              </w:rPr>
                            </w:pPr>
                          </w:p>
                          <w:p w14:paraId="2712CA13" w14:textId="16DF1173" w:rsidR="006F119F" w:rsidRDefault="006F119F" w:rsidP="007873A0">
                            <w:pPr>
                              <w:spacing w:before="0" w:after="0"/>
                              <w:jc w:val="center"/>
                              <w:rPr>
                                <w:rFonts w:eastAsia="Times New Roman"/>
                                <w:bCs/>
                                <w:sz w:val="20"/>
                                <w:szCs w:val="20"/>
                              </w:rPr>
                            </w:pPr>
                          </w:p>
                          <w:p w14:paraId="06AD1464" w14:textId="38F3E8DD" w:rsidR="006F119F" w:rsidRDefault="006F119F" w:rsidP="007873A0">
                            <w:pPr>
                              <w:spacing w:before="0" w:after="0"/>
                              <w:jc w:val="center"/>
                              <w:rPr>
                                <w:rFonts w:eastAsia="Times New Roman"/>
                                <w:bCs/>
                                <w:sz w:val="20"/>
                                <w:szCs w:val="20"/>
                              </w:rPr>
                            </w:pPr>
                          </w:p>
                          <w:p w14:paraId="00394A65" w14:textId="77777777" w:rsidR="006F119F" w:rsidRDefault="006F119F" w:rsidP="007873A0">
                            <w:pPr>
                              <w:spacing w:before="0" w:after="0"/>
                              <w:jc w:val="center"/>
                              <w:rPr>
                                <w:rFonts w:eastAsia="Times New Roman"/>
                                <w:bCs/>
                                <w:sz w:val="20"/>
                                <w:szCs w:val="20"/>
                              </w:rPr>
                            </w:pPr>
                          </w:p>
                          <w:p w14:paraId="5E911CFE" w14:textId="77777777" w:rsidR="006F119F" w:rsidRDefault="006F119F" w:rsidP="007873A0">
                            <w:pPr>
                              <w:spacing w:before="0" w:after="0"/>
                              <w:jc w:val="center"/>
                              <w:rPr>
                                <w:rFonts w:eastAsia="Times New Roman"/>
                                <w:bCs/>
                                <w:sz w:val="20"/>
                                <w:szCs w:val="20"/>
                              </w:rPr>
                            </w:pPr>
                          </w:p>
                          <w:p w14:paraId="0D9D839C" w14:textId="77777777" w:rsidR="006F119F" w:rsidRDefault="006F119F" w:rsidP="007873A0">
                            <w:pPr>
                              <w:spacing w:before="0" w:after="0"/>
                              <w:jc w:val="center"/>
                              <w:rPr>
                                <w:rFonts w:eastAsia="Times New Roman"/>
                                <w:bCs/>
                                <w:sz w:val="20"/>
                                <w:szCs w:val="20"/>
                              </w:rPr>
                            </w:pPr>
                            <w:r w:rsidRPr="00A37FA2">
                              <w:rPr>
                                <w:rFonts w:eastAsia="Times New Roman"/>
                                <w:bCs/>
                                <w:sz w:val="20"/>
                                <w:szCs w:val="20"/>
                              </w:rPr>
                              <w:t xml:space="preserve">«Одобрено на заседании научно-практического совета Министерства здравоохранения Российской Федерации </w:t>
                            </w:r>
                          </w:p>
                          <w:p w14:paraId="088E12AC" w14:textId="125E442B" w:rsidR="006F119F" w:rsidRPr="00A37FA2" w:rsidRDefault="006F119F" w:rsidP="007873A0">
                            <w:pPr>
                              <w:spacing w:before="0" w:after="0"/>
                              <w:jc w:val="center"/>
                              <w:rPr>
                                <w:rFonts w:eastAsia="Times New Roman" w:cs="Courier New"/>
                                <w:bCs/>
                                <w:szCs w:val="20"/>
                                <w:lang w:eastAsia="ru-RU"/>
                              </w:rPr>
                            </w:pPr>
                            <w:r w:rsidRPr="00A37FA2">
                              <w:rPr>
                                <w:rFonts w:eastAsia="Times New Roman"/>
                                <w:bCs/>
                                <w:sz w:val="20"/>
                                <w:szCs w:val="20"/>
                              </w:rPr>
                              <w:t xml:space="preserve">(протокол от </w:t>
                            </w:r>
                            <w:r>
                              <w:rPr>
                                <w:rFonts w:eastAsia="Times New Roman"/>
                                <w:bCs/>
                                <w:sz w:val="20"/>
                                <w:szCs w:val="20"/>
                              </w:rPr>
                              <w:t>_________</w:t>
                            </w:r>
                            <w:r w:rsidRPr="00A37FA2">
                              <w:rPr>
                                <w:rFonts w:eastAsia="Times New Roman"/>
                                <w:bCs/>
                                <w:sz w:val="20"/>
                                <w:szCs w:val="20"/>
                              </w:rPr>
                              <w:t>№</w:t>
                            </w:r>
                            <w:r>
                              <w:rPr>
                                <w:rFonts w:eastAsia="Times New Roman"/>
                                <w:bCs/>
                                <w:sz w:val="20"/>
                                <w:szCs w:val="20"/>
                              </w:rPr>
                              <w:t>________</w:t>
                            </w:r>
                            <w:r w:rsidRPr="00A37FA2">
                              <w:rPr>
                                <w:rFonts w:eastAsia="Times New Roman"/>
                                <w:bCs/>
                                <w:sz w:val="20"/>
                                <w:szCs w:val="20"/>
                              </w:rPr>
                              <w:t>)»</w:t>
                            </w:r>
                            <w:bookmarkEnd w:id="1"/>
                          </w:p>
                          <w:p w14:paraId="5D299EC5" w14:textId="77777777" w:rsidR="006F119F" w:rsidRDefault="006F119F" w:rsidP="007873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left:0;text-align:left;margin-left:28.5pt;margin-top:-31.95pt;width:542.45pt;height:11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" stroked="f" strokeweight="1pt">
                <v:path arrowok="t"/>
                <v:textbox>
                  <w:txbxContent>
                    <w:p w14:paraId="13AA1399" w14:textId="77777777" w:rsidR="006F119F" w:rsidRDefault="006F119F" w:rsidP="007873A0">
                      <w:pPr>
                        <w:spacing w:before="0" w:after="0"/>
                        <w:jc w:val="center"/>
                        <w:rPr>
                          <w:rFonts w:eastAsia="Times New Roman"/>
                          <w:bCs/>
                          <w:sz w:val="20"/>
                          <w:szCs w:val="20"/>
                        </w:rPr>
                      </w:pPr>
                      <w:bookmarkStart w:id="3" w:name="_Hlk31706458"/>
                    </w:p>
                    <w:p w14:paraId="6D7C645F" w14:textId="77777777" w:rsidR="006F119F" w:rsidRDefault="006F119F" w:rsidP="007873A0">
                      <w:pPr>
                        <w:spacing w:before="0" w:after="0"/>
                        <w:jc w:val="center"/>
                        <w:rPr>
                          <w:rFonts w:eastAsia="Times New Roman"/>
                          <w:bCs/>
                          <w:sz w:val="20"/>
                          <w:szCs w:val="20"/>
                        </w:rPr>
                      </w:pPr>
                    </w:p>
                    <w:p w14:paraId="63A23A32" w14:textId="77777777" w:rsidR="006F119F" w:rsidRDefault="006F119F" w:rsidP="007873A0">
                      <w:pPr>
                        <w:spacing w:before="0" w:after="0"/>
                        <w:jc w:val="center"/>
                        <w:rPr>
                          <w:rFonts w:eastAsia="Times New Roman"/>
                          <w:bCs/>
                          <w:sz w:val="20"/>
                          <w:szCs w:val="20"/>
                        </w:rPr>
                      </w:pPr>
                    </w:p>
                    <w:p w14:paraId="3FAEEC20" w14:textId="77777777" w:rsidR="006F119F" w:rsidRDefault="006F119F" w:rsidP="007873A0">
                      <w:pPr>
                        <w:spacing w:before="0" w:after="0"/>
                        <w:jc w:val="center"/>
                        <w:rPr>
                          <w:rFonts w:eastAsia="Times New Roman"/>
                          <w:bCs/>
                          <w:sz w:val="20"/>
                          <w:szCs w:val="20"/>
                        </w:rPr>
                      </w:pPr>
                    </w:p>
                    <w:p w14:paraId="46C14D9A" w14:textId="77777777" w:rsidR="006F119F" w:rsidRDefault="006F119F" w:rsidP="007873A0">
                      <w:pPr>
                        <w:spacing w:before="0" w:after="0"/>
                        <w:jc w:val="center"/>
                        <w:rPr>
                          <w:rFonts w:eastAsia="Times New Roman"/>
                          <w:bCs/>
                          <w:sz w:val="20"/>
                          <w:szCs w:val="20"/>
                        </w:rPr>
                      </w:pPr>
                    </w:p>
                    <w:p w14:paraId="03469BB9" w14:textId="77777777" w:rsidR="006F119F" w:rsidRDefault="006F119F" w:rsidP="007873A0">
                      <w:pPr>
                        <w:spacing w:before="0" w:after="0"/>
                        <w:jc w:val="center"/>
                        <w:rPr>
                          <w:rFonts w:eastAsia="Times New Roman"/>
                          <w:bCs/>
                          <w:sz w:val="20"/>
                          <w:szCs w:val="20"/>
                        </w:rPr>
                      </w:pPr>
                    </w:p>
                    <w:p w14:paraId="4DF705B0" w14:textId="77777777" w:rsidR="006F119F" w:rsidRDefault="006F119F" w:rsidP="007873A0">
                      <w:pPr>
                        <w:spacing w:before="0" w:after="0"/>
                        <w:jc w:val="center"/>
                        <w:rPr>
                          <w:rFonts w:eastAsia="Times New Roman"/>
                          <w:bCs/>
                          <w:sz w:val="20"/>
                          <w:szCs w:val="20"/>
                        </w:rPr>
                      </w:pPr>
                    </w:p>
                    <w:p w14:paraId="1D44B1CB" w14:textId="77777777" w:rsidR="006F119F" w:rsidRDefault="006F119F" w:rsidP="007873A0">
                      <w:pPr>
                        <w:spacing w:before="0" w:after="0"/>
                        <w:jc w:val="center"/>
                        <w:rPr>
                          <w:rFonts w:eastAsia="Times New Roman"/>
                          <w:bCs/>
                          <w:sz w:val="20"/>
                          <w:szCs w:val="20"/>
                        </w:rPr>
                      </w:pPr>
                    </w:p>
                    <w:p w14:paraId="2248C91F" w14:textId="77777777" w:rsidR="006F119F" w:rsidRDefault="006F119F" w:rsidP="007873A0">
                      <w:pPr>
                        <w:spacing w:before="0" w:after="0"/>
                        <w:jc w:val="center"/>
                        <w:rPr>
                          <w:rFonts w:eastAsia="Times New Roman"/>
                          <w:bCs/>
                          <w:sz w:val="20"/>
                          <w:szCs w:val="20"/>
                        </w:rPr>
                      </w:pPr>
                    </w:p>
                    <w:p w14:paraId="23DCD8A4" w14:textId="77777777" w:rsidR="006F119F" w:rsidRDefault="006F119F" w:rsidP="007873A0">
                      <w:pPr>
                        <w:spacing w:before="0" w:after="0"/>
                        <w:jc w:val="center"/>
                        <w:rPr>
                          <w:rFonts w:eastAsia="Times New Roman"/>
                          <w:bCs/>
                          <w:sz w:val="20"/>
                          <w:szCs w:val="20"/>
                        </w:rPr>
                      </w:pPr>
                    </w:p>
                    <w:p w14:paraId="609BD8BC" w14:textId="77777777" w:rsidR="006F119F" w:rsidRDefault="006F119F" w:rsidP="007873A0">
                      <w:pPr>
                        <w:spacing w:before="0" w:after="0"/>
                        <w:jc w:val="center"/>
                        <w:rPr>
                          <w:rFonts w:eastAsia="Times New Roman"/>
                          <w:bCs/>
                          <w:sz w:val="20"/>
                          <w:szCs w:val="20"/>
                        </w:rPr>
                      </w:pPr>
                    </w:p>
                    <w:p w14:paraId="20615A03" w14:textId="77777777" w:rsidR="006F119F" w:rsidRDefault="006F119F" w:rsidP="007873A0">
                      <w:pPr>
                        <w:spacing w:before="0" w:after="0"/>
                        <w:jc w:val="center"/>
                        <w:rPr>
                          <w:rFonts w:eastAsia="Times New Roman"/>
                          <w:bCs/>
                          <w:sz w:val="20"/>
                          <w:szCs w:val="20"/>
                        </w:rPr>
                      </w:pPr>
                    </w:p>
                    <w:p w14:paraId="5469449B" w14:textId="77777777" w:rsidR="006F119F" w:rsidRDefault="006F119F" w:rsidP="007873A0">
                      <w:pPr>
                        <w:spacing w:before="0" w:after="0"/>
                        <w:jc w:val="center"/>
                        <w:rPr>
                          <w:rFonts w:eastAsia="Times New Roman"/>
                          <w:bCs/>
                          <w:sz w:val="20"/>
                          <w:szCs w:val="20"/>
                        </w:rPr>
                      </w:pPr>
                    </w:p>
                    <w:p w14:paraId="0D2B1E08" w14:textId="77777777" w:rsidR="006F119F" w:rsidRDefault="006F119F" w:rsidP="007873A0">
                      <w:pPr>
                        <w:spacing w:before="0" w:after="0"/>
                        <w:jc w:val="center"/>
                        <w:rPr>
                          <w:rFonts w:eastAsia="Times New Roman"/>
                          <w:bCs/>
                          <w:sz w:val="20"/>
                          <w:szCs w:val="20"/>
                        </w:rPr>
                      </w:pPr>
                    </w:p>
                    <w:p w14:paraId="57755674" w14:textId="77777777" w:rsidR="006F119F" w:rsidRDefault="006F119F" w:rsidP="007873A0">
                      <w:pPr>
                        <w:spacing w:before="0" w:after="0"/>
                        <w:jc w:val="center"/>
                        <w:rPr>
                          <w:rFonts w:eastAsia="Times New Roman"/>
                          <w:bCs/>
                          <w:sz w:val="20"/>
                          <w:szCs w:val="20"/>
                        </w:rPr>
                      </w:pPr>
                      <w:bookmarkStart w:id="4" w:name="_GoBack"/>
                      <w:bookmarkEnd w:id="4"/>
                    </w:p>
                    <w:p w14:paraId="690F9286" w14:textId="77777777" w:rsidR="006F119F" w:rsidRDefault="006F119F" w:rsidP="007873A0">
                      <w:pPr>
                        <w:spacing w:before="0" w:after="0"/>
                        <w:jc w:val="center"/>
                        <w:rPr>
                          <w:rFonts w:eastAsia="Times New Roman"/>
                          <w:bCs/>
                          <w:sz w:val="20"/>
                          <w:szCs w:val="20"/>
                        </w:rPr>
                      </w:pPr>
                    </w:p>
                    <w:p w14:paraId="46D8B0AC" w14:textId="77777777" w:rsidR="006F119F" w:rsidRDefault="006F119F" w:rsidP="007873A0">
                      <w:pPr>
                        <w:spacing w:before="0" w:after="0"/>
                        <w:jc w:val="center"/>
                        <w:rPr>
                          <w:rFonts w:eastAsia="Times New Roman"/>
                          <w:bCs/>
                          <w:sz w:val="20"/>
                          <w:szCs w:val="20"/>
                        </w:rPr>
                      </w:pPr>
                    </w:p>
                    <w:p w14:paraId="1FDC3BD7" w14:textId="77777777" w:rsidR="006F119F" w:rsidRDefault="006F119F" w:rsidP="007873A0">
                      <w:pPr>
                        <w:spacing w:before="0" w:after="0"/>
                        <w:jc w:val="center"/>
                        <w:rPr>
                          <w:rFonts w:eastAsia="Times New Roman"/>
                          <w:bCs/>
                          <w:sz w:val="20"/>
                          <w:szCs w:val="20"/>
                        </w:rPr>
                      </w:pPr>
                    </w:p>
                    <w:p w14:paraId="49FD3EB2" w14:textId="77777777" w:rsidR="006F119F" w:rsidRDefault="006F119F" w:rsidP="007873A0">
                      <w:pPr>
                        <w:spacing w:before="0" w:after="0"/>
                        <w:jc w:val="center"/>
                        <w:rPr>
                          <w:rFonts w:eastAsia="Times New Roman"/>
                          <w:bCs/>
                          <w:sz w:val="20"/>
                          <w:szCs w:val="20"/>
                        </w:rPr>
                      </w:pPr>
                    </w:p>
                    <w:p w14:paraId="25C7F060" w14:textId="77777777" w:rsidR="006F119F" w:rsidRDefault="006F119F" w:rsidP="007873A0">
                      <w:pPr>
                        <w:spacing w:before="0" w:after="0"/>
                        <w:jc w:val="center"/>
                        <w:rPr>
                          <w:rFonts w:eastAsia="Times New Roman"/>
                          <w:bCs/>
                          <w:sz w:val="20"/>
                          <w:szCs w:val="20"/>
                        </w:rPr>
                      </w:pPr>
                    </w:p>
                    <w:p w14:paraId="5226BC6C" w14:textId="77777777" w:rsidR="006F119F" w:rsidRDefault="006F119F" w:rsidP="007873A0">
                      <w:pPr>
                        <w:spacing w:before="0" w:after="0"/>
                        <w:jc w:val="center"/>
                        <w:rPr>
                          <w:rFonts w:eastAsia="Times New Roman"/>
                          <w:bCs/>
                          <w:sz w:val="20"/>
                          <w:szCs w:val="20"/>
                        </w:rPr>
                      </w:pPr>
                    </w:p>
                    <w:p w14:paraId="23C56472" w14:textId="77777777" w:rsidR="006F119F" w:rsidRDefault="006F119F" w:rsidP="007873A0">
                      <w:pPr>
                        <w:spacing w:before="0" w:after="0"/>
                        <w:jc w:val="center"/>
                        <w:rPr>
                          <w:rFonts w:eastAsia="Times New Roman"/>
                          <w:bCs/>
                          <w:sz w:val="20"/>
                          <w:szCs w:val="20"/>
                        </w:rPr>
                      </w:pPr>
                    </w:p>
                    <w:p w14:paraId="2EB1B75A" w14:textId="77777777" w:rsidR="006F119F" w:rsidRDefault="006F119F" w:rsidP="007873A0">
                      <w:pPr>
                        <w:spacing w:before="0" w:after="0"/>
                        <w:jc w:val="center"/>
                        <w:rPr>
                          <w:rFonts w:eastAsia="Times New Roman"/>
                          <w:bCs/>
                          <w:sz w:val="20"/>
                          <w:szCs w:val="20"/>
                        </w:rPr>
                      </w:pPr>
                    </w:p>
                    <w:p w14:paraId="3F03F584" w14:textId="77777777" w:rsidR="006F119F" w:rsidRDefault="006F119F" w:rsidP="007873A0">
                      <w:pPr>
                        <w:spacing w:before="0" w:after="0"/>
                        <w:jc w:val="center"/>
                        <w:rPr>
                          <w:rFonts w:eastAsia="Times New Roman"/>
                          <w:bCs/>
                          <w:sz w:val="20"/>
                          <w:szCs w:val="20"/>
                        </w:rPr>
                      </w:pPr>
                    </w:p>
                    <w:p w14:paraId="7F721135" w14:textId="77777777" w:rsidR="006F119F" w:rsidRDefault="006F119F" w:rsidP="007873A0">
                      <w:pPr>
                        <w:spacing w:before="0" w:after="0"/>
                        <w:jc w:val="center"/>
                        <w:rPr>
                          <w:rFonts w:eastAsia="Times New Roman"/>
                          <w:bCs/>
                          <w:sz w:val="20"/>
                          <w:szCs w:val="20"/>
                        </w:rPr>
                      </w:pPr>
                    </w:p>
                    <w:p w14:paraId="02A50B60" w14:textId="77777777" w:rsidR="006F119F" w:rsidRDefault="006F119F" w:rsidP="007873A0">
                      <w:pPr>
                        <w:spacing w:before="0" w:after="0"/>
                        <w:jc w:val="center"/>
                        <w:rPr>
                          <w:rFonts w:eastAsia="Times New Roman"/>
                          <w:bCs/>
                          <w:sz w:val="20"/>
                          <w:szCs w:val="20"/>
                        </w:rPr>
                      </w:pPr>
                    </w:p>
                    <w:p w14:paraId="1D42B458" w14:textId="77777777" w:rsidR="006F119F" w:rsidRDefault="006F119F" w:rsidP="007873A0">
                      <w:pPr>
                        <w:spacing w:before="0" w:after="0"/>
                        <w:jc w:val="center"/>
                        <w:rPr>
                          <w:rFonts w:eastAsia="Times New Roman"/>
                          <w:bCs/>
                          <w:sz w:val="20"/>
                          <w:szCs w:val="20"/>
                        </w:rPr>
                      </w:pPr>
                    </w:p>
                    <w:p w14:paraId="5043E908" w14:textId="77777777" w:rsidR="006F119F" w:rsidRDefault="006F119F" w:rsidP="007873A0">
                      <w:pPr>
                        <w:spacing w:before="0" w:after="0"/>
                        <w:jc w:val="center"/>
                        <w:rPr>
                          <w:rFonts w:eastAsia="Times New Roman"/>
                          <w:bCs/>
                          <w:sz w:val="20"/>
                          <w:szCs w:val="20"/>
                        </w:rPr>
                      </w:pPr>
                    </w:p>
                    <w:p w14:paraId="07149F06" w14:textId="465203E0" w:rsidR="006F119F" w:rsidRDefault="006F119F" w:rsidP="007873A0">
                      <w:pPr>
                        <w:spacing w:before="0" w:after="0"/>
                        <w:jc w:val="center"/>
                        <w:rPr>
                          <w:rFonts w:eastAsia="Times New Roman"/>
                          <w:bCs/>
                          <w:sz w:val="20"/>
                          <w:szCs w:val="20"/>
                        </w:rPr>
                      </w:pPr>
                    </w:p>
                    <w:p w14:paraId="536B8D3A" w14:textId="6015D6A4" w:rsidR="006F119F" w:rsidRDefault="006F119F" w:rsidP="007873A0">
                      <w:pPr>
                        <w:spacing w:before="0" w:after="0"/>
                        <w:jc w:val="center"/>
                        <w:rPr>
                          <w:rFonts w:eastAsia="Times New Roman"/>
                          <w:bCs/>
                          <w:sz w:val="20"/>
                          <w:szCs w:val="20"/>
                        </w:rPr>
                      </w:pPr>
                    </w:p>
                    <w:p w14:paraId="40D832FC" w14:textId="4128CC7B" w:rsidR="006F119F" w:rsidRDefault="006F119F" w:rsidP="007873A0">
                      <w:pPr>
                        <w:spacing w:before="0" w:after="0"/>
                        <w:jc w:val="center"/>
                        <w:rPr>
                          <w:rFonts w:eastAsia="Times New Roman"/>
                          <w:bCs/>
                          <w:sz w:val="20"/>
                          <w:szCs w:val="20"/>
                        </w:rPr>
                      </w:pPr>
                    </w:p>
                    <w:p w14:paraId="553969D7" w14:textId="169E512C" w:rsidR="006F119F" w:rsidRDefault="006F119F" w:rsidP="007873A0">
                      <w:pPr>
                        <w:spacing w:before="0" w:after="0"/>
                        <w:jc w:val="center"/>
                        <w:rPr>
                          <w:rFonts w:eastAsia="Times New Roman"/>
                          <w:bCs/>
                          <w:sz w:val="20"/>
                          <w:szCs w:val="20"/>
                        </w:rPr>
                      </w:pPr>
                    </w:p>
                    <w:p w14:paraId="529CC652" w14:textId="6371209D" w:rsidR="006F119F" w:rsidRDefault="006F119F" w:rsidP="007873A0">
                      <w:pPr>
                        <w:spacing w:before="0" w:after="0"/>
                        <w:jc w:val="center"/>
                        <w:rPr>
                          <w:rFonts w:eastAsia="Times New Roman"/>
                          <w:bCs/>
                          <w:sz w:val="20"/>
                          <w:szCs w:val="20"/>
                        </w:rPr>
                      </w:pPr>
                    </w:p>
                    <w:p w14:paraId="05FD054C" w14:textId="56C0FB6A" w:rsidR="006F119F" w:rsidRDefault="006F119F" w:rsidP="007873A0">
                      <w:pPr>
                        <w:spacing w:before="0" w:after="0"/>
                        <w:jc w:val="center"/>
                        <w:rPr>
                          <w:rFonts w:eastAsia="Times New Roman"/>
                          <w:bCs/>
                          <w:sz w:val="20"/>
                          <w:szCs w:val="20"/>
                        </w:rPr>
                      </w:pPr>
                    </w:p>
                    <w:p w14:paraId="447A044C" w14:textId="1803BBF1" w:rsidR="006F119F" w:rsidRDefault="006F119F" w:rsidP="007873A0">
                      <w:pPr>
                        <w:spacing w:before="0" w:after="0"/>
                        <w:jc w:val="center"/>
                        <w:rPr>
                          <w:rFonts w:eastAsia="Times New Roman"/>
                          <w:bCs/>
                          <w:sz w:val="20"/>
                          <w:szCs w:val="20"/>
                        </w:rPr>
                      </w:pPr>
                    </w:p>
                    <w:p w14:paraId="624DC857" w14:textId="5D0BAFDC" w:rsidR="006F119F" w:rsidRDefault="006F119F" w:rsidP="007873A0">
                      <w:pPr>
                        <w:spacing w:before="0" w:after="0"/>
                        <w:jc w:val="center"/>
                        <w:rPr>
                          <w:rFonts w:eastAsia="Times New Roman"/>
                          <w:bCs/>
                          <w:sz w:val="20"/>
                          <w:szCs w:val="20"/>
                        </w:rPr>
                      </w:pPr>
                    </w:p>
                    <w:p w14:paraId="2466673C" w14:textId="07933A3F" w:rsidR="006F119F" w:rsidRDefault="006F119F" w:rsidP="007873A0">
                      <w:pPr>
                        <w:spacing w:before="0" w:after="0"/>
                        <w:jc w:val="center"/>
                        <w:rPr>
                          <w:rFonts w:eastAsia="Times New Roman"/>
                          <w:bCs/>
                          <w:sz w:val="20"/>
                          <w:szCs w:val="20"/>
                        </w:rPr>
                      </w:pPr>
                    </w:p>
                    <w:p w14:paraId="362E475F" w14:textId="2874E21A" w:rsidR="006F119F" w:rsidRDefault="006F119F" w:rsidP="007873A0">
                      <w:pPr>
                        <w:spacing w:before="0" w:after="0"/>
                        <w:jc w:val="center"/>
                        <w:rPr>
                          <w:rFonts w:eastAsia="Times New Roman"/>
                          <w:bCs/>
                          <w:sz w:val="20"/>
                          <w:szCs w:val="20"/>
                        </w:rPr>
                      </w:pPr>
                    </w:p>
                    <w:p w14:paraId="2712CA13" w14:textId="16DF1173" w:rsidR="006F119F" w:rsidRDefault="006F119F" w:rsidP="007873A0">
                      <w:pPr>
                        <w:spacing w:before="0" w:after="0"/>
                        <w:jc w:val="center"/>
                        <w:rPr>
                          <w:rFonts w:eastAsia="Times New Roman"/>
                          <w:bCs/>
                          <w:sz w:val="20"/>
                          <w:szCs w:val="20"/>
                        </w:rPr>
                      </w:pPr>
                    </w:p>
                    <w:p w14:paraId="06AD1464" w14:textId="38F3E8DD" w:rsidR="006F119F" w:rsidRDefault="006F119F" w:rsidP="007873A0">
                      <w:pPr>
                        <w:spacing w:before="0" w:after="0"/>
                        <w:jc w:val="center"/>
                        <w:rPr>
                          <w:rFonts w:eastAsia="Times New Roman"/>
                          <w:bCs/>
                          <w:sz w:val="20"/>
                          <w:szCs w:val="20"/>
                        </w:rPr>
                      </w:pPr>
                    </w:p>
                    <w:p w14:paraId="00394A65" w14:textId="77777777" w:rsidR="006F119F" w:rsidRDefault="006F119F" w:rsidP="007873A0">
                      <w:pPr>
                        <w:spacing w:before="0" w:after="0"/>
                        <w:jc w:val="center"/>
                        <w:rPr>
                          <w:rFonts w:eastAsia="Times New Roman"/>
                          <w:bCs/>
                          <w:sz w:val="20"/>
                          <w:szCs w:val="20"/>
                        </w:rPr>
                      </w:pPr>
                    </w:p>
                    <w:p w14:paraId="5E911CFE" w14:textId="77777777" w:rsidR="006F119F" w:rsidRDefault="006F119F" w:rsidP="007873A0">
                      <w:pPr>
                        <w:spacing w:before="0" w:after="0"/>
                        <w:jc w:val="center"/>
                        <w:rPr>
                          <w:rFonts w:eastAsia="Times New Roman"/>
                          <w:bCs/>
                          <w:sz w:val="20"/>
                          <w:szCs w:val="20"/>
                        </w:rPr>
                      </w:pPr>
                    </w:p>
                    <w:p w14:paraId="0D9D839C" w14:textId="77777777" w:rsidR="006F119F" w:rsidRDefault="006F119F" w:rsidP="007873A0">
                      <w:pPr>
                        <w:spacing w:before="0" w:after="0"/>
                        <w:jc w:val="center"/>
                        <w:rPr>
                          <w:rFonts w:eastAsia="Times New Roman"/>
                          <w:bCs/>
                          <w:sz w:val="20"/>
                          <w:szCs w:val="20"/>
                        </w:rPr>
                      </w:pPr>
                      <w:r w:rsidRPr="00A37FA2">
                        <w:rPr>
                          <w:rFonts w:eastAsia="Times New Roman"/>
                          <w:bCs/>
                          <w:sz w:val="20"/>
                          <w:szCs w:val="20"/>
                        </w:rPr>
                        <w:t xml:space="preserve">«Одобрено на заседании научно-практического совета Министерства здравоохранения Российской Федерации </w:t>
                      </w:r>
                    </w:p>
                    <w:p w14:paraId="088E12AC" w14:textId="125E442B" w:rsidR="006F119F" w:rsidRPr="00A37FA2" w:rsidRDefault="006F119F" w:rsidP="007873A0">
                      <w:pPr>
                        <w:spacing w:before="0" w:after="0"/>
                        <w:jc w:val="center"/>
                        <w:rPr>
                          <w:rFonts w:eastAsia="Times New Roman" w:cs="Courier New"/>
                          <w:bCs/>
                          <w:szCs w:val="20"/>
                          <w:lang w:eastAsia="ru-RU"/>
                        </w:rPr>
                      </w:pPr>
                      <w:r w:rsidRPr="00A37FA2">
                        <w:rPr>
                          <w:rFonts w:eastAsia="Times New Roman"/>
                          <w:bCs/>
                          <w:sz w:val="20"/>
                          <w:szCs w:val="20"/>
                        </w:rPr>
                        <w:t xml:space="preserve">(протокол </w:t>
                      </w:r>
                      <w:proofErr w:type="gramStart"/>
                      <w:r w:rsidRPr="00A37FA2">
                        <w:rPr>
                          <w:rFonts w:eastAsia="Times New Roman"/>
                          <w:bCs/>
                          <w:sz w:val="20"/>
                          <w:szCs w:val="20"/>
                        </w:rPr>
                        <w:t>от</w:t>
                      </w:r>
                      <w:proofErr w:type="gramEnd"/>
                      <w:r w:rsidRPr="00A37FA2">
                        <w:rPr>
                          <w:rFonts w:eastAsia="Times New Roman"/>
                          <w:bCs/>
                          <w:sz w:val="20"/>
                          <w:szCs w:val="20"/>
                        </w:rPr>
                        <w:t xml:space="preserve"> </w:t>
                      </w:r>
                      <w:r>
                        <w:rPr>
                          <w:rFonts w:eastAsia="Times New Roman"/>
                          <w:bCs/>
                          <w:sz w:val="20"/>
                          <w:szCs w:val="20"/>
                        </w:rPr>
                        <w:t>_________</w:t>
                      </w:r>
                      <w:r w:rsidRPr="00A37FA2">
                        <w:rPr>
                          <w:rFonts w:eastAsia="Times New Roman"/>
                          <w:bCs/>
                          <w:sz w:val="20"/>
                          <w:szCs w:val="20"/>
                        </w:rPr>
                        <w:t>№</w:t>
                      </w:r>
                      <w:r>
                        <w:rPr>
                          <w:rFonts w:eastAsia="Times New Roman"/>
                          <w:bCs/>
                          <w:sz w:val="20"/>
                          <w:szCs w:val="20"/>
                        </w:rPr>
                        <w:t>________</w:t>
                      </w:r>
                      <w:r w:rsidRPr="00A37FA2">
                        <w:rPr>
                          <w:rFonts w:eastAsia="Times New Roman"/>
                          <w:bCs/>
                          <w:sz w:val="20"/>
                          <w:szCs w:val="20"/>
                        </w:rPr>
                        <w:t>)»</w:t>
                      </w:r>
                      <w:bookmarkEnd w:id="3"/>
                    </w:p>
                    <w:p w14:paraId="5D299EC5" w14:textId="77777777" w:rsidR="006F119F" w:rsidRDefault="006F119F" w:rsidP="007873A0">
                      <w:pPr>
                        <w:jc w:val="center"/>
                      </w:pPr>
                    </w:p>
                  </w:txbxContent>
                </v:textbox>
                <w10:wrap anchorx="page"/>
              </v:rect>
            </w:pict>
          </mc:Fallback>
        </mc:AlternateContent>
      </w:r>
      <w:r w:rsidRPr="00F242DD">
        <w:rPr>
          <w:noProof/>
          <w:lang w:eastAsia="ru-RU"/>
        </w:rPr>
        <mc:AlternateContent>
          <mc:Choice Requires="wps">
            <w:drawing>
              <wp:anchor distT="0" distB="0" distL="114300" distR="114300" simplePos="0" relativeHeight="251652608" behindDoc="1" locked="0" layoutInCell="1" allowOverlap="1" wp14:anchorId="27709A2F" wp14:editId="25D7CF1F">
                <wp:simplePos x="0" y="0"/>
                <wp:positionH relativeFrom="page">
                  <wp:align>left</wp:align>
                </wp:positionH>
                <wp:positionV relativeFrom="paragraph">
                  <wp:posOffset>-855345</wp:posOffset>
                </wp:positionV>
                <wp:extent cx="7600950" cy="10953750"/>
                <wp:effectExtent l="0" t="0" r="0" b="0"/>
                <wp:wrapNone/>
                <wp:docPr id="80"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0" cy="10953750"/>
                        </a:xfrm>
                        <a:prstGeom prst="rect">
                          <a:avLst/>
                        </a:prstGeom>
                        <a:solidFill>
                          <a:srgbClr val="0B595D">
                            <a:alpha val="9804"/>
                          </a:srgbClr>
                        </a:solidFill>
                        <a:ln w="12700" cap="flat" cmpd="sng" algn="ctr">
                          <a:noFill/>
                          <a:prstDash val="solid"/>
                          <a:miter lim="800000"/>
                        </a:ln>
                        <a:effectLst/>
                      </wps:spPr>
                      <wps:txbx>
                        <w:txbxContent>
                          <w:p w14:paraId="4C95D56E" w14:textId="77777777" w:rsidR="006F119F" w:rsidRDefault="006F119F" w:rsidP="00036C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7" style="position:absolute;left:0;text-align:left;margin-left:0;margin-top:-67.35pt;width:598.5pt;height:862.5pt;z-index:-2516638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" fillcolor="#0b595d" stroked="f" strokeweight="1pt">
                <v:fill opacity="6425f"/>
                <v:path arrowok="t"/>
                <v:textbox>
                  <w:txbxContent>
                    <w:p w14:paraId="4C95D56E" w14:textId="77777777" w:rsidR="00791645" w:rsidRDefault="00791645" w:rsidP="00036C84">
                      <w:pPr>
                        <w:jc w:val="center"/>
                      </w:pPr>
                    </w:p>
                  </w:txbxContent>
                </v:textbox>
                <w10:wrap anchorx="page"/>
              </v:rect>
            </w:pict>
          </mc:Fallback>
        </mc:AlternateContent>
      </w:r>
      <w:r w:rsidR="008B30C2" w:rsidRPr="00F242DD">
        <w:t xml:space="preserve">     </w:t>
      </w:r>
    </w:p>
    <w:bookmarkEnd w:id="0"/>
    <w:p w14:paraId="6E5ACABB" w14:textId="77777777" w:rsidR="007873A0" w:rsidRPr="00F242DD" w:rsidRDefault="007873A0" w:rsidP="0086466D">
      <w:pPr>
        <w:jc w:val="center"/>
        <w:rPr>
          <w:b/>
        </w:rPr>
      </w:pPr>
    </w:p>
    <w:p w14:paraId="79B5A94F" w14:textId="3E40D0B5" w:rsidR="0086466D" w:rsidRPr="00F242DD" w:rsidRDefault="007873A0" w:rsidP="007873A0">
      <w:pPr>
        <w:tabs>
          <w:tab w:val="left" w:pos="2775"/>
        </w:tabs>
        <w:rPr>
          <w:b/>
        </w:rPr>
      </w:pPr>
      <w:r>
        <w:rPr>
          <w:b/>
        </w:rPr>
        <w:tab/>
      </w:r>
    </w:p>
    <w:p w14:paraId="492D292B" w14:textId="77777777" w:rsidR="00FE0634" w:rsidRPr="00F242DD" w:rsidRDefault="00FE0634" w:rsidP="0086466D">
      <w:pPr>
        <w:jc w:val="center"/>
        <w:rPr>
          <w:b/>
        </w:rPr>
      </w:pPr>
    </w:p>
    <w:p w14:paraId="64913EFF" w14:textId="77777777" w:rsidR="006A50CD" w:rsidRPr="00F242DD" w:rsidRDefault="006A50CD">
      <w:pPr>
        <w:spacing w:before="0" w:after="0" w:line="240" w:lineRule="auto"/>
        <w:jc w:val="left"/>
        <w:rPr>
          <w:b/>
        </w:rPr>
      </w:pPr>
      <w:r w:rsidRPr="00F242DD">
        <w:rPr>
          <w:b/>
        </w:rPr>
        <w:br w:type="page"/>
      </w:r>
    </w:p>
    <w:p w14:paraId="332A9773" w14:textId="77777777" w:rsidR="008F3621" w:rsidRPr="00F242DD" w:rsidRDefault="0086466D" w:rsidP="0086466D">
      <w:pPr>
        <w:jc w:val="center"/>
        <w:rPr>
          <w:b/>
        </w:rPr>
      </w:pPr>
      <w:r w:rsidRPr="00F242DD">
        <w:rPr>
          <w:b/>
        </w:rPr>
        <w:lastRenderedPageBreak/>
        <w:t>Оглавление</w:t>
      </w:r>
    </w:p>
    <w:p w14:paraId="6C3FB08B" w14:textId="77777777" w:rsidR="002E7F7B" w:rsidRPr="002E7F7B" w:rsidRDefault="00A96FB6">
      <w:pPr>
        <w:pStyle w:val="11"/>
        <w:rPr>
          <w:rFonts w:asciiTheme="minorHAnsi" w:eastAsiaTheme="minorEastAsia" w:hAnsiTheme="minorHAnsi" w:cstheme="minorBidi"/>
          <w:bCs w:val="0"/>
          <w:sz w:val="22"/>
          <w:lang w:eastAsia="ru-RU"/>
        </w:rPr>
      </w:pPr>
      <w:r w:rsidRPr="00F242DD">
        <w:fldChar w:fldCharType="begin"/>
      </w:r>
      <w:r w:rsidR="00077BDE" w:rsidRPr="00F242DD">
        <w:instrText xml:space="preserve"> TOC \o "1-2" \h \z \u </w:instrText>
      </w:r>
      <w:r w:rsidRPr="00F242DD">
        <w:fldChar w:fldCharType="separate"/>
      </w:r>
      <w:hyperlink w:anchor="_Toc53140879" w:history="1">
        <w:r w:rsidR="002E7F7B" w:rsidRPr="002E7F7B">
          <w:rPr>
            <w:rStyle w:val="af2"/>
          </w:rPr>
          <w:t>Список сокращений</w:t>
        </w:r>
        <w:r w:rsidR="002E7F7B" w:rsidRPr="002E7F7B">
          <w:rPr>
            <w:webHidden/>
          </w:rPr>
          <w:tab/>
        </w:r>
        <w:r w:rsidR="002E7F7B" w:rsidRPr="002E7F7B">
          <w:rPr>
            <w:webHidden/>
          </w:rPr>
          <w:fldChar w:fldCharType="begin"/>
        </w:r>
        <w:r w:rsidR="002E7F7B" w:rsidRPr="002E7F7B">
          <w:rPr>
            <w:webHidden/>
          </w:rPr>
          <w:instrText xml:space="preserve"> PAGEREF _Toc53140879 \h </w:instrText>
        </w:r>
        <w:r w:rsidR="002E7F7B" w:rsidRPr="002E7F7B">
          <w:rPr>
            <w:webHidden/>
          </w:rPr>
        </w:r>
        <w:r w:rsidR="002E7F7B" w:rsidRPr="002E7F7B">
          <w:rPr>
            <w:webHidden/>
          </w:rPr>
          <w:fldChar w:fldCharType="separate"/>
        </w:r>
        <w:r w:rsidR="002E7F7B" w:rsidRPr="002E7F7B">
          <w:rPr>
            <w:webHidden/>
          </w:rPr>
          <w:t>5</w:t>
        </w:r>
        <w:r w:rsidR="002E7F7B" w:rsidRPr="002E7F7B">
          <w:rPr>
            <w:webHidden/>
          </w:rPr>
          <w:fldChar w:fldCharType="end"/>
        </w:r>
      </w:hyperlink>
    </w:p>
    <w:p w14:paraId="6264AED1" w14:textId="77777777" w:rsidR="002E7F7B" w:rsidRPr="002E7F7B" w:rsidRDefault="00BF4D39">
      <w:pPr>
        <w:pStyle w:val="11"/>
        <w:rPr>
          <w:rFonts w:asciiTheme="minorHAnsi" w:eastAsiaTheme="minorEastAsia" w:hAnsiTheme="minorHAnsi" w:cstheme="minorBidi"/>
          <w:bCs w:val="0"/>
          <w:sz w:val="22"/>
          <w:lang w:eastAsia="ru-RU"/>
        </w:rPr>
      </w:pPr>
      <w:hyperlink w:anchor="_Toc53140880" w:history="1">
        <w:r w:rsidR="002E7F7B" w:rsidRPr="002E7F7B">
          <w:rPr>
            <w:rStyle w:val="af2"/>
          </w:rPr>
          <w:t>Термины и определения</w:t>
        </w:r>
        <w:r w:rsidR="002E7F7B" w:rsidRPr="002E7F7B">
          <w:rPr>
            <w:webHidden/>
          </w:rPr>
          <w:tab/>
        </w:r>
        <w:r w:rsidR="002E7F7B" w:rsidRPr="002E7F7B">
          <w:rPr>
            <w:webHidden/>
          </w:rPr>
          <w:fldChar w:fldCharType="begin"/>
        </w:r>
        <w:r w:rsidR="002E7F7B" w:rsidRPr="002E7F7B">
          <w:rPr>
            <w:webHidden/>
          </w:rPr>
          <w:instrText xml:space="preserve"> PAGEREF _Toc53140880 \h </w:instrText>
        </w:r>
        <w:r w:rsidR="002E7F7B" w:rsidRPr="002E7F7B">
          <w:rPr>
            <w:webHidden/>
          </w:rPr>
        </w:r>
        <w:r w:rsidR="002E7F7B" w:rsidRPr="002E7F7B">
          <w:rPr>
            <w:webHidden/>
          </w:rPr>
          <w:fldChar w:fldCharType="separate"/>
        </w:r>
        <w:r w:rsidR="002E7F7B" w:rsidRPr="002E7F7B">
          <w:rPr>
            <w:webHidden/>
          </w:rPr>
          <w:t>8</w:t>
        </w:r>
        <w:r w:rsidR="002E7F7B" w:rsidRPr="002E7F7B">
          <w:rPr>
            <w:webHidden/>
          </w:rPr>
          <w:fldChar w:fldCharType="end"/>
        </w:r>
      </w:hyperlink>
    </w:p>
    <w:p w14:paraId="4B937E89" w14:textId="77777777" w:rsidR="002E7F7B" w:rsidRPr="002E7F7B" w:rsidRDefault="00BF4D39">
      <w:pPr>
        <w:pStyle w:val="11"/>
        <w:rPr>
          <w:rFonts w:asciiTheme="minorHAnsi" w:eastAsiaTheme="minorEastAsia" w:hAnsiTheme="minorHAnsi" w:cstheme="minorBidi"/>
          <w:bCs w:val="0"/>
          <w:sz w:val="22"/>
          <w:lang w:eastAsia="ru-RU"/>
        </w:rPr>
      </w:pPr>
      <w:hyperlink w:anchor="_Toc53140881" w:history="1">
        <w:r w:rsidR="002E7F7B" w:rsidRPr="002E7F7B">
          <w:rPr>
            <w:rStyle w:val="af2"/>
          </w:rPr>
          <w:t>1. Краткая информация по заболеванию или состоянию  (группе заболеваний или состояний)</w:t>
        </w:r>
        <w:r w:rsidR="002E7F7B" w:rsidRPr="002E7F7B">
          <w:rPr>
            <w:webHidden/>
          </w:rPr>
          <w:tab/>
        </w:r>
        <w:r w:rsidR="002E7F7B" w:rsidRPr="002E7F7B">
          <w:rPr>
            <w:webHidden/>
          </w:rPr>
          <w:fldChar w:fldCharType="begin"/>
        </w:r>
        <w:r w:rsidR="002E7F7B" w:rsidRPr="002E7F7B">
          <w:rPr>
            <w:webHidden/>
          </w:rPr>
          <w:instrText xml:space="preserve"> PAGEREF _Toc53140881 \h </w:instrText>
        </w:r>
        <w:r w:rsidR="002E7F7B" w:rsidRPr="002E7F7B">
          <w:rPr>
            <w:webHidden/>
          </w:rPr>
        </w:r>
        <w:r w:rsidR="002E7F7B" w:rsidRPr="002E7F7B">
          <w:rPr>
            <w:webHidden/>
          </w:rPr>
          <w:fldChar w:fldCharType="separate"/>
        </w:r>
        <w:r w:rsidR="002E7F7B" w:rsidRPr="002E7F7B">
          <w:rPr>
            <w:webHidden/>
          </w:rPr>
          <w:t>9</w:t>
        </w:r>
        <w:r w:rsidR="002E7F7B" w:rsidRPr="002E7F7B">
          <w:rPr>
            <w:webHidden/>
          </w:rPr>
          <w:fldChar w:fldCharType="end"/>
        </w:r>
      </w:hyperlink>
    </w:p>
    <w:p w14:paraId="746A3C36" w14:textId="77777777" w:rsidR="002E7F7B" w:rsidRPr="002E7F7B" w:rsidRDefault="00BF4D39">
      <w:pPr>
        <w:pStyle w:val="21"/>
        <w:rPr>
          <w:rFonts w:asciiTheme="minorHAnsi" w:eastAsiaTheme="minorEastAsia" w:hAnsiTheme="minorHAnsi" w:cstheme="minorBidi"/>
          <w:sz w:val="22"/>
          <w:lang w:eastAsia="ru-RU"/>
        </w:rPr>
      </w:pPr>
      <w:hyperlink w:anchor="_Toc53140882" w:history="1">
        <w:r w:rsidR="002E7F7B" w:rsidRPr="002E7F7B">
          <w:rPr>
            <w:rStyle w:val="af2"/>
          </w:rPr>
          <w:t>1.1 Определение заболевания или состояния (группы заболеваний или состояний)</w:t>
        </w:r>
        <w:r w:rsidR="002E7F7B" w:rsidRPr="002E7F7B">
          <w:rPr>
            <w:webHidden/>
          </w:rPr>
          <w:tab/>
        </w:r>
        <w:r w:rsidR="002E7F7B" w:rsidRPr="002E7F7B">
          <w:rPr>
            <w:webHidden/>
          </w:rPr>
          <w:fldChar w:fldCharType="begin"/>
        </w:r>
        <w:r w:rsidR="002E7F7B" w:rsidRPr="002E7F7B">
          <w:rPr>
            <w:webHidden/>
          </w:rPr>
          <w:instrText xml:space="preserve"> PAGEREF _Toc53140882 \h </w:instrText>
        </w:r>
        <w:r w:rsidR="002E7F7B" w:rsidRPr="002E7F7B">
          <w:rPr>
            <w:webHidden/>
          </w:rPr>
        </w:r>
        <w:r w:rsidR="002E7F7B" w:rsidRPr="002E7F7B">
          <w:rPr>
            <w:webHidden/>
          </w:rPr>
          <w:fldChar w:fldCharType="separate"/>
        </w:r>
        <w:r w:rsidR="002E7F7B" w:rsidRPr="002E7F7B">
          <w:rPr>
            <w:webHidden/>
          </w:rPr>
          <w:t>9</w:t>
        </w:r>
        <w:r w:rsidR="002E7F7B" w:rsidRPr="002E7F7B">
          <w:rPr>
            <w:webHidden/>
          </w:rPr>
          <w:fldChar w:fldCharType="end"/>
        </w:r>
      </w:hyperlink>
    </w:p>
    <w:p w14:paraId="2A94D9C8" w14:textId="77777777" w:rsidR="002E7F7B" w:rsidRPr="002E7F7B" w:rsidRDefault="00BF4D39">
      <w:pPr>
        <w:pStyle w:val="21"/>
        <w:rPr>
          <w:rFonts w:asciiTheme="minorHAnsi" w:eastAsiaTheme="minorEastAsia" w:hAnsiTheme="minorHAnsi" w:cstheme="minorBidi"/>
          <w:sz w:val="22"/>
          <w:lang w:eastAsia="ru-RU"/>
        </w:rPr>
      </w:pPr>
      <w:hyperlink w:anchor="_Toc53140883" w:history="1">
        <w:r w:rsidR="002E7F7B" w:rsidRPr="002E7F7B">
          <w:rPr>
            <w:rStyle w:val="af2"/>
          </w:rPr>
          <w:t>1.2 Этиология и патогенез заболевания или состояния (группы заболеваний или состояний)</w:t>
        </w:r>
        <w:r w:rsidR="002E7F7B" w:rsidRPr="002E7F7B">
          <w:rPr>
            <w:webHidden/>
          </w:rPr>
          <w:tab/>
        </w:r>
        <w:r w:rsidR="002E7F7B" w:rsidRPr="002E7F7B">
          <w:rPr>
            <w:webHidden/>
          </w:rPr>
          <w:fldChar w:fldCharType="begin"/>
        </w:r>
        <w:r w:rsidR="002E7F7B" w:rsidRPr="002E7F7B">
          <w:rPr>
            <w:webHidden/>
          </w:rPr>
          <w:instrText xml:space="preserve"> PAGEREF _Toc53140883 \h </w:instrText>
        </w:r>
        <w:r w:rsidR="002E7F7B" w:rsidRPr="002E7F7B">
          <w:rPr>
            <w:webHidden/>
          </w:rPr>
        </w:r>
        <w:r w:rsidR="002E7F7B" w:rsidRPr="002E7F7B">
          <w:rPr>
            <w:webHidden/>
          </w:rPr>
          <w:fldChar w:fldCharType="separate"/>
        </w:r>
        <w:r w:rsidR="002E7F7B" w:rsidRPr="002E7F7B">
          <w:rPr>
            <w:webHidden/>
          </w:rPr>
          <w:t>9</w:t>
        </w:r>
        <w:r w:rsidR="002E7F7B" w:rsidRPr="002E7F7B">
          <w:rPr>
            <w:webHidden/>
          </w:rPr>
          <w:fldChar w:fldCharType="end"/>
        </w:r>
      </w:hyperlink>
    </w:p>
    <w:p w14:paraId="2B73925E" w14:textId="77777777" w:rsidR="002E7F7B" w:rsidRPr="002E7F7B" w:rsidRDefault="00BF4D39">
      <w:pPr>
        <w:pStyle w:val="21"/>
        <w:rPr>
          <w:rFonts w:asciiTheme="minorHAnsi" w:eastAsiaTheme="minorEastAsia" w:hAnsiTheme="minorHAnsi" w:cstheme="minorBidi"/>
          <w:sz w:val="22"/>
          <w:lang w:eastAsia="ru-RU"/>
        </w:rPr>
      </w:pPr>
      <w:hyperlink w:anchor="_Toc53140884" w:history="1">
        <w:r w:rsidR="002E7F7B" w:rsidRPr="002E7F7B">
          <w:rPr>
            <w:rStyle w:val="af2"/>
          </w:rPr>
          <w:t>1.3 Эпидемиология заболевания или состояния (группы заболеваний или состояний)</w:t>
        </w:r>
        <w:r w:rsidR="002E7F7B" w:rsidRPr="002E7F7B">
          <w:rPr>
            <w:webHidden/>
          </w:rPr>
          <w:tab/>
        </w:r>
        <w:r w:rsidR="002E7F7B" w:rsidRPr="002E7F7B">
          <w:rPr>
            <w:webHidden/>
          </w:rPr>
          <w:fldChar w:fldCharType="begin"/>
        </w:r>
        <w:r w:rsidR="002E7F7B" w:rsidRPr="002E7F7B">
          <w:rPr>
            <w:webHidden/>
          </w:rPr>
          <w:instrText xml:space="preserve"> PAGEREF _Toc53140884 \h </w:instrText>
        </w:r>
        <w:r w:rsidR="002E7F7B" w:rsidRPr="002E7F7B">
          <w:rPr>
            <w:webHidden/>
          </w:rPr>
        </w:r>
        <w:r w:rsidR="002E7F7B" w:rsidRPr="002E7F7B">
          <w:rPr>
            <w:webHidden/>
          </w:rPr>
          <w:fldChar w:fldCharType="separate"/>
        </w:r>
        <w:r w:rsidR="002E7F7B" w:rsidRPr="002E7F7B">
          <w:rPr>
            <w:webHidden/>
          </w:rPr>
          <w:t>9</w:t>
        </w:r>
        <w:r w:rsidR="002E7F7B" w:rsidRPr="002E7F7B">
          <w:rPr>
            <w:webHidden/>
          </w:rPr>
          <w:fldChar w:fldCharType="end"/>
        </w:r>
      </w:hyperlink>
    </w:p>
    <w:p w14:paraId="0BC2E948" w14:textId="77777777" w:rsidR="002E7F7B" w:rsidRPr="002E7F7B" w:rsidRDefault="00BF4D39">
      <w:pPr>
        <w:pStyle w:val="21"/>
        <w:rPr>
          <w:rFonts w:asciiTheme="minorHAnsi" w:eastAsiaTheme="minorEastAsia" w:hAnsiTheme="minorHAnsi" w:cstheme="minorBidi"/>
          <w:sz w:val="22"/>
          <w:lang w:eastAsia="ru-RU"/>
        </w:rPr>
      </w:pPr>
      <w:hyperlink w:anchor="_Toc53140885" w:history="1">
        <w:r w:rsidR="002E7F7B" w:rsidRPr="002E7F7B">
          <w:rPr>
            <w:rStyle w:val="af2"/>
          </w:rPr>
          <w:t xml:space="preserve">1.4 </w:t>
        </w:r>
        <w:r w:rsidR="002E7F7B" w:rsidRPr="002E7F7B">
          <w:rPr>
            <w:rStyle w:val="af2"/>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2E7F7B" w:rsidRPr="002E7F7B">
          <w:rPr>
            <w:webHidden/>
          </w:rPr>
          <w:tab/>
        </w:r>
        <w:r w:rsidR="002E7F7B" w:rsidRPr="002E7F7B">
          <w:rPr>
            <w:webHidden/>
          </w:rPr>
          <w:fldChar w:fldCharType="begin"/>
        </w:r>
        <w:r w:rsidR="002E7F7B" w:rsidRPr="002E7F7B">
          <w:rPr>
            <w:webHidden/>
          </w:rPr>
          <w:instrText xml:space="preserve"> PAGEREF _Toc53140885 \h </w:instrText>
        </w:r>
        <w:r w:rsidR="002E7F7B" w:rsidRPr="002E7F7B">
          <w:rPr>
            <w:webHidden/>
          </w:rPr>
        </w:r>
        <w:r w:rsidR="002E7F7B" w:rsidRPr="002E7F7B">
          <w:rPr>
            <w:webHidden/>
          </w:rPr>
          <w:fldChar w:fldCharType="separate"/>
        </w:r>
        <w:r w:rsidR="002E7F7B" w:rsidRPr="002E7F7B">
          <w:rPr>
            <w:webHidden/>
          </w:rPr>
          <w:t>9</w:t>
        </w:r>
        <w:r w:rsidR="002E7F7B" w:rsidRPr="002E7F7B">
          <w:rPr>
            <w:webHidden/>
          </w:rPr>
          <w:fldChar w:fldCharType="end"/>
        </w:r>
      </w:hyperlink>
    </w:p>
    <w:p w14:paraId="4F7C2D6C" w14:textId="77777777" w:rsidR="002E7F7B" w:rsidRPr="002E7F7B" w:rsidRDefault="00BF4D39">
      <w:pPr>
        <w:pStyle w:val="21"/>
        <w:rPr>
          <w:rFonts w:asciiTheme="minorHAnsi" w:eastAsiaTheme="minorEastAsia" w:hAnsiTheme="minorHAnsi" w:cstheme="minorBidi"/>
          <w:sz w:val="22"/>
          <w:lang w:eastAsia="ru-RU"/>
        </w:rPr>
      </w:pPr>
      <w:hyperlink w:anchor="_Toc53140886" w:history="1">
        <w:r w:rsidR="002E7F7B" w:rsidRPr="002E7F7B">
          <w:rPr>
            <w:rStyle w:val="af2"/>
          </w:rPr>
          <w:t>1.5 Классификация заболевания или состояния (группы заболеваний или состояний)</w:t>
        </w:r>
        <w:r w:rsidR="002E7F7B" w:rsidRPr="002E7F7B">
          <w:rPr>
            <w:webHidden/>
          </w:rPr>
          <w:tab/>
        </w:r>
        <w:r w:rsidR="002E7F7B" w:rsidRPr="002E7F7B">
          <w:rPr>
            <w:webHidden/>
          </w:rPr>
          <w:fldChar w:fldCharType="begin"/>
        </w:r>
        <w:r w:rsidR="002E7F7B" w:rsidRPr="002E7F7B">
          <w:rPr>
            <w:webHidden/>
          </w:rPr>
          <w:instrText xml:space="preserve"> PAGEREF _Toc53140886 \h </w:instrText>
        </w:r>
        <w:r w:rsidR="002E7F7B" w:rsidRPr="002E7F7B">
          <w:rPr>
            <w:webHidden/>
          </w:rPr>
        </w:r>
        <w:r w:rsidR="002E7F7B" w:rsidRPr="002E7F7B">
          <w:rPr>
            <w:webHidden/>
          </w:rPr>
          <w:fldChar w:fldCharType="separate"/>
        </w:r>
        <w:r w:rsidR="002E7F7B" w:rsidRPr="002E7F7B">
          <w:rPr>
            <w:webHidden/>
          </w:rPr>
          <w:t>10</w:t>
        </w:r>
        <w:r w:rsidR="002E7F7B" w:rsidRPr="002E7F7B">
          <w:rPr>
            <w:webHidden/>
          </w:rPr>
          <w:fldChar w:fldCharType="end"/>
        </w:r>
      </w:hyperlink>
    </w:p>
    <w:p w14:paraId="69E75FE6" w14:textId="77777777" w:rsidR="002E7F7B" w:rsidRPr="002E7F7B" w:rsidRDefault="00BF4D39">
      <w:pPr>
        <w:pStyle w:val="21"/>
        <w:rPr>
          <w:rFonts w:asciiTheme="minorHAnsi" w:eastAsiaTheme="minorEastAsia" w:hAnsiTheme="minorHAnsi" w:cstheme="minorBidi"/>
          <w:sz w:val="22"/>
          <w:lang w:eastAsia="ru-RU"/>
        </w:rPr>
      </w:pPr>
      <w:hyperlink w:anchor="_Toc53140887" w:history="1">
        <w:r w:rsidR="002E7F7B" w:rsidRPr="002E7F7B">
          <w:rPr>
            <w:rStyle w:val="af2"/>
          </w:rPr>
          <w:t>1.6 Клиническая картина заболевания или состояния (группы заболеваний или состояний)</w:t>
        </w:r>
        <w:r w:rsidR="002E7F7B" w:rsidRPr="002E7F7B">
          <w:rPr>
            <w:webHidden/>
          </w:rPr>
          <w:tab/>
        </w:r>
        <w:r w:rsidR="002E7F7B" w:rsidRPr="002E7F7B">
          <w:rPr>
            <w:webHidden/>
          </w:rPr>
          <w:fldChar w:fldCharType="begin"/>
        </w:r>
        <w:r w:rsidR="002E7F7B" w:rsidRPr="002E7F7B">
          <w:rPr>
            <w:webHidden/>
          </w:rPr>
          <w:instrText xml:space="preserve"> PAGEREF _Toc53140887 \h </w:instrText>
        </w:r>
        <w:r w:rsidR="002E7F7B" w:rsidRPr="002E7F7B">
          <w:rPr>
            <w:webHidden/>
          </w:rPr>
        </w:r>
        <w:r w:rsidR="002E7F7B" w:rsidRPr="002E7F7B">
          <w:rPr>
            <w:webHidden/>
          </w:rPr>
          <w:fldChar w:fldCharType="separate"/>
        </w:r>
        <w:r w:rsidR="002E7F7B" w:rsidRPr="002E7F7B">
          <w:rPr>
            <w:webHidden/>
          </w:rPr>
          <w:t>12</w:t>
        </w:r>
        <w:r w:rsidR="002E7F7B" w:rsidRPr="002E7F7B">
          <w:rPr>
            <w:webHidden/>
          </w:rPr>
          <w:fldChar w:fldCharType="end"/>
        </w:r>
      </w:hyperlink>
    </w:p>
    <w:p w14:paraId="6C56E852" w14:textId="77777777" w:rsidR="002E7F7B" w:rsidRPr="002E7F7B" w:rsidRDefault="00BF4D39">
      <w:pPr>
        <w:pStyle w:val="21"/>
        <w:rPr>
          <w:rFonts w:asciiTheme="minorHAnsi" w:eastAsiaTheme="minorEastAsia" w:hAnsiTheme="minorHAnsi" w:cstheme="minorBidi"/>
          <w:sz w:val="22"/>
          <w:lang w:eastAsia="ru-RU"/>
        </w:rPr>
      </w:pPr>
      <w:hyperlink w:anchor="_Toc53140888" w:history="1">
        <w:r w:rsidR="002E7F7B" w:rsidRPr="002E7F7B">
          <w:rPr>
            <w:rStyle w:val="af2"/>
          </w:rPr>
          <w:t>1.7 Множественная миелома, осложненная почечной недостаточностью.</w:t>
        </w:r>
        <w:r w:rsidR="002E7F7B" w:rsidRPr="002E7F7B">
          <w:rPr>
            <w:webHidden/>
          </w:rPr>
          <w:tab/>
        </w:r>
        <w:r w:rsidR="002E7F7B" w:rsidRPr="002E7F7B">
          <w:rPr>
            <w:webHidden/>
          </w:rPr>
          <w:fldChar w:fldCharType="begin"/>
        </w:r>
        <w:r w:rsidR="002E7F7B" w:rsidRPr="002E7F7B">
          <w:rPr>
            <w:webHidden/>
          </w:rPr>
          <w:instrText xml:space="preserve"> PAGEREF _Toc53140888 \h </w:instrText>
        </w:r>
        <w:r w:rsidR="002E7F7B" w:rsidRPr="002E7F7B">
          <w:rPr>
            <w:webHidden/>
          </w:rPr>
        </w:r>
        <w:r w:rsidR="002E7F7B" w:rsidRPr="002E7F7B">
          <w:rPr>
            <w:webHidden/>
          </w:rPr>
          <w:fldChar w:fldCharType="separate"/>
        </w:r>
        <w:r w:rsidR="002E7F7B" w:rsidRPr="002E7F7B">
          <w:rPr>
            <w:webHidden/>
          </w:rPr>
          <w:t>12</w:t>
        </w:r>
        <w:r w:rsidR="002E7F7B" w:rsidRPr="002E7F7B">
          <w:rPr>
            <w:webHidden/>
          </w:rPr>
          <w:fldChar w:fldCharType="end"/>
        </w:r>
      </w:hyperlink>
    </w:p>
    <w:p w14:paraId="5D1B95F6" w14:textId="77777777" w:rsidR="002E7F7B" w:rsidRPr="002E7F7B" w:rsidRDefault="00BF4D39">
      <w:pPr>
        <w:pStyle w:val="11"/>
        <w:rPr>
          <w:rFonts w:asciiTheme="minorHAnsi" w:eastAsiaTheme="minorEastAsia" w:hAnsiTheme="minorHAnsi" w:cstheme="minorBidi"/>
          <w:bCs w:val="0"/>
          <w:sz w:val="22"/>
          <w:lang w:eastAsia="ru-RU"/>
        </w:rPr>
      </w:pPr>
      <w:hyperlink w:anchor="_Toc53140889" w:history="1">
        <w:r w:rsidR="002E7F7B" w:rsidRPr="002E7F7B">
          <w:rPr>
            <w:rStyle w:val="af2"/>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2E7F7B" w:rsidRPr="002E7F7B">
          <w:rPr>
            <w:webHidden/>
          </w:rPr>
          <w:tab/>
        </w:r>
        <w:r w:rsidR="002E7F7B" w:rsidRPr="002E7F7B">
          <w:rPr>
            <w:webHidden/>
          </w:rPr>
          <w:fldChar w:fldCharType="begin"/>
        </w:r>
        <w:r w:rsidR="002E7F7B" w:rsidRPr="002E7F7B">
          <w:rPr>
            <w:webHidden/>
          </w:rPr>
          <w:instrText xml:space="preserve"> PAGEREF _Toc53140889 \h </w:instrText>
        </w:r>
        <w:r w:rsidR="002E7F7B" w:rsidRPr="002E7F7B">
          <w:rPr>
            <w:webHidden/>
          </w:rPr>
        </w:r>
        <w:r w:rsidR="002E7F7B" w:rsidRPr="002E7F7B">
          <w:rPr>
            <w:webHidden/>
          </w:rPr>
          <w:fldChar w:fldCharType="separate"/>
        </w:r>
        <w:r w:rsidR="002E7F7B" w:rsidRPr="002E7F7B">
          <w:rPr>
            <w:webHidden/>
          </w:rPr>
          <w:t>15</w:t>
        </w:r>
        <w:r w:rsidR="002E7F7B" w:rsidRPr="002E7F7B">
          <w:rPr>
            <w:webHidden/>
          </w:rPr>
          <w:fldChar w:fldCharType="end"/>
        </w:r>
      </w:hyperlink>
    </w:p>
    <w:p w14:paraId="0654E818" w14:textId="77777777" w:rsidR="002E7F7B" w:rsidRPr="002E7F7B" w:rsidRDefault="00BF4D39">
      <w:pPr>
        <w:pStyle w:val="21"/>
        <w:rPr>
          <w:rFonts w:asciiTheme="minorHAnsi" w:eastAsiaTheme="minorEastAsia" w:hAnsiTheme="minorHAnsi" w:cstheme="minorBidi"/>
          <w:sz w:val="22"/>
          <w:lang w:eastAsia="ru-RU"/>
        </w:rPr>
      </w:pPr>
      <w:hyperlink w:anchor="_Toc53140890" w:history="1">
        <w:r w:rsidR="002E7F7B" w:rsidRPr="002E7F7B">
          <w:rPr>
            <w:rStyle w:val="af2"/>
          </w:rPr>
          <w:t>2.1 Жалобы и анамнез</w:t>
        </w:r>
        <w:r w:rsidR="002E7F7B" w:rsidRPr="002E7F7B">
          <w:rPr>
            <w:webHidden/>
          </w:rPr>
          <w:tab/>
        </w:r>
        <w:r w:rsidR="002E7F7B" w:rsidRPr="002E7F7B">
          <w:rPr>
            <w:webHidden/>
          </w:rPr>
          <w:fldChar w:fldCharType="begin"/>
        </w:r>
        <w:r w:rsidR="002E7F7B" w:rsidRPr="002E7F7B">
          <w:rPr>
            <w:webHidden/>
          </w:rPr>
          <w:instrText xml:space="preserve"> PAGEREF _Toc53140890 \h </w:instrText>
        </w:r>
        <w:r w:rsidR="002E7F7B" w:rsidRPr="002E7F7B">
          <w:rPr>
            <w:webHidden/>
          </w:rPr>
        </w:r>
        <w:r w:rsidR="002E7F7B" w:rsidRPr="002E7F7B">
          <w:rPr>
            <w:webHidden/>
          </w:rPr>
          <w:fldChar w:fldCharType="separate"/>
        </w:r>
        <w:r w:rsidR="002E7F7B" w:rsidRPr="002E7F7B">
          <w:rPr>
            <w:webHidden/>
          </w:rPr>
          <w:t>16</w:t>
        </w:r>
        <w:r w:rsidR="002E7F7B" w:rsidRPr="002E7F7B">
          <w:rPr>
            <w:webHidden/>
          </w:rPr>
          <w:fldChar w:fldCharType="end"/>
        </w:r>
      </w:hyperlink>
    </w:p>
    <w:p w14:paraId="02589F83" w14:textId="77777777" w:rsidR="002E7F7B" w:rsidRPr="002E7F7B" w:rsidRDefault="00BF4D39">
      <w:pPr>
        <w:pStyle w:val="21"/>
        <w:rPr>
          <w:rFonts w:asciiTheme="minorHAnsi" w:eastAsiaTheme="minorEastAsia" w:hAnsiTheme="minorHAnsi" w:cstheme="minorBidi"/>
          <w:sz w:val="22"/>
          <w:lang w:eastAsia="ru-RU"/>
        </w:rPr>
      </w:pPr>
      <w:hyperlink w:anchor="_Toc53140891" w:history="1">
        <w:r w:rsidR="002E7F7B" w:rsidRPr="002E7F7B">
          <w:rPr>
            <w:rStyle w:val="af2"/>
          </w:rPr>
          <w:t>2.2 Физикальное обследование</w:t>
        </w:r>
        <w:r w:rsidR="002E7F7B" w:rsidRPr="002E7F7B">
          <w:rPr>
            <w:webHidden/>
          </w:rPr>
          <w:tab/>
        </w:r>
        <w:r w:rsidR="002E7F7B" w:rsidRPr="002E7F7B">
          <w:rPr>
            <w:webHidden/>
          </w:rPr>
          <w:fldChar w:fldCharType="begin"/>
        </w:r>
        <w:r w:rsidR="002E7F7B" w:rsidRPr="002E7F7B">
          <w:rPr>
            <w:webHidden/>
          </w:rPr>
          <w:instrText xml:space="preserve"> PAGEREF _Toc53140891 \h </w:instrText>
        </w:r>
        <w:r w:rsidR="002E7F7B" w:rsidRPr="002E7F7B">
          <w:rPr>
            <w:webHidden/>
          </w:rPr>
        </w:r>
        <w:r w:rsidR="002E7F7B" w:rsidRPr="002E7F7B">
          <w:rPr>
            <w:webHidden/>
          </w:rPr>
          <w:fldChar w:fldCharType="separate"/>
        </w:r>
        <w:r w:rsidR="002E7F7B" w:rsidRPr="002E7F7B">
          <w:rPr>
            <w:webHidden/>
          </w:rPr>
          <w:t>16</w:t>
        </w:r>
        <w:r w:rsidR="002E7F7B" w:rsidRPr="002E7F7B">
          <w:rPr>
            <w:webHidden/>
          </w:rPr>
          <w:fldChar w:fldCharType="end"/>
        </w:r>
      </w:hyperlink>
    </w:p>
    <w:p w14:paraId="1CEC204F" w14:textId="77777777" w:rsidR="002E7F7B" w:rsidRPr="002E7F7B" w:rsidRDefault="00BF4D39">
      <w:pPr>
        <w:pStyle w:val="21"/>
        <w:rPr>
          <w:rFonts w:asciiTheme="minorHAnsi" w:eastAsiaTheme="minorEastAsia" w:hAnsiTheme="minorHAnsi" w:cstheme="minorBidi"/>
          <w:sz w:val="22"/>
          <w:lang w:eastAsia="ru-RU"/>
        </w:rPr>
      </w:pPr>
      <w:hyperlink w:anchor="_Toc53140892" w:history="1">
        <w:r w:rsidR="002E7F7B" w:rsidRPr="002E7F7B">
          <w:rPr>
            <w:rStyle w:val="af2"/>
          </w:rPr>
          <w:t>2.3 Лабораторные диагностические исследования</w:t>
        </w:r>
        <w:r w:rsidR="002E7F7B" w:rsidRPr="002E7F7B">
          <w:rPr>
            <w:webHidden/>
          </w:rPr>
          <w:tab/>
        </w:r>
        <w:r w:rsidR="002E7F7B" w:rsidRPr="002E7F7B">
          <w:rPr>
            <w:webHidden/>
          </w:rPr>
          <w:fldChar w:fldCharType="begin"/>
        </w:r>
        <w:r w:rsidR="002E7F7B" w:rsidRPr="002E7F7B">
          <w:rPr>
            <w:webHidden/>
          </w:rPr>
          <w:instrText xml:space="preserve"> PAGEREF _Toc53140892 \h </w:instrText>
        </w:r>
        <w:r w:rsidR="002E7F7B" w:rsidRPr="002E7F7B">
          <w:rPr>
            <w:webHidden/>
          </w:rPr>
        </w:r>
        <w:r w:rsidR="002E7F7B" w:rsidRPr="002E7F7B">
          <w:rPr>
            <w:webHidden/>
          </w:rPr>
          <w:fldChar w:fldCharType="separate"/>
        </w:r>
        <w:r w:rsidR="002E7F7B" w:rsidRPr="002E7F7B">
          <w:rPr>
            <w:webHidden/>
          </w:rPr>
          <w:t>16</w:t>
        </w:r>
        <w:r w:rsidR="002E7F7B" w:rsidRPr="002E7F7B">
          <w:rPr>
            <w:webHidden/>
          </w:rPr>
          <w:fldChar w:fldCharType="end"/>
        </w:r>
      </w:hyperlink>
    </w:p>
    <w:p w14:paraId="29A047A0" w14:textId="77777777" w:rsidR="002E7F7B" w:rsidRPr="002E7F7B" w:rsidRDefault="00BF4D39">
      <w:pPr>
        <w:pStyle w:val="21"/>
        <w:rPr>
          <w:rFonts w:asciiTheme="minorHAnsi" w:eastAsiaTheme="minorEastAsia" w:hAnsiTheme="minorHAnsi" w:cstheme="minorBidi"/>
          <w:sz w:val="22"/>
          <w:lang w:eastAsia="ru-RU"/>
        </w:rPr>
      </w:pPr>
      <w:hyperlink w:anchor="_Toc53140893" w:history="1">
        <w:r w:rsidR="002E7F7B" w:rsidRPr="002E7F7B">
          <w:rPr>
            <w:rStyle w:val="af2"/>
          </w:rPr>
          <w:t>2.4 Инструментальные диагностические исследования</w:t>
        </w:r>
        <w:r w:rsidR="002E7F7B" w:rsidRPr="002E7F7B">
          <w:rPr>
            <w:webHidden/>
          </w:rPr>
          <w:tab/>
        </w:r>
        <w:r w:rsidR="002E7F7B" w:rsidRPr="002E7F7B">
          <w:rPr>
            <w:webHidden/>
          </w:rPr>
          <w:fldChar w:fldCharType="begin"/>
        </w:r>
        <w:r w:rsidR="002E7F7B" w:rsidRPr="002E7F7B">
          <w:rPr>
            <w:webHidden/>
          </w:rPr>
          <w:instrText xml:space="preserve"> PAGEREF _Toc53140893 \h </w:instrText>
        </w:r>
        <w:r w:rsidR="002E7F7B" w:rsidRPr="002E7F7B">
          <w:rPr>
            <w:webHidden/>
          </w:rPr>
        </w:r>
        <w:r w:rsidR="002E7F7B" w:rsidRPr="002E7F7B">
          <w:rPr>
            <w:webHidden/>
          </w:rPr>
          <w:fldChar w:fldCharType="separate"/>
        </w:r>
        <w:r w:rsidR="002E7F7B" w:rsidRPr="002E7F7B">
          <w:rPr>
            <w:webHidden/>
          </w:rPr>
          <w:t>20</w:t>
        </w:r>
        <w:r w:rsidR="002E7F7B" w:rsidRPr="002E7F7B">
          <w:rPr>
            <w:webHidden/>
          </w:rPr>
          <w:fldChar w:fldCharType="end"/>
        </w:r>
      </w:hyperlink>
    </w:p>
    <w:p w14:paraId="04E89634" w14:textId="77777777" w:rsidR="002E7F7B" w:rsidRPr="002E7F7B" w:rsidRDefault="00BF4D39">
      <w:pPr>
        <w:pStyle w:val="21"/>
        <w:rPr>
          <w:rFonts w:asciiTheme="minorHAnsi" w:eastAsiaTheme="minorEastAsia" w:hAnsiTheme="minorHAnsi" w:cstheme="minorBidi"/>
          <w:sz w:val="22"/>
          <w:lang w:eastAsia="ru-RU"/>
        </w:rPr>
      </w:pPr>
      <w:hyperlink w:anchor="_Toc53140894" w:history="1">
        <w:r w:rsidR="002E7F7B" w:rsidRPr="002E7F7B">
          <w:rPr>
            <w:rStyle w:val="af2"/>
          </w:rPr>
          <w:t>2.5 Иные диагностические исследования</w:t>
        </w:r>
        <w:r w:rsidR="002E7F7B" w:rsidRPr="002E7F7B">
          <w:rPr>
            <w:webHidden/>
          </w:rPr>
          <w:tab/>
        </w:r>
        <w:r w:rsidR="002E7F7B" w:rsidRPr="002E7F7B">
          <w:rPr>
            <w:webHidden/>
          </w:rPr>
          <w:fldChar w:fldCharType="begin"/>
        </w:r>
        <w:r w:rsidR="002E7F7B" w:rsidRPr="002E7F7B">
          <w:rPr>
            <w:webHidden/>
          </w:rPr>
          <w:instrText xml:space="preserve"> PAGEREF _Toc53140894 \h </w:instrText>
        </w:r>
        <w:r w:rsidR="002E7F7B" w:rsidRPr="002E7F7B">
          <w:rPr>
            <w:webHidden/>
          </w:rPr>
        </w:r>
        <w:r w:rsidR="002E7F7B" w:rsidRPr="002E7F7B">
          <w:rPr>
            <w:webHidden/>
          </w:rPr>
          <w:fldChar w:fldCharType="separate"/>
        </w:r>
        <w:r w:rsidR="002E7F7B" w:rsidRPr="002E7F7B">
          <w:rPr>
            <w:webHidden/>
          </w:rPr>
          <w:t>22</w:t>
        </w:r>
        <w:r w:rsidR="002E7F7B" w:rsidRPr="002E7F7B">
          <w:rPr>
            <w:webHidden/>
          </w:rPr>
          <w:fldChar w:fldCharType="end"/>
        </w:r>
      </w:hyperlink>
    </w:p>
    <w:p w14:paraId="69D6EA88" w14:textId="77777777" w:rsidR="002E7F7B" w:rsidRPr="002E7F7B" w:rsidRDefault="00BF4D39">
      <w:pPr>
        <w:pStyle w:val="11"/>
        <w:rPr>
          <w:rFonts w:asciiTheme="minorHAnsi" w:eastAsiaTheme="minorEastAsia" w:hAnsiTheme="minorHAnsi" w:cstheme="minorBidi"/>
          <w:bCs w:val="0"/>
          <w:sz w:val="22"/>
          <w:lang w:eastAsia="ru-RU"/>
        </w:rPr>
      </w:pPr>
      <w:hyperlink w:anchor="_Toc53140895" w:history="1">
        <w:r w:rsidR="002E7F7B" w:rsidRPr="002E7F7B">
          <w:rPr>
            <w:rStyle w:val="af2"/>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2E7F7B" w:rsidRPr="002E7F7B">
          <w:rPr>
            <w:webHidden/>
          </w:rPr>
          <w:tab/>
        </w:r>
        <w:r w:rsidR="002E7F7B" w:rsidRPr="002E7F7B">
          <w:rPr>
            <w:webHidden/>
          </w:rPr>
          <w:fldChar w:fldCharType="begin"/>
        </w:r>
        <w:r w:rsidR="002E7F7B" w:rsidRPr="002E7F7B">
          <w:rPr>
            <w:webHidden/>
          </w:rPr>
          <w:instrText xml:space="preserve"> PAGEREF _Toc53140895 \h </w:instrText>
        </w:r>
        <w:r w:rsidR="002E7F7B" w:rsidRPr="002E7F7B">
          <w:rPr>
            <w:webHidden/>
          </w:rPr>
        </w:r>
        <w:r w:rsidR="002E7F7B" w:rsidRPr="002E7F7B">
          <w:rPr>
            <w:webHidden/>
          </w:rPr>
          <w:fldChar w:fldCharType="separate"/>
        </w:r>
        <w:r w:rsidR="002E7F7B" w:rsidRPr="002E7F7B">
          <w:rPr>
            <w:webHidden/>
          </w:rPr>
          <w:t>23</w:t>
        </w:r>
        <w:r w:rsidR="002E7F7B" w:rsidRPr="002E7F7B">
          <w:rPr>
            <w:webHidden/>
          </w:rPr>
          <w:fldChar w:fldCharType="end"/>
        </w:r>
      </w:hyperlink>
    </w:p>
    <w:p w14:paraId="74F05299" w14:textId="77777777" w:rsidR="002E7F7B" w:rsidRPr="002E7F7B" w:rsidRDefault="00BF4D39">
      <w:pPr>
        <w:pStyle w:val="21"/>
        <w:rPr>
          <w:rFonts w:asciiTheme="minorHAnsi" w:eastAsiaTheme="minorEastAsia" w:hAnsiTheme="minorHAnsi" w:cstheme="minorBidi"/>
          <w:sz w:val="22"/>
          <w:lang w:eastAsia="ru-RU"/>
        </w:rPr>
      </w:pPr>
      <w:hyperlink w:anchor="_Toc53140896" w:history="1">
        <w:r w:rsidR="002E7F7B" w:rsidRPr="002E7F7B">
          <w:rPr>
            <w:rStyle w:val="af2"/>
          </w:rPr>
          <w:t>3.1 Показания к началу терапии и определение стратегии лечения</w:t>
        </w:r>
        <w:r w:rsidR="002E7F7B" w:rsidRPr="002E7F7B">
          <w:rPr>
            <w:webHidden/>
          </w:rPr>
          <w:tab/>
        </w:r>
        <w:r w:rsidR="002E7F7B" w:rsidRPr="002E7F7B">
          <w:rPr>
            <w:webHidden/>
          </w:rPr>
          <w:fldChar w:fldCharType="begin"/>
        </w:r>
        <w:r w:rsidR="002E7F7B" w:rsidRPr="002E7F7B">
          <w:rPr>
            <w:webHidden/>
          </w:rPr>
          <w:instrText xml:space="preserve"> PAGEREF _Toc53140896 \h </w:instrText>
        </w:r>
        <w:r w:rsidR="002E7F7B" w:rsidRPr="002E7F7B">
          <w:rPr>
            <w:webHidden/>
          </w:rPr>
        </w:r>
        <w:r w:rsidR="002E7F7B" w:rsidRPr="002E7F7B">
          <w:rPr>
            <w:webHidden/>
          </w:rPr>
          <w:fldChar w:fldCharType="separate"/>
        </w:r>
        <w:r w:rsidR="002E7F7B" w:rsidRPr="002E7F7B">
          <w:rPr>
            <w:webHidden/>
          </w:rPr>
          <w:t>23</w:t>
        </w:r>
        <w:r w:rsidR="002E7F7B" w:rsidRPr="002E7F7B">
          <w:rPr>
            <w:webHidden/>
          </w:rPr>
          <w:fldChar w:fldCharType="end"/>
        </w:r>
      </w:hyperlink>
    </w:p>
    <w:p w14:paraId="429DA6B3" w14:textId="77777777" w:rsidR="002E7F7B" w:rsidRPr="002E7F7B" w:rsidRDefault="00BF4D39">
      <w:pPr>
        <w:pStyle w:val="21"/>
        <w:rPr>
          <w:rFonts w:asciiTheme="minorHAnsi" w:eastAsiaTheme="minorEastAsia" w:hAnsiTheme="minorHAnsi" w:cstheme="minorBidi"/>
          <w:sz w:val="22"/>
          <w:lang w:eastAsia="ru-RU"/>
        </w:rPr>
      </w:pPr>
      <w:hyperlink w:anchor="_Toc53140897" w:history="1">
        <w:r w:rsidR="002E7F7B" w:rsidRPr="002E7F7B">
          <w:rPr>
            <w:rStyle w:val="af2"/>
          </w:rPr>
          <w:t>3.2 Лечение пациентов с впервые диагностированной ММ − не кандидатов на ВДХТ с ауто-ТГСК (старше 65 лет)</w:t>
        </w:r>
        <w:r w:rsidR="002E7F7B" w:rsidRPr="002E7F7B">
          <w:rPr>
            <w:webHidden/>
          </w:rPr>
          <w:tab/>
        </w:r>
        <w:r w:rsidR="002E7F7B" w:rsidRPr="002E7F7B">
          <w:rPr>
            <w:webHidden/>
          </w:rPr>
          <w:fldChar w:fldCharType="begin"/>
        </w:r>
        <w:r w:rsidR="002E7F7B" w:rsidRPr="002E7F7B">
          <w:rPr>
            <w:webHidden/>
          </w:rPr>
          <w:instrText xml:space="preserve"> PAGEREF _Toc53140897 \h </w:instrText>
        </w:r>
        <w:r w:rsidR="002E7F7B" w:rsidRPr="002E7F7B">
          <w:rPr>
            <w:webHidden/>
          </w:rPr>
        </w:r>
        <w:r w:rsidR="002E7F7B" w:rsidRPr="002E7F7B">
          <w:rPr>
            <w:webHidden/>
          </w:rPr>
          <w:fldChar w:fldCharType="separate"/>
        </w:r>
        <w:r w:rsidR="002E7F7B" w:rsidRPr="002E7F7B">
          <w:rPr>
            <w:webHidden/>
          </w:rPr>
          <w:t>24</w:t>
        </w:r>
        <w:r w:rsidR="002E7F7B" w:rsidRPr="002E7F7B">
          <w:rPr>
            <w:webHidden/>
          </w:rPr>
          <w:fldChar w:fldCharType="end"/>
        </w:r>
      </w:hyperlink>
    </w:p>
    <w:p w14:paraId="35110941" w14:textId="77777777" w:rsidR="002E7F7B" w:rsidRPr="002E7F7B" w:rsidRDefault="00BF4D39">
      <w:pPr>
        <w:pStyle w:val="21"/>
        <w:rPr>
          <w:rFonts w:asciiTheme="minorHAnsi" w:eastAsiaTheme="minorEastAsia" w:hAnsiTheme="minorHAnsi" w:cstheme="minorBidi"/>
          <w:sz w:val="22"/>
          <w:lang w:eastAsia="ru-RU"/>
        </w:rPr>
      </w:pPr>
      <w:hyperlink w:anchor="_Toc53140898" w:history="1">
        <w:r w:rsidR="002E7F7B" w:rsidRPr="002E7F7B">
          <w:rPr>
            <w:rStyle w:val="af2"/>
          </w:rPr>
          <w:t>3.3 Лечение пациентов с впервые диагностированной ММ, кандидатов на ВДХТ с последующей ауто-ТГСК</w:t>
        </w:r>
        <w:r w:rsidR="002E7F7B" w:rsidRPr="002E7F7B">
          <w:rPr>
            <w:webHidden/>
          </w:rPr>
          <w:tab/>
        </w:r>
        <w:r w:rsidR="002E7F7B" w:rsidRPr="002E7F7B">
          <w:rPr>
            <w:webHidden/>
          </w:rPr>
          <w:fldChar w:fldCharType="begin"/>
        </w:r>
        <w:r w:rsidR="002E7F7B" w:rsidRPr="002E7F7B">
          <w:rPr>
            <w:webHidden/>
          </w:rPr>
          <w:instrText xml:space="preserve"> PAGEREF _Toc53140898 \h </w:instrText>
        </w:r>
        <w:r w:rsidR="002E7F7B" w:rsidRPr="002E7F7B">
          <w:rPr>
            <w:webHidden/>
          </w:rPr>
        </w:r>
        <w:r w:rsidR="002E7F7B" w:rsidRPr="002E7F7B">
          <w:rPr>
            <w:webHidden/>
          </w:rPr>
          <w:fldChar w:fldCharType="separate"/>
        </w:r>
        <w:r w:rsidR="002E7F7B" w:rsidRPr="002E7F7B">
          <w:rPr>
            <w:webHidden/>
          </w:rPr>
          <w:t>27</w:t>
        </w:r>
        <w:r w:rsidR="002E7F7B" w:rsidRPr="002E7F7B">
          <w:rPr>
            <w:webHidden/>
          </w:rPr>
          <w:fldChar w:fldCharType="end"/>
        </w:r>
      </w:hyperlink>
    </w:p>
    <w:p w14:paraId="699CCF7D" w14:textId="77777777" w:rsidR="002E7F7B" w:rsidRPr="002E7F7B" w:rsidRDefault="00BF4D39">
      <w:pPr>
        <w:pStyle w:val="21"/>
        <w:rPr>
          <w:rFonts w:asciiTheme="minorHAnsi" w:eastAsiaTheme="minorEastAsia" w:hAnsiTheme="minorHAnsi" w:cstheme="minorBidi"/>
          <w:sz w:val="22"/>
          <w:lang w:eastAsia="ru-RU"/>
        </w:rPr>
      </w:pPr>
      <w:hyperlink w:anchor="_Toc53140899" w:history="1">
        <w:r w:rsidR="002E7F7B" w:rsidRPr="002E7F7B">
          <w:rPr>
            <w:rStyle w:val="af2"/>
            <w:bCs/>
          </w:rPr>
          <w:t>3.3.1 Индукционный этап терапии</w:t>
        </w:r>
        <w:r w:rsidR="002E7F7B" w:rsidRPr="002E7F7B">
          <w:rPr>
            <w:webHidden/>
          </w:rPr>
          <w:tab/>
        </w:r>
        <w:r w:rsidR="002E7F7B" w:rsidRPr="002E7F7B">
          <w:rPr>
            <w:webHidden/>
          </w:rPr>
          <w:fldChar w:fldCharType="begin"/>
        </w:r>
        <w:r w:rsidR="002E7F7B" w:rsidRPr="002E7F7B">
          <w:rPr>
            <w:webHidden/>
          </w:rPr>
          <w:instrText xml:space="preserve"> PAGEREF _Toc53140899 \h </w:instrText>
        </w:r>
        <w:r w:rsidR="002E7F7B" w:rsidRPr="002E7F7B">
          <w:rPr>
            <w:webHidden/>
          </w:rPr>
        </w:r>
        <w:r w:rsidR="002E7F7B" w:rsidRPr="002E7F7B">
          <w:rPr>
            <w:webHidden/>
          </w:rPr>
          <w:fldChar w:fldCharType="separate"/>
        </w:r>
        <w:r w:rsidR="002E7F7B" w:rsidRPr="002E7F7B">
          <w:rPr>
            <w:webHidden/>
          </w:rPr>
          <w:t>28</w:t>
        </w:r>
        <w:r w:rsidR="002E7F7B" w:rsidRPr="002E7F7B">
          <w:rPr>
            <w:webHidden/>
          </w:rPr>
          <w:fldChar w:fldCharType="end"/>
        </w:r>
      </w:hyperlink>
    </w:p>
    <w:p w14:paraId="3FD0D630" w14:textId="77777777" w:rsidR="002E7F7B" w:rsidRPr="002E7F7B" w:rsidRDefault="00BF4D39">
      <w:pPr>
        <w:pStyle w:val="21"/>
        <w:rPr>
          <w:rFonts w:asciiTheme="minorHAnsi" w:eastAsiaTheme="minorEastAsia" w:hAnsiTheme="minorHAnsi" w:cstheme="minorBidi"/>
          <w:sz w:val="22"/>
          <w:lang w:eastAsia="ru-RU"/>
        </w:rPr>
      </w:pPr>
      <w:hyperlink w:anchor="_Toc53140900" w:history="1">
        <w:r w:rsidR="002E7F7B" w:rsidRPr="002E7F7B">
          <w:rPr>
            <w:rStyle w:val="af2"/>
            <w:bCs/>
          </w:rPr>
          <w:t>3.3.2 Трансплантационный этап</w:t>
        </w:r>
        <w:r w:rsidR="002E7F7B" w:rsidRPr="002E7F7B">
          <w:rPr>
            <w:webHidden/>
          </w:rPr>
          <w:tab/>
        </w:r>
        <w:r w:rsidR="002E7F7B" w:rsidRPr="002E7F7B">
          <w:rPr>
            <w:webHidden/>
          </w:rPr>
          <w:fldChar w:fldCharType="begin"/>
        </w:r>
        <w:r w:rsidR="002E7F7B" w:rsidRPr="002E7F7B">
          <w:rPr>
            <w:webHidden/>
          </w:rPr>
          <w:instrText xml:space="preserve"> PAGEREF _Toc53140900 \h </w:instrText>
        </w:r>
        <w:r w:rsidR="002E7F7B" w:rsidRPr="002E7F7B">
          <w:rPr>
            <w:webHidden/>
          </w:rPr>
        </w:r>
        <w:r w:rsidR="002E7F7B" w:rsidRPr="002E7F7B">
          <w:rPr>
            <w:webHidden/>
          </w:rPr>
          <w:fldChar w:fldCharType="separate"/>
        </w:r>
        <w:r w:rsidR="002E7F7B" w:rsidRPr="002E7F7B">
          <w:rPr>
            <w:webHidden/>
          </w:rPr>
          <w:t>29</w:t>
        </w:r>
        <w:r w:rsidR="002E7F7B" w:rsidRPr="002E7F7B">
          <w:rPr>
            <w:webHidden/>
          </w:rPr>
          <w:fldChar w:fldCharType="end"/>
        </w:r>
      </w:hyperlink>
    </w:p>
    <w:p w14:paraId="49B5B8DE" w14:textId="77777777" w:rsidR="002E7F7B" w:rsidRPr="002E7F7B" w:rsidRDefault="00BF4D39">
      <w:pPr>
        <w:pStyle w:val="21"/>
        <w:rPr>
          <w:rFonts w:asciiTheme="minorHAnsi" w:eastAsiaTheme="minorEastAsia" w:hAnsiTheme="minorHAnsi" w:cstheme="minorBidi"/>
          <w:sz w:val="22"/>
          <w:lang w:eastAsia="ru-RU"/>
        </w:rPr>
      </w:pPr>
      <w:hyperlink w:anchor="_Toc53140901" w:history="1">
        <w:r w:rsidR="002E7F7B" w:rsidRPr="002E7F7B">
          <w:rPr>
            <w:rStyle w:val="af2"/>
            <w:bCs/>
          </w:rPr>
          <w:t>3.3.3 Этап консолидирующего лечения</w:t>
        </w:r>
        <w:r w:rsidR="002E7F7B" w:rsidRPr="002E7F7B">
          <w:rPr>
            <w:webHidden/>
          </w:rPr>
          <w:tab/>
        </w:r>
        <w:r w:rsidR="002E7F7B" w:rsidRPr="002E7F7B">
          <w:rPr>
            <w:webHidden/>
          </w:rPr>
          <w:fldChar w:fldCharType="begin"/>
        </w:r>
        <w:r w:rsidR="002E7F7B" w:rsidRPr="002E7F7B">
          <w:rPr>
            <w:webHidden/>
          </w:rPr>
          <w:instrText xml:space="preserve"> PAGEREF _Toc53140901 \h </w:instrText>
        </w:r>
        <w:r w:rsidR="002E7F7B" w:rsidRPr="002E7F7B">
          <w:rPr>
            <w:webHidden/>
          </w:rPr>
        </w:r>
        <w:r w:rsidR="002E7F7B" w:rsidRPr="002E7F7B">
          <w:rPr>
            <w:webHidden/>
          </w:rPr>
          <w:fldChar w:fldCharType="separate"/>
        </w:r>
        <w:r w:rsidR="002E7F7B" w:rsidRPr="002E7F7B">
          <w:rPr>
            <w:webHidden/>
          </w:rPr>
          <w:t>31</w:t>
        </w:r>
        <w:r w:rsidR="002E7F7B" w:rsidRPr="002E7F7B">
          <w:rPr>
            <w:webHidden/>
          </w:rPr>
          <w:fldChar w:fldCharType="end"/>
        </w:r>
      </w:hyperlink>
    </w:p>
    <w:p w14:paraId="5B81F6C9" w14:textId="77777777" w:rsidR="002E7F7B" w:rsidRPr="002E7F7B" w:rsidRDefault="00BF4D39">
      <w:pPr>
        <w:pStyle w:val="21"/>
        <w:rPr>
          <w:rFonts w:asciiTheme="minorHAnsi" w:eastAsiaTheme="minorEastAsia" w:hAnsiTheme="minorHAnsi" w:cstheme="minorBidi"/>
          <w:sz w:val="22"/>
          <w:lang w:eastAsia="ru-RU"/>
        </w:rPr>
      </w:pPr>
      <w:hyperlink w:anchor="_Toc53140902" w:history="1">
        <w:r w:rsidR="002E7F7B" w:rsidRPr="002E7F7B">
          <w:rPr>
            <w:rStyle w:val="af2"/>
          </w:rPr>
          <w:t>3.4 Лечение рецидивов ММ</w:t>
        </w:r>
        <w:r w:rsidR="002E7F7B" w:rsidRPr="002E7F7B">
          <w:rPr>
            <w:webHidden/>
          </w:rPr>
          <w:tab/>
        </w:r>
        <w:r w:rsidR="002E7F7B" w:rsidRPr="002E7F7B">
          <w:rPr>
            <w:webHidden/>
          </w:rPr>
          <w:fldChar w:fldCharType="begin"/>
        </w:r>
        <w:r w:rsidR="002E7F7B" w:rsidRPr="002E7F7B">
          <w:rPr>
            <w:webHidden/>
          </w:rPr>
          <w:instrText xml:space="preserve"> PAGEREF _Toc53140902 \h </w:instrText>
        </w:r>
        <w:r w:rsidR="002E7F7B" w:rsidRPr="002E7F7B">
          <w:rPr>
            <w:webHidden/>
          </w:rPr>
        </w:r>
        <w:r w:rsidR="002E7F7B" w:rsidRPr="002E7F7B">
          <w:rPr>
            <w:webHidden/>
          </w:rPr>
          <w:fldChar w:fldCharType="separate"/>
        </w:r>
        <w:r w:rsidR="002E7F7B" w:rsidRPr="002E7F7B">
          <w:rPr>
            <w:webHidden/>
          </w:rPr>
          <w:t>33</w:t>
        </w:r>
        <w:r w:rsidR="002E7F7B" w:rsidRPr="002E7F7B">
          <w:rPr>
            <w:webHidden/>
          </w:rPr>
          <w:fldChar w:fldCharType="end"/>
        </w:r>
      </w:hyperlink>
    </w:p>
    <w:p w14:paraId="23E56A91" w14:textId="77777777" w:rsidR="002E7F7B" w:rsidRPr="002E7F7B" w:rsidRDefault="00BF4D39">
      <w:pPr>
        <w:pStyle w:val="21"/>
        <w:rPr>
          <w:rFonts w:asciiTheme="minorHAnsi" w:eastAsiaTheme="minorEastAsia" w:hAnsiTheme="minorHAnsi" w:cstheme="minorBidi"/>
          <w:sz w:val="22"/>
          <w:lang w:eastAsia="ru-RU"/>
        </w:rPr>
      </w:pPr>
      <w:hyperlink w:anchor="_Toc53140903" w:history="1">
        <w:r w:rsidR="002E7F7B" w:rsidRPr="002E7F7B">
          <w:rPr>
            <w:rStyle w:val="af2"/>
            <w:bCs/>
          </w:rPr>
          <w:t>3.4.1 Лечение рецидива ММ, не отягощенного двойной рефрактерностью</w:t>
        </w:r>
        <w:r w:rsidR="002E7F7B" w:rsidRPr="002E7F7B">
          <w:rPr>
            <w:webHidden/>
          </w:rPr>
          <w:tab/>
        </w:r>
        <w:r w:rsidR="002E7F7B" w:rsidRPr="002E7F7B">
          <w:rPr>
            <w:webHidden/>
          </w:rPr>
          <w:fldChar w:fldCharType="begin"/>
        </w:r>
        <w:r w:rsidR="002E7F7B" w:rsidRPr="002E7F7B">
          <w:rPr>
            <w:webHidden/>
          </w:rPr>
          <w:instrText xml:space="preserve"> PAGEREF _Toc53140903 \h </w:instrText>
        </w:r>
        <w:r w:rsidR="002E7F7B" w:rsidRPr="002E7F7B">
          <w:rPr>
            <w:webHidden/>
          </w:rPr>
        </w:r>
        <w:r w:rsidR="002E7F7B" w:rsidRPr="002E7F7B">
          <w:rPr>
            <w:webHidden/>
          </w:rPr>
          <w:fldChar w:fldCharType="separate"/>
        </w:r>
        <w:r w:rsidR="002E7F7B" w:rsidRPr="002E7F7B">
          <w:rPr>
            <w:webHidden/>
          </w:rPr>
          <w:t>34</w:t>
        </w:r>
        <w:r w:rsidR="002E7F7B" w:rsidRPr="002E7F7B">
          <w:rPr>
            <w:webHidden/>
          </w:rPr>
          <w:fldChar w:fldCharType="end"/>
        </w:r>
      </w:hyperlink>
    </w:p>
    <w:p w14:paraId="33360595" w14:textId="77777777" w:rsidR="002E7F7B" w:rsidRDefault="00BF4D39">
      <w:pPr>
        <w:pStyle w:val="21"/>
        <w:rPr>
          <w:rFonts w:asciiTheme="minorHAnsi" w:eastAsiaTheme="minorEastAsia" w:hAnsiTheme="minorHAnsi" w:cstheme="minorBidi"/>
          <w:sz w:val="22"/>
          <w:lang w:eastAsia="ru-RU"/>
        </w:rPr>
      </w:pPr>
      <w:hyperlink w:anchor="_Toc53140904" w:history="1">
        <w:r w:rsidR="002E7F7B" w:rsidRPr="002E7F7B">
          <w:rPr>
            <w:rStyle w:val="af2"/>
            <w:bCs/>
          </w:rPr>
          <w:t>3.4.2 Лечение рецидива ММ, отягощенного двойной рефрактерностью</w:t>
        </w:r>
        <w:r w:rsidR="002E7F7B" w:rsidRPr="002E7F7B">
          <w:rPr>
            <w:webHidden/>
          </w:rPr>
          <w:tab/>
        </w:r>
        <w:r w:rsidR="002E7F7B" w:rsidRPr="002E7F7B">
          <w:rPr>
            <w:webHidden/>
          </w:rPr>
          <w:fldChar w:fldCharType="begin"/>
        </w:r>
        <w:r w:rsidR="002E7F7B" w:rsidRPr="002E7F7B">
          <w:rPr>
            <w:webHidden/>
          </w:rPr>
          <w:instrText xml:space="preserve"> PAGEREF _Toc53140904 \h </w:instrText>
        </w:r>
        <w:r w:rsidR="002E7F7B" w:rsidRPr="002E7F7B">
          <w:rPr>
            <w:webHidden/>
          </w:rPr>
        </w:r>
        <w:r w:rsidR="002E7F7B" w:rsidRPr="002E7F7B">
          <w:rPr>
            <w:webHidden/>
          </w:rPr>
          <w:fldChar w:fldCharType="separate"/>
        </w:r>
        <w:r w:rsidR="002E7F7B" w:rsidRPr="002E7F7B">
          <w:rPr>
            <w:webHidden/>
          </w:rPr>
          <w:t>41</w:t>
        </w:r>
        <w:r w:rsidR="002E7F7B" w:rsidRPr="002E7F7B">
          <w:rPr>
            <w:webHidden/>
          </w:rPr>
          <w:fldChar w:fldCharType="end"/>
        </w:r>
      </w:hyperlink>
    </w:p>
    <w:p w14:paraId="3A80F4DA" w14:textId="77777777" w:rsidR="002E7F7B" w:rsidRDefault="00BF4D39">
      <w:pPr>
        <w:pStyle w:val="21"/>
        <w:rPr>
          <w:rFonts w:asciiTheme="minorHAnsi" w:eastAsiaTheme="minorEastAsia" w:hAnsiTheme="minorHAnsi" w:cstheme="minorBidi"/>
          <w:sz w:val="22"/>
          <w:lang w:eastAsia="ru-RU"/>
        </w:rPr>
      </w:pPr>
      <w:hyperlink w:anchor="_Toc53140905" w:history="1">
        <w:r w:rsidR="002E7F7B" w:rsidRPr="007D0D08">
          <w:rPr>
            <w:rStyle w:val="af2"/>
          </w:rPr>
          <w:t>3.5 Лечение больных множественной миеломой с почечной недостаточностью</w:t>
        </w:r>
        <w:r w:rsidR="002E7F7B">
          <w:rPr>
            <w:webHidden/>
          </w:rPr>
          <w:tab/>
        </w:r>
        <w:r w:rsidR="002E7F7B">
          <w:rPr>
            <w:webHidden/>
          </w:rPr>
          <w:fldChar w:fldCharType="begin"/>
        </w:r>
        <w:r w:rsidR="002E7F7B">
          <w:rPr>
            <w:webHidden/>
          </w:rPr>
          <w:instrText xml:space="preserve"> PAGEREF _Toc53140905 \h </w:instrText>
        </w:r>
        <w:r w:rsidR="002E7F7B">
          <w:rPr>
            <w:webHidden/>
          </w:rPr>
        </w:r>
        <w:r w:rsidR="002E7F7B">
          <w:rPr>
            <w:webHidden/>
          </w:rPr>
          <w:fldChar w:fldCharType="separate"/>
        </w:r>
        <w:r w:rsidR="002E7F7B">
          <w:rPr>
            <w:webHidden/>
          </w:rPr>
          <w:t>45</w:t>
        </w:r>
        <w:r w:rsidR="002E7F7B">
          <w:rPr>
            <w:webHidden/>
          </w:rPr>
          <w:fldChar w:fldCharType="end"/>
        </w:r>
      </w:hyperlink>
    </w:p>
    <w:p w14:paraId="003E333B" w14:textId="77777777" w:rsidR="002E7F7B" w:rsidRDefault="00BF4D39">
      <w:pPr>
        <w:pStyle w:val="21"/>
        <w:rPr>
          <w:rFonts w:asciiTheme="minorHAnsi" w:eastAsiaTheme="minorEastAsia" w:hAnsiTheme="minorHAnsi" w:cstheme="minorBidi"/>
          <w:sz w:val="22"/>
          <w:lang w:eastAsia="ru-RU"/>
        </w:rPr>
      </w:pPr>
      <w:hyperlink w:anchor="_Toc53140906" w:history="1">
        <w:r w:rsidR="002E7F7B" w:rsidRPr="007D0D08">
          <w:rPr>
            <w:rStyle w:val="af2"/>
          </w:rPr>
          <w:t>3.6 Сопроводительная терапия</w:t>
        </w:r>
        <w:r w:rsidR="002E7F7B">
          <w:rPr>
            <w:webHidden/>
          </w:rPr>
          <w:tab/>
        </w:r>
        <w:r w:rsidR="002E7F7B">
          <w:rPr>
            <w:webHidden/>
          </w:rPr>
          <w:fldChar w:fldCharType="begin"/>
        </w:r>
        <w:r w:rsidR="002E7F7B">
          <w:rPr>
            <w:webHidden/>
          </w:rPr>
          <w:instrText xml:space="preserve"> PAGEREF _Toc53140906 \h </w:instrText>
        </w:r>
        <w:r w:rsidR="002E7F7B">
          <w:rPr>
            <w:webHidden/>
          </w:rPr>
        </w:r>
        <w:r w:rsidR="002E7F7B">
          <w:rPr>
            <w:webHidden/>
          </w:rPr>
          <w:fldChar w:fldCharType="separate"/>
        </w:r>
        <w:r w:rsidR="002E7F7B">
          <w:rPr>
            <w:webHidden/>
          </w:rPr>
          <w:t>47</w:t>
        </w:r>
        <w:r w:rsidR="002E7F7B">
          <w:rPr>
            <w:webHidden/>
          </w:rPr>
          <w:fldChar w:fldCharType="end"/>
        </w:r>
      </w:hyperlink>
    </w:p>
    <w:p w14:paraId="6D3FFE5A" w14:textId="77777777" w:rsidR="002E7F7B" w:rsidRDefault="00BF4D39">
      <w:pPr>
        <w:pStyle w:val="21"/>
        <w:rPr>
          <w:rFonts w:asciiTheme="minorHAnsi" w:eastAsiaTheme="minorEastAsia" w:hAnsiTheme="minorHAnsi" w:cstheme="minorBidi"/>
          <w:sz w:val="22"/>
          <w:lang w:eastAsia="ru-RU"/>
        </w:rPr>
      </w:pPr>
      <w:hyperlink w:anchor="_Toc53140907" w:history="1">
        <w:r w:rsidR="002E7F7B" w:rsidRPr="007D0D08">
          <w:rPr>
            <w:rStyle w:val="af2"/>
          </w:rPr>
          <w:t>3.7 Определение эффективности лечения</w:t>
        </w:r>
        <w:r w:rsidR="002E7F7B">
          <w:rPr>
            <w:webHidden/>
          </w:rPr>
          <w:tab/>
        </w:r>
        <w:r w:rsidR="002E7F7B">
          <w:rPr>
            <w:webHidden/>
          </w:rPr>
          <w:fldChar w:fldCharType="begin"/>
        </w:r>
        <w:r w:rsidR="002E7F7B">
          <w:rPr>
            <w:webHidden/>
          </w:rPr>
          <w:instrText xml:space="preserve"> PAGEREF _Toc53140907 \h </w:instrText>
        </w:r>
        <w:r w:rsidR="002E7F7B">
          <w:rPr>
            <w:webHidden/>
          </w:rPr>
        </w:r>
        <w:r w:rsidR="002E7F7B">
          <w:rPr>
            <w:webHidden/>
          </w:rPr>
          <w:fldChar w:fldCharType="separate"/>
        </w:r>
        <w:r w:rsidR="002E7F7B">
          <w:rPr>
            <w:webHidden/>
          </w:rPr>
          <w:t>48</w:t>
        </w:r>
        <w:r w:rsidR="002E7F7B">
          <w:rPr>
            <w:webHidden/>
          </w:rPr>
          <w:fldChar w:fldCharType="end"/>
        </w:r>
      </w:hyperlink>
    </w:p>
    <w:p w14:paraId="4B0DAB12" w14:textId="77777777" w:rsidR="002E7F7B" w:rsidRDefault="00BF4D39">
      <w:pPr>
        <w:pStyle w:val="11"/>
        <w:rPr>
          <w:rFonts w:asciiTheme="minorHAnsi" w:eastAsiaTheme="minorEastAsia" w:hAnsiTheme="minorHAnsi" w:cstheme="minorBidi"/>
          <w:bCs w:val="0"/>
          <w:sz w:val="22"/>
          <w:lang w:eastAsia="ru-RU"/>
        </w:rPr>
      </w:pPr>
      <w:hyperlink w:anchor="_Toc53140908" w:history="1">
        <w:r w:rsidR="002E7F7B" w:rsidRPr="007D0D08">
          <w:rPr>
            <w:rStyle w:val="af2"/>
          </w:rPr>
          <w:t>4. Медицинская реабилитация, медицинские показания  и противопоказания к применению методов реабилитации</w:t>
        </w:r>
        <w:r w:rsidR="002E7F7B">
          <w:rPr>
            <w:webHidden/>
          </w:rPr>
          <w:tab/>
        </w:r>
        <w:r w:rsidR="002E7F7B">
          <w:rPr>
            <w:webHidden/>
          </w:rPr>
          <w:fldChar w:fldCharType="begin"/>
        </w:r>
        <w:r w:rsidR="002E7F7B">
          <w:rPr>
            <w:webHidden/>
          </w:rPr>
          <w:instrText xml:space="preserve"> PAGEREF _Toc53140908 \h </w:instrText>
        </w:r>
        <w:r w:rsidR="002E7F7B">
          <w:rPr>
            <w:webHidden/>
          </w:rPr>
        </w:r>
        <w:r w:rsidR="002E7F7B">
          <w:rPr>
            <w:webHidden/>
          </w:rPr>
          <w:fldChar w:fldCharType="separate"/>
        </w:r>
        <w:r w:rsidR="002E7F7B">
          <w:rPr>
            <w:webHidden/>
          </w:rPr>
          <w:t>49</w:t>
        </w:r>
        <w:r w:rsidR="002E7F7B">
          <w:rPr>
            <w:webHidden/>
          </w:rPr>
          <w:fldChar w:fldCharType="end"/>
        </w:r>
      </w:hyperlink>
    </w:p>
    <w:p w14:paraId="6668BAA9" w14:textId="77777777" w:rsidR="002E7F7B" w:rsidRDefault="00BF4D39">
      <w:pPr>
        <w:pStyle w:val="11"/>
        <w:rPr>
          <w:rFonts w:asciiTheme="minorHAnsi" w:eastAsiaTheme="minorEastAsia" w:hAnsiTheme="minorHAnsi" w:cstheme="minorBidi"/>
          <w:bCs w:val="0"/>
          <w:sz w:val="22"/>
          <w:lang w:eastAsia="ru-RU"/>
        </w:rPr>
      </w:pPr>
      <w:hyperlink w:anchor="_Toc53140909" w:history="1">
        <w:r w:rsidR="002E7F7B" w:rsidRPr="007D0D08">
          <w:rPr>
            <w:rStyle w:val="af2"/>
          </w:rPr>
          <w:t>5. Профилактика и диспансерное наблюдение, медицинские показания и противопоказания к применению методов профилактики</w:t>
        </w:r>
        <w:r w:rsidR="002E7F7B">
          <w:rPr>
            <w:webHidden/>
          </w:rPr>
          <w:tab/>
        </w:r>
        <w:r w:rsidR="002E7F7B">
          <w:rPr>
            <w:webHidden/>
          </w:rPr>
          <w:fldChar w:fldCharType="begin"/>
        </w:r>
        <w:r w:rsidR="002E7F7B">
          <w:rPr>
            <w:webHidden/>
          </w:rPr>
          <w:instrText xml:space="preserve"> PAGEREF _Toc53140909 \h </w:instrText>
        </w:r>
        <w:r w:rsidR="002E7F7B">
          <w:rPr>
            <w:webHidden/>
          </w:rPr>
        </w:r>
        <w:r w:rsidR="002E7F7B">
          <w:rPr>
            <w:webHidden/>
          </w:rPr>
          <w:fldChar w:fldCharType="separate"/>
        </w:r>
        <w:r w:rsidR="002E7F7B">
          <w:rPr>
            <w:webHidden/>
          </w:rPr>
          <w:t>50</w:t>
        </w:r>
        <w:r w:rsidR="002E7F7B">
          <w:rPr>
            <w:webHidden/>
          </w:rPr>
          <w:fldChar w:fldCharType="end"/>
        </w:r>
      </w:hyperlink>
    </w:p>
    <w:p w14:paraId="5ACDDF87" w14:textId="77777777" w:rsidR="002E7F7B" w:rsidRDefault="00BF4D39">
      <w:pPr>
        <w:pStyle w:val="11"/>
        <w:rPr>
          <w:rFonts w:asciiTheme="minorHAnsi" w:eastAsiaTheme="minorEastAsia" w:hAnsiTheme="minorHAnsi" w:cstheme="minorBidi"/>
          <w:bCs w:val="0"/>
          <w:sz w:val="22"/>
          <w:lang w:eastAsia="ru-RU"/>
        </w:rPr>
      </w:pPr>
      <w:hyperlink w:anchor="_Toc53140910" w:history="1">
        <w:r w:rsidR="002E7F7B" w:rsidRPr="007D0D08">
          <w:rPr>
            <w:rStyle w:val="af2"/>
          </w:rPr>
          <w:t>6. Организация оказания медицинской помощи</w:t>
        </w:r>
        <w:r w:rsidR="002E7F7B">
          <w:rPr>
            <w:webHidden/>
          </w:rPr>
          <w:tab/>
        </w:r>
        <w:r w:rsidR="002E7F7B">
          <w:rPr>
            <w:webHidden/>
          </w:rPr>
          <w:fldChar w:fldCharType="begin"/>
        </w:r>
        <w:r w:rsidR="002E7F7B">
          <w:rPr>
            <w:webHidden/>
          </w:rPr>
          <w:instrText xml:space="preserve"> PAGEREF _Toc53140910 \h </w:instrText>
        </w:r>
        <w:r w:rsidR="002E7F7B">
          <w:rPr>
            <w:webHidden/>
          </w:rPr>
        </w:r>
        <w:r w:rsidR="002E7F7B">
          <w:rPr>
            <w:webHidden/>
          </w:rPr>
          <w:fldChar w:fldCharType="separate"/>
        </w:r>
        <w:r w:rsidR="002E7F7B">
          <w:rPr>
            <w:webHidden/>
          </w:rPr>
          <w:t>51</w:t>
        </w:r>
        <w:r w:rsidR="002E7F7B">
          <w:rPr>
            <w:webHidden/>
          </w:rPr>
          <w:fldChar w:fldCharType="end"/>
        </w:r>
      </w:hyperlink>
    </w:p>
    <w:p w14:paraId="27051ABB" w14:textId="77777777" w:rsidR="002E7F7B" w:rsidRDefault="00BF4D39">
      <w:pPr>
        <w:pStyle w:val="11"/>
        <w:rPr>
          <w:rFonts w:asciiTheme="minorHAnsi" w:eastAsiaTheme="minorEastAsia" w:hAnsiTheme="minorHAnsi" w:cstheme="minorBidi"/>
          <w:bCs w:val="0"/>
          <w:sz w:val="22"/>
          <w:lang w:eastAsia="ru-RU"/>
        </w:rPr>
      </w:pPr>
      <w:hyperlink w:anchor="_Toc53140911" w:history="1">
        <w:r w:rsidR="002E7F7B" w:rsidRPr="007D0D08">
          <w:rPr>
            <w:rStyle w:val="af2"/>
          </w:rPr>
          <w:t>7. Дополнительная информация (в том числе факторы, влияющие на исход заболевания или состояния)</w:t>
        </w:r>
        <w:r w:rsidR="002E7F7B">
          <w:rPr>
            <w:webHidden/>
          </w:rPr>
          <w:tab/>
        </w:r>
        <w:r w:rsidR="002E7F7B">
          <w:rPr>
            <w:webHidden/>
          </w:rPr>
          <w:fldChar w:fldCharType="begin"/>
        </w:r>
        <w:r w:rsidR="002E7F7B">
          <w:rPr>
            <w:webHidden/>
          </w:rPr>
          <w:instrText xml:space="preserve"> PAGEREF _Toc53140911 \h </w:instrText>
        </w:r>
        <w:r w:rsidR="002E7F7B">
          <w:rPr>
            <w:webHidden/>
          </w:rPr>
        </w:r>
        <w:r w:rsidR="002E7F7B">
          <w:rPr>
            <w:webHidden/>
          </w:rPr>
          <w:fldChar w:fldCharType="separate"/>
        </w:r>
        <w:r w:rsidR="002E7F7B">
          <w:rPr>
            <w:webHidden/>
          </w:rPr>
          <w:t>54</w:t>
        </w:r>
        <w:r w:rsidR="002E7F7B">
          <w:rPr>
            <w:webHidden/>
          </w:rPr>
          <w:fldChar w:fldCharType="end"/>
        </w:r>
      </w:hyperlink>
    </w:p>
    <w:p w14:paraId="09DF45DD" w14:textId="77777777" w:rsidR="002E7F7B" w:rsidRDefault="00BF4D39">
      <w:pPr>
        <w:pStyle w:val="11"/>
        <w:rPr>
          <w:rFonts w:asciiTheme="minorHAnsi" w:eastAsiaTheme="minorEastAsia" w:hAnsiTheme="minorHAnsi" w:cstheme="minorBidi"/>
          <w:bCs w:val="0"/>
          <w:sz w:val="22"/>
          <w:lang w:eastAsia="ru-RU"/>
        </w:rPr>
      </w:pPr>
      <w:hyperlink w:anchor="_Toc53140912" w:history="1">
        <w:r w:rsidR="002E7F7B" w:rsidRPr="007D0D08">
          <w:rPr>
            <w:rStyle w:val="af2"/>
          </w:rPr>
          <w:t>Критерии оценки качества медицинской помощи</w:t>
        </w:r>
        <w:r w:rsidR="002E7F7B">
          <w:rPr>
            <w:webHidden/>
          </w:rPr>
          <w:tab/>
        </w:r>
        <w:r w:rsidR="002E7F7B">
          <w:rPr>
            <w:webHidden/>
          </w:rPr>
          <w:fldChar w:fldCharType="begin"/>
        </w:r>
        <w:r w:rsidR="002E7F7B">
          <w:rPr>
            <w:webHidden/>
          </w:rPr>
          <w:instrText xml:space="preserve"> PAGEREF _Toc53140912 \h </w:instrText>
        </w:r>
        <w:r w:rsidR="002E7F7B">
          <w:rPr>
            <w:webHidden/>
          </w:rPr>
        </w:r>
        <w:r w:rsidR="002E7F7B">
          <w:rPr>
            <w:webHidden/>
          </w:rPr>
          <w:fldChar w:fldCharType="separate"/>
        </w:r>
        <w:r w:rsidR="002E7F7B">
          <w:rPr>
            <w:webHidden/>
          </w:rPr>
          <w:t>56</w:t>
        </w:r>
        <w:r w:rsidR="002E7F7B">
          <w:rPr>
            <w:webHidden/>
          </w:rPr>
          <w:fldChar w:fldCharType="end"/>
        </w:r>
      </w:hyperlink>
    </w:p>
    <w:p w14:paraId="5587DF2A" w14:textId="77777777" w:rsidR="002E7F7B" w:rsidRDefault="00BF4D39">
      <w:pPr>
        <w:pStyle w:val="11"/>
        <w:rPr>
          <w:rFonts w:asciiTheme="minorHAnsi" w:eastAsiaTheme="minorEastAsia" w:hAnsiTheme="minorHAnsi" w:cstheme="minorBidi"/>
          <w:bCs w:val="0"/>
          <w:sz w:val="22"/>
          <w:lang w:eastAsia="ru-RU"/>
        </w:rPr>
      </w:pPr>
      <w:hyperlink w:anchor="_Toc53140913" w:history="1">
        <w:r w:rsidR="002E7F7B" w:rsidRPr="007D0D08">
          <w:rPr>
            <w:rStyle w:val="af2"/>
          </w:rPr>
          <w:t>Список литературы</w:t>
        </w:r>
        <w:r w:rsidR="002E7F7B">
          <w:rPr>
            <w:webHidden/>
          </w:rPr>
          <w:tab/>
        </w:r>
        <w:r w:rsidR="002E7F7B">
          <w:rPr>
            <w:webHidden/>
          </w:rPr>
          <w:fldChar w:fldCharType="begin"/>
        </w:r>
        <w:r w:rsidR="002E7F7B">
          <w:rPr>
            <w:webHidden/>
          </w:rPr>
          <w:instrText xml:space="preserve"> PAGEREF _Toc53140913 \h </w:instrText>
        </w:r>
        <w:r w:rsidR="002E7F7B">
          <w:rPr>
            <w:webHidden/>
          </w:rPr>
        </w:r>
        <w:r w:rsidR="002E7F7B">
          <w:rPr>
            <w:webHidden/>
          </w:rPr>
          <w:fldChar w:fldCharType="separate"/>
        </w:r>
        <w:r w:rsidR="002E7F7B">
          <w:rPr>
            <w:webHidden/>
          </w:rPr>
          <w:t>58</w:t>
        </w:r>
        <w:r w:rsidR="002E7F7B">
          <w:rPr>
            <w:webHidden/>
          </w:rPr>
          <w:fldChar w:fldCharType="end"/>
        </w:r>
      </w:hyperlink>
    </w:p>
    <w:p w14:paraId="58892AB8" w14:textId="77777777" w:rsidR="002E7F7B" w:rsidRDefault="00BF4D39">
      <w:pPr>
        <w:pStyle w:val="11"/>
        <w:rPr>
          <w:rFonts w:asciiTheme="minorHAnsi" w:eastAsiaTheme="minorEastAsia" w:hAnsiTheme="minorHAnsi" w:cstheme="minorBidi"/>
          <w:bCs w:val="0"/>
          <w:sz w:val="22"/>
          <w:lang w:eastAsia="ru-RU"/>
        </w:rPr>
      </w:pPr>
      <w:hyperlink w:anchor="_Toc53140914" w:history="1">
        <w:r w:rsidR="002E7F7B" w:rsidRPr="007D0D08">
          <w:rPr>
            <w:rStyle w:val="af2"/>
          </w:rPr>
          <w:t>Приложение А1. Состав рабочей группы</w:t>
        </w:r>
        <w:r w:rsidR="002E7F7B">
          <w:rPr>
            <w:webHidden/>
          </w:rPr>
          <w:tab/>
        </w:r>
        <w:r w:rsidR="002E7F7B">
          <w:rPr>
            <w:webHidden/>
          </w:rPr>
          <w:fldChar w:fldCharType="begin"/>
        </w:r>
        <w:r w:rsidR="002E7F7B">
          <w:rPr>
            <w:webHidden/>
          </w:rPr>
          <w:instrText xml:space="preserve"> PAGEREF _Toc53140914 \h </w:instrText>
        </w:r>
        <w:r w:rsidR="002E7F7B">
          <w:rPr>
            <w:webHidden/>
          </w:rPr>
        </w:r>
        <w:r w:rsidR="002E7F7B">
          <w:rPr>
            <w:webHidden/>
          </w:rPr>
          <w:fldChar w:fldCharType="separate"/>
        </w:r>
        <w:r w:rsidR="002E7F7B">
          <w:rPr>
            <w:webHidden/>
          </w:rPr>
          <w:t>65</w:t>
        </w:r>
        <w:r w:rsidR="002E7F7B">
          <w:rPr>
            <w:webHidden/>
          </w:rPr>
          <w:fldChar w:fldCharType="end"/>
        </w:r>
      </w:hyperlink>
    </w:p>
    <w:p w14:paraId="2138B43B" w14:textId="77777777" w:rsidR="002E7F7B" w:rsidRDefault="00BF4D39">
      <w:pPr>
        <w:pStyle w:val="11"/>
        <w:rPr>
          <w:rFonts w:asciiTheme="minorHAnsi" w:eastAsiaTheme="minorEastAsia" w:hAnsiTheme="minorHAnsi" w:cstheme="minorBidi"/>
          <w:bCs w:val="0"/>
          <w:sz w:val="22"/>
          <w:lang w:eastAsia="ru-RU"/>
        </w:rPr>
      </w:pPr>
      <w:hyperlink w:anchor="_Toc53140915" w:history="1">
        <w:r w:rsidR="002E7F7B" w:rsidRPr="007D0D08">
          <w:rPr>
            <w:rStyle w:val="af2"/>
          </w:rPr>
          <w:t>Приложение А2. Методология разработки клинических рекомендаций</w:t>
        </w:r>
        <w:r w:rsidR="002E7F7B">
          <w:rPr>
            <w:webHidden/>
          </w:rPr>
          <w:tab/>
        </w:r>
        <w:r w:rsidR="002E7F7B">
          <w:rPr>
            <w:webHidden/>
          </w:rPr>
          <w:fldChar w:fldCharType="begin"/>
        </w:r>
        <w:r w:rsidR="002E7F7B">
          <w:rPr>
            <w:webHidden/>
          </w:rPr>
          <w:instrText xml:space="preserve"> PAGEREF _Toc53140915 \h </w:instrText>
        </w:r>
        <w:r w:rsidR="002E7F7B">
          <w:rPr>
            <w:webHidden/>
          </w:rPr>
        </w:r>
        <w:r w:rsidR="002E7F7B">
          <w:rPr>
            <w:webHidden/>
          </w:rPr>
          <w:fldChar w:fldCharType="separate"/>
        </w:r>
        <w:r w:rsidR="002E7F7B">
          <w:rPr>
            <w:webHidden/>
          </w:rPr>
          <w:t>67</w:t>
        </w:r>
        <w:r w:rsidR="002E7F7B">
          <w:rPr>
            <w:webHidden/>
          </w:rPr>
          <w:fldChar w:fldCharType="end"/>
        </w:r>
      </w:hyperlink>
    </w:p>
    <w:p w14:paraId="1766F7AE" w14:textId="77777777" w:rsidR="002E7F7B" w:rsidRDefault="00BF4D39">
      <w:pPr>
        <w:pStyle w:val="11"/>
        <w:rPr>
          <w:rFonts w:asciiTheme="minorHAnsi" w:eastAsiaTheme="minorEastAsia" w:hAnsiTheme="minorHAnsi" w:cstheme="minorBidi"/>
          <w:bCs w:val="0"/>
          <w:sz w:val="22"/>
          <w:lang w:eastAsia="ru-RU"/>
        </w:rPr>
      </w:pPr>
      <w:hyperlink w:anchor="_Toc53140916" w:history="1">
        <w:r w:rsidR="002E7F7B" w:rsidRPr="007D0D08">
          <w:rPr>
            <w:rStyle w:val="af2"/>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2E7F7B">
          <w:rPr>
            <w:webHidden/>
          </w:rPr>
          <w:tab/>
        </w:r>
        <w:r w:rsidR="002E7F7B">
          <w:rPr>
            <w:webHidden/>
          </w:rPr>
          <w:fldChar w:fldCharType="begin"/>
        </w:r>
        <w:r w:rsidR="002E7F7B">
          <w:rPr>
            <w:webHidden/>
          </w:rPr>
          <w:instrText xml:space="preserve"> PAGEREF _Toc53140916 \h </w:instrText>
        </w:r>
        <w:r w:rsidR="002E7F7B">
          <w:rPr>
            <w:webHidden/>
          </w:rPr>
        </w:r>
        <w:r w:rsidR="002E7F7B">
          <w:rPr>
            <w:webHidden/>
          </w:rPr>
          <w:fldChar w:fldCharType="separate"/>
        </w:r>
        <w:r w:rsidR="002E7F7B">
          <w:rPr>
            <w:webHidden/>
          </w:rPr>
          <w:t>70</w:t>
        </w:r>
        <w:r w:rsidR="002E7F7B">
          <w:rPr>
            <w:webHidden/>
          </w:rPr>
          <w:fldChar w:fldCharType="end"/>
        </w:r>
      </w:hyperlink>
    </w:p>
    <w:p w14:paraId="6438832F" w14:textId="77777777" w:rsidR="002E7F7B" w:rsidRDefault="00BF4D39">
      <w:pPr>
        <w:pStyle w:val="21"/>
        <w:rPr>
          <w:rFonts w:asciiTheme="minorHAnsi" w:eastAsiaTheme="minorEastAsia" w:hAnsiTheme="minorHAnsi" w:cstheme="minorBidi"/>
          <w:sz w:val="22"/>
          <w:lang w:eastAsia="ru-RU"/>
        </w:rPr>
      </w:pPr>
      <w:hyperlink w:anchor="_Toc53140917" w:history="1">
        <w:r w:rsidR="002E7F7B" w:rsidRPr="007D0D08">
          <w:rPr>
            <w:rStyle w:val="af2"/>
          </w:rPr>
          <w:t>Приложение А3.1. Схемы лекарственного лечения множественной миеломы</w:t>
        </w:r>
        <w:r w:rsidR="002E7F7B">
          <w:rPr>
            <w:webHidden/>
          </w:rPr>
          <w:tab/>
        </w:r>
        <w:r w:rsidR="002E7F7B">
          <w:rPr>
            <w:webHidden/>
          </w:rPr>
          <w:fldChar w:fldCharType="begin"/>
        </w:r>
        <w:r w:rsidR="002E7F7B">
          <w:rPr>
            <w:webHidden/>
          </w:rPr>
          <w:instrText xml:space="preserve"> PAGEREF _Toc53140917 \h </w:instrText>
        </w:r>
        <w:r w:rsidR="002E7F7B">
          <w:rPr>
            <w:webHidden/>
          </w:rPr>
        </w:r>
        <w:r w:rsidR="002E7F7B">
          <w:rPr>
            <w:webHidden/>
          </w:rPr>
          <w:fldChar w:fldCharType="separate"/>
        </w:r>
        <w:r w:rsidR="002E7F7B">
          <w:rPr>
            <w:webHidden/>
          </w:rPr>
          <w:t>70</w:t>
        </w:r>
        <w:r w:rsidR="002E7F7B">
          <w:rPr>
            <w:webHidden/>
          </w:rPr>
          <w:fldChar w:fldCharType="end"/>
        </w:r>
      </w:hyperlink>
    </w:p>
    <w:p w14:paraId="670D8C05" w14:textId="77777777" w:rsidR="002E7F7B" w:rsidRDefault="00BF4D39">
      <w:pPr>
        <w:pStyle w:val="21"/>
        <w:rPr>
          <w:rFonts w:asciiTheme="minorHAnsi" w:eastAsiaTheme="minorEastAsia" w:hAnsiTheme="minorHAnsi" w:cstheme="minorBidi"/>
          <w:sz w:val="22"/>
          <w:lang w:eastAsia="ru-RU"/>
        </w:rPr>
      </w:pPr>
      <w:hyperlink w:anchor="_Toc53140918" w:history="1">
        <w:r w:rsidR="002E7F7B" w:rsidRPr="007D0D08">
          <w:rPr>
            <w:rStyle w:val="af2"/>
            <w:bCs/>
          </w:rPr>
          <w:t>Приложение А3.2. Рекомендации по коррекции дозы леналидомида в зависимости от клиренса креатинина</w:t>
        </w:r>
        <w:r w:rsidR="002E7F7B">
          <w:rPr>
            <w:webHidden/>
          </w:rPr>
          <w:tab/>
        </w:r>
        <w:r w:rsidR="002E7F7B">
          <w:rPr>
            <w:webHidden/>
          </w:rPr>
          <w:fldChar w:fldCharType="begin"/>
        </w:r>
        <w:r w:rsidR="002E7F7B">
          <w:rPr>
            <w:webHidden/>
          </w:rPr>
          <w:instrText xml:space="preserve"> PAGEREF _Toc53140918 \h </w:instrText>
        </w:r>
        <w:r w:rsidR="002E7F7B">
          <w:rPr>
            <w:webHidden/>
          </w:rPr>
        </w:r>
        <w:r w:rsidR="002E7F7B">
          <w:rPr>
            <w:webHidden/>
          </w:rPr>
          <w:fldChar w:fldCharType="separate"/>
        </w:r>
        <w:r w:rsidR="002E7F7B">
          <w:rPr>
            <w:webHidden/>
          </w:rPr>
          <w:t>79</w:t>
        </w:r>
        <w:r w:rsidR="002E7F7B">
          <w:rPr>
            <w:webHidden/>
          </w:rPr>
          <w:fldChar w:fldCharType="end"/>
        </w:r>
      </w:hyperlink>
    </w:p>
    <w:p w14:paraId="0DC195E1" w14:textId="77777777" w:rsidR="002E7F7B" w:rsidRDefault="00BF4D39">
      <w:pPr>
        <w:pStyle w:val="11"/>
        <w:rPr>
          <w:rFonts w:asciiTheme="minorHAnsi" w:eastAsiaTheme="minorEastAsia" w:hAnsiTheme="minorHAnsi" w:cstheme="minorBidi"/>
          <w:bCs w:val="0"/>
          <w:sz w:val="22"/>
          <w:lang w:eastAsia="ru-RU"/>
        </w:rPr>
      </w:pPr>
      <w:hyperlink w:anchor="_Toc53140919" w:history="1">
        <w:r w:rsidR="002E7F7B" w:rsidRPr="007D0D08">
          <w:rPr>
            <w:rStyle w:val="af2"/>
          </w:rPr>
          <w:t>Приложение Б. Алгоритмы ведения пациента</w:t>
        </w:r>
        <w:r w:rsidR="002E7F7B">
          <w:rPr>
            <w:webHidden/>
          </w:rPr>
          <w:tab/>
        </w:r>
        <w:r w:rsidR="002E7F7B">
          <w:rPr>
            <w:webHidden/>
          </w:rPr>
          <w:fldChar w:fldCharType="begin"/>
        </w:r>
        <w:r w:rsidR="002E7F7B">
          <w:rPr>
            <w:webHidden/>
          </w:rPr>
          <w:instrText xml:space="preserve"> PAGEREF _Toc53140919 \h </w:instrText>
        </w:r>
        <w:r w:rsidR="002E7F7B">
          <w:rPr>
            <w:webHidden/>
          </w:rPr>
        </w:r>
        <w:r w:rsidR="002E7F7B">
          <w:rPr>
            <w:webHidden/>
          </w:rPr>
          <w:fldChar w:fldCharType="separate"/>
        </w:r>
        <w:r w:rsidR="002E7F7B">
          <w:rPr>
            <w:webHidden/>
          </w:rPr>
          <w:t>80</w:t>
        </w:r>
        <w:r w:rsidR="002E7F7B">
          <w:rPr>
            <w:webHidden/>
          </w:rPr>
          <w:fldChar w:fldCharType="end"/>
        </w:r>
      </w:hyperlink>
    </w:p>
    <w:p w14:paraId="569F8818" w14:textId="77777777" w:rsidR="002E7F7B" w:rsidRDefault="00BF4D39">
      <w:pPr>
        <w:pStyle w:val="11"/>
        <w:rPr>
          <w:rFonts w:asciiTheme="minorHAnsi" w:eastAsiaTheme="minorEastAsia" w:hAnsiTheme="minorHAnsi" w:cstheme="minorBidi"/>
          <w:bCs w:val="0"/>
          <w:sz w:val="22"/>
          <w:lang w:eastAsia="ru-RU"/>
        </w:rPr>
      </w:pPr>
      <w:hyperlink w:anchor="_Toc53140920" w:history="1">
        <w:r w:rsidR="002E7F7B" w:rsidRPr="007D0D08">
          <w:rPr>
            <w:rStyle w:val="af2"/>
          </w:rPr>
          <w:t>Приложение В. Информация для пациентов</w:t>
        </w:r>
        <w:r w:rsidR="002E7F7B">
          <w:rPr>
            <w:webHidden/>
          </w:rPr>
          <w:tab/>
        </w:r>
        <w:r w:rsidR="002E7F7B">
          <w:rPr>
            <w:webHidden/>
          </w:rPr>
          <w:fldChar w:fldCharType="begin"/>
        </w:r>
        <w:r w:rsidR="002E7F7B">
          <w:rPr>
            <w:webHidden/>
          </w:rPr>
          <w:instrText xml:space="preserve"> PAGEREF _Toc53140920 \h </w:instrText>
        </w:r>
        <w:r w:rsidR="002E7F7B">
          <w:rPr>
            <w:webHidden/>
          </w:rPr>
        </w:r>
        <w:r w:rsidR="002E7F7B">
          <w:rPr>
            <w:webHidden/>
          </w:rPr>
          <w:fldChar w:fldCharType="separate"/>
        </w:r>
        <w:r w:rsidR="002E7F7B">
          <w:rPr>
            <w:webHidden/>
          </w:rPr>
          <w:t>82</w:t>
        </w:r>
        <w:r w:rsidR="002E7F7B">
          <w:rPr>
            <w:webHidden/>
          </w:rPr>
          <w:fldChar w:fldCharType="end"/>
        </w:r>
      </w:hyperlink>
    </w:p>
    <w:p w14:paraId="4134D2C4" w14:textId="77777777" w:rsidR="002E7F7B" w:rsidRDefault="00BF4D39">
      <w:pPr>
        <w:pStyle w:val="11"/>
        <w:rPr>
          <w:rFonts w:asciiTheme="minorHAnsi" w:eastAsiaTheme="minorEastAsia" w:hAnsiTheme="minorHAnsi" w:cstheme="minorBidi"/>
          <w:bCs w:val="0"/>
          <w:sz w:val="22"/>
          <w:lang w:eastAsia="ru-RU"/>
        </w:rPr>
      </w:pPr>
      <w:hyperlink w:anchor="_Toc53140921" w:history="1">
        <w:r w:rsidR="002E7F7B" w:rsidRPr="007D0D08">
          <w:rPr>
            <w:rStyle w:val="af2"/>
          </w:rPr>
          <w:t>Приложение Г1. Шкала оценки общего состояния пациента ECOG</w:t>
        </w:r>
        <w:r w:rsidR="002E7F7B">
          <w:rPr>
            <w:webHidden/>
          </w:rPr>
          <w:tab/>
        </w:r>
        <w:r w:rsidR="002E7F7B">
          <w:rPr>
            <w:webHidden/>
          </w:rPr>
          <w:fldChar w:fldCharType="begin"/>
        </w:r>
        <w:r w:rsidR="002E7F7B">
          <w:rPr>
            <w:webHidden/>
          </w:rPr>
          <w:instrText xml:space="preserve"> PAGEREF _Toc53140921 \h </w:instrText>
        </w:r>
        <w:r w:rsidR="002E7F7B">
          <w:rPr>
            <w:webHidden/>
          </w:rPr>
        </w:r>
        <w:r w:rsidR="002E7F7B">
          <w:rPr>
            <w:webHidden/>
          </w:rPr>
          <w:fldChar w:fldCharType="separate"/>
        </w:r>
        <w:r w:rsidR="002E7F7B">
          <w:rPr>
            <w:webHidden/>
          </w:rPr>
          <w:t>83</w:t>
        </w:r>
        <w:r w:rsidR="002E7F7B">
          <w:rPr>
            <w:webHidden/>
          </w:rPr>
          <w:fldChar w:fldCharType="end"/>
        </w:r>
      </w:hyperlink>
    </w:p>
    <w:p w14:paraId="22867F13" w14:textId="77777777" w:rsidR="002E7F7B" w:rsidRDefault="00BF4D39">
      <w:pPr>
        <w:pStyle w:val="11"/>
        <w:rPr>
          <w:rFonts w:asciiTheme="minorHAnsi" w:eastAsiaTheme="minorEastAsia" w:hAnsiTheme="minorHAnsi" w:cstheme="minorBidi"/>
          <w:bCs w:val="0"/>
          <w:sz w:val="22"/>
          <w:lang w:eastAsia="ru-RU"/>
        </w:rPr>
      </w:pPr>
      <w:hyperlink w:anchor="_Toc53140922" w:history="1">
        <w:r w:rsidR="002E7F7B" w:rsidRPr="007D0D08">
          <w:rPr>
            <w:rStyle w:val="af2"/>
          </w:rPr>
          <w:t>Приложение Г2. Инструментальные и лабораторные методы исследования на различных этапах терапии множественной миеломы</w:t>
        </w:r>
        <w:r w:rsidR="002E7F7B">
          <w:rPr>
            <w:webHidden/>
          </w:rPr>
          <w:tab/>
        </w:r>
        <w:r w:rsidR="002E7F7B">
          <w:rPr>
            <w:webHidden/>
          </w:rPr>
          <w:fldChar w:fldCharType="begin"/>
        </w:r>
        <w:r w:rsidR="002E7F7B">
          <w:rPr>
            <w:webHidden/>
          </w:rPr>
          <w:instrText xml:space="preserve"> PAGEREF _Toc53140922 \h </w:instrText>
        </w:r>
        <w:r w:rsidR="002E7F7B">
          <w:rPr>
            <w:webHidden/>
          </w:rPr>
        </w:r>
        <w:r w:rsidR="002E7F7B">
          <w:rPr>
            <w:webHidden/>
          </w:rPr>
          <w:fldChar w:fldCharType="separate"/>
        </w:r>
        <w:r w:rsidR="002E7F7B">
          <w:rPr>
            <w:webHidden/>
          </w:rPr>
          <w:t>84</w:t>
        </w:r>
        <w:r w:rsidR="002E7F7B">
          <w:rPr>
            <w:webHidden/>
          </w:rPr>
          <w:fldChar w:fldCharType="end"/>
        </w:r>
      </w:hyperlink>
    </w:p>
    <w:p w14:paraId="1CC5B586" w14:textId="77777777" w:rsidR="002E7F7B" w:rsidRDefault="00BF4D39">
      <w:pPr>
        <w:pStyle w:val="11"/>
        <w:rPr>
          <w:rFonts w:asciiTheme="minorHAnsi" w:eastAsiaTheme="minorEastAsia" w:hAnsiTheme="minorHAnsi" w:cstheme="minorBidi"/>
          <w:bCs w:val="0"/>
          <w:sz w:val="22"/>
          <w:lang w:eastAsia="ru-RU"/>
        </w:rPr>
      </w:pPr>
      <w:hyperlink w:anchor="_Toc53140923" w:history="1">
        <w:r w:rsidR="002E7F7B" w:rsidRPr="007D0D08">
          <w:rPr>
            <w:rStyle w:val="af2"/>
          </w:rPr>
          <w:t xml:space="preserve">Приложение Г3. </w:t>
        </w:r>
        <w:r w:rsidR="002E7F7B" w:rsidRPr="007D0D08">
          <w:rPr>
            <w:rStyle w:val="af2"/>
            <w:rFonts w:eastAsia="Arial Unicode MS"/>
          </w:rPr>
          <w:t>Препараты, улучшающие метаболизм костной ткани у больных множественной миеломой</w:t>
        </w:r>
        <w:r w:rsidR="002E7F7B">
          <w:rPr>
            <w:webHidden/>
          </w:rPr>
          <w:tab/>
        </w:r>
        <w:r w:rsidR="002E7F7B">
          <w:rPr>
            <w:webHidden/>
          </w:rPr>
          <w:fldChar w:fldCharType="begin"/>
        </w:r>
        <w:r w:rsidR="002E7F7B">
          <w:rPr>
            <w:webHidden/>
          </w:rPr>
          <w:instrText xml:space="preserve"> PAGEREF _Toc53140923 \h </w:instrText>
        </w:r>
        <w:r w:rsidR="002E7F7B">
          <w:rPr>
            <w:webHidden/>
          </w:rPr>
        </w:r>
        <w:r w:rsidR="002E7F7B">
          <w:rPr>
            <w:webHidden/>
          </w:rPr>
          <w:fldChar w:fldCharType="separate"/>
        </w:r>
        <w:r w:rsidR="002E7F7B">
          <w:rPr>
            <w:webHidden/>
          </w:rPr>
          <w:t>95</w:t>
        </w:r>
        <w:r w:rsidR="002E7F7B">
          <w:rPr>
            <w:webHidden/>
          </w:rPr>
          <w:fldChar w:fldCharType="end"/>
        </w:r>
      </w:hyperlink>
    </w:p>
    <w:p w14:paraId="67D1A34E" w14:textId="77777777" w:rsidR="002E7F7B" w:rsidRDefault="00BF4D39">
      <w:pPr>
        <w:pStyle w:val="11"/>
        <w:rPr>
          <w:rFonts w:asciiTheme="minorHAnsi" w:eastAsiaTheme="minorEastAsia" w:hAnsiTheme="minorHAnsi" w:cstheme="minorBidi"/>
          <w:bCs w:val="0"/>
          <w:sz w:val="22"/>
          <w:lang w:eastAsia="ru-RU"/>
        </w:rPr>
      </w:pPr>
      <w:hyperlink w:anchor="_Toc53140924" w:history="1">
        <w:r w:rsidR="002E7F7B" w:rsidRPr="007D0D08">
          <w:rPr>
            <w:rStyle w:val="af2"/>
          </w:rPr>
          <w:t>Приложение Г4. «Профилактика и лечение тошноты и рвоты»</w:t>
        </w:r>
        <w:r w:rsidR="002E7F7B">
          <w:rPr>
            <w:webHidden/>
          </w:rPr>
          <w:tab/>
        </w:r>
        <w:r w:rsidR="002E7F7B">
          <w:rPr>
            <w:webHidden/>
          </w:rPr>
          <w:fldChar w:fldCharType="begin"/>
        </w:r>
        <w:r w:rsidR="002E7F7B">
          <w:rPr>
            <w:webHidden/>
          </w:rPr>
          <w:instrText xml:space="preserve"> PAGEREF _Toc53140924 \h </w:instrText>
        </w:r>
        <w:r w:rsidR="002E7F7B">
          <w:rPr>
            <w:webHidden/>
          </w:rPr>
        </w:r>
        <w:r w:rsidR="002E7F7B">
          <w:rPr>
            <w:webHidden/>
          </w:rPr>
          <w:fldChar w:fldCharType="separate"/>
        </w:r>
        <w:r w:rsidR="002E7F7B">
          <w:rPr>
            <w:webHidden/>
          </w:rPr>
          <w:t>102</w:t>
        </w:r>
        <w:r w:rsidR="002E7F7B">
          <w:rPr>
            <w:webHidden/>
          </w:rPr>
          <w:fldChar w:fldCharType="end"/>
        </w:r>
      </w:hyperlink>
    </w:p>
    <w:p w14:paraId="7072C811" w14:textId="77777777" w:rsidR="002E7F7B" w:rsidRDefault="00BF4D39">
      <w:pPr>
        <w:pStyle w:val="11"/>
        <w:rPr>
          <w:rFonts w:asciiTheme="minorHAnsi" w:eastAsiaTheme="minorEastAsia" w:hAnsiTheme="minorHAnsi" w:cstheme="minorBidi"/>
          <w:bCs w:val="0"/>
          <w:sz w:val="22"/>
          <w:lang w:eastAsia="ru-RU"/>
        </w:rPr>
      </w:pPr>
      <w:hyperlink w:anchor="_Toc53140925" w:history="1">
        <w:r w:rsidR="002E7F7B" w:rsidRPr="007D0D08">
          <w:rPr>
            <w:rStyle w:val="af2"/>
          </w:rPr>
          <w:t>Приложение Г5. «Профилактика язвенной болезни желудка и 12-перстной кишки на фоне терапии глюкокортикостероидами»</w:t>
        </w:r>
        <w:r w:rsidR="002E7F7B">
          <w:rPr>
            <w:webHidden/>
          </w:rPr>
          <w:tab/>
        </w:r>
        <w:r w:rsidR="002E7F7B">
          <w:rPr>
            <w:webHidden/>
          </w:rPr>
          <w:fldChar w:fldCharType="begin"/>
        </w:r>
        <w:r w:rsidR="002E7F7B">
          <w:rPr>
            <w:webHidden/>
          </w:rPr>
          <w:instrText xml:space="preserve"> PAGEREF _Toc53140925 \h </w:instrText>
        </w:r>
        <w:r w:rsidR="002E7F7B">
          <w:rPr>
            <w:webHidden/>
          </w:rPr>
        </w:r>
        <w:r w:rsidR="002E7F7B">
          <w:rPr>
            <w:webHidden/>
          </w:rPr>
          <w:fldChar w:fldCharType="separate"/>
        </w:r>
        <w:r w:rsidR="002E7F7B">
          <w:rPr>
            <w:webHidden/>
          </w:rPr>
          <w:t>112</w:t>
        </w:r>
        <w:r w:rsidR="002E7F7B">
          <w:rPr>
            <w:webHidden/>
          </w:rPr>
          <w:fldChar w:fldCharType="end"/>
        </w:r>
      </w:hyperlink>
    </w:p>
    <w:p w14:paraId="7E72211E" w14:textId="77777777" w:rsidR="002E7F7B" w:rsidRDefault="00BF4D39">
      <w:pPr>
        <w:pStyle w:val="11"/>
        <w:rPr>
          <w:rFonts w:asciiTheme="minorHAnsi" w:eastAsiaTheme="minorEastAsia" w:hAnsiTheme="minorHAnsi" w:cstheme="minorBidi"/>
          <w:bCs w:val="0"/>
          <w:sz w:val="22"/>
          <w:lang w:eastAsia="ru-RU"/>
        </w:rPr>
      </w:pPr>
      <w:hyperlink w:anchor="_Toc53140926" w:history="1">
        <w:r w:rsidR="002E7F7B" w:rsidRPr="007D0D08">
          <w:rPr>
            <w:rStyle w:val="af2"/>
          </w:rPr>
          <w:t>Приложение Г6. «Нутритивная терапия»</w:t>
        </w:r>
        <w:r w:rsidR="002E7F7B">
          <w:rPr>
            <w:webHidden/>
          </w:rPr>
          <w:tab/>
        </w:r>
        <w:r w:rsidR="002E7F7B">
          <w:rPr>
            <w:webHidden/>
          </w:rPr>
          <w:fldChar w:fldCharType="begin"/>
        </w:r>
        <w:r w:rsidR="002E7F7B">
          <w:rPr>
            <w:webHidden/>
          </w:rPr>
          <w:instrText xml:space="preserve"> PAGEREF _Toc53140926 \h </w:instrText>
        </w:r>
        <w:r w:rsidR="002E7F7B">
          <w:rPr>
            <w:webHidden/>
          </w:rPr>
        </w:r>
        <w:r w:rsidR="002E7F7B">
          <w:rPr>
            <w:webHidden/>
          </w:rPr>
          <w:fldChar w:fldCharType="separate"/>
        </w:r>
        <w:r w:rsidR="002E7F7B">
          <w:rPr>
            <w:webHidden/>
          </w:rPr>
          <w:t>116</w:t>
        </w:r>
        <w:r w:rsidR="002E7F7B">
          <w:rPr>
            <w:webHidden/>
          </w:rPr>
          <w:fldChar w:fldCharType="end"/>
        </w:r>
      </w:hyperlink>
    </w:p>
    <w:p w14:paraId="7B6D8025" w14:textId="77777777" w:rsidR="002E7F7B" w:rsidRDefault="00BF4D39">
      <w:pPr>
        <w:pStyle w:val="11"/>
        <w:rPr>
          <w:rFonts w:asciiTheme="minorHAnsi" w:eastAsiaTheme="minorEastAsia" w:hAnsiTheme="minorHAnsi" w:cstheme="minorBidi"/>
          <w:bCs w:val="0"/>
          <w:sz w:val="22"/>
          <w:lang w:eastAsia="ru-RU"/>
        </w:rPr>
      </w:pPr>
      <w:hyperlink w:anchor="_Toc53140927" w:history="1">
        <w:r w:rsidR="002E7F7B" w:rsidRPr="007D0D08">
          <w:rPr>
            <w:rStyle w:val="af2"/>
          </w:rPr>
          <w:t>Приложение Г7. «Профилактика, диагностика и лечение геморрагических осложнений при множественной миеломе»</w:t>
        </w:r>
        <w:r w:rsidR="002E7F7B">
          <w:rPr>
            <w:webHidden/>
          </w:rPr>
          <w:tab/>
        </w:r>
        <w:r w:rsidR="002E7F7B">
          <w:rPr>
            <w:webHidden/>
          </w:rPr>
          <w:fldChar w:fldCharType="begin"/>
        </w:r>
        <w:r w:rsidR="002E7F7B">
          <w:rPr>
            <w:webHidden/>
          </w:rPr>
          <w:instrText xml:space="preserve"> PAGEREF _Toc53140927 \h </w:instrText>
        </w:r>
        <w:r w:rsidR="002E7F7B">
          <w:rPr>
            <w:webHidden/>
          </w:rPr>
        </w:r>
        <w:r w:rsidR="002E7F7B">
          <w:rPr>
            <w:webHidden/>
          </w:rPr>
          <w:fldChar w:fldCharType="separate"/>
        </w:r>
        <w:r w:rsidR="002E7F7B">
          <w:rPr>
            <w:webHidden/>
          </w:rPr>
          <w:t>121</w:t>
        </w:r>
        <w:r w:rsidR="002E7F7B">
          <w:rPr>
            <w:webHidden/>
          </w:rPr>
          <w:fldChar w:fldCharType="end"/>
        </w:r>
      </w:hyperlink>
    </w:p>
    <w:p w14:paraId="32D9FC36" w14:textId="77777777" w:rsidR="002E7F7B" w:rsidRDefault="00BF4D39">
      <w:pPr>
        <w:pStyle w:val="11"/>
        <w:rPr>
          <w:rFonts w:asciiTheme="minorHAnsi" w:eastAsiaTheme="minorEastAsia" w:hAnsiTheme="minorHAnsi" w:cstheme="minorBidi"/>
          <w:bCs w:val="0"/>
          <w:sz w:val="22"/>
          <w:lang w:eastAsia="ru-RU"/>
        </w:rPr>
      </w:pPr>
      <w:hyperlink w:anchor="_Toc53140928" w:history="1">
        <w:r w:rsidR="002E7F7B" w:rsidRPr="007D0D08">
          <w:rPr>
            <w:rStyle w:val="af2"/>
          </w:rPr>
          <w:t>Приложение Г8. «Обеспечение сосудистого доступа»</w:t>
        </w:r>
        <w:r w:rsidR="002E7F7B">
          <w:rPr>
            <w:webHidden/>
          </w:rPr>
          <w:tab/>
        </w:r>
        <w:r w:rsidR="002E7F7B">
          <w:rPr>
            <w:webHidden/>
          </w:rPr>
          <w:fldChar w:fldCharType="begin"/>
        </w:r>
        <w:r w:rsidR="002E7F7B">
          <w:rPr>
            <w:webHidden/>
          </w:rPr>
          <w:instrText xml:space="preserve"> PAGEREF _Toc53140928 \h </w:instrText>
        </w:r>
        <w:r w:rsidR="002E7F7B">
          <w:rPr>
            <w:webHidden/>
          </w:rPr>
        </w:r>
        <w:r w:rsidR="002E7F7B">
          <w:rPr>
            <w:webHidden/>
          </w:rPr>
          <w:fldChar w:fldCharType="separate"/>
        </w:r>
        <w:r w:rsidR="002E7F7B">
          <w:rPr>
            <w:webHidden/>
          </w:rPr>
          <w:t>126</w:t>
        </w:r>
        <w:r w:rsidR="002E7F7B">
          <w:rPr>
            <w:webHidden/>
          </w:rPr>
          <w:fldChar w:fldCharType="end"/>
        </w:r>
      </w:hyperlink>
    </w:p>
    <w:p w14:paraId="6FAD6554" w14:textId="77777777" w:rsidR="002E7F7B" w:rsidRDefault="00BF4D39">
      <w:pPr>
        <w:pStyle w:val="11"/>
        <w:rPr>
          <w:rFonts w:asciiTheme="minorHAnsi" w:eastAsiaTheme="minorEastAsia" w:hAnsiTheme="minorHAnsi" w:cstheme="minorBidi"/>
          <w:bCs w:val="0"/>
          <w:sz w:val="22"/>
          <w:lang w:eastAsia="ru-RU"/>
        </w:rPr>
      </w:pPr>
      <w:hyperlink w:anchor="_Toc53140929" w:history="1">
        <w:r w:rsidR="002E7F7B" w:rsidRPr="007D0D08">
          <w:rPr>
            <w:rStyle w:val="af2"/>
          </w:rPr>
          <w:t>Приложение Г9. «Сопроводительная терапия при введении моноклональных антител»</w:t>
        </w:r>
        <w:r w:rsidR="002E7F7B">
          <w:rPr>
            <w:webHidden/>
          </w:rPr>
          <w:tab/>
        </w:r>
        <w:r w:rsidR="002E7F7B">
          <w:rPr>
            <w:webHidden/>
          </w:rPr>
          <w:fldChar w:fldCharType="begin"/>
        </w:r>
        <w:r w:rsidR="002E7F7B">
          <w:rPr>
            <w:webHidden/>
          </w:rPr>
          <w:instrText xml:space="preserve"> PAGEREF _Toc53140929 \h </w:instrText>
        </w:r>
        <w:r w:rsidR="002E7F7B">
          <w:rPr>
            <w:webHidden/>
          </w:rPr>
        </w:r>
        <w:r w:rsidR="002E7F7B">
          <w:rPr>
            <w:webHidden/>
          </w:rPr>
          <w:fldChar w:fldCharType="separate"/>
        </w:r>
        <w:r w:rsidR="002E7F7B">
          <w:rPr>
            <w:webHidden/>
          </w:rPr>
          <w:t>141</w:t>
        </w:r>
        <w:r w:rsidR="002E7F7B">
          <w:rPr>
            <w:webHidden/>
          </w:rPr>
          <w:fldChar w:fldCharType="end"/>
        </w:r>
      </w:hyperlink>
    </w:p>
    <w:p w14:paraId="6A152CD1" w14:textId="77777777" w:rsidR="002E7F7B" w:rsidRDefault="00BF4D39">
      <w:pPr>
        <w:pStyle w:val="11"/>
        <w:rPr>
          <w:rFonts w:asciiTheme="minorHAnsi" w:eastAsiaTheme="minorEastAsia" w:hAnsiTheme="minorHAnsi" w:cstheme="minorBidi"/>
          <w:bCs w:val="0"/>
          <w:sz w:val="22"/>
          <w:lang w:eastAsia="ru-RU"/>
        </w:rPr>
      </w:pPr>
      <w:hyperlink w:anchor="_Toc53140930" w:history="1">
        <w:r w:rsidR="002E7F7B" w:rsidRPr="007D0D08">
          <w:rPr>
            <w:rStyle w:val="af2"/>
          </w:rPr>
          <w:t>Приложение Г10. «Профилактика, диагностика и лечение тромботических осложнений»</w:t>
        </w:r>
        <w:r w:rsidR="002E7F7B">
          <w:rPr>
            <w:webHidden/>
          </w:rPr>
          <w:tab/>
        </w:r>
        <w:r w:rsidR="002E7F7B">
          <w:rPr>
            <w:webHidden/>
          </w:rPr>
          <w:fldChar w:fldCharType="begin"/>
        </w:r>
        <w:r w:rsidR="002E7F7B">
          <w:rPr>
            <w:webHidden/>
          </w:rPr>
          <w:instrText xml:space="preserve"> PAGEREF _Toc53140930 \h </w:instrText>
        </w:r>
        <w:r w:rsidR="002E7F7B">
          <w:rPr>
            <w:webHidden/>
          </w:rPr>
        </w:r>
        <w:r w:rsidR="002E7F7B">
          <w:rPr>
            <w:webHidden/>
          </w:rPr>
          <w:fldChar w:fldCharType="separate"/>
        </w:r>
        <w:r w:rsidR="002E7F7B">
          <w:rPr>
            <w:webHidden/>
          </w:rPr>
          <w:t>147</w:t>
        </w:r>
        <w:r w:rsidR="002E7F7B">
          <w:rPr>
            <w:webHidden/>
          </w:rPr>
          <w:fldChar w:fldCharType="end"/>
        </w:r>
      </w:hyperlink>
    </w:p>
    <w:p w14:paraId="49653DF1" w14:textId="77777777" w:rsidR="002E7F7B" w:rsidRDefault="00BF4D39">
      <w:pPr>
        <w:pStyle w:val="11"/>
        <w:rPr>
          <w:rFonts w:asciiTheme="minorHAnsi" w:eastAsiaTheme="minorEastAsia" w:hAnsiTheme="minorHAnsi" w:cstheme="minorBidi"/>
          <w:bCs w:val="0"/>
          <w:sz w:val="22"/>
          <w:lang w:eastAsia="ru-RU"/>
        </w:rPr>
      </w:pPr>
      <w:hyperlink w:anchor="_Toc53140931" w:history="1">
        <w:r w:rsidR="002E7F7B" w:rsidRPr="007D0D08">
          <w:rPr>
            <w:rStyle w:val="af2"/>
          </w:rPr>
          <w:t>Приложение Г11. «Применение компонентов донорской крови у гематологических пациентов»</w:t>
        </w:r>
        <w:r w:rsidR="002E7F7B">
          <w:rPr>
            <w:webHidden/>
          </w:rPr>
          <w:tab/>
        </w:r>
        <w:r w:rsidR="002E7F7B">
          <w:rPr>
            <w:webHidden/>
          </w:rPr>
          <w:fldChar w:fldCharType="begin"/>
        </w:r>
        <w:r w:rsidR="002E7F7B">
          <w:rPr>
            <w:webHidden/>
          </w:rPr>
          <w:instrText xml:space="preserve"> PAGEREF _Toc53140931 \h </w:instrText>
        </w:r>
        <w:r w:rsidR="002E7F7B">
          <w:rPr>
            <w:webHidden/>
          </w:rPr>
        </w:r>
        <w:r w:rsidR="002E7F7B">
          <w:rPr>
            <w:webHidden/>
          </w:rPr>
          <w:fldChar w:fldCharType="separate"/>
        </w:r>
        <w:r w:rsidR="002E7F7B">
          <w:rPr>
            <w:webHidden/>
          </w:rPr>
          <w:t>162</w:t>
        </w:r>
        <w:r w:rsidR="002E7F7B">
          <w:rPr>
            <w:webHidden/>
          </w:rPr>
          <w:fldChar w:fldCharType="end"/>
        </w:r>
      </w:hyperlink>
    </w:p>
    <w:p w14:paraId="4C063598" w14:textId="77777777" w:rsidR="002E7F7B" w:rsidRDefault="00BF4D39">
      <w:pPr>
        <w:pStyle w:val="11"/>
        <w:rPr>
          <w:rFonts w:asciiTheme="minorHAnsi" w:eastAsiaTheme="minorEastAsia" w:hAnsiTheme="minorHAnsi" w:cstheme="minorBidi"/>
          <w:bCs w:val="0"/>
          <w:sz w:val="22"/>
          <w:lang w:eastAsia="ru-RU"/>
        </w:rPr>
      </w:pPr>
      <w:hyperlink w:anchor="_Toc53140932" w:history="1">
        <w:r w:rsidR="002E7F7B" w:rsidRPr="007D0D08">
          <w:rPr>
            <w:rStyle w:val="af2"/>
          </w:rPr>
          <w:t>Приложение Г12. «Диагностика и лечение бактериальных инфекционных осложнений»</w:t>
        </w:r>
        <w:r w:rsidR="002E7F7B">
          <w:rPr>
            <w:webHidden/>
          </w:rPr>
          <w:tab/>
        </w:r>
        <w:r w:rsidR="002E7F7B">
          <w:rPr>
            <w:webHidden/>
          </w:rPr>
          <w:fldChar w:fldCharType="begin"/>
        </w:r>
        <w:r w:rsidR="002E7F7B">
          <w:rPr>
            <w:webHidden/>
          </w:rPr>
          <w:instrText xml:space="preserve"> PAGEREF _Toc53140932 \h </w:instrText>
        </w:r>
        <w:r w:rsidR="002E7F7B">
          <w:rPr>
            <w:webHidden/>
          </w:rPr>
        </w:r>
        <w:r w:rsidR="002E7F7B">
          <w:rPr>
            <w:webHidden/>
          </w:rPr>
          <w:fldChar w:fldCharType="separate"/>
        </w:r>
        <w:r w:rsidR="002E7F7B">
          <w:rPr>
            <w:webHidden/>
          </w:rPr>
          <w:t>182</w:t>
        </w:r>
        <w:r w:rsidR="002E7F7B">
          <w:rPr>
            <w:webHidden/>
          </w:rPr>
          <w:fldChar w:fldCharType="end"/>
        </w:r>
      </w:hyperlink>
    </w:p>
    <w:p w14:paraId="2542E967" w14:textId="77777777" w:rsidR="002E7F7B" w:rsidRDefault="00BF4D39">
      <w:pPr>
        <w:pStyle w:val="11"/>
        <w:rPr>
          <w:rFonts w:asciiTheme="minorHAnsi" w:eastAsiaTheme="minorEastAsia" w:hAnsiTheme="minorHAnsi" w:cstheme="minorBidi"/>
          <w:bCs w:val="0"/>
          <w:sz w:val="22"/>
          <w:lang w:eastAsia="ru-RU"/>
        </w:rPr>
      </w:pPr>
      <w:hyperlink w:anchor="_Toc53140933" w:history="1">
        <w:r w:rsidR="002E7F7B" w:rsidRPr="007D0D08">
          <w:rPr>
            <w:rStyle w:val="af2"/>
          </w:rPr>
          <w:t>Приложение</w:t>
        </w:r>
        <w:r w:rsidR="002E7F7B" w:rsidRPr="007D0D08">
          <w:rPr>
            <w:rStyle w:val="af2"/>
            <w:lang w:val="en-US"/>
          </w:rPr>
          <w:t xml:space="preserve"> </w:t>
        </w:r>
        <w:r w:rsidR="002E7F7B" w:rsidRPr="007D0D08">
          <w:rPr>
            <w:rStyle w:val="af2"/>
          </w:rPr>
          <w:t>Г</w:t>
        </w:r>
        <w:r w:rsidR="002E7F7B" w:rsidRPr="007D0D08">
          <w:rPr>
            <w:rStyle w:val="af2"/>
            <w:lang w:val="en-US"/>
          </w:rPr>
          <w:t>13. «</w:t>
        </w:r>
        <w:r w:rsidR="002E7F7B" w:rsidRPr="007D0D08">
          <w:rPr>
            <w:rStyle w:val="af2"/>
          </w:rPr>
          <w:t>Лечение</w:t>
        </w:r>
        <w:r w:rsidR="002E7F7B" w:rsidRPr="007D0D08">
          <w:rPr>
            <w:rStyle w:val="af2"/>
            <w:lang w:val="en-US"/>
          </w:rPr>
          <w:t xml:space="preserve"> </w:t>
        </w:r>
        <w:r w:rsidR="002E7F7B" w:rsidRPr="007D0D08">
          <w:rPr>
            <w:rStyle w:val="af2"/>
          </w:rPr>
          <w:t>вирусных</w:t>
        </w:r>
        <w:r w:rsidR="002E7F7B" w:rsidRPr="007D0D08">
          <w:rPr>
            <w:rStyle w:val="af2"/>
            <w:lang w:val="en-US"/>
          </w:rPr>
          <w:t xml:space="preserve"> </w:t>
        </w:r>
        <w:r w:rsidR="002E7F7B" w:rsidRPr="007D0D08">
          <w:rPr>
            <w:rStyle w:val="af2"/>
          </w:rPr>
          <w:t>инфекций</w:t>
        </w:r>
        <w:r w:rsidR="002E7F7B" w:rsidRPr="007D0D08">
          <w:rPr>
            <w:rStyle w:val="af2"/>
            <w:lang w:val="en-US"/>
          </w:rPr>
          <w:t>»</w:t>
        </w:r>
        <w:r w:rsidR="002E7F7B">
          <w:rPr>
            <w:webHidden/>
          </w:rPr>
          <w:tab/>
        </w:r>
        <w:r w:rsidR="002E7F7B">
          <w:rPr>
            <w:webHidden/>
          </w:rPr>
          <w:fldChar w:fldCharType="begin"/>
        </w:r>
        <w:r w:rsidR="002E7F7B">
          <w:rPr>
            <w:webHidden/>
          </w:rPr>
          <w:instrText xml:space="preserve"> PAGEREF _Toc53140933 \h </w:instrText>
        </w:r>
        <w:r w:rsidR="002E7F7B">
          <w:rPr>
            <w:webHidden/>
          </w:rPr>
        </w:r>
        <w:r w:rsidR="002E7F7B">
          <w:rPr>
            <w:webHidden/>
          </w:rPr>
          <w:fldChar w:fldCharType="separate"/>
        </w:r>
        <w:r w:rsidR="002E7F7B">
          <w:rPr>
            <w:webHidden/>
          </w:rPr>
          <w:t>211</w:t>
        </w:r>
        <w:r w:rsidR="002E7F7B">
          <w:rPr>
            <w:webHidden/>
          </w:rPr>
          <w:fldChar w:fldCharType="end"/>
        </w:r>
      </w:hyperlink>
    </w:p>
    <w:p w14:paraId="1300DE73" w14:textId="77777777" w:rsidR="002E7F7B" w:rsidRDefault="00BF4D39">
      <w:pPr>
        <w:pStyle w:val="11"/>
        <w:rPr>
          <w:rFonts w:asciiTheme="minorHAnsi" w:eastAsiaTheme="minorEastAsia" w:hAnsiTheme="minorHAnsi" w:cstheme="minorBidi"/>
          <w:bCs w:val="0"/>
          <w:sz w:val="22"/>
          <w:lang w:eastAsia="ru-RU"/>
        </w:rPr>
      </w:pPr>
      <w:hyperlink w:anchor="_Toc53140934" w:history="1">
        <w:r w:rsidR="002E7F7B" w:rsidRPr="007D0D08">
          <w:rPr>
            <w:rStyle w:val="af2"/>
          </w:rPr>
          <w:t>Приложение Г14. «Профилактика инфекционных осложнений»</w:t>
        </w:r>
        <w:r w:rsidR="002E7F7B">
          <w:rPr>
            <w:webHidden/>
          </w:rPr>
          <w:tab/>
        </w:r>
        <w:r w:rsidR="002E7F7B">
          <w:rPr>
            <w:webHidden/>
          </w:rPr>
          <w:fldChar w:fldCharType="begin"/>
        </w:r>
        <w:r w:rsidR="002E7F7B">
          <w:rPr>
            <w:webHidden/>
          </w:rPr>
          <w:instrText xml:space="preserve"> PAGEREF _Toc53140934 \h </w:instrText>
        </w:r>
        <w:r w:rsidR="002E7F7B">
          <w:rPr>
            <w:webHidden/>
          </w:rPr>
        </w:r>
        <w:r w:rsidR="002E7F7B">
          <w:rPr>
            <w:webHidden/>
          </w:rPr>
          <w:fldChar w:fldCharType="separate"/>
        </w:r>
        <w:r w:rsidR="002E7F7B">
          <w:rPr>
            <w:webHidden/>
          </w:rPr>
          <w:t>215</w:t>
        </w:r>
        <w:r w:rsidR="002E7F7B">
          <w:rPr>
            <w:webHidden/>
          </w:rPr>
          <w:fldChar w:fldCharType="end"/>
        </w:r>
      </w:hyperlink>
    </w:p>
    <w:p w14:paraId="2362A6F0" w14:textId="77777777" w:rsidR="002E7F7B" w:rsidRDefault="00BF4D39">
      <w:pPr>
        <w:pStyle w:val="11"/>
        <w:rPr>
          <w:rFonts w:asciiTheme="minorHAnsi" w:eastAsiaTheme="minorEastAsia" w:hAnsiTheme="minorHAnsi" w:cstheme="minorBidi"/>
          <w:bCs w:val="0"/>
          <w:sz w:val="22"/>
          <w:lang w:eastAsia="ru-RU"/>
        </w:rPr>
      </w:pPr>
      <w:hyperlink w:anchor="_Toc53140935" w:history="1">
        <w:r w:rsidR="002E7F7B" w:rsidRPr="007D0D08">
          <w:rPr>
            <w:rStyle w:val="af2"/>
          </w:rPr>
          <w:t>Приложение Г15. «Инфузионная терапия»</w:t>
        </w:r>
        <w:r w:rsidR="002E7F7B">
          <w:rPr>
            <w:webHidden/>
          </w:rPr>
          <w:tab/>
        </w:r>
        <w:r w:rsidR="002E7F7B">
          <w:rPr>
            <w:webHidden/>
          </w:rPr>
          <w:fldChar w:fldCharType="begin"/>
        </w:r>
        <w:r w:rsidR="002E7F7B">
          <w:rPr>
            <w:webHidden/>
          </w:rPr>
          <w:instrText xml:space="preserve"> PAGEREF _Toc53140935 \h </w:instrText>
        </w:r>
        <w:r w:rsidR="002E7F7B">
          <w:rPr>
            <w:webHidden/>
          </w:rPr>
        </w:r>
        <w:r w:rsidR="002E7F7B">
          <w:rPr>
            <w:webHidden/>
          </w:rPr>
          <w:fldChar w:fldCharType="separate"/>
        </w:r>
        <w:r w:rsidR="002E7F7B">
          <w:rPr>
            <w:webHidden/>
          </w:rPr>
          <w:t>217</w:t>
        </w:r>
        <w:r w:rsidR="002E7F7B">
          <w:rPr>
            <w:webHidden/>
          </w:rPr>
          <w:fldChar w:fldCharType="end"/>
        </w:r>
      </w:hyperlink>
    </w:p>
    <w:p w14:paraId="17B3095E" w14:textId="77777777" w:rsidR="008F3621" w:rsidRPr="00F242DD" w:rsidRDefault="00A96FB6" w:rsidP="00131E36">
      <w:pPr>
        <w:spacing w:before="0" w:after="0"/>
        <w:rPr>
          <w:b/>
        </w:rPr>
      </w:pPr>
      <w:r w:rsidRPr="00F242DD">
        <w:rPr>
          <w:b/>
        </w:rPr>
        <w:fldChar w:fldCharType="end"/>
      </w:r>
    </w:p>
    <w:p w14:paraId="4A7B11C5" w14:textId="77777777" w:rsidR="004D7374" w:rsidRPr="00F242DD" w:rsidRDefault="004D7374" w:rsidP="00E36DFA">
      <w:pPr>
        <w:pStyle w:val="1"/>
      </w:pPr>
      <w:bookmarkStart w:id="2" w:name="_Toc520213121"/>
      <w:bookmarkStart w:id="3" w:name="_Toc53140879"/>
      <w:r w:rsidRPr="00F242DD">
        <w:lastRenderedPageBreak/>
        <w:t>Список сокращений</w:t>
      </w:r>
      <w:bookmarkEnd w:id="2"/>
      <w:bookmarkEnd w:id="3"/>
    </w:p>
    <w:p w14:paraId="6E659C5D" w14:textId="77777777" w:rsidR="00D41B78" w:rsidRPr="00F242DD" w:rsidRDefault="00D41B78" w:rsidP="00131E36">
      <w:pPr>
        <w:spacing w:before="0" w:after="0"/>
        <w:ind w:firstLine="709"/>
        <w:contextualSpacing/>
        <w:rPr>
          <w:rFonts w:eastAsia="Times New Roman"/>
          <w:szCs w:val="24"/>
        </w:rPr>
      </w:pPr>
      <w:r w:rsidRPr="00F242DD">
        <w:rPr>
          <w:rFonts w:eastAsia="Times New Roman"/>
          <w:b/>
          <w:szCs w:val="24"/>
        </w:rPr>
        <w:t>BBD</w:t>
      </w:r>
      <w:r w:rsidR="00DA68C1" w:rsidRPr="00F242DD">
        <w:rPr>
          <w:rFonts w:eastAsia="Times New Roman"/>
          <w:b/>
          <w:szCs w:val="24"/>
        </w:rPr>
        <w:t xml:space="preserve"> </w:t>
      </w:r>
      <w:r w:rsidRPr="00F242DD">
        <w:rPr>
          <w:rFonts w:eastAsia="Times New Roman"/>
          <w:szCs w:val="24"/>
          <w:lang w:eastAsia="ru-RU"/>
        </w:rPr>
        <w:t xml:space="preserve">– </w:t>
      </w:r>
      <w:r w:rsidRPr="00F242DD">
        <w:rPr>
          <w:szCs w:val="24"/>
        </w:rPr>
        <w:t xml:space="preserve">режим иммунохимиотерапии, включающий бендамустин**, бортезомиб** и дексаметазон** </w:t>
      </w:r>
    </w:p>
    <w:p w14:paraId="4B2C87E8" w14:textId="77777777" w:rsidR="00A852AC" w:rsidRPr="00F242DD" w:rsidRDefault="00A852AC" w:rsidP="00131E36">
      <w:pPr>
        <w:spacing w:before="0" w:after="0"/>
        <w:ind w:firstLine="709"/>
        <w:contextualSpacing/>
        <w:rPr>
          <w:rFonts w:eastAsia="Times New Roman"/>
          <w:szCs w:val="24"/>
        </w:rPr>
      </w:pPr>
      <w:r w:rsidRPr="00F242DD">
        <w:rPr>
          <w:rFonts w:eastAsia="Times New Roman"/>
          <w:b/>
          <w:szCs w:val="24"/>
        </w:rPr>
        <w:t>BP</w:t>
      </w:r>
      <w:r w:rsidR="0086466D" w:rsidRPr="00F242DD">
        <w:rPr>
          <w:rFonts w:eastAsia="Times New Roman"/>
          <w:b/>
          <w:szCs w:val="24"/>
        </w:rPr>
        <w:t xml:space="preserve"> </w:t>
      </w:r>
      <w:r w:rsidRPr="00F242DD">
        <w:rPr>
          <w:rFonts w:eastAsia="Times New Roman"/>
          <w:szCs w:val="24"/>
          <w:lang w:eastAsia="ru-RU"/>
        </w:rPr>
        <w:t xml:space="preserve">– </w:t>
      </w:r>
      <w:r w:rsidRPr="00F242DD">
        <w:rPr>
          <w:szCs w:val="24"/>
        </w:rPr>
        <w:t xml:space="preserve">режим иммунохимиотерапии, включающий бендамустин** и преднизолон** </w:t>
      </w:r>
    </w:p>
    <w:p w14:paraId="0666AD52" w14:textId="77777777" w:rsidR="00D41B78" w:rsidRPr="00F242DD" w:rsidRDefault="00D41B78" w:rsidP="00131E36">
      <w:pPr>
        <w:spacing w:before="0" w:after="0"/>
        <w:ind w:firstLine="709"/>
        <w:contextualSpacing/>
        <w:rPr>
          <w:rFonts w:eastAsia="Times New Roman"/>
          <w:szCs w:val="24"/>
        </w:rPr>
      </w:pPr>
      <w:r w:rsidRPr="00F242DD">
        <w:rPr>
          <w:rFonts w:eastAsia="Times New Roman"/>
          <w:b/>
          <w:szCs w:val="24"/>
        </w:rPr>
        <w:t>BRD</w:t>
      </w:r>
      <w:r w:rsidR="00DA68C1" w:rsidRPr="00F242DD">
        <w:rPr>
          <w:rFonts w:eastAsia="Times New Roman"/>
          <w:b/>
          <w:szCs w:val="24"/>
        </w:rPr>
        <w:t xml:space="preserve"> </w:t>
      </w:r>
      <w:r w:rsidRPr="00F242DD">
        <w:rPr>
          <w:rFonts w:eastAsia="Times New Roman"/>
          <w:szCs w:val="24"/>
          <w:lang w:eastAsia="ru-RU"/>
        </w:rPr>
        <w:t xml:space="preserve">– </w:t>
      </w:r>
      <w:r w:rsidRPr="00F242DD">
        <w:rPr>
          <w:szCs w:val="24"/>
        </w:rPr>
        <w:t xml:space="preserve">режим иммунохимиотерапии, включающий бендамустин**, леналидомид** и дексаметазон** </w:t>
      </w:r>
    </w:p>
    <w:p w14:paraId="2C13D4B1" w14:textId="77777777" w:rsidR="009D5CFE" w:rsidRPr="00F242DD" w:rsidRDefault="009D5CFE" w:rsidP="00131E36">
      <w:pPr>
        <w:spacing w:before="0" w:after="0"/>
        <w:ind w:firstLine="709"/>
        <w:contextualSpacing/>
        <w:rPr>
          <w:rFonts w:eastAsia="Times New Roman"/>
          <w:szCs w:val="24"/>
          <w:lang w:eastAsia="ru-RU"/>
        </w:rPr>
      </w:pPr>
      <w:r w:rsidRPr="00F242DD">
        <w:rPr>
          <w:rFonts w:eastAsia="Times New Roman"/>
          <w:b/>
          <w:szCs w:val="24"/>
          <w:lang w:eastAsia="ru-RU"/>
        </w:rPr>
        <w:t>CD</w:t>
      </w:r>
      <w:r w:rsidRPr="00F242DD">
        <w:rPr>
          <w:rFonts w:eastAsia="Times New Roman"/>
          <w:szCs w:val="24"/>
          <w:lang w:eastAsia="ru-RU"/>
        </w:rPr>
        <w:t xml:space="preserve"> – </w:t>
      </w:r>
      <w:r w:rsidRPr="00F242DD">
        <w:rPr>
          <w:szCs w:val="24"/>
        </w:rPr>
        <w:t xml:space="preserve">режим иммунохимиотерапии, включающий циклофосфамид** и преднизолон** </w:t>
      </w:r>
    </w:p>
    <w:p w14:paraId="0FD36318" w14:textId="77777777" w:rsidR="00A852AC" w:rsidRPr="00F242DD" w:rsidRDefault="00A852AC" w:rsidP="00131E36">
      <w:pPr>
        <w:spacing w:before="0" w:after="0"/>
        <w:ind w:firstLine="709"/>
        <w:contextualSpacing/>
        <w:rPr>
          <w:szCs w:val="24"/>
        </w:rPr>
      </w:pPr>
      <w:r w:rsidRPr="00F242DD">
        <w:rPr>
          <w:rFonts w:eastAsia="Times New Roman"/>
          <w:b/>
          <w:szCs w:val="24"/>
          <w:lang w:eastAsia="ru-RU"/>
        </w:rPr>
        <w:t>СР</w:t>
      </w:r>
      <w:r w:rsidRPr="00F242DD">
        <w:rPr>
          <w:rFonts w:eastAsia="Times New Roman"/>
          <w:szCs w:val="24"/>
          <w:lang w:eastAsia="ru-RU"/>
        </w:rPr>
        <w:t xml:space="preserve"> – </w:t>
      </w:r>
      <w:r w:rsidRPr="00F242DD">
        <w:rPr>
          <w:szCs w:val="24"/>
        </w:rPr>
        <w:t xml:space="preserve">режим иммунохимиотерапии, включающий циклофосфамид** и преднизолон** </w:t>
      </w:r>
    </w:p>
    <w:p w14:paraId="3B8D4C90" w14:textId="77777777" w:rsidR="00037CBC" w:rsidRPr="00F242DD" w:rsidRDefault="00037CBC" w:rsidP="00131E36">
      <w:pPr>
        <w:spacing w:before="0" w:after="0"/>
        <w:ind w:firstLine="709"/>
        <w:contextualSpacing/>
        <w:rPr>
          <w:rFonts w:eastAsia="Times New Roman"/>
          <w:szCs w:val="24"/>
          <w:lang w:eastAsia="ru-RU"/>
        </w:rPr>
      </w:pPr>
      <w:r w:rsidRPr="00F242DD">
        <w:rPr>
          <w:rFonts w:eastAsia="Times New Roman"/>
          <w:b/>
          <w:szCs w:val="24"/>
          <w:lang w:val="en-US" w:eastAsia="ru-RU"/>
        </w:rPr>
        <w:t>CRAB</w:t>
      </w:r>
      <w:r w:rsidR="00DA68C1" w:rsidRPr="00F242DD">
        <w:rPr>
          <w:rFonts w:eastAsia="Times New Roman"/>
          <w:b/>
          <w:szCs w:val="24"/>
          <w:lang w:eastAsia="ru-RU"/>
        </w:rPr>
        <w:t xml:space="preserve"> </w:t>
      </w:r>
      <w:r w:rsidRPr="00F242DD">
        <w:rPr>
          <w:rFonts w:eastAsia="Times New Roman"/>
          <w:b/>
          <w:szCs w:val="24"/>
          <w:lang w:eastAsia="ru-RU"/>
        </w:rPr>
        <w:t>–</w:t>
      </w:r>
      <w:r w:rsidRPr="00F242DD">
        <w:rPr>
          <w:rFonts w:eastAsia="Times New Roman"/>
          <w:szCs w:val="24"/>
          <w:lang w:eastAsia="ru-RU"/>
        </w:rPr>
        <w:t xml:space="preserve"> совокупность органных повреждений при симптоматической </w:t>
      </w:r>
      <w:r w:rsidR="00E66AB6" w:rsidRPr="00F242DD">
        <w:rPr>
          <w:rFonts w:eastAsia="Times New Roman"/>
          <w:szCs w:val="24"/>
          <w:lang w:eastAsia="ru-RU"/>
        </w:rPr>
        <w:t>множественной миеломе:</w:t>
      </w:r>
      <w:r w:rsidRPr="00F242DD">
        <w:rPr>
          <w:rFonts w:eastAsia="Times New Roman"/>
          <w:szCs w:val="24"/>
          <w:lang w:eastAsia="ru-RU"/>
        </w:rPr>
        <w:t xml:space="preserve"> гиперкальциемия, дисфункция почек, анемия, повреждения костей</w:t>
      </w:r>
    </w:p>
    <w:p w14:paraId="36BEF6AC" w14:textId="77777777" w:rsidR="00B83110" w:rsidRPr="00F242DD" w:rsidRDefault="00B83110" w:rsidP="00131E36">
      <w:pPr>
        <w:spacing w:before="0" w:after="0"/>
        <w:ind w:firstLine="709"/>
        <w:contextualSpacing/>
        <w:rPr>
          <w:rFonts w:eastAsia="Times New Roman"/>
          <w:szCs w:val="24"/>
          <w:lang w:eastAsia="ru-RU"/>
        </w:rPr>
      </w:pPr>
      <w:r w:rsidRPr="00F242DD">
        <w:rPr>
          <w:rFonts w:eastAsia="Times New Roman"/>
          <w:b/>
          <w:szCs w:val="24"/>
          <w:lang w:eastAsia="ru-RU"/>
        </w:rPr>
        <w:t>CVD</w:t>
      </w:r>
      <w:r w:rsidRPr="00F242DD">
        <w:rPr>
          <w:rFonts w:eastAsia="Times New Roman"/>
          <w:szCs w:val="24"/>
          <w:lang w:eastAsia="ru-RU"/>
        </w:rPr>
        <w:t xml:space="preserve"> – </w:t>
      </w:r>
      <w:r w:rsidRPr="00F242DD">
        <w:rPr>
          <w:szCs w:val="24"/>
        </w:rPr>
        <w:t xml:space="preserve">режим иммунохимиотерапии, включающий циклофосфамид**, бортезомиб** и дексаметазон** </w:t>
      </w:r>
    </w:p>
    <w:p w14:paraId="5709ED77" w14:textId="77777777" w:rsidR="005451CE" w:rsidRPr="00F242DD" w:rsidRDefault="005451CE" w:rsidP="00131E36">
      <w:pPr>
        <w:spacing w:before="0" w:after="0"/>
        <w:ind w:firstLine="709"/>
        <w:contextualSpacing/>
        <w:rPr>
          <w:rFonts w:eastAsia="Times New Roman"/>
          <w:szCs w:val="24"/>
          <w:lang w:eastAsia="ru-RU"/>
        </w:rPr>
      </w:pPr>
      <w:r w:rsidRPr="00F242DD">
        <w:rPr>
          <w:rFonts w:eastAsia="Times New Roman"/>
          <w:b/>
          <w:szCs w:val="24"/>
          <w:lang w:val="en-US" w:eastAsia="ru-RU"/>
        </w:rPr>
        <w:t>Dara</w:t>
      </w:r>
      <w:r w:rsidRPr="00F242DD">
        <w:rPr>
          <w:rFonts w:eastAsia="Times New Roman"/>
          <w:b/>
          <w:szCs w:val="24"/>
          <w:lang w:eastAsia="ru-RU"/>
        </w:rPr>
        <w:t>-</w:t>
      </w:r>
      <w:r w:rsidRPr="00F242DD">
        <w:rPr>
          <w:rFonts w:eastAsia="Times New Roman"/>
          <w:b/>
          <w:szCs w:val="24"/>
          <w:lang w:val="en-US" w:eastAsia="ru-RU"/>
        </w:rPr>
        <w:t>Rd</w:t>
      </w:r>
      <w:r w:rsidRPr="00F242DD">
        <w:rPr>
          <w:rFonts w:eastAsia="Times New Roman"/>
          <w:szCs w:val="24"/>
          <w:lang w:eastAsia="ru-RU"/>
        </w:rPr>
        <w:t xml:space="preserve"> – </w:t>
      </w:r>
      <w:r w:rsidRPr="00F242DD">
        <w:rPr>
          <w:szCs w:val="24"/>
        </w:rPr>
        <w:t xml:space="preserve">режим иммунохимиотерапии, включающий даратумумаб**, леналидомид** и дексаметазон** </w:t>
      </w:r>
    </w:p>
    <w:p w14:paraId="32E7C4EC" w14:textId="77777777" w:rsidR="005451CE" w:rsidRPr="00F242DD" w:rsidRDefault="005451CE" w:rsidP="00131E36">
      <w:pPr>
        <w:autoSpaceDE w:val="0"/>
        <w:autoSpaceDN w:val="0"/>
        <w:adjustRightInd w:val="0"/>
        <w:spacing w:before="0" w:after="0"/>
        <w:ind w:firstLine="709"/>
        <w:contextualSpacing/>
        <w:rPr>
          <w:szCs w:val="24"/>
          <w:lang w:eastAsia="ru-RU"/>
        </w:rPr>
      </w:pPr>
      <w:r w:rsidRPr="00F242DD">
        <w:rPr>
          <w:b/>
          <w:szCs w:val="24"/>
          <w:lang w:val="en-US" w:eastAsia="ru-RU"/>
        </w:rPr>
        <w:t>Dara</w:t>
      </w:r>
      <w:r w:rsidRPr="00F242DD">
        <w:rPr>
          <w:b/>
          <w:szCs w:val="24"/>
          <w:lang w:eastAsia="ru-RU"/>
        </w:rPr>
        <w:t>-</w:t>
      </w:r>
      <w:r w:rsidRPr="00F242DD">
        <w:rPr>
          <w:b/>
          <w:szCs w:val="24"/>
          <w:lang w:val="en-US" w:eastAsia="ru-RU"/>
        </w:rPr>
        <w:t>VD</w:t>
      </w:r>
      <w:r w:rsidR="00DA68C1" w:rsidRPr="00F242DD">
        <w:rPr>
          <w:b/>
          <w:szCs w:val="24"/>
          <w:lang w:eastAsia="ru-RU"/>
        </w:rPr>
        <w:t xml:space="preserve"> </w:t>
      </w:r>
      <w:r w:rsidRPr="00F242DD">
        <w:rPr>
          <w:rFonts w:eastAsia="Times New Roman"/>
          <w:szCs w:val="24"/>
          <w:lang w:eastAsia="ru-RU"/>
        </w:rPr>
        <w:t xml:space="preserve">– </w:t>
      </w:r>
      <w:r w:rsidRPr="00F242DD">
        <w:rPr>
          <w:szCs w:val="24"/>
        </w:rPr>
        <w:t xml:space="preserve">режим иммунохимиотерапии, включающий даратумумаб**, бортезомиб** и дексаметазон** </w:t>
      </w:r>
    </w:p>
    <w:p w14:paraId="007A71A6" w14:textId="77777777" w:rsidR="005451CE" w:rsidRPr="00F242DD" w:rsidRDefault="005451CE" w:rsidP="00131E36">
      <w:pPr>
        <w:autoSpaceDE w:val="0"/>
        <w:autoSpaceDN w:val="0"/>
        <w:adjustRightInd w:val="0"/>
        <w:spacing w:before="0" w:after="0"/>
        <w:ind w:firstLine="709"/>
        <w:contextualSpacing/>
        <w:rPr>
          <w:szCs w:val="24"/>
          <w:lang w:eastAsia="ru-RU"/>
        </w:rPr>
      </w:pPr>
      <w:r w:rsidRPr="00F242DD">
        <w:rPr>
          <w:b/>
          <w:szCs w:val="24"/>
          <w:lang w:val="en-US" w:eastAsia="ru-RU"/>
        </w:rPr>
        <w:t>Dara</w:t>
      </w:r>
      <w:r w:rsidRPr="00F242DD">
        <w:rPr>
          <w:b/>
          <w:szCs w:val="24"/>
          <w:lang w:eastAsia="ru-RU"/>
        </w:rPr>
        <w:t>-</w:t>
      </w:r>
      <w:r w:rsidRPr="00F242DD">
        <w:rPr>
          <w:b/>
          <w:szCs w:val="24"/>
          <w:lang w:val="en-US" w:eastAsia="ru-RU"/>
        </w:rPr>
        <w:t>VMP</w:t>
      </w:r>
      <w:r w:rsidR="00DA68C1" w:rsidRPr="00F242DD">
        <w:rPr>
          <w:b/>
          <w:szCs w:val="24"/>
          <w:lang w:eastAsia="ru-RU"/>
        </w:rPr>
        <w:t xml:space="preserve"> </w:t>
      </w:r>
      <w:r w:rsidRPr="00F242DD">
        <w:rPr>
          <w:rFonts w:eastAsia="Times New Roman"/>
          <w:szCs w:val="24"/>
          <w:lang w:eastAsia="ru-RU"/>
        </w:rPr>
        <w:t xml:space="preserve">– </w:t>
      </w:r>
      <w:r w:rsidRPr="00F242DD">
        <w:rPr>
          <w:szCs w:val="24"/>
        </w:rPr>
        <w:t xml:space="preserve">режим иммунохимиотерапии, включающий даратумумаб**, мелфалан**, бортезомиб** и преднизолон** </w:t>
      </w:r>
    </w:p>
    <w:p w14:paraId="74668D99" w14:textId="77777777" w:rsidR="00524AC8" w:rsidRPr="00F242DD" w:rsidRDefault="00524AC8" w:rsidP="00131E36">
      <w:pPr>
        <w:pStyle w:val="af7"/>
        <w:tabs>
          <w:tab w:val="left" w:pos="0"/>
        </w:tabs>
        <w:spacing w:after="0" w:line="360" w:lineRule="auto"/>
        <w:ind w:firstLine="709"/>
        <w:contextualSpacing/>
      </w:pPr>
      <w:r w:rsidRPr="00F242DD">
        <w:rPr>
          <w:b/>
          <w:lang w:eastAsia="ru-RU"/>
        </w:rPr>
        <w:t>DCEP</w:t>
      </w:r>
      <w:r w:rsidRPr="00F242DD">
        <w:rPr>
          <w:lang w:eastAsia="ru-RU"/>
        </w:rPr>
        <w:t xml:space="preserve"> – </w:t>
      </w:r>
      <w:r w:rsidRPr="00F242DD">
        <w:t xml:space="preserve">режим иммунохимиотерапии, включающий циклофосфамид**, </w:t>
      </w:r>
      <w:r w:rsidR="00257474" w:rsidRPr="00F242DD">
        <w:t>#</w:t>
      </w:r>
      <w:r w:rsidRPr="00F242DD">
        <w:t xml:space="preserve">этопозид**, </w:t>
      </w:r>
      <w:r w:rsidR="00257474" w:rsidRPr="00F242DD">
        <w:t>#</w:t>
      </w:r>
      <w:r w:rsidRPr="00F242DD">
        <w:t xml:space="preserve">цисплатин** и дексаметазон** </w:t>
      </w:r>
    </w:p>
    <w:p w14:paraId="1D530B70" w14:textId="77777777" w:rsidR="005451CE" w:rsidRPr="00F242DD" w:rsidRDefault="005451CE" w:rsidP="00131E36">
      <w:pPr>
        <w:pStyle w:val="af7"/>
        <w:tabs>
          <w:tab w:val="left" w:pos="0"/>
        </w:tabs>
        <w:spacing w:after="0" w:line="360" w:lineRule="auto"/>
        <w:ind w:firstLine="709"/>
        <w:contextualSpacing/>
      </w:pPr>
      <w:r w:rsidRPr="00F242DD">
        <w:rPr>
          <w:b/>
        </w:rPr>
        <w:t>EloRd</w:t>
      </w:r>
      <w:r w:rsidR="00DA68C1" w:rsidRPr="00F242DD">
        <w:rPr>
          <w:b/>
        </w:rPr>
        <w:t xml:space="preserve"> </w:t>
      </w:r>
      <w:r w:rsidRPr="00F242DD">
        <w:rPr>
          <w:lang w:eastAsia="ru-RU"/>
        </w:rPr>
        <w:t xml:space="preserve">– </w:t>
      </w:r>
      <w:r w:rsidRPr="00F242DD">
        <w:t xml:space="preserve">режим иммунохимиотерапии, включающий элотузумаб, леналидомид** и дексаметазон** </w:t>
      </w:r>
    </w:p>
    <w:p w14:paraId="15EA9970" w14:textId="77777777" w:rsidR="00524AC8" w:rsidRPr="00F242DD" w:rsidRDefault="00524AC8" w:rsidP="00131E36">
      <w:pPr>
        <w:spacing w:before="0" w:after="0"/>
        <w:ind w:firstLine="709"/>
        <w:contextualSpacing/>
        <w:rPr>
          <w:szCs w:val="24"/>
        </w:rPr>
      </w:pPr>
      <w:r w:rsidRPr="00F242DD">
        <w:rPr>
          <w:b/>
          <w:szCs w:val="24"/>
        </w:rPr>
        <w:t>IMWG</w:t>
      </w:r>
      <w:r w:rsidRPr="00F242DD">
        <w:rPr>
          <w:szCs w:val="24"/>
        </w:rPr>
        <w:t xml:space="preserve"> – Международная группа по изучению множественной миеломы</w:t>
      </w:r>
    </w:p>
    <w:p w14:paraId="640D17AE" w14:textId="77777777" w:rsidR="00524AC8" w:rsidRPr="00F242DD" w:rsidRDefault="00524AC8" w:rsidP="00131E36">
      <w:pPr>
        <w:spacing w:before="0" w:after="0"/>
        <w:ind w:firstLine="709"/>
        <w:contextualSpacing/>
        <w:rPr>
          <w:szCs w:val="24"/>
        </w:rPr>
      </w:pPr>
      <w:r w:rsidRPr="00F242DD">
        <w:rPr>
          <w:b/>
          <w:szCs w:val="24"/>
        </w:rPr>
        <w:t>ISS</w:t>
      </w:r>
      <w:r w:rsidRPr="00F242DD">
        <w:rPr>
          <w:szCs w:val="24"/>
        </w:rPr>
        <w:t xml:space="preserve"> – международная система стадирования (International</w:t>
      </w:r>
      <w:r w:rsidR="00434DBC" w:rsidRPr="00F242DD">
        <w:rPr>
          <w:szCs w:val="24"/>
        </w:rPr>
        <w:t xml:space="preserve"> </w:t>
      </w:r>
      <w:r w:rsidRPr="00F242DD">
        <w:rPr>
          <w:szCs w:val="24"/>
        </w:rPr>
        <w:t>Staging</w:t>
      </w:r>
      <w:r w:rsidR="00434DBC" w:rsidRPr="00F242DD">
        <w:rPr>
          <w:szCs w:val="24"/>
        </w:rPr>
        <w:t xml:space="preserve"> </w:t>
      </w:r>
      <w:r w:rsidRPr="00F242DD">
        <w:rPr>
          <w:szCs w:val="24"/>
        </w:rPr>
        <w:t>System – ISS)</w:t>
      </w:r>
    </w:p>
    <w:p w14:paraId="65525EAD" w14:textId="77777777" w:rsidR="00496D81" w:rsidRPr="00F242DD" w:rsidRDefault="00496D81" w:rsidP="00131E36">
      <w:pPr>
        <w:spacing w:before="0" w:after="0"/>
        <w:ind w:firstLine="709"/>
        <w:contextualSpacing/>
        <w:rPr>
          <w:szCs w:val="24"/>
        </w:rPr>
      </w:pPr>
      <w:r w:rsidRPr="00F242DD">
        <w:rPr>
          <w:b/>
          <w:szCs w:val="24"/>
          <w:lang w:val="en-US"/>
        </w:rPr>
        <w:t>Ig</w:t>
      </w:r>
      <w:r w:rsidRPr="00F242DD">
        <w:rPr>
          <w:szCs w:val="24"/>
        </w:rPr>
        <w:t xml:space="preserve"> − иммуноглобулин</w:t>
      </w:r>
    </w:p>
    <w:p w14:paraId="24070557" w14:textId="77777777" w:rsidR="00E23DCE" w:rsidRPr="00F242DD" w:rsidRDefault="00E23DCE" w:rsidP="00131E36">
      <w:pPr>
        <w:spacing w:before="0" w:after="0"/>
        <w:ind w:firstLine="709"/>
        <w:contextualSpacing/>
        <w:rPr>
          <w:rFonts w:eastAsia="Times New Roman"/>
          <w:szCs w:val="24"/>
        </w:rPr>
      </w:pPr>
      <w:r w:rsidRPr="00F242DD">
        <w:rPr>
          <w:rFonts w:eastAsia="Times New Roman"/>
          <w:b/>
          <w:szCs w:val="24"/>
        </w:rPr>
        <w:t>IxaRd</w:t>
      </w:r>
      <w:r w:rsidR="00DA68C1" w:rsidRPr="00F242DD">
        <w:rPr>
          <w:rFonts w:eastAsia="Times New Roman"/>
          <w:b/>
          <w:szCs w:val="24"/>
        </w:rPr>
        <w:t xml:space="preserve"> </w:t>
      </w:r>
      <w:r w:rsidRPr="00F242DD">
        <w:rPr>
          <w:rFonts w:eastAsia="Times New Roman"/>
          <w:szCs w:val="24"/>
          <w:lang w:eastAsia="ru-RU"/>
        </w:rPr>
        <w:t xml:space="preserve">– </w:t>
      </w:r>
      <w:r w:rsidRPr="00F242DD">
        <w:rPr>
          <w:szCs w:val="24"/>
        </w:rPr>
        <w:t xml:space="preserve">режим иммунохимиотерапии, включающий иксазомиб**, леналидомид** и дексаметазон** </w:t>
      </w:r>
    </w:p>
    <w:p w14:paraId="3C64A310" w14:textId="77777777" w:rsidR="00D41B78" w:rsidRPr="00F242DD" w:rsidRDefault="00D41B78" w:rsidP="00131E36">
      <w:pPr>
        <w:spacing w:before="0" w:after="0"/>
        <w:ind w:firstLine="709"/>
        <w:contextualSpacing/>
        <w:rPr>
          <w:rFonts w:eastAsia="Times New Roman"/>
          <w:szCs w:val="24"/>
        </w:rPr>
      </w:pPr>
      <w:r w:rsidRPr="00F242DD">
        <w:rPr>
          <w:rFonts w:eastAsia="Times New Roman"/>
          <w:b/>
          <w:szCs w:val="24"/>
        </w:rPr>
        <w:t>К</w:t>
      </w:r>
      <w:r w:rsidRPr="00F242DD">
        <w:rPr>
          <w:rFonts w:eastAsia="Times New Roman"/>
          <w:b/>
          <w:szCs w:val="24"/>
          <w:lang w:val="en-US"/>
        </w:rPr>
        <w:t>d</w:t>
      </w:r>
      <w:r w:rsidR="00DA68C1" w:rsidRPr="00F242DD">
        <w:rPr>
          <w:rFonts w:eastAsia="Times New Roman"/>
          <w:b/>
          <w:szCs w:val="24"/>
        </w:rPr>
        <w:t xml:space="preserve"> </w:t>
      </w:r>
      <w:r w:rsidRPr="00F242DD">
        <w:rPr>
          <w:rFonts w:eastAsia="Times New Roman"/>
          <w:szCs w:val="24"/>
          <w:lang w:eastAsia="ru-RU"/>
        </w:rPr>
        <w:t xml:space="preserve">– </w:t>
      </w:r>
      <w:r w:rsidRPr="00F242DD">
        <w:rPr>
          <w:szCs w:val="24"/>
        </w:rPr>
        <w:t xml:space="preserve">режим иммунохимиотерапии, включающий карфилзомиб** и дексаметазон** </w:t>
      </w:r>
    </w:p>
    <w:p w14:paraId="7BD06916" w14:textId="77777777" w:rsidR="00E23DCE" w:rsidRPr="00F242DD" w:rsidRDefault="00E23DCE" w:rsidP="00131E36">
      <w:pPr>
        <w:spacing w:before="0" w:after="0"/>
        <w:ind w:firstLine="709"/>
        <w:contextualSpacing/>
        <w:rPr>
          <w:rFonts w:eastAsia="Times New Roman"/>
          <w:szCs w:val="24"/>
        </w:rPr>
      </w:pPr>
      <w:r w:rsidRPr="00F242DD">
        <w:rPr>
          <w:rFonts w:eastAsia="Times New Roman"/>
          <w:b/>
          <w:szCs w:val="24"/>
        </w:rPr>
        <w:t>KRd</w:t>
      </w:r>
      <w:r w:rsidR="00DA68C1" w:rsidRPr="00F242DD">
        <w:rPr>
          <w:rFonts w:eastAsia="Times New Roman"/>
          <w:b/>
          <w:szCs w:val="24"/>
        </w:rPr>
        <w:t xml:space="preserve"> </w:t>
      </w:r>
      <w:r w:rsidRPr="00F242DD">
        <w:rPr>
          <w:rFonts w:eastAsia="Times New Roman"/>
          <w:szCs w:val="24"/>
          <w:lang w:eastAsia="ru-RU"/>
        </w:rPr>
        <w:t xml:space="preserve">– </w:t>
      </w:r>
      <w:r w:rsidRPr="00F242DD">
        <w:rPr>
          <w:szCs w:val="24"/>
        </w:rPr>
        <w:t xml:space="preserve">режим иммунохимиотерапии, включающий карфилзомиб**, леналидомид** и дексаметазон** </w:t>
      </w:r>
    </w:p>
    <w:p w14:paraId="055C6DC0" w14:textId="77777777" w:rsidR="00A852AC" w:rsidRPr="00F242DD" w:rsidRDefault="00A852AC" w:rsidP="00131E36">
      <w:pPr>
        <w:spacing w:before="0" w:after="0"/>
        <w:ind w:firstLine="709"/>
        <w:contextualSpacing/>
        <w:rPr>
          <w:rFonts w:eastAsia="Times New Roman"/>
          <w:szCs w:val="24"/>
          <w:u w:val="single"/>
          <w:lang w:eastAsia="ru-RU"/>
        </w:rPr>
      </w:pPr>
      <w:r w:rsidRPr="00F242DD">
        <w:rPr>
          <w:rFonts w:eastAsia="Times New Roman"/>
          <w:b/>
          <w:szCs w:val="24"/>
          <w:lang w:eastAsia="ru-RU"/>
        </w:rPr>
        <w:lastRenderedPageBreak/>
        <w:t>MP</w:t>
      </w:r>
      <w:r w:rsidRPr="00F242DD">
        <w:rPr>
          <w:rFonts w:eastAsia="Times New Roman"/>
          <w:szCs w:val="24"/>
          <w:lang w:eastAsia="ru-RU"/>
        </w:rPr>
        <w:t xml:space="preserve"> – </w:t>
      </w:r>
      <w:r w:rsidRPr="00F242DD">
        <w:rPr>
          <w:szCs w:val="24"/>
        </w:rPr>
        <w:t xml:space="preserve">режим иммунохимиотерапии, включающий мелфалан** и преднизолон** </w:t>
      </w:r>
    </w:p>
    <w:p w14:paraId="45EB22DC" w14:textId="77777777" w:rsidR="00A852AC" w:rsidRPr="00F242DD" w:rsidRDefault="00A852AC" w:rsidP="00131E36">
      <w:pPr>
        <w:spacing w:before="0" w:after="0"/>
        <w:ind w:firstLine="709"/>
        <w:contextualSpacing/>
        <w:rPr>
          <w:rFonts w:eastAsia="Times New Roman"/>
          <w:szCs w:val="24"/>
          <w:lang w:eastAsia="ru-RU"/>
        </w:rPr>
      </w:pPr>
      <w:r w:rsidRPr="00F242DD">
        <w:rPr>
          <w:rFonts w:eastAsia="Times New Roman"/>
          <w:b/>
          <w:szCs w:val="24"/>
          <w:lang w:eastAsia="ru-RU"/>
        </w:rPr>
        <w:t>MP</w:t>
      </w:r>
      <w:r w:rsidRPr="00F242DD">
        <w:rPr>
          <w:rFonts w:eastAsia="Times New Roman"/>
          <w:b/>
          <w:szCs w:val="24"/>
          <w:lang w:val="en-US" w:eastAsia="ru-RU"/>
        </w:rPr>
        <w:t>R</w:t>
      </w:r>
      <w:r w:rsidRPr="00F242DD">
        <w:rPr>
          <w:rFonts w:eastAsia="Times New Roman"/>
          <w:szCs w:val="24"/>
          <w:lang w:eastAsia="ru-RU"/>
        </w:rPr>
        <w:t xml:space="preserve"> – </w:t>
      </w:r>
      <w:r w:rsidRPr="00F242DD">
        <w:rPr>
          <w:szCs w:val="24"/>
        </w:rPr>
        <w:t xml:space="preserve">режим иммунохимиотерапии, включающий мелфалан**, леналидомид** и преднизолон** </w:t>
      </w:r>
    </w:p>
    <w:p w14:paraId="68A53008" w14:textId="77777777" w:rsidR="00A852AC" w:rsidRPr="00F242DD" w:rsidRDefault="00A852AC" w:rsidP="00131E36">
      <w:pPr>
        <w:spacing w:before="0" w:after="0"/>
        <w:ind w:firstLine="709"/>
        <w:contextualSpacing/>
        <w:rPr>
          <w:rFonts w:eastAsia="Times New Roman"/>
          <w:szCs w:val="24"/>
          <w:lang w:eastAsia="ru-RU"/>
        </w:rPr>
      </w:pPr>
      <w:r w:rsidRPr="00F242DD">
        <w:rPr>
          <w:rFonts w:eastAsia="Times New Roman"/>
          <w:b/>
          <w:szCs w:val="24"/>
          <w:lang w:eastAsia="ru-RU"/>
        </w:rPr>
        <w:t>PAD</w:t>
      </w:r>
      <w:r w:rsidRPr="00F242DD">
        <w:rPr>
          <w:rFonts w:eastAsia="Times New Roman"/>
          <w:szCs w:val="24"/>
          <w:lang w:eastAsia="ru-RU"/>
        </w:rPr>
        <w:t xml:space="preserve"> – </w:t>
      </w:r>
      <w:r w:rsidRPr="00F242DD">
        <w:rPr>
          <w:szCs w:val="24"/>
        </w:rPr>
        <w:t xml:space="preserve">режим иммунохимиотерапии, включающий доксорубицин**, бортезомиб** и дексаметазон** </w:t>
      </w:r>
    </w:p>
    <w:p w14:paraId="24308224" w14:textId="77777777" w:rsidR="00D41B78" w:rsidRPr="00F242DD" w:rsidRDefault="00D41B78" w:rsidP="00131E36">
      <w:pPr>
        <w:spacing w:before="0" w:after="0"/>
        <w:ind w:firstLine="709"/>
        <w:contextualSpacing/>
        <w:rPr>
          <w:rFonts w:eastAsia="Times New Roman"/>
          <w:szCs w:val="24"/>
        </w:rPr>
      </w:pPr>
      <w:r w:rsidRPr="00F242DD">
        <w:rPr>
          <w:rFonts w:eastAsia="Times New Roman"/>
          <w:b/>
          <w:szCs w:val="24"/>
        </w:rPr>
        <w:t>Pom</w:t>
      </w:r>
      <w:r w:rsidR="00436DF7" w:rsidRPr="00F242DD">
        <w:rPr>
          <w:rFonts w:eastAsia="Times New Roman"/>
          <w:b/>
          <w:szCs w:val="24"/>
        </w:rPr>
        <w:t xml:space="preserve"> </w:t>
      </w:r>
      <w:r w:rsidRPr="00F242DD">
        <w:rPr>
          <w:rFonts w:eastAsia="Times New Roman"/>
          <w:b/>
          <w:szCs w:val="24"/>
        </w:rPr>
        <w:t>+</w:t>
      </w:r>
      <w:r w:rsidR="00436DF7" w:rsidRPr="00F242DD">
        <w:rPr>
          <w:rFonts w:eastAsia="Times New Roman"/>
          <w:b/>
          <w:szCs w:val="24"/>
        </w:rPr>
        <w:t xml:space="preserve"> </w:t>
      </w:r>
      <w:r w:rsidRPr="00F242DD">
        <w:rPr>
          <w:rFonts w:eastAsia="Times New Roman"/>
          <w:b/>
          <w:szCs w:val="24"/>
        </w:rPr>
        <w:t>dex</w:t>
      </w:r>
      <w:r w:rsidR="00DA68C1" w:rsidRPr="00F242DD">
        <w:rPr>
          <w:rFonts w:eastAsia="Times New Roman"/>
          <w:b/>
          <w:szCs w:val="24"/>
        </w:rPr>
        <w:t xml:space="preserve"> </w:t>
      </w:r>
      <w:r w:rsidR="000822E2" w:rsidRPr="00F242DD">
        <w:rPr>
          <w:rFonts w:eastAsia="Times New Roman"/>
          <w:szCs w:val="24"/>
          <w:lang w:eastAsia="ru-RU"/>
        </w:rPr>
        <w:t xml:space="preserve">– </w:t>
      </w:r>
      <w:r w:rsidRPr="00F242DD">
        <w:rPr>
          <w:szCs w:val="24"/>
        </w:rPr>
        <w:t>режим иммунохимиотерапии, включающий помалидомид и дексаметазон**</w:t>
      </w:r>
    </w:p>
    <w:p w14:paraId="73FD73BF" w14:textId="77777777" w:rsidR="00B83110" w:rsidRPr="00F242DD" w:rsidRDefault="00B83110" w:rsidP="00131E36">
      <w:pPr>
        <w:spacing w:before="0" w:after="0"/>
        <w:ind w:firstLine="709"/>
        <w:contextualSpacing/>
        <w:rPr>
          <w:rFonts w:eastAsia="Times New Roman"/>
          <w:szCs w:val="24"/>
        </w:rPr>
      </w:pPr>
      <w:r w:rsidRPr="00F242DD">
        <w:rPr>
          <w:rFonts w:eastAsia="Times New Roman"/>
          <w:b/>
          <w:szCs w:val="24"/>
        </w:rPr>
        <w:t>RAD</w:t>
      </w:r>
      <w:r w:rsidR="00DA68C1" w:rsidRPr="00F242DD">
        <w:rPr>
          <w:rFonts w:eastAsia="Times New Roman"/>
          <w:b/>
          <w:szCs w:val="24"/>
        </w:rPr>
        <w:t xml:space="preserve"> </w:t>
      </w:r>
      <w:r w:rsidRPr="00F242DD">
        <w:rPr>
          <w:rFonts w:eastAsia="Times New Roman"/>
          <w:szCs w:val="24"/>
          <w:lang w:eastAsia="ru-RU"/>
        </w:rPr>
        <w:t xml:space="preserve">– </w:t>
      </w:r>
      <w:r w:rsidRPr="00F242DD">
        <w:rPr>
          <w:szCs w:val="24"/>
        </w:rPr>
        <w:t xml:space="preserve">режим иммунохимиотерапии, включающий леналидомид**, доксорубицин** и дексаметазон** </w:t>
      </w:r>
    </w:p>
    <w:p w14:paraId="5D4E49F7" w14:textId="77777777" w:rsidR="00B83110" w:rsidRPr="00F242DD" w:rsidRDefault="00B83110" w:rsidP="00131E36">
      <w:pPr>
        <w:spacing w:before="0" w:after="0"/>
        <w:ind w:firstLine="709"/>
        <w:contextualSpacing/>
        <w:rPr>
          <w:rFonts w:eastAsia="Times New Roman"/>
          <w:szCs w:val="24"/>
        </w:rPr>
      </w:pPr>
      <w:r w:rsidRPr="00F242DD">
        <w:rPr>
          <w:rFonts w:eastAsia="Times New Roman"/>
          <w:b/>
          <w:szCs w:val="24"/>
        </w:rPr>
        <w:t>RCD</w:t>
      </w:r>
      <w:r w:rsidR="00DA68C1" w:rsidRPr="00F242DD">
        <w:rPr>
          <w:rFonts w:eastAsia="Times New Roman"/>
          <w:b/>
          <w:szCs w:val="24"/>
        </w:rPr>
        <w:t xml:space="preserve"> </w:t>
      </w:r>
      <w:r w:rsidRPr="00F242DD">
        <w:rPr>
          <w:rFonts w:eastAsia="Times New Roman"/>
          <w:szCs w:val="24"/>
          <w:lang w:eastAsia="ru-RU"/>
        </w:rPr>
        <w:t xml:space="preserve">– </w:t>
      </w:r>
      <w:r w:rsidRPr="00F242DD">
        <w:rPr>
          <w:szCs w:val="24"/>
        </w:rPr>
        <w:t xml:space="preserve">режим иммунохимиотерапии, включающий леналидомид**, циклофосфамид** и дексаметазон** </w:t>
      </w:r>
    </w:p>
    <w:p w14:paraId="1F787202" w14:textId="77777777" w:rsidR="00B83110" w:rsidRPr="00F242DD" w:rsidRDefault="00B83110" w:rsidP="00131E36">
      <w:pPr>
        <w:spacing w:before="0" w:after="0"/>
        <w:ind w:firstLine="709"/>
        <w:contextualSpacing/>
        <w:rPr>
          <w:rFonts w:eastAsia="Times New Roman"/>
          <w:szCs w:val="24"/>
        </w:rPr>
      </w:pPr>
      <w:r w:rsidRPr="00F242DD">
        <w:rPr>
          <w:rFonts w:eastAsia="Times New Roman"/>
          <w:b/>
          <w:szCs w:val="24"/>
        </w:rPr>
        <w:t>RCP</w:t>
      </w:r>
      <w:r w:rsidR="00DA68C1" w:rsidRPr="00F242DD">
        <w:rPr>
          <w:rFonts w:eastAsia="Times New Roman"/>
          <w:b/>
          <w:szCs w:val="24"/>
        </w:rPr>
        <w:t xml:space="preserve"> </w:t>
      </w:r>
      <w:r w:rsidR="000822E2" w:rsidRPr="00F242DD">
        <w:rPr>
          <w:rFonts w:eastAsia="Times New Roman"/>
          <w:szCs w:val="24"/>
          <w:lang w:eastAsia="ru-RU"/>
        </w:rPr>
        <w:t xml:space="preserve">– </w:t>
      </w:r>
      <w:r w:rsidRPr="00F242DD">
        <w:rPr>
          <w:szCs w:val="24"/>
        </w:rPr>
        <w:t xml:space="preserve">режим иммунохимиотерапии, включающий ленадидомид**, циклофосфамид** и преднизолон** </w:t>
      </w:r>
    </w:p>
    <w:p w14:paraId="6ABA7211" w14:textId="77777777" w:rsidR="00A852AC" w:rsidRPr="00F242DD" w:rsidRDefault="00A852AC" w:rsidP="00131E36">
      <w:pPr>
        <w:spacing w:before="0" w:after="0"/>
        <w:ind w:firstLine="709"/>
        <w:contextualSpacing/>
        <w:rPr>
          <w:rFonts w:eastAsia="Times New Roman"/>
          <w:szCs w:val="24"/>
        </w:rPr>
      </w:pPr>
      <w:r w:rsidRPr="00F242DD">
        <w:rPr>
          <w:rFonts w:eastAsia="Times New Roman"/>
          <w:b/>
          <w:szCs w:val="24"/>
        </w:rPr>
        <w:t>Rd</w:t>
      </w:r>
      <w:r w:rsidR="00DA68C1" w:rsidRPr="00F242DD">
        <w:rPr>
          <w:rFonts w:eastAsia="Times New Roman"/>
          <w:b/>
          <w:szCs w:val="24"/>
        </w:rPr>
        <w:t xml:space="preserve"> </w:t>
      </w:r>
      <w:r w:rsidRPr="00F242DD">
        <w:rPr>
          <w:rFonts w:eastAsia="Times New Roman"/>
          <w:szCs w:val="24"/>
          <w:lang w:eastAsia="ru-RU"/>
        </w:rPr>
        <w:t xml:space="preserve">– </w:t>
      </w:r>
      <w:r w:rsidRPr="00F242DD">
        <w:rPr>
          <w:szCs w:val="24"/>
        </w:rPr>
        <w:t xml:space="preserve">режим иммунохимиотерапии, включающий леналидомид** и дексаметазон** </w:t>
      </w:r>
    </w:p>
    <w:p w14:paraId="0DB6F0FD" w14:textId="77777777" w:rsidR="00B83110" w:rsidRPr="00F242DD" w:rsidRDefault="00B83110" w:rsidP="00131E36">
      <w:pPr>
        <w:spacing w:before="0" w:after="0"/>
        <w:ind w:firstLine="709"/>
        <w:contextualSpacing/>
        <w:rPr>
          <w:rFonts w:eastAsia="Times New Roman"/>
          <w:szCs w:val="24"/>
          <w:lang w:eastAsia="ru-RU"/>
        </w:rPr>
      </w:pPr>
      <w:r w:rsidRPr="00F242DD">
        <w:rPr>
          <w:rFonts w:eastAsia="Times New Roman"/>
          <w:b/>
          <w:szCs w:val="24"/>
          <w:lang w:eastAsia="ru-RU"/>
        </w:rPr>
        <w:t>RD</w:t>
      </w:r>
      <w:r w:rsidRPr="00F242DD">
        <w:rPr>
          <w:rFonts w:eastAsia="Times New Roman"/>
          <w:szCs w:val="24"/>
          <w:lang w:eastAsia="ru-RU"/>
        </w:rPr>
        <w:t xml:space="preserve"> – </w:t>
      </w:r>
      <w:r w:rsidRPr="00F242DD">
        <w:rPr>
          <w:szCs w:val="24"/>
        </w:rPr>
        <w:t xml:space="preserve">режим иммунохимиотерапии, включающий леналидомид** и дексаметазон** </w:t>
      </w:r>
    </w:p>
    <w:p w14:paraId="3E47C239" w14:textId="77777777" w:rsidR="006A749A" w:rsidRPr="00F242DD" w:rsidRDefault="006A749A" w:rsidP="00131E36">
      <w:pPr>
        <w:spacing w:before="0" w:after="0"/>
        <w:ind w:firstLine="709"/>
        <w:contextualSpacing/>
        <w:rPr>
          <w:szCs w:val="24"/>
        </w:rPr>
      </w:pPr>
      <w:r w:rsidRPr="00F242DD">
        <w:rPr>
          <w:b/>
          <w:szCs w:val="24"/>
        </w:rPr>
        <w:t>R-ISS</w:t>
      </w:r>
      <w:r w:rsidRPr="00F242DD">
        <w:rPr>
          <w:szCs w:val="24"/>
        </w:rPr>
        <w:t xml:space="preserve"> </w:t>
      </w:r>
      <w:r w:rsidR="00DA68C1" w:rsidRPr="00F242DD">
        <w:rPr>
          <w:szCs w:val="24"/>
        </w:rPr>
        <w:t>–</w:t>
      </w:r>
      <w:r w:rsidRPr="00F242DD">
        <w:rPr>
          <w:szCs w:val="24"/>
        </w:rPr>
        <w:t xml:space="preserve"> пересмотренная (revised) международная система стадирования</w:t>
      </w:r>
    </w:p>
    <w:p w14:paraId="61F2D3E8" w14:textId="77777777" w:rsidR="009D5CFE" w:rsidRPr="00F242DD" w:rsidRDefault="009D5CFE" w:rsidP="00131E36">
      <w:pPr>
        <w:spacing w:before="0" w:after="0"/>
        <w:ind w:firstLine="709"/>
        <w:contextualSpacing/>
        <w:rPr>
          <w:szCs w:val="24"/>
        </w:rPr>
      </w:pPr>
      <w:r w:rsidRPr="00F242DD">
        <w:rPr>
          <w:rFonts w:eastAsia="Times New Roman"/>
          <w:b/>
          <w:szCs w:val="24"/>
          <w:lang w:eastAsia="ru-RU"/>
        </w:rPr>
        <w:t>VBAP</w:t>
      </w:r>
      <w:r w:rsidRPr="00F242DD">
        <w:rPr>
          <w:rFonts w:eastAsia="Times New Roman"/>
          <w:szCs w:val="24"/>
          <w:lang w:eastAsia="ru-RU"/>
        </w:rPr>
        <w:t xml:space="preserve"> – </w:t>
      </w:r>
      <w:r w:rsidRPr="00F242DD">
        <w:rPr>
          <w:szCs w:val="24"/>
        </w:rPr>
        <w:t xml:space="preserve">режим иммунохимиотерапии, включающий винкристин**, кармустин**, доксорубицин** и преднизолон** </w:t>
      </w:r>
    </w:p>
    <w:p w14:paraId="3BB844E5" w14:textId="77777777" w:rsidR="00524AC8" w:rsidRPr="00F242DD" w:rsidRDefault="009D5CFE" w:rsidP="00131E36">
      <w:pPr>
        <w:spacing w:before="0" w:after="0"/>
        <w:ind w:firstLine="709"/>
        <w:contextualSpacing/>
        <w:rPr>
          <w:szCs w:val="24"/>
        </w:rPr>
      </w:pPr>
      <w:r w:rsidRPr="00F242DD">
        <w:rPr>
          <w:rFonts w:eastAsia="Times New Roman"/>
          <w:b/>
          <w:szCs w:val="24"/>
          <w:lang w:eastAsia="ru-RU"/>
        </w:rPr>
        <w:t>VBMCP</w:t>
      </w:r>
      <w:r w:rsidRPr="00F242DD">
        <w:rPr>
          <w:rFonts w:eastAsia="Times New Roman"/>
          <w:szCs w:val="24"/>
          <w:lang w:eastAsia="ru-RU"/>
        </w:rPr>
        <w:t xml:space="preserve"> (M2) – </w:t>
      </w:r>
      <w:r w:rsidRPr="00F242DD">
        <w:rPr>
          <w:szCs w:val="24"/>
        </w:rPr>
        <w:t xml:space="preserve">режим иммунохимиотерапии, включающий винкристин**, кармустин**, мелфалан**, циклофосфамид** и преднизолон** </w:t>
      </w:r>
    </w:p>
    <w:p w14:paraId="2737E853" w14:textId="77777777" w:rsidR="004A47DE" w:rsidRPr="00F242DD" w:rsidRDefault="004A47DE" w:rsidP="00131E36">
      <w:pPr>
        <w:spacing w:before="0" w:after="0"/>
        <w:ind w:firstLine="709"/>
        <w:contextualSpacing/>
        <w:rPr>
          <w:rFonts w:eastAsia="Times New Roman"/>
          <w:szCs w:val="24"/>
          <w:lang w:eastAsia="ru-RU"/>
        </w:rPr>
      </w:pPr>
      <w:r w:rsidRPr="00F242DD">
        <w:rPr>
          <w:rFonts w:eastAsia="Times New Roman"/>
          <w:b/>
          <w:szCs w:val="24"/>
          <w:lang w:eastAsia="ru-RU"/>
        </w:rPr>
        <w:t>VCD</w:t>
      </w:r>
      <w:r w:rsidRPr="00F242DD">
        <w:rPr>
          <w:rFonts w:eastAsia="Times New Roman"/>
          <w:szCs w:val="24"/>
          <w:lang w:eastAsia="ru-RU"/>
        </w:rPr>
        <w:t xml:space="preserve"> – </w:t>
      </w:r>
      <w:r w:rsidRPr="00F242DD">
        <w:rPr>
          <w:szCs w:val="24"/>
        </w:rPr>
        <w:t xml:space="preserve">режим иммунохимиотерапии, включающий циклофосфамид**, бортезомиб** и дексаметазон** </w:t>
      </w:r>
    </w:p>
    <w:p w14:paraId="26D8778B" w14:textId="77777777" w:rsidR="00A852AC" w:rsidRPr="00F242DD" w:rsidRDefault="00A852AC" w:rsidP="00131E36">
      <w:pPr>
        <w:spacing w:before="0" w:after="0"/>
        <w:ind w:firstLine="709"/>
        <w:contextualSpacing/>
        <w:rPr>
          <w:rFonts w:eastAsia="Times New Roman"/>
          <w:szCs w:val="24"/>
          <w:lang w:eastAsia="ru-RU"/>
        </w:rPr>
      </w:pPr>
      <w:r w:rsidRPr="00F242DD">
        <w:rPr>
          <w:rFonts w:eastAsia="Times New Roman"/>
          <w:b/>
          <w:szCs w:val="24"/>
          <w:lang w:eastAsia="ru-RU"/>
        </w:rPr>
        <w:t>VCP</w:t>
      </w:r>
      <w:r w:rsidRPr="00F242DD">
        <w:rPr>
          <w:rFonts w:eastAsia="Times New Roman"/>
          <w:szCs w:val="24"/>
          <w:lang w:eastAsia="ru-RU"/>
        </w:rPr>
        <w:t xml:space="preserve"> – </w:t>
      </w:r>
      <w:r w:rsidRPr="00F242DD">
        <w:rPr>
          <w:szCs w:val="24"/>
        </w:rPr>
        <w:t xml:space="preserve">режим иммунохимиотерапии, включающий бортезомиб**, циклофосфамид** и преднизолон** </w:t>
      </w:r>
    </w:p>
    <w:p w14:paraId="596EDC99" w14:textId="77777777" w:rsidR="004A47DE" w:rsidRPr="00F242DD" w:rsidRDefault="004A47DE" w:rsidP="00131E36">
      <w:pPr>
        <w:spacing w:before="0" w:after="0"/>
        <w:ind w:firstLine="709"/>
        <w:contextualSpacing/>
        <w:rPr>
          <w:rFonts w:eastAsia="Times New Roman"/>
          <w:szCs w:val="24"/>
          <w:lang w:eastAsia="ru-RU"/>
        </w:rPr>
      </w:pPr>
      <w:r w:rsidRPr="00F242DD">
        <w:rPr>
          <w:rFonts w:eastAsia="Times New Roman"/>
          <w:b/>
          <w:szCs w:val="24"/>
          <w:lang w:eastAsia="ru-RU"/>
        </w:rPr>
        <w:t>VD</w:t>
      </w:r>
      <w:r w:rsidRPr="00F242DD">
        <w:rPr>
          <w:rFonts w:eastAsia="Times New Roman"/>
          <w:szCs w:val="24"/>
          <w:lang w:eastAsia="ru-RU"/>
        </w:rPr>
        <w:t xml:space="preserve"> – </w:t>
      </w:r>
      <w:r w:rsidRPr="00F242DD">
        <w:rPr>
          <w:szCs w:val="24"/>
        </w:rPr>
        <w:t xml:space="preserve">режим иммунохимиотерапии, включающий бортезомиб** и дексаметазон** </w:t>
      </w:r>
    </w:p>
    <w:p w14:paraId="0D11AFE7" w14:textId="77777777" w:rsidR="00524AC8" w:rsidRPr="00F242DD" w:rsidRDefault="00524AC8" w:rsidP="00131E36">
      <w:pPr>
        <w:spacing w:before="0" w:after="0"/>
        <w:ind w:firstLine="709"/>
        <w:contextualSpacing/>
        <w:rPr>
          <w:szCs w:val="24"/>
        </w:rPr>
      </w:pPr>
      <w:r w:rsidRPr="00F242DD">
        <w:rPr>
          <w:rFonts w:eastAsia="Times New Roman"/>
          <w:b/>
          <w:szCs w:val="24"/>
          <w:lang w:eastAsia="ru-RU"/>
        </w:rPr>
        <w:t>VD-PACE</w:t>
      </w:r>
      <w:r w:rsidRPr="00F242DD">
        <w:rPr>
          <w:rFonts w:eastAsia="Times New Roman"/>
          <w:szCs w:val="24"/>
          <w:lang w:eastAsia="ru-RU"/>
        </w:rPr>
        <w:t xml:space="preserve"> – </w:t>
      </w:r>
      <w:r w:rsidRPr="00F242DD">
        <w:rPr>
          <w:szCs w:val="24"/>
        </w:rPr>
        <w:t xml:space="preserve">режим иммунохимиотерапии, включающий бортезомиб**, </w:t>
      </w:r>
      <w:r w:rsidR="001A7F20" w:rsidRPr="00F242DD">
        <w:rPr>
          <w:szCs w:val="24"/>
        </w:rPr>
        <w:t>#</w:t>
      </w:r>
      <w:r w:rsidRPr="00F242DD">
        <w:rPr>
          <w:szCs w:val="24"/>
        </w:rPr>
        <w:t xml:space="preserve">цисплатин**, доксорубицин**, циклофосфамид** и </w:t>
      </w:r>
      <w:r w:rsidR="00FE3314" w:rsidRPr="00F242DD">
        <w:rPr>
          <w:szCs w:val="24"/>
        </w:rPr>
        <w:t>#</w:t>
      </w:r>
      <w:r w:rsidRPr="00F242DD">
        <w:rPr>
          <w:szCs w:val="24"/>
        </w:rPr>
        <w:t xml:space="preserve">этопозид** </w:t>
      </w:r>
    </w:p>
    <w:p w14:paraId="7A95EDFB" w14:textId="77777777" w:rsidR="004A47DE" w:rsidRPr="00F242DD" w:rsidRDefault="004A47DE" w:rsidP="00131E36">
      <w:pPr>
        <w:spacing w:before="0" w:after="0"/>
        <w:ind w:firstLine="709"/>
        <w:contextualSpacing/>
        <w:rPr>
          <w:rFonts w:eastAsia="Times New Roman"/>
          <w:szCs w:val="24"/>
          <w:lang w:eastAsia="ru-RU"/>
        </w:rPr>
      </w:pPr>
      <w:r w:rsidRPr="00F242DD">
        <w:rPr>
          <w:rFonts w:eastAsia="Times New Roman"/>
          <w:b/>
          <w:szCs w:val="24"/>
          <w:lang w:eastAsia="ru-RU"/>
        </w:rPr>
        <w:t>Vel</w:t>
      </w:r>
      <w:r w:rsidR="00436DF7" w:rsidRPr="00F242DD">
        <w:rPr>
          <w:rFonts w:eastAsia="Times New Roman"/>
          <w:b/>
          <w:szCs w:val="24"/>
          <w:lang w:eastAsia="ru-RU"/>
        </w:rPr>
        <w:t xml:space="preserve"> </w:t>
      </w:r>
      <w:r w:rsidRPr="00F242DD">
        <w:rPr>
          <w:rFonts w:eastAsia="Times New Roman"/>
          <w:b/>
          <w:szCs w:val="24"/>
          <w:lang w:eastAsia="ru-RU"/>
        </w:rPr>
        <w:t>+</w:t>
      </w:r>
      <w:r w:rsidR="00436DF7" w:rsidRPr="00F242DD">
        <w:rPr>
          <w:rFonts w:eastAsia="Times New Roman"/>
          <w:b/>
          <w:szCs w:val="24"/>
          <w:lang w:eastAsia="ru-RU"/>
        </w:rPr>
        <w:t xml:space="preserve"> </w:t>
      </w:r>
      <w:r w:rsidRPr="00F242DD">
        <w:rPr>
          <w:rFonts w:eastAsia="Times New Roman"/>
          <w:b/>
          <w:szCs w:val="24"/>
          <w:lang w:eastAsia="ru-RU"/>
        </w:rPr>
        <w:t>PLD</w:t>
      </w:r>
      <w:r w:rsidRPr="00F242DD">
        <w:rPr>
          <w:rFonts w:eastAsia="Times New Roman"/>
          <w:szCs w:val="24"/>
          <w:lang w:eastAsia="ru-RU"/>
        </w:rPr>
        <w:t xml:space="preserve"> – </w:t>
      </w:r>
      <w:r w:rsidRPr="00F242DD">
        <w:rPr>
          <w:szCs w:val="24"/>
        </w:rPr>
        <w:t>режим иммунохимиотерапии, включающий бортезомиб** и пегилированный</w:t>
      </w:r>
      <w:r w:rsidR="00E71814" w:rsidRPr="00F242DD">
        <w:rPr>
          <w:szCs w:val="24"/>
        </w:rPr>
        <w:t xml:space="preserve"> </w:t>
      </w:r>
      <w:r w:rsidRPr="00F242DD">
        <w:rPr>
          <w:szCs w:val="24"/>
        </w:rPr>
        <w:t>липосомальный</w:t>
      </w:r>
      <w:r w:rsidR="00E71814" w:rsidRPr="00F242DD">
        <w:rPr>
          <w:szCs w:val="24"/>
        </w:rPr>
        <w:t xml:space="preserve"> </w:t>
      </w:r>
      <w:r w:rsidRPr="00F242DD">
        <w:rPr>
          <w:szCs w:val="24"/>
        </w:rPr>
        <w:t xml:space="preserve">доксорубицин** </w:t>
      </w:r>
    </w:p>
    <w:p w14:paraId="64D7B7CF" w14:textId="77777777" w:rsidR="009D5CFE" w:rsidRPr="00F242DD" w:rsidRDefault="009D5CFE" w:rsidP="00131E36">
      <w:pPr>
        <w:spacing w:before="0" w:after="0"/>
        <w:ind w:firstLine="709"/>
        <w:contextualSpacing/>
        <w:rPr>
          <w:rFonts w:eastAsia="Times New Roman"/>
          <w:szCs w:val="24"/>
          <w:lang w:eastAsia="ru-RU"/>
        </w:rPr>
      </w:pPr>
      <w:r w:rsidRPr="00F242DD">
        <w:rPr>
          <w:rFonts w:eastAsia="Times New Roman"/>
          <w:b/>
          <w:szCs w:val="24"/>
          <w:lang w:eastAsia="ru-RU"/>
        </w:rPr>
        <w:t>VMCP</w:t>
      </w:r>
      <w:r w:rsidRPr="00F242DD">
        <w:rPr>
          <w:rFonts w:eastAsia="Times New Roman"/>
          <w:szCs w:val="24"/>
          <w:lang w:eastAsia="ru-RU"/>
        </w:rPr>
        <w:t xml:space="preserve"> – </w:t>
      </w:r>
      <w:r w:rsidRPr="00F242DD">
        <w:rPr>
          <w:szCs w:val="24"/>
        </w:rPr>
        <w:t xml:space="preserve">режим иммунохимиотерапии, включающий винкристин**, мелфалан**, циклофосфамид** и преднизолон** </w:t>
      </w:r>
    </w:p>
    <w:p w14:paraId="42B36354" w14:textId="77777777" w:rsidR="0004377D" w:rsidRPr="00F242DD" w:rsidRDefault="0004377D" w:rsidP="00131E36">
      <w:pPr>
        <w:spacing w:before="0" w:after="0"/>
        <w:ind w:firstLine="709"/>
        <w:contextualSpacing/>
        <w:rPr>
          <w:rFonts w:eastAsia="Times New Roman"/>
          <w:szCs w:val="24"/>
          <w:lang w:eastAsia="ru-RU"/>
        </w:rPr>
      </w:pPr>
      <w:r w:rsidRPr="00F242DD">
        <w:rPr>
          <w:rFonts w:eastAsia="Times New Roman"/>
          <w:b/>
          <w:szCs w:val="24"/>
          <w:lang w:eastAsia="ru-RU"/>
        </w:rPr>
        <w:t>VMP</w:t>
      </w:r>
      <w:r w:rsidRPr="00F242DD">
        <w:rPr>
          <w:rFonts w:eastAsia="Times New Roman"/>
          <w:szCs w:val="24"/>
          <w:lang w:eastAsia="ru-RU"/>
        </w:rPr>
        <w:t xml:space="preserve"> – </w:t>
      </w:r>
      <w:r w:rsidRPr="00F242DD">
        <w:rPr>
          <w:szCs w:val="24"/>
        </w:rPr>
        <w:t xml:space="preserve">режим иммунохимиотерапии, включающий мелфалан**, бортезомиб** и преднизолон** </w:t>
      </w:r>
    </w:p>
    <w:p w14:paraId="76F67344" w14:textId="77777777" w:rsidR="0004377D" w:rsidRPr="00F242DD" w:rsidRDefault="0004377D" w:rsidP="00131E36">
      <w:pPr>
        <w:spacing w:before="0" w:after="0"/>
        <w:ind w:firstLine="709"/>
        <w:contextualSpacing/>
        <w:rPr>
          <w:rFonts w:eastAsia="Times New Roman"/>
          <w:szCs w:val="24"/>
          <w:lang w:eastAsia="ru-RU"/>
        </w:rPr>
      </w:pPr>
      <w:r w:rsidRPr="00F242DD">
        <w:rPr>
          <w:rFonts w:eastAsia="Times New Roman"/>
          <w:b/>
          <w:szCs w:val="24"/>
          <w:lang w:eastAsia="ru-RU"/>
        </w:rPr>
        <w:lastRenderedPageBreak/>
        <w:t>VRD</w:t>
      </w:r>
      <w:r w:rsidR="00DA68C1" w:rsidRPr="00F242DD">
        <w:rPr>
          <w:rFonts w:eastAsia="Times New Roman"/>
          <w:b/>
          <w:szCs w:val="24"/>
          <w:lang w:eastAsia="ru-RU"/>
        </w:rPr>
        <w:t xml:space="preserve"> </w:t>
      </w:r>
      <w:r w:rsidR="00B83110" w:rsidRPr="00F242DD">
        <w:rPr>
          <w:rFonts w:eastAsia="Times New Roman"/>
          <w:szCs w:val="24"/>
          <w:lang w:eastAsia="ru-RU"/>
        </w:rPr>
        <w:t xml:space="preserve">– </w:t>
      </w:r>
      <w:r w:rsidR="00B83110" w:rsidRPr="00F242DD">
        <w:rPr>
          <w:szCs w:val="24"/>
        </w:rPr>
        <w:t xml:space="preserve">режим иммунохимиотерапии, включающий леналидомид**, бортезомиб** и дексаметазон** </w:t>
      </w:r>
    </w:p>
    <w:p w14:paraId="67B0EB2A" w14:textId="77777777" w:rsidR="005134F6" w:rsidRPr="00F242DD" w:rsidRDefault="005134F6" w:rsidP="00131E36">
      <w:pPr>
        <w:spacing w:before="0" w:after="0"/>
        <w:ind w:firstLine="709"/>
        <w:contextualSpacing/>
        <w:rPr>
          <w:szCs w:val="24"/>
        </w:rPr>
      </w:pPr>
      <w:r w:rsidRPr="00F242DD">
        <w:rPr>
          <w:b/>
          <w:szCs w:val="24"/>
        </w:rPr>
        <w:t>Ауто-ТГСК</w:t>
      </w:r>
      <w:r w:rsidRPr="00F242DD">
        <w:rPr>
          <w:szCs w:val="24"/>
        </w:rPr>
        <w:t xml:space="preserve"> </w:t>
      </w:r>
      <w:r w:rsidR="00DA68C1" w:rsidRPr="00F242DD">
        <w:rPr>
          <w:szCs w:val="24"/>
        </w:rPr>
        <w:t>–</w:t>
      </w:r>
      <w:r w:rsidRPr="00F242DD">
        <w:rPr>
          <w:szCs w:val="24"/>
        </w:rPr>
        <w:t xml:space="preserve"> трансплантация аутологичных гемопоэтических стволовых клеток</w:t>
      </w:r>
    </w:p>
    <w:p w14:paraId="093AA704" w14:textId="77777777" w:rsidR="005134F6" w:rsidRPr="00F242DD" w:rsidRDefault="005134F6" w:rsidP="00131E36">
      <w:pPr>
        <w:spacing w:before="0" w:after="0"/>
        <w:ind w:firstLine="709"/>
        <w:contextualSpacing/>
        <w:rPr>
          <w:szCs w:val="24"/>
        </w:rPr>
      </w:pPr>
      <w:r w:rsidRPr="00F242DD">
        <w:rPr>
          <w:b/>
          <w:szCs w:val="24"/>
        </w:rPr>
        <w:t>ВБП</w:t>
      </w:r>
      <w:r w:rsidRPr="00F242DD">
        <w:rPr>
          <w:szCs w:val="24"/>
        </w:rPr>
        <w:t xml:space="preserve"> </w:t>
      </w:r>
      <w:r w:rsidR="00DA68C1" w:rsidRPr="00F242DD">
        <w:rPr>
          <w:szCs w:val="24"/>
        </w:rPr>
        <w:t>–</w:t>
      </w:r>
      <w:r w:rsidRPr="00F242DD">
        <w:rPr>
          <w:szCs w:val="24"/>
        </w:rPr>
        <w:t xml:space="preserve"> выживаемость без прогрессирования</w:t>
      </w:r>
    </w:p>
    <w:p w14:paraId="2A26087D" w14:textId="77777777" w:rsidR="005134F6" w:rsidRPr="00F242DD" w:rsidRDefault="005134F6" w:rsidP="00131E36">
      <w:pPr>
        <w:spacing w:before="0" w:after="0"/>
        <w:ind w:firstLine="709"/>
        <w:contextualSpacing/>
        <w:rPr>
          <w:szCs w:val="24"/>
        </w:rPr>
      </w:pPr>
      <w:r w:rsidRPr="00F242DD">
        <w:rPr>
          <w:b/>
          <w:szCs w:val="24"/>
        </w:rPr>
        <w:t xml:space="preserve">ВДП </w:t>
      </w:r>
      <w:r w:rsidRPr="00F242DD">
        <w:rPr>
          <w:szCs w:val="24"/>
        </w:rPr>
        <w:t>– выживаемость до прогрессии</w:t>
      </w:r>
    </w:p>
    <w:p w14:paraId="10207A8E" w14:textId="77777777" w:rsidR="005134F6" w:rsidRPr="00F242DD" w:rsidRDefault="005134F6" w:rsidP="00131E36">
      <w:pPr>
        <w:spacing w:before="0" w:after="0"/>
        <w:ind w:firstLine="709"/>
        <w:contextualSpacing/>
        <w:rPr>
          <w:szCs w:val="24"/>
        </w:rPr>
      </w:pPr>
      <w:r w:rsidRPr="00F242DD">
        <w:rPr>
          <w:b/>
          <w:szCs w:val="24"/>
        </w:rPr>
        <w:t>ВДХТ</w:t>
      </w:r>
      <w:r w:rsidRPr="00F242DD">
        <w:rPr>
          <w:szCs w:val="24"/>
        </w:rPr>
        <w:t xml:space="preserve"> </w:t>
      </w:r>
      <w:r w:rsidR="00DA68C1" w:rsidRPr="00F242DD">
        <w:rPr>
          <w:szCs w:val="24"/>
        </w:rPr>
        <w:t>–</w:t>
      </w:r>
      <w:r w:rsidRPr="00F242DD">
        <w:rPr>
          <w:szCs w:val="24"/>
        </w:rPr>
        <w:t xml:space="preserve"> высокодозная химиотерапия</w:t>
      </w:r>
    </w:p>
    <w:p w14:paraId="490A5694" w14:textId="77777777" w:rsidR="00DA68C1" w:rsidRPr="00F242DD" w:rsidRDefault="00DA68C1" w:rsidP="00131E36">
      <w:pPr>
        <w:spacing w:before="0" w:after="0"/>
        <w:ind w:firstLine="709"/>
        <w:contextualSpacing/>
        <w:rPr>
          <w:szCs w:val="24"/>
        </w:rPr>
      </w:pPr>
      <w:r w:rsidRPr="00F242DD">
        <w:rPr>
          <w:b/>
          <w:szCs w:val="24"/>
        </w:rPr>
        <w:t xml:space="preserve">ВОЗ </w:t>
      </w:r>
      <w:r w:rsidRPr="00F242DD">
        <w:rPr>
          <w:szCs w:val="24"/>
        </w:rPr>
        <w:t xml:space="preserve">– Всемирная </w:t>
      </w:r>
      <w:r w:rsidR="00AD2A68" w:rsidRPr="00F242DD">
        <w:rPr>
          <w:szCs w:val="24"/>
        </w:rPr>
        <w:t>о</w:t>
      </w:r>
      <w:r w:rsidRPr="00F242DD">
        <w:rPr>
          <w:szCs w:val="24"/>
        </w:rPr>
        <w:t xml:space="preserve">рганизация </w:t>
      </w:r>
      <w:r w:rsidR="00AD2A68" w:rsidRPr="00F242DD">
        <w:rPr>
          <w:szCs w:val="24"/>
        </w:rPr>
        <w:t>з</w:t>
      </w:r>
      <w:r w:rsidRPr="00F242DD">
        <w:rPr>
          <w:szCs w:val="24"/>
        </w:rPr>
        <w:t>дравоохранения</w:t>
      </w:r>
    </w:p>
    <w:p w14:paraId="2CA84010" w14:textId="77777777" w:rsidR="005134F6" w:rsidRPr="00F242DD" w:rsidRDefault="005134F6" w:rsidP="00131E36">
      <w:pPr>
        <w:spacing w:before="0" w:after="0"/>
        <w:ind w:firstLine="709"/>
        <w:contextualSpacing/>
        <w:rPr>
          <w:szCs w:val="24"/>
        </w:rPr>
      </w:pPr>
      <w:r w:rsidRPr="00F242DD">
        <w:rPr>
          <w:b/>
          <w:szCs w:val="24"/>
        </w:rPr>
        <w:t>Г-КСФ</w:t>
      </w:r>
      <w:r w:rsidR="00FE3314" w:rsidRPr="00F242DD">
        <w:rPr>
          <w:b/>
          <w:szCs w:val="24"/>
        </w:rPr>
        <w:t>**</w:t>
      </w:r>
      <w:r w:rsidR="00DA68C1" w:rsidRPr="00F242DD">
        <w:rPr>
          <w:b/>
          <w:szCs w:val="24"/>
        </w:rPr>
        <w:t xml:space="preserve"> </w:t>
      </w:r>
      <w:r w:rsidR="007B54A0" w:rsidRPr="00F242DD">
        <w:rPr>
          <w:szCs w:val="24"/>
        </w:rPr>
        <w:t>–</w:t>
      </w:r>
      <w:r w:rsidR="00DA68C1" w:rsidRPr="00F242DD">
        <w:rPr>
          <w:szCs w:val="24"/>
        </w:rPr>
        <w:t xml:space="preserve"> </w:t>
      </w:r>
      <w:r w:rsidR="007B54A0" w:rsidRPr="00F242DD">
        <w:rPr>
          <w:szCs w:val="24"/>
        </w:rPr>
        <w:t xml:space="preserve">рекомбинантный человеческий </w:t>
      </w:r>
      <w:r w:rsidRPr="00F242DD">
        <w:rPr>
          <w:szCs w:val="24"/>
        </w:rPr>
        <w:t>гранулоцитарный колониестимулирующий фактор</w:t>
      </w:r>
    </w:p>
    <w:p w14:paraId="4DAE668D" w14:textId="77777777" w:rsidR="00DA68C1" w:rsidRPr="00F242DD" w:rsidRDefault="005134F6" w:rsidP="00131E36">
      <w:pPr>
        <w:spacing w:before="0" w:after="0"/>
        <w:ind w:firstLine="709"/>
        <w:contextualSpacing/>
        <w:rPr>
          <w:szCs w:val="24"/>
        </w:rPr>
      </w:pPr>
      <w:r w:rsidRPr="00F242DD">
        <w:rPr>
          <w:b/>
          <w:szCs w:val="24"/>
        </w:rPr>
        <w:t>ГСК</w:t>
      </w:r>
      <w:r w:rsidRPr="00F242DD">
        <w:rPr>
          <w:szCs w:val="24"/>
        </w:rPr>
        <w:t xml:space="preserve"> – гемопоэтические стволовые клетки </w:t>
      </w:r>
    </w:p>
    <w:p w14:paraId="36A106AA" w14:textId="77777777" w:rsidR="006048E9" w:rsidRPr="00F242DD" w:rsidRDefault="006048E9" w:rsidP="00131E36">
      <w:pPr>
        <w:spacing w:before="0" w:after="0"/>
        <w:ind w:firstLine="709"/>
        <w:contextualSpacing/>
        <w:rPr>
          <w:szCs w:val="24"/>
        </w:rPr>
      </w:pPr>
      <w:r w:rsidRPr="00F242DD">
        <w:rPr>
          <w:b/>
          <w:szCs w:val="24"/>
        </w:rPr>
        <w:t>КТ</w:t>
      </w:r>
      <w:r w:rsidRPr="00F242DD">
        <w:rPr>
          <w:szCs w:val="24"/>
        </w:rPr>
        <w:t xml:space="preserve"> – компьютерная томография</w:t>
      </w:r>
    </w:p>
    <w:p w14:paraId="5A89809F" w14:textId="77777777" w:rsidR="0085349A" w:rsidRPr="00F242DD" w:rsidRDefault="0085349A" w:rsidP="00131E36">
      <w:pPr>
        <w:spacing w:before="0" w:after="0"/>
        <w:ind w:firstLine="709"/>
        <w:contextualSpacing/>
        <w:rPr>
          <w:szCs w:val="24"/>
        </w:rPr>
      </w:pPr>
      <w:r w:rsidRPr="00F242DD">
        <w:rPr>
          <w:b/>
          <w:szCs w:val="24"/>
        </w:rPr>
        <w:t>ЛДГ</w:t>
      </w:r>
      <w:r w:rsidRPr="00F242DD">
        <w:rPr>
          <w:szCs w:val="24"/>
        </w:rPr>
        <w:t xml:space="preserve"> − лактатдегидрогеназа</w:t>
      </w:r>
    </w:p>
    <w:p w14:paraId="68183DEF" w14:textId="77777777" w:rsidR="005134F6" w:rsidRPr="00F242DD" w:rsidRDefault="005134F6" w:rsidP="00131E36">
      <w:pPr>
        <w:spacing w:before="0" w:after="0"/>
        <w:ind w:firstLine="709"/>
        <w:contextualSpacing/>
        <w:rPr>
          <w:szCs w:val="24"/>
        </w:rPr>
      </w:pPr>
      <w:r w:rsidRPr="00F242DD">
        <w:rPr>
          <w:b/>
          <w:szCs w:val="24"/>
        </w:rPr>
        <w:t>ММ</w:t>
      </w:r>
      <w:r w:rsidRPr="00F242DD">
        <w:rPr>
          <w:szCs w:val="24"/>
        </w:rPr>
        <w:t xml:space="preserve"> – множественная миелома</w:t>
      </w:r>
      <w:r w:rsidR="00FA65DC" w:rsidRPr="00F242DD">
        <w:rPr>
          <w:szCs w:val="24"/>
        </w:rPr>
        <w:t xml:space="preserve"> </w:t>
      </w:r>
    </w:p>
    <w:p w14:paraId="050CE26E" w14:textId="77777777" w:rsidR="005134F6" w:rsidRPr="00F242DD" w:rsidRDefault="005134F6" w:rsidP="00131E36">
      <w:pPr>
        <w:spacing w:before="0" w:after="0"/>
        <w:ind w:firstLine="709"/>
        <w:contextualSpacing/>
        <w:rPr>
          <w:szCs w:val="24"/>
        </w:rPr>
      </w:pPr>
      <w:r w:rsidRPr="00F242DD">
        <w:rPr>
          <w:b/>
          <w:szCs w:val="24"/>
        </w:rPr>
        <w:t>МОБ</w:t>
      </w:r>
      <w:r w:rsidRPr="00F242DD">
        <w:rPr>
          <w:szCs w:val="24"/>
        </w:rPr>
        <w:t xml:space="preserve"> </w:t>
      </w:r>
      <w:r w:rsidR="00DA68C1" w:rsidRPr="00F242DD">
        <w:rPr>
          <w:szCs w:val="24"/>
        </w:rPr>
        <w:t>–</w:t>
      </w:r>
      <w:r w:rsidRPr="00F242DD">
        <w:rPr>
          <w:szCs w:val="24"/>
        </w:rPr>
        <w:t xml:space="preserve"> минимальная остаточная болезнь</w:t>
      </w:r>
    </w:p>
    <w:p w14:paraId="5A5738F4" w14:textId="77777777" w:rsidR="005134F6" w:rsidRPr="00F242DD" w:rsidRDefault="005134F6" w:rsidP="00131E36">
      <w:pPr>
        <w:spacing w:before="0" w:after="0"/>
        <w:ind w:firstLine="709"/>
        <w:contextualSpacing/>
        <w:rPr>
          <w:szCs w:val="24"/>
        </w:rPr>
      </w:pPr>
      <w:r w:rsidRPr="00F242DD">
        <w:rPr>
          <w:b/>
          <w:szCs w:val="24"/>
        </w:rPr>
        <w:t>ОВ</w:t>
      </w:r>
      <w:r w:rsidRPr="00F242DD">
        <w:rPr>
          <w:szCs w:val="24"/>
        </w:rPr>
        <w:t xml:space="preserve"> </w:t>
      </w:r>
      <w:r w:rsidR="00DA68C1" w:rsidRPr="00F242DD">
        <w:rPr>
          <w:szCs w:val="24"/>
        </w:rPr>
        <w:t>–</w:t>
      </w:r>
      <w:r w:rsidRPr="00F242DD">
        <w:rPr>
          <w:szCs w:val="24"/>
        </w:rPr>
        <w:t xml:space="preserve"> общая выживаемость</w:t>
      </w:r>
    </w:p>
    <w:p w14:paraId="5F30BBCF" w14:textId="77777777" w:rsidR="005134F6" w:rsidRPr="00F242DD" w:rsidRDefault="005134F6" w:rsidP="00131E36">
      <w:pPr>
        <w:spacing w:before="0" w:after="0"/>
        <w:ind w:firstLine="709"/>
        <w:contextualSpacing/>
        <w:rPr>
          <w:szCs w:val="24"/>
        </w:rPr>
      </w:pPr>
      <w:r w:rsidRPr="00F242DD">
        <w:rPr>
          <w:b/>
          <w:szCs w:val="24"/>
        </w:rPr>
        <w:t>ОХЧР</w:t>
      </w:r>
      <w:r w:rsidRPr="00F242DD">
        <w:rPr>
          <w:szCs w:val="24"/>
        </w:rPr>
        <w:t xml:space="preserve"> – очень хорошая частичная ремиссия</w:t>
      </w:r>
    </w:p>
    <w:p w14:paraId="6BA1E5DD" w14:textId="77777777" w:rsidR="00DA68C1" w:rsidRPr="00F242DD" w:rsidRDefault="00DA68C1" w:rsidP="00131E36">
      <w:pPr>
        <w:spacing w:before="0" w:after="0"/>
        <w:ind w:firstLine="709"/>
        <w:contextualSpacing/>
        <w:rPr>
          <w:szCs w:val="24"/>
        </w:rPr>
      </w:pPr>
      <w:r w:rsidRPr="00F242DD">
        <w:rPr>
          <w:b/>
          <w:szCs w:val="24"/>
        </w:rPr>
        <w:t xml:space="preserve">ПК </w:t>
      </w:r>
      <w:r w:rsidRPr="00F242DD">
        <w:rPr>
          <w:szCs w:val="24"/>
        </w:rPr>
        <w:t>– плазматические клетки</w:t>
      </w:r>
    </w:p>
    <w:p w14:paraId="3CFC3E2E" w14:textId="77777777" w:rsidR="005134F6" w:rsidRPr="00F242DD" w:rsidRDefault="005134F6" w:rsidP="00131E36">
      <w:pPr>
        <w:spacing w:before="0" w:after="0"/>
        <w:ind w:firstLine="709"/>
        <w:contextualSpacing/>
        <w:rPr>
          <w:szCs w:val="24"/>
        </w:rPr>
      </w:pPr>
      <w:r w:rsidRPr="00F242DD">
        <w:rPr>
          <w:b/>
          <w:szCs w:val="24"/>
        </w:rPr>
        <w:t>ПО</w:t>
      </w:r>
      <w:r w:rsidRPr="00F242DD">
        <w:rPr>
          <w:szCs w:val="24"/>
        </w:rPr>
        <w:t xml:space="preserve"> – противоопухолевый ответ</w:t>
      </w:r>
    </w:p>
    <w:p w14:paraId="33EA3DF5" w14:textId="77777777" w:rsidR="005134F6" w:rsidRPr="00F242DD" w:rsidRDefault="005134F6" w:rsidP="00131E36">
      <w:pPr>
        <w:spacing w:before="0" w:after="0"/>
        <w:ind w:firstLine="709"/>
        <w:contextualSpacing/>
        <w:rPr>
          <w:szCs w:val="24"/>
        </w:rPr>
      </w:pPr>
      <w:r w:rsidRPr="00F242DD">
        <w:rPr>
          <w:b/>
          <w:szCs w:val="24"/>
        </w:rPr>
        <w:t>ПР</w:t>
      </w:r>
      <w:r w:rsidRPr="00F242DD">
        <w:rPr>
          <w:szCs w:val="24"/>
        </w:rPr>
        <w:t xml:space="preserve"> – полная ремиссия</w:t>
      </w:r>
    </w:p>
    <w:p w14:paraId="3C57B247" w14:textId="77777777" w:rsidR="006048E9" w:rsidRPr="00F242DD" w:rsidRDefault="006048E9" w:rsidP="00131E36">
      <w:pPr>
        <w:spacing w:before="0" w:after="0"/>
        <w:ind w:firstLine="709"/>
        <w:contextualSpacing/>
        <w:rPr>
          <w:szCs w:val="24"/>
        </w:rPr>
      </w:pPr>
      <w:r w:rsidRPr="00F242DD">
        <w:rPr>
          <w:b/>
          <w:szCs w:val="24"/>
        </w:rPr>
        <w:t>ПЭТ</w:t>
      </w:r>
      <w:r w:rsidRPr="00F242DD">
        <w:rPr>
          <w:szCs w:val="24"/>
        </w:rPr>
        <w:t xml:space="preserve"> – позитронно-эмиссионная томография</w:t>
      </w:r>
    </w:p>
    <w:p w14:paraId="0B5F1235" w14:textId="77777777" w:rsidR="005134F6" w:rsidRPr="00F242DD" w:rsidRDefault="005134F6" w:rsidP="00785610">
      <w:pPr>
        <w:spacing w:before="0" w:after="0"/>
        <w:ind w:firstLine="709"/>
        <w:contextualSpacing/>
        <w:rPr>
          <w:szCs w:val="24"/>
        </w:rPr>
      </w:pPr>
      <w:r w:rsidRPr="00F242DD">
        <w:rPr>
          <w:b/>
          <w:szCs w:val="24"/>
        </w:rPr>
        <w:t>СЛЦ</w:t>
      </w:r>
      <w:r w:rsidRPr="00F242DD">
        <w:rPr>
          <w:szCs w:val="24"/>
        </w:rPr>
        <w:t xml:space="preserve"> – свободные легкие цепи</w:t>
      </w:r>
      <w:r w:rsidR="00FA65DC" w:rsidRPr="00F242DD">
        <w:rPr>
          <w:szCs w:val="24"/>
        </w:rPr>
        <w:t xml:space="preserve"> </w:t>
      </w:r>
      <w:r w:rsidR="00785610" w:rsidRPr="00F242DD">
        <w:rPr>
          <w:szCs w:val="24"/>
        </w:rPr>
        <w:t>(</w:t>
      </w:r>
      <w:r w:rsidR="00FA65DC" w:rsidRPr="00F242DD">
        <w:rPr>
          <w:szCs w:val="24"/>
        </w:rPr>
        <w:t>иммуноглобулинов</w:t>
      </w:r>
      <w:r w:rsidR="00785610" w:rsidRPr="00F242DD">
        <w:rPr>
          <w:szCs w:val="24"/>
        </w:rPr>
        <w:t>)</w:t>
      </w:r>
    </w:p>
    <w:p w14:paraId="594A2882" w14:textId="77777777" w:rsidR="004D7374" w:rsidRPr="00F242DD" w:rsidRDefault="005134F6" w:rsidP="00131E36">
      <w:pPr>
        <w:spacing w:before="0" w:after="0"/>
        <w:ind w:firstLine="709"/>
        <w:contextualSpacing/>
        <w:rPr>
          <w:szCs w:val="24"/>
        </w:rPr>
      </w:pPr>
      <w:r w:rsidRPr="00F242DD">
        <w:rPr>
          <w:b/>
          <w:szCs w:val="24"/>
        </w:rPr>
        <w:t>ЧР</w:t>
      </w:r>
      <w:r w:rsidRPr="00F242DD">
        <w:rPr>
          <w:szCs w:val="24"/>
        </w:rPr>
        <w:t xml:space="preserve"> – частичная ремиссия</w:t>
      </w:r>
    </w:p>
    <w:p w14:paraId="0D00F858" w14:textId="77777777" w:rsidR="008654BE" w:rsidRPr="00F242DD" w:rsidRDefault="008654BE" w:rsidP="00E36DFA">
      <w:pPr>
        <w:spacing w:before="0" w:after="0"/>
        <w:ind w:left="709"/>
        <w:rPr>
          <w:rFonts w:eastAsia="GalsLightC"/>
          <w:szCs w:val="24"/>
        </w:rPr>
      </w:pPr>
      <w:r w:rsidRPr="00F242DD">
        <w:rPr>
          <w:rFonts w:eastAsia="GalsLightC"/>
          <w:szCs w:val="24"/>
        </w:rPr>
        <w:t>** – жизненно необходимые и важнейшие лекарственные препараты</w:t>
      </w:r>
    </w:p>
    <w:p w14:paraId="7943F7C5" w14:textId="77777777" w:rsidR="008654BE" w:rsidRPr="00F242DD" w:rsidRDefault="008654BE" w:rsidP="00E36DFA">
      <w:pPr>
        <w:pStyle w:val="a6"/>
        <w:spacing w:before="0" w:after="0"/>
        <w:ind w:left="709"/>
        <w:rPr>
          <w:color w:val="000000"/>
        </w:rPr>
      </w:pPr>
      <w:r w:rsidRPr="00F242DD">
        <w:rPr>
          <w:color w:val="000000"/>
        </w:rPr>
        <w:t># – препарат, применяющийся не в соответствии с показаниями к применению и противопоказаниями, способами применения и дозами, содержащимися в инструкции по применению лекарственного препарата (офф-лейбл)</w:t>
      </w:r>
    </w:p>
    <w:p w14:paraId="3F853C6C" w14:textId="77777777" w:rsidR="004D7374" w:rsidRPr="00F242DD" w:rsidRDefault="004D7374" w:rsidP="00131E36">
      <w:pPr>
        <w:spacing w:before="0" w:after="0"/>
        <w:ind w:firstLine="709"/>
      </w:pPr>
    </w:p>
    <w:p w14:paraId="756BDED0" w14:textId="77777777" w:rsidR="004D7374" w:rsidRPr="00F242DD" w:rsidRDefault="004D7374">
      <w:pPr>
        <w:pStyle w:val="1"/>
        <w:spacing w:before="0" w:after="0"/>
      </w:pPr>
      <w:bookmarkStart w:id="4" w:name="_Toc520213122"/>
      <w:bookmarkStart w:id="5" w:name="_Toc53140880"/>
      <w:r w:rsidRPr="00F242DD">
        <w:lastRenderedPageBreak/>
        <w:t>Термины и определения</w:t>
      </w:r>
      <w:bookmarkEnd w:id="4"/>
      <w:bookmarkEnd w:id="5"/>
    </w:p>
    <w:p w14:paraId="464FBAC3" w14:textId="77777777" w:rsidR="005134F6" w:rsidRPr="00F242DD" w:rsidRDefault="005134F6" w:rsidP="00131E36">
      <w:pPr>
        <w:spacing w:before="0" w:after="0"/>
        <w:ind w:firstLine="709"/>
        <w:contextualSpacing/>
      </w:pPr>
      <w:r w:rsidRPr="00F242DD">
        <w:rPr>
          <w:b/>
        </w:rPr>
        <w:t>Множественная миелома</w:t>
      </w:r>
      <w:r w:rsidRPr="00F242DD">
        <w:t xml:space="preserve"> – В-клеточная злокачественная опухоль, морфологическим субстратом которой являются плазматические клетки, продуцирующие моноклональный иммуноглобулин.</w:t>
      </w:r>
      <w:r w:rsidR="00FA65DC" w:rsidRPr="00F242DD">
        <w:t xml:space="preserve"> Согласно последней версии классификации </w:t>
      </w:r>
      <w:r w:rsidR="008816EE" w:rsidRPr="00F242DD">
        <w:t>Всемирной организации здравоохранения (</w:t>
      </w:r>
      <w:r w:rsidR="00FA65DC" w:rsidRPr="00F242DD">
        <w:t>ВОЗ</w:t>
      </w:r>
      <w:r w:rsidR="008816EE" w:rsidRPr="00F242DD">
        <w:t>)</w:t>
      </w:r>
      <w:r w:rsidR="00FA65DC" w:rsidRPr="00F242DD">
        <w:t xml:space="preserve"> 2017</w:t>
      </w:r>
      <w:r w:rsidR="00DA68C1" w:rsidRPr="00F242DD">
        <w:t> </w:t>
      </w:r>
      <w:r w:rsidR="00FA65DC" w:rsidRPr="00F242DD">
        <w:t>г</w:t>
      </w:r>
      <w:r w:rsidR="008816EE" w:rsidRPr="00F242DD">
        <w:t>.</w:t>
      </w:r>
      <w:r w:rsidR="00FA65DC" w:rsidRPr="00F242DD">
        <w:t xml:space="preserve"> термин </w:t>
      </w:r>
      <w:r w:rsidR="00DA68C1" w:rsidRPr="00F242DD">
        <w:t xml:space="preserve">«множественная миелома» </w:t>
      </w:r>
      <w:r w:rsidR="00FA65DC" w:rsidRPr="00F242DD">
        <w:t xml:space="preserve">заменен на термин </w:t>
      </w:r>
      <w:r w:rsidR="00DA68C1" w:rsidRPr="00F242DD">
        <w:t xml:space="preserve">«плазмоклеточная миелома» </w:t>
      </w:r>
      <w:r w:rsidR="00FA65DC" w:rsidRPr="00F242DD">
        <w:t xml:space="preserve">– заболевание, характеризующееся мультифокальной пролиферацией неопластических плазматических клеток, ассоциированное с секрецией </w:t>
      </w:r>
      <w:r w:rsidR="002311AE" w:rsidRPr="00F242DD">
        <w:t xml:space="preserve">моноклонального </w:t>
      </w:r>
      <w:r w:rsidR="00FA65DC" w:rsidRPr="00F242DD">
        <w:t>иммуноглобулина</w:t>
      </w:r>
      <w:r w:rsidR="00DA68C1" w:rsidRPr="00F242DD">
        <w:t>.</w:t>
      </w:r>
      <w:r w:rsidR="00FA65DC" w:rsidRPr="00F242DD">
        <w:t xml:space="preserve"> </w:t>
      </w:r>
    </w:p>
    <w:p w14:paraId="7BBCA593" w14:textId="77777777" w:rsidR="005134F6" w:rsidRPr="00F242DD" w:rsidRDefault="005134F6" w:rsidP="00131E36">
      <w:pPr>
        <w:spacing w:before="0" w:after="0"/>
        <w:ind w:firstLine="709"/>
        <w:contextualSpacing/>
      </w:pPr>
      <w:r w:rsidRPr="00F242DD">
        <w:rPr>
          <w:b/>
        </w:rPr>
        <w:t>Плазматическая клетка</w:t>
      </w:r>
      <w:r w:rsidRPr="00F242DD">
        <w:t xml:space="preserve"> – конечный этап дифференцировки В-лимфоцита. Функциональная активность – участие в формировании гуморального иммунитета, продукция антител.</w:t>
      </w:r>
    </w:p>
    <w:p w14:paraId="0F28F756" w14:textId="77777777" w:rsidR="005134F6" w:rsidRPr="00F242DD" w:rsidRDefault="005134F6" w:rsidP="00131E36">
      <w:pPr>
        <w:spacing w:before="0" w:after="0"/>
        <w:ind w:firstLine="709"/>
        <w:contextualSpacing/>
      </w:pPr>
      <w:r w:rsidRPr="00F242DD">
        <w:rPr>
          <w:b/>
        </w:rPr>
        <w:t>М</w:t>
      </w:r>
      <w:r w:rsidR="00825336" w:rsidRPr="00F242DD">
        <w:rPr>
          <w:b/>
        </w:rPr>
        <w:t>о</w:t>
      </w:r>
      <w:r w:rsidR="00EF56F9" w:rsidRPr="00F242DD">
        <w:rPr>
          <w:b/>
        </w:rPr>
        <w:t>нок</w:t>
      </w:r>
      <w:r w:rsidRPr="00F242DD">
        <w:rPr>
          <w:b/>
        </w:rPr>
        <w:t>лональный иммуноглобулин</w:t>
      </w:r>
      <w:r w:rsidRPr="00F242DD">
        <w:t xml:space="preserve"> – иммуноглобулин одного класса</w:t>
      </w:r>
      <w:r w:rsidR="00E717D4" w:rsidRPr="00F242DD">
        <w:t xml:space="preserve">, </w:t>
      </w:r>
      <w:r w:rsidR="00F96C93" w:rsidRPr="00F242DD">
        <w:t xml:space="preserve">который </w:t>
      </w:r>
      <w:r w:rsidRPr="00F242DD">
        <w:t>синтезиру</w:t>
      </w:r>
      <w:r w:rsidR="00F96C93" w:rsidRPr="00F242DD">
        <w:t>ется</w:t>
      </w:r>
      <w:r w:rsidRPr="00F242DD">
        <w:t xml:space="preserve"> в избыточном количестве опухолевой плазматической клеткой. Структура иммуноглобулина при этом не нарушена, но синтез иммуноглобулина или отдельных компонентов превосходит уровень физиологической потребности.</w:t>
      </w:r>
    </w:p>
    <w:p w14:paraId="31A54654" w14:textId="77777777" w:rsidR="005134F6" w:rsidRPr="00F242DD" w:rsidRDefault="00FA65DC" w:rsidP="00131E36">
      <w:pPr>
        <w:spacing w:before="0" w:after="0"/>
        <w:ind w:firstLine="709"/>
        <w:contextualSpacing/>
      </w:pPr>
      <w:r w:rsidRPr="00F242DD">
        <w:rPr>
          <w:b/>
          <w:szCs w:val="24"/>
        </w:rPr>
        <w:t xml:space="preserve">Моноклональная гаммапатия </w:t>
      </w:r>
      <w:r w:rsidRPr="00F242DD">
        <w:rPr>
          <w:szCs w:val="24"/>
        </w:rPr>
        <w:t>– состояние, характеризующиеся присутствием иммуноглобулина одного класса</w:t>
      </w:r>
      <w:r w:rsidR="002311AE" w:rsidRPr="00F242DD">
        <w:rPr>
          <w:szCs w:val="24"/>
        </w:rPr>
        <w:t>.</w:t>
      </w:r>
      <w:r w:rsidR="00D50877" w:rsidRPr="00F242DD">
        <w:rPr>
          <w:szCs w:val="24"/>
        </w:rPr>
        <w:t xml:space="preserve"> </w:t>
      </w:r>
      <w:r w:rsidR="005134F6" w:rsidRPr="00F242DD">
        <w:rPr>
          <w:b/>
        </w:rPr>
        <w:t>М-градиент</w:t>
      </w:r>
      <w:r w:rsidR="005134F6" w:rsidRPr="00F242DD">
        <w:t xml:space="preserve"> – узкая, четко очерченная полоса на электрофореграмме, которую образуют моноклональные иммуноглобулины.</w:t>
      </w:r>
    </w:p>
    <w:p w14:paraId="2C87E52D" w14:textId="77777777" w:rsidR="005134F6" w:rsidRPr="00F242DD" w:rsidRDefault="005134F6" w:rsidP="00131E36">
      <w:pPr>
        <w:spacing w:before="0" w:after="0"/>
        <w:ind w:firstLine="709"/>
        <w:contextualSpacing/>
      </w:pPr>
      <w:r w:rsidRPr="00F242DD">
        <w:rPr>
          <w:b/>
        </w:rPr>
        <w:t>Ремиссия</w:t>
      </w:r>
      <w:r w:rsidR="00D50877" w:rsidRPr="00F242DD">
        <w:rPr>
          <w:b/>
        </w:rPr>
        <w:t xml:space="preserve"> </w:t>
      </w:r>
      <w:r w:rsidR="00825336" w:rsidRPr="00F242DD">
        <w:t>–</w:t>
      </w:r>
      <w:r w:rsidRPr="00F242DD">
        <w:t xml:space="preserve"> период течения заболевания, который характеризуется значительным ослаблением или полным исчезновением симптомов заболевания, в том числе по данным выполненных лабораторных и инструментальных методов исследования.</w:t>
      </w:r>
    </w:p>
    <w:p w14:paraId="746FAEF5" w14:textId="77777777" w:rsidR="005134F6" w:rsidRPr="00F242DD" w:rsidRDefault="005134F6" w:rsidP="00131E36">
      <w:pPr>
        <w:spacing w:before="0" w:after="0"/>
        <w:ind w:firstLine="709"/>
        <w:contextualSpacing/>
      </w:pPr>
      <w:r w:rsidRPr="00F242DD">
        <w:rPr>
          <w:b/>
        </w:rPr>
        <w:t>Рецидив</w:t>
      </w:r>
      <w:r w:rsidRPr="00F242DD">
        <w:t xml:space="preserve"> – возврат клиники заболевания, в том числе и по данным лабораторных и инструментальных методов исследований.</w:t>
      </w:r>
    </w:p>
    <w:p w14:paraId="7B97F55F" w14:textId="77777777" w:rsidR="005134F6" w:rsidRPr="00F242DD" w:rsidRDefault="005134F6" w:rsidP="00131E36">
      <w:pPr>
        <w:spacing w:before="0" w:after="0"/>
        <w:ind w:firstLine="709"/>
        <w:contextualSpacing/>
      </w:pPr>
      <w:r w:rsidRPr="00F242DD">
        <w:rPr>
          <w:b/>
        </w:rPr>
        <w:t>Общая выживаемость</w:t>
      </w:r>
      <w:r w:rsidR="00A47DEE" w:rsidRPr="00F242DD">
        <w:rPr>
          <w:b/>
        </w:rPr>
        <w:t xml:space="preserve"> </w:t>
      </w:r>
      <w:r w:rsidR="00825336" w:rsidRPr="00F242DD">
        <w:t>–</w:t>
      </w:r>
      <w:r w:rsidRPr="00F242DD">
        <w:t xml:space="preserve"> рассчитывается от даты начала лечения до смерти от любой причины или</w:t>
      </w:r>
      <w:r w:rsidR="006E7B15" w:rsidRPr="00F242DD">
        <w:t xml:space="preserve"> до даты последней явки пациента</w:t>
      </w:r>
      <w:r w:rsidRPr="00F242DD">
        <w:t>.</w:t>
      </w:r>
    </w:p>
    <w:p w14:paraId="0FAD2DD5" w14:textId="77777777" w:rsidR="005134F6" w:rsidRPr="00F242DD" w:rsidRDefault="005134F6" w:rsidP="00131E36">
      <w:pPr>
        <w:spacing w:before="0" w:after="0"/>
        <w:ind w:firstLine="709"/>
        <w:contextualSpacing/>
      </w:pPr>
      <w:r w:rsidRPr="00F242DD">
        <w:rPr>
          <w:b/>
        </w:rPr>
        <w:t>Выживаемость без прогрессирования</w:t>
      </w:r>
      <w:r w:rsidR="00937770" w:rsidRPr="00F242DD">
        <w:rPr>
          <w:b/>
        </w:rPr>
        <w:t xml:space="preserve"> </w:t>
      </w:r>
      <w:r w:rsidR="00A56CC2" w:rsidRPr="00F242DD">
        <w:t>–</w:t>
      </w:r>
      <w:r w:rsidRPr="00F242DD">
        <w:t xml:space="preserve"> рассчитывается от даты начала лечения до прогрессирования болезни или смерти от любой причины.</w:t>
      </w:r>
    </w:p>
    <w:p w14:paraId="01C402A6" w14:textId="77777777" w:rsidR="004D7374" w:rsidRPr="00F242DD" w:rsidRDefault="004D7374" w:rsidP="00131E36">
      <w:pPr>
        <w:spacing w:before="0" w:after="0"/>
        <w:ind w:firstLine="709"/>
      </w:pPr>
    </w:p>
    <w:p w14:paraId="57A64B9B" w14:textId="77777777" w:rsidR="00B11FF3" w:rsidRPr="00F242DD" w:rsidRDefault="00B11FF3" w:rsidP="00131E36">
      <w:pPr>
        <w:spacing w:before="0" w:after="0"/>
        <w:ind w:firstLine="709"/>
      </w:pPr>
    </w:p>
    <w:p w14:paraId="21AF6715" w14:textId="77777777" w:rsidR="00B11FF3" w:rsidRPr="00F242DD" w:rsidRDefault="00B11FF3" w:rsidP="00131E36">
      <w:pPr>
        <w:spacing w:before="0" w:after="0"/>
        <w:ind w:firstLine="709"/>
      </w:pPr>
    </w:p>
    <w:p w14:paraId="61125F14" w14:textId="77777777" w:rsidR="00B11FF3" w:rsidRPr="00F242DD" w:rsidRDefault="00B11FF3" w:rsidP="00131E36">
      <w:pPr>
        <w:spacing w:before="0" w:after="0"/>
        <w:ind w:firstLine="709"/>
      </w:pPr>
    </w:p>
    <w:p w14:paraId="18D662ED" w14:textId="77777777" w:rsidR="00B11FF3" w:rsidRPr="00F242DD" w:rsidRDefault="00B11FF3" w:rsidP="00131E36">
      <w:pPr>
        <w:spacing w:before="0" w:after="0"/>
        <w:ind w:firstLine="709"/>
      </w:pPr>
    </w:p>
    <w:p w14:paraId="739DDDB5" w14:textId="77777777" w:rsidR="004D7374" w:rsidRPr="00F242DD" w:rsidRDefault="004D7374">
      <w:pPr>
        <w:pStyle w:val="1"/>
        <w:spacing w:before="0" w:after="0"/>
      </w:pPr>
      <w:bookmarkStart w:id="6" w:name="_Toc520213123"/>
      <w:bookmarkStart w:id="7" w:name="_Toc53140881"/>
      <w:r w:rsidRPr="00F242DD">
        <w:lastRenderedPageBreak/>
        <w:t>1. Краткая информация</w:t>
      </w:r>
      <w:bookmarkEnd w:id="6"/>
      <w:r w:rsidR="00131E36" w:rsidRPr="00F242DD">
        <w:t xml:space="preserve"> по заболеванию или состоянию </w:t>
      </w:r>
      <w:r w:rsidR="00764C72" w:rsidRPr="00F242DD">
        <w:br/>
      </w:r>
      <w:r w:rsidR="00131E36" w:rsidRPr="00F242DD">
        <w:t>(группе заболеваний или состояний)</w:t>
      </w:r>
      <w:bookmarkEnd w:id="7"/>
    </w:p>
    <w:p w14:paraId="0A4F7121" w14:textId="77777777" w:rsidR="004D7374" w:rsidRPr="00F242DD" w:rsidRDefault="004D7374" w:rsidP="00E36DFA">
      <w:pPr>
        <w:pStyle w:val="2"/>
      </w:pPr>
      <w:bookmarkStart w:id="8" w:name="_Toc53140882"/>
      <w:r w:rsidRPr="00F242DD">
        <w:t>1.1 Определение</w:t>
      </w:r>
      <w:r w:rsidR="00F56B62" w:rsidRPr="00F242DD">
        <w:t xml:space="preserve"> заболевания или состояния (группы заболеваний или состояний)</w:t>
      </w:r>
      <w:bookmarkEnd w:id="8"/>
      <w:r w:rsidR="00F56B62" w:rsidRPr="00F242DD">
        <w:t xml:space="preserve"> </w:t>
      </w:r>
    </w:p>
    <w:p w14:paraId="24B3A295" w14:textId="77777777" w:rsidR="004D7374" w:rsidRPr="00F242DD" w:rsidRDefault="00A56CC2" w:rsidP="00131E36">
      <w:pPr>
        <w:spacing w:before="0" w:after="0"/>
        <w:ind w:firstLine="709"/>
        <w:contextualSpacing/>
      </w:pPr>
      <w:r w:rsidRPr="00F242DD">
        <w:rPr>
          <w:b/>
        </w:rPr>
        <w:t>Множественная миелома</w:t>
      </w:r>
      <w:r w:rsidR="00E80729" w:rsidRPr="00F242DD">
        <w:rPr>
          <w:b/>
        </w:rPr>
        <w:t xml:space="preserve"> (ММ)</w:t>
      </w:r>
      <w:r w:rsidR="009918E5" w:rsidRPr="00F242DD">
        <w:rPr>
          <w:b/>
        </w:rPr>
        <w:t xml:space="preserve"> или</w:t>
      </w:r>
      <w:r w:rsidR="0045054E" w:rsidRPr="00F242DD">
        <w:rPr>
          <w:b/>
        </w:rPr>
        <w:t xml:space="preserve"> </w:t>
      </w:r>
      <w:r w:rsidR="009918E5" w:rsidRPr="00F242DD">
        <w:rPr>
          <w:b/>
        </w:rPr>
        <w:t>плазмоклеточная миелома (в редакции ВОЗ 2017</w:t>
      </w:r>
      <w:r w:rsidR="00E717D4" w:rsidRPr="00F242DD">
        <w:rPr>
          <w:b/>
        </w:rPr>
        <w:t> г.</w:t>
      </w:r>
      <w:r w:rsidR="009918E5" w:rsidRPr="00F242DD">
        <w:rPr>
          <w:b/>
        </w:rPr>
        <w:t xml:space="preserve">) </w:t>
      </w:r>
      <w:r w:rsidRPr="00F242DD">
        <w:t>– это В-клеточная злокачественная опухоль, морфологическим субстратом которой являются плазматические клетки</w:t>
      </w:r>
      <w:r w:rsidR="003A6BE5" w:rsidRPr="00F242DD">
        <w:t xml:space="preserve"> (ПК)</w:t>
      </w:r>
      <w:r w:rsidRPr="00F242DD">
        <w:t>, продуцирующие моноклональный иммуноглобулин</w:t>
      </w:r>
      <w:r w:rsidR="00E717D4" w:rsidRPr="00F242DD">
        <w:t xml:space="preserve"> </w:t>
      </w:r>
      <w:r w:rsidR="00A96FB6" w:rsidRPr="00F242DD">
        <w:fldChar w:fldCharType="begin" w:fldLock="1"/>
      </w:r>
      <w:r w:rsidR="00E717D4"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rsidRPr="00F242DD">
        <w:fldChar w:fldCharType="separate"/>
      </w:r>
      <w:r w:rsidR="00E717D4" w:rsidRPr="00F242DD">
        <w:rPr>
          <w:noProof/>
        </w:rPr>
        <w:t>[1]</w:t>
      </w:r>
      <w:r w:rsidR="00A96FB6" w:rsidRPr="00F242DD">
        <w:fldChar w:fldCharType="end"/>
      </w:r>
      <w:r w:rsidRPr="00F242DD">
        <w:t>.</w:t>
      </w:r>
    </w:p>
    <w:p w14:paraId="1A70EC52" w14:textId="77777777" w:rsidR="004D7374" w:rsidRPr="00F242DD" w:rsidRDefault="004D7374" w:rsidP="00E36DFA">
      <w:pPr>
        <w:pStyle w:val="2"/>
      </w:pPr>
      <w:bookmarkStart w:id="9" w:name="_Toc53140883"/>
      <w:r w:rsidRPr="00F242DD">
        <w:t>1.2 Этиология и патогенез</w:t>
      </w:r>
      <w:r w:rsidR="00F56B62" w:rsidRPr="00F242DD">
        <w:t xml:space="preserve"> заболевания или состояния (группы заболеваний или состояний)</w:t>
      </w:r>
      <w:bookmarkEnd w:id="9"/>
      <w:r w:rsidR="00F56B62" w:rsidRPr="00F242DD">
        <w:t xml:space="preserve"> </w:t>
      </w:r>
    </w:p>
    <w:p w14:paraId="7926D67C" w14:textId="5649292E" w:rsidR="004D7374" w:rsidRPr="00F242DD" w:rsidRDefault="009918E5" w:rsidP="00131E36">
      <w:pPr>
        <w:spacing w:before="0" w:after="0"/>
        <w:ind w:firstLine="709"/>
        <w:contextualSpacing/>
      </w:pPr>
      <w:r w:rsidRPr="00F242DD">
        <w:t xml:space="preserve">Патогенетически решающим фактом </w:t>
      </w:r>
      <w:r w:rsidR="00A045D5" w:rsidRPr="00F242DD">
        <w:t>является</w:t>
      </w:r>
      <w:r w:rsidRPr="00F242DD">
        <w:t xml:space="preserve"> длительная, хроническая антигенная стимуляция </w:t>
      </w:r>
      <w:r w:rsidR="00D22D1F" w:rsidRPr="00F242DD">
        <w:t>после</w:t>
      </w:r>
      <w:r w:rsidRPr="00F242DD">
        <w:t xml:space="preserve"> вирусных инфекций или других хронических заболеваний, длительного воздействия токсических веществ и радиации</w:t>
      </w:r>
      <w:r w:rsidR="00E717D4" w:rsidRPr="00F242DD">
        <w:t xml:space="preserve"> </w:t>
      </w:r>
      <w:r w:rsidR="00A96FB6" w:rsidRPr="00F242DD">
        <w:fldChar w:fldCharType="begin" w:fldLock="1"/>
      </w:r>
      <w:r w:rsidR="00C840EE" w:rsidRPr="00F242DD">
        <w:instrText>ADDIN CSL_CITATION {"citationItems":[{"id":"ITEM-1","itemData":{"DOI":"10.1007/s10147-015-0837-0","ISSN":"1437-7772","PMID":"25953678","abstract":"Multiple myeloma (MM), one of the most intractable malignancies, is characterized by the infiltration and growth of plasma cells, the most differentiated cells in the B-cell lineage, in the bone marrow. Despite the introduction of novel therapeutic agents, including proteasome inhibitors and immunomodulatory drugs, the prognosis of patients with MM is still worse than that of most hematological malignancies. A better understanding of the molecular pathogenesis of the disease is essential to achieve any improvement of treatment outcome of MM patients. All MM cases pass through the phase of asymptomatic expansion of clonal plasma cells, referred to as monoclonal gammopathy of undetermined significance (MGUS). It has long been believed that MM evolves linearly from MGUS to terminal phases, such as extramedullary tumors and plasma cell leukemia via the accumulation of novel mutations. However, recent studies using next-generation sequencing have disclosed the complex genomic architecture of the disease. At each step of progression, the acquisition of novel mutations is accompanied by subclonal evolution from reservoir clones with branching patterns. Each subclone may carry novel mutations and distinct phenotypes, including drug sensitivity. In addition, minor clones already exist at the MGUS stage, which could expand later in the clinical course, resulting in relapse and/or leukemic conversion. The ultimate goal of treatment is to eradicate all clones, including subclonal populations with distinct biological characteristics. This goal could be achieved by further improving treatment strategies that reflect the genomic landscape of the disease.","author":[{"dropping-particle":"","family":"Furukawa","given":"Yusuke","non-dropping-particle":"","parse-names":false,"suffix":""},{"dropping-particle":"","family":"Kikuchi","given":"Jiro","non-dropping-particle":"","parse-names":false,"suffix":""}],"container-title":"International journal of clinical oncology","id":"ITEM-1","issue":"3","issued":{"date-parts":[["2015","6"]]},"page":"413-22","title":"Molecular pathogenesis of multiple myeloma.","type":"article-journal","volume":"20"},"uris":["http://www.mendeley.com/documents/?uuid=7ed49ac3-6857-3524-ae38-7b0b832da3da"]},{"id":"ITEM-2","itemData":{"DOI":"10.1126/science.142.3598.1492","ISSN":"0036-8075","author":[{"dropping-particle":"","family":"Lewis","given":"E. B.","non-dropping-particle":"","parse-names":false,"suffix":""}],"container-title":"Science","id":"ITEM-2","issue":"3598","issued":{"date-parts":[["1963","12","13"]]},"page":"1492-1494","title":"Leukemia, Multiple Myeloma, and Aplastic Anemia in American Radiologists","type":"article-journal","volume":"142"},"uris":["http://www.mendeley.com/documents/?uuid=f7e95964-b09a-359f-9c6e-40c490e0de91"]},{"id":"ITEM-3","itemData":{"author":[{"dropping-particle":"","family":"Linet","given":"M.S.","non-dropping-particle":"","parse-names":false,"suffix":""},{"dropping-particle":"","family":"Harlow","given":"S.D.","non-dropping-particle":"","parse-names":false,"suffix":""},{"dropping-particle":"","family":"McLaughlin","given":"J.K.","non-dropping-particle":"","parse-names":false,"suffix":""}],"container-title":"Cancer Research","id":"ITEM-3","issue":"11","issued":{"date-parts":[["1987"]]},"page":"2978-2981","title":"A case-control study of multiple myeloma in whites: chronic antigenic stimulation, occupation, and drug use.","type":"article-journal","volume":"47"},"uris":["http://www.mendeley.com/documents/?uuid=75f5cfe5-6b6b-4d02-9463-6ba010e37d9e"]},{"id":"ITEM-4","itemData":{"ISSN":"0006-4971","PMID":"9414264","author":[{"dropping-particle":"","family":"Hallek","given":"M","non-dropping-particle":"","parse-names":false,"suffix":""},{"dropping-particle":"","family":"Bergsagel","given":"P L","non-dropping-particle":"","parse-names":false,"suffix":""},{"dropping-particle":"","family":"Anderson","given":"K C","non-dropping-particle":"","parse-names":false,"suffix":""}],"container-title":"Blood","id":"ITEM-4","issue":"1","issued":{"date-parts":[["1998","1","1"]]},"page":"3-21","title":"Multiple myeloma: increasing evidence for a multistep transformation process.","type":"article-journal","volume":"91"},"uris":["http://www.mendeley.com/documents/?uuid=98f51870-a144-3f83-9627-15e5bdfb6349"]}],"mendeley":{"formattedCitation":"[2–5]","plainTextFormattedCitation":"[2–5]","previouslyFormattedCitation":"[2–5]"},"properties":{"noteIndex":0},"schema":"https://github.com/citation-style-language/schema/raw/master/csl-citation.json"}</w:instrText>
      </w:r>
      <w:r w:rsidR="00A96FB6" w:rsidRPr="00F242DD">
        <w:fldChar w:fldCharType="separate"/>
      </w:r>
      <w:r w:rsidR="00E717D4" w:rsidRPr="00F242DD">
        <w:rPr>
          <w:noProof/>
        </w:rPr>
        <w:t>[2–5]</w:t>
      </w:r>
      <w:r w:rsidR="00A96FB6" w:rsidRPr="00F242DD">
        <w:fldChar w:fldCharType="end"/>
      </w:r>
      <w:r w:rsidR="00E717D4" w:rsidRPr="00F242DD">
        <w:t xml:space="preserve">. </w:t>
      </w:r>
      <w:r w:rsidR="00A045D5" w:rsidRPr="00F242DD">
        <w:t xml:space="preserve">В результате </w:t>
      </w:r>
      <w:r w:rsidR="0045054E" w:rsidRPr="00F242DD">
        <w:rPr>
          <w:rFonts w:eastAsia="Times New Roman"/>
          <w:color w:val="222222"/>
          <w:szCs w:val="24"/>
          <w:lang w:eastAsia="ru-RU"/>
        </w:rPr>
        <w:t>длительной серии генетических событий</w:t>
      </w:r>
      <w:r w:rsidR="00A045D5" w:rsidRPr="00F242DD">
        <w:rPr>
          <w:rFonts w:eastAsia="Times New Roman"/>
          <w:color w:val="222222"/>
          <w:szCs w:val="24"/>
          <w:lang w:eastAsia="ru-RU"/>
        </w:rPr>
        <w:t xml:space="preserve"> формируется патологическский клон В-клеток, способных к дифференцировке до </w:t>
      </w:r>
      <w:r w:rsidR="003A6BE5" w:rsidRPr="00F242DD">
        <w:rPr>
          <w:rFonts w:eastAsia="Times New Roman"/>
          <w:color w:val="222222"/>
          <w:szCs w:val="24"/>
          <w:lang w:eastAsia="ru-RU"/>
        </w:rPr>
        <w:t>ПК</w:t>
      </w:r>
      <w:r w:rsidR="00A045D5" w:rsidRPr="00F242DD">
        <w:rPr>
          <w:rFonts w:eastAsia="Times New Roman"/>
          <w:color w:val="222222"/>
          <w:szCs w:val="24"/>
          <w:lang w:eastAsia="ru-RU"/>
        </w:rPr>
        <w:t xml:space="preserve">, но продуцирующих нефункциональный иммуноглобулин. </w:t>
      </w:r>
      <w:r w:rsidR="0045054E" w:rsidRPr="00F242DD">
        <w:rPr>
          <w:rFonts w:eastAsia="Times New Roman"/>
          <w:color w:val="222222"/>
          <w:szCs w:val="24"/>
          <w:lang w:eastAsia="ru-RU"/>
        </w:rPr>
        <w:t>Биологические и клинические особенности ММ связаны с генетическими аберрациями, такими как перестройка</w:t>
      </w:r>
      <w:r w:rsidR="00A045D5" w:rsidRPr="00F242DD">
        <w:rPr>
          <w:rFonts w:eastAsia="Times New Roman"/>
          <w:color w:val="222222"/>
          <w:szCs w:val="24"/>
          <w:lang w:eastAsia="ru-RU"/>
        </w:rPr>
        <w:t xml:space="preserve"> локусов</w:t>
      </w:r>
      <w:r w:rsidR="0045054E" w:rsidRPr="00F242DD">
        <w:rPr>
          <w:rFonts w:eastAsia="Times New Roman"/>
          <w:color w:val="222222"/>
          <w:szCs w:val="24"/>
          <w:lang w:eastAsia="ru-RU"/>
        </w:rPr>
        <w:t xml:space="preserve"> генов тяжелой цепи</w:t>
      </w:r>
      <w:r w:rsidR="00A045D5" w:rsidRPr="00F242DD">
        <w:rPr>
          <w:rFonts w:eastAsia="Times New Roman"/>
          <w:color w:val="222222"/>
          <w:szCs w:val="24"/>
          <w:lang w:eastAsia="ru-RU"/>
        </w:rPr>
        <w:t xml:space="preserve"> иммуноглобулина (IGH)</w:t>
      </w:r>
      <w:r w:rsidR="00C840EE" w:rsidRPr="00F242DD">
        <w:rPr>
          <w:rFonts w:eastAsia="Times New Roman"/>
          <w:color w:val="222222"/>
          <w:szCs w:val="24"/>
          <w:lang w:eastAsia="ru-RU"/>
        </w:rPr>
        <w:t xml:space="preserve">, </w:t>
      </w:r>
      <w:r w:rsidR="0045054E" w:rsidRPr="00F242DD">
        <w:rPr>
          <w:rFonts w:eastAsia="Times New Roman"/>
          <w:color w:val="222222"/>
          <w:szCs w:val="24"/>
          <w:lang w:eastAsia="ru-RU"/>
        </w:rPr>
        <w:t>а также хромосомные делеции, мутации соматических генов и хромосомная гипердиплоидия с участием нечетного числа хромосом</w:t>
      </w:r>
      <w:r w:rsidR="00A045D5" w:rsidRPr="00F242DD">
        <w:rPr>
          <w:rFonts w:eastAsia="Times New Roman"/>
          <w:color w:val="222222"/>
          <w:szCs w:val="24"/>
          <w:lang w:eastAsia="ru-RU"/>
        </w:rPr>
        <w:t>. Наличие значительного количества различных генетических нарушений обусл</w:t>
      </w:r>
      <w:r w:rsidR="008030C8" w:rsidRPr="00F242DD">
        <w:rPr>
          <w:rFonts w:eastAsia="Times New Roman"/>
          <w:color w:val="222222"/>
          <w:szCs w:val="24"/>
          <w:lang w:eastAsia="ru-RU"/>
        </w:rPr>
        <w:t>о</w:t>
      </w:r>
      <w:r w:rsidR="00A045D5" w:rsidRPr="00F242DD">
        <w:rPr>
          <w:rFonts w:eastAsia="Times New Roman"/>
          <w:color w:val="222222"/>
          <w:szCs w:val="24"/>
          <w:lang w:eastAsia="ru-RU"/>
        </w:rPr>
        <w:t>вливает высокую вариабельность течения болезни</w:t>
      </w:r>
      <w:r w:rsidR="00C840EE" w:rsidRPr="00F242DD">
        <w:rPr>
          <w:rFonts w:eastAsia="Times New Roman"/>
          <w:color w:val="222222"/>
          <w:szCs w:val="24"/>
          <w:lang w:eastAsia="ru-RU"/>
        </w:rPr>
        <w:t xml:space="preserve"> </w:t>
      </w:r>
      <w:r w:rsidR="00A96FB6" w:rsidRPr="00F242DD">
        <w:rPr>
          <w:rFonts w:eastAsia="Times New Roman"/>
          <w:color w:val="222222"/>
          <w:szCs w:val="24"/>
          <w:lang w:eastAsia="ru-RU"/>
        </w:rPr>
        <w:fldChar w:fldCharType="begin" w:fldLock="1"/>
      </w:r>
      <w:r w:rsidR="00267DE2" w:rsidRPr="00F242DD">
        <w:rPr>
          <w:rFonts w:eastAsia="Times New Roman"/>
          <w:color w:val="222222"/>
          <w:szCs w:val="24"/>
          <w:lang w:eastAsia="ru-RU"/>
        </w:rPr>
        <w:instrText>ADDIN CSL_CITATION {"citationItems":[{"id":"ITEM-1","itemData":{"DOI":"10.1007/s10147-015-0837-0","ISSN":"1437-7772","PMID":"25953678","abstract":"Multiple myeloma (MM), one of the most intractable malignancies, is characterized by the infiltration and growth of plasma cells, the most differentiated cells in the B-cell lineage, in the bone marrow. Despite the introduction of novel therapeutic agents, including proteasome inhibitors and immunomodulatory drugs, the prognosis of patients with MM is still worse than that of most hematological malignancies. A better understanding of the molecular pathogenesis of the disease is essential to achieve any improvement of treatment outcome of MM patients. All MM cases pass through the phase of asymptomatic expansion of clonal plasma cells, referred to as monoclonal gammopathy of undetermined significance (MGUS). It has long been believed that MM evolves linearly from MGUS to terminal phases, such as extramedullary tumors and plasma cell leukemia via the accumulation of novel mutations. However, recent studies using next-generation sequencing have disclosed the complex genomic architecture of the disease. At each step of progression, the acquisition of novel mutations is accompanied by subclonal evolution from reservoir clones with branching patterns. Each subclone may carry novel mutations and distinct phenotypes, including drug sensitivity. In addition, minor clones already exist at the MGUS stage, which could expand later in the clinical course, resulting in relapse and/or leukemic conversion. The ultimate goal of treatment is to eradicate all clones, including subclonal populations with distinct biological characteristics. This goal could be achieved by further improving treatment strategies that reflect the genomic landscape of the disease.","author":[{"dropping-particle":"","family":"Furukawa","given":"Yusuke","non-dropping-particle":"","parse-names":false,"suffix":""},{"dropping-particle":"","family":"Kikuchi","given":"Jiro","non-dropping-particle":"","parse-names":false,"suffix":""}],"container-title":"International journal of clinical oncology","id":"ITEM-1","issue":"3","issued":{"date-parts":[["2015","6"]]},"page":"413-22","title":"Molecular pathogenesis of multiple myeloma.","type":"article-journal","volume":"20"},"uris":["http://www.mendeley.com/documents/?uuid=7ed49ac3-6857-3524-ae38-7b0b832da3da"]},{"id":"ITEM-2","itemData":{"DOI":"10.1172/JCI61188","ISSN":"1558-8238","PMID":"23023717","abstract":"Multiple myeloma is a monoclonal tumor of plasma cells, and its development is preceded by a premalignant tumor with which it shares genetic abnormalities, including universal dysregulation of the cyclin D/retinoblastoma (cyclin D/RB) pathway. A complex interaction with the BM microenvironment, characterized by activation of osteoclasts and suppression of osteoblasts, leads to lytic bone disease. Intratumor genetic heterogeneity, which occurs in addition to intertumor heterogeneity, contributes to the rapid emergence of drug resistance in high-risk disease. Despite recent therapeutic advances, which have doubled the median survival time, myeloma continues to be a mostly incurable disease. Here we review the current understanding of myeloma pathogenesis and insight into new therapeutic strategies provided by animal models and genetic screens.","author":[{"dropping-particle":"","family":"Kuehl","given":"W Michael","non-dropping-particle":"","parse-names":false,"suffix":""},{"dropping-particle":"","family":"Bergsagel","given":"P Leif","non-dropping-particle":"","parse-names":false,"suffix":""}],"container-title":"The Journal of clinical investigation","id":"ITEM-2","issue":"10","issued":{"date-parts":[["2012","10"]]},"page":"3456-63","title":"Molecular pathogenesis of multiple myeloma and its premalignant precursor.","type":"article-journal","volume":"122"},"uris":["http://www.mendeley.com/documents/?uuid=cec0d1b0-5bbe-3cad-b7f6-f0c7352a7c55"]},{"id":"ITEM-3","itemData":{"DOI":"10.1038/nrc3257","ISSN":"1474-1768","PMID":"22495321","abstract":"Based on the clinical features of myeloma and related malignancies of plasma cells, it has been possible to generate a model system of myeloma progression from a normal plasma cell through smouldering myeloma to myeloma and then plasma cell leukaemia. Using this model system we can study at which points the genetic alterations identified through whole-tumour molecular analyses function in the initiation and progression of myeloma. Further genetic complexity, such as intraclonal heterogeneity, and insights into the molecular evolution and intraclonal dynamics in this model system are crucial to our understandings of tumour progression, treatment resistance and the use of currently available and future treatments.","author":[{"dropping-particle":"","family":"Morgan","given":"Gareth J","non-dropping-particle":"","parse-names":false,"suffix":""},{"dropping-particle":"","family":"Walker","given":"Brian A","non-dropping-particle":"","parse-names":false,"suffix":""},{"dropping-particle":"","family":"Davies","given":"Faith E","non-dropping-particle":"","parse-names":false,"suffix":""}],"container-title":"Nature reviews. Cancer","id":"ITEM-3","issue":"5","issued":{"date-parts":[["2012","4","12"]]},"page":"335-48","title":"The genetic architecture of multiple myeloma.","type":"article-journal","volume":"12"},"uris":["http://www.mendeley.com/documents/?uuid=22f30392-a9bf-3e38-be7b-8d6e10f4bec0"]},{"id":"ITEM-4","itemData":{"DOI":"10.1038/leu.2009.174","ISSN":"14765551","abstract":"Myeloma is a malignant proliferation of monoclonal plasma cells. Although morphologically similar, several subtypes of the disease have been identified at the genetic and molecular level. These genetic subtypes are associated with unique clinicopathological features and dissimilar outcome. At the top hierarchical level, myeloma can be divided into hyperdiploid and non-hyperdiploid subtypes. The latter is mainly composed of cases harboring IgH translocations, generally associated with more aggressive clinical features and shorter survival. The three main IgH translocations in myeloma are the t(11;14)(q13;q32), t(4;14)(p16;q32) and t(14;16)(q32;q23). Trisomies and a more indolent form of the disease characterize hyperdiploid myeloma. A number of genetic progression factors have been identified including deletions of chromosomes 13 and 17 and abnormalities of chromosome 1 (1p deletion and 1q amplification). Other key drivers of cell survival and proliferation have also been identified such as nuclear factor- B-activating mutations and other deregulation factors for the cyclin-dependent pathways regulators. Further understanding of the biological subtypes of the disease has come from the application of novel techniques such as gene expression profiling and array-based comparative genomic hybridization. The combination of data arising from these studies and that previously elucidated through other mechanisms allows for most myeloma cases to be classified under one of several genetic subtypes. This paper proposes a framework for the classification of myeloma subtypes and provides recommendations for genetic testing. This group proposes that genetic testing needs to be incorporated into daily clinical practice and also as an essential component of all ongoing and future clinical trials.","author":[{"dropping-particle":"","family":"Fonseca","given":"R.","non-dropping-particle":"","parse-names":false,"suffix":""},{"dropping-particle":"","family":"Bergsagel","given":"P. L.","non-dropping-particle":"","parse-names":false,"suffix":""},{"dropping-particle":"","family":"Drach","given":"J.","non-dropping-particle":"","parse-names":false,"suffix":""},{"dropping-particle":"","family":"Shaughnessy","given":"J.","non-dropping-particle":"","parse-names":false,"suffix":""},{"dropping-particle":"","family":"Gutierrez","given":"N.","non-dropping-particle":"","parse-names":false,"suffix":""},{"dropping-particle":"","family":"Stewart","given":"A. K.","non-dropping-particle":"","parse-names":false,"suffix":""},{"dropping-particle":"","family":"Morgan","given":"G.","non-dropping-particle":"","parse-names":false,"suffix":""},{"dropping-particle":"","family":"Ness","given":"B.","non-dropping-particle":"Van","parse-names":false,"suffix":""},{"dropping-particle":"","family":"Chesi","given":"M.","non-dropping-particle":"","parse-names":false,"suffix":""},{"dropping-particle":"","family":"Minvielle","given":"S.","non-dropping-particle":"","parse-names":false,"suffix":""},{"dropping-particle":"","family":"Neri","given":"A.","non-dropping-particle":"","parse-names":false,"suffix":""},{"dropping-particle":"","family":"Barlogie","given":"B.","non-dropping-particle":"","parse-names":false,"suffix":""},{"dropping-particle":"","family":"Kuehl","given":"W. M.","non-dropping-particle":"","parse-names":false,"suffix":""},{"dropping-particle":"","family":"Liebisch","given":"P.","non-dropping-particle":"","parse-names":false,"suffix":""},{"dropping-particle":"","family":"Davies","given":"F.","non-dropping-particle":"","parse-names":false,"suffix":""},{"dropping-particle":"","family":"Chen-Kiang","given":"S.","non-dropping-particle":"","parse-names":false,"suffix":""},{"dropping-particle":"","family":"Durie","given":"B. G.M.","non-dropping-particle":"","parse-names":false,"suffix":""},{"dropping-particle":"","family":"Carrasco","given":"R.","non-dropping-particle":"","parse-names":false,"suffix":""},{"dropping-particle":"","family":"Sezer","given":"O.","non-dropping-particle":"","parse-names":false,"suffix":""},{"dropping-particle":"","family":"Reiman","given":"T.","non-dropping-particle":"","parse-names":false,"suffix":""},{"dropping-particle":"","family":"Pilarski","given":"L.","non-dropping-particle":"","parse-names":false,"suffix":""},{"dropping-particle":"","family":"Avet-Loiseau","given":"H.","non-dropping-particle":"","parse-names":false,"suffix":""}],"container-title":"Leukemia","id":"ITEM-4","issue":"12","issued":{"date-parts":[["2009"]]},"page":"2210-2221","publisher":"Nature Publishing Group","title":"International Myeloma Working Group molecular classification of multiple myeloma: Spotlight review","type":"article","volume":"23"},"uris":["http://www.mendeley.com/documents/?uuid=eea161a0-d6ce-3fa3-9219-81304b897921"]}],"mendeley":{"formattedCitation":"[2,6–8]","plainTextFormattedCitation":"[2,6–8]","previouslyFormattedCitation":"[2,6–8]"},"properties":{"noteIndex":0},"schema":"https://github.com/citation-style-language/schema/raw/master/csl-citation.json"}</w:instrText>
      </w:r>
      <w:r w:rsidR="00A96FB6" w:rsidRPr="00F242DD">
        <w:rPr>
          <w:rFonts w:eastAsia="Times New Roman"/>
          <w:color w:val="222222"/>
          <w:szCs w:val="24"/>
          <w:lang w:eastAsia="ru-RU"/>
        </w:rPr>
        <w:fldChar w:fldCharType="separate"/>
      </w:r>
      <w:r w:rsidR="000D22CF" w:rsidRPr="00F242DD">
        <w:rPr>
          <w:rFonts w:eastAsia="Times New Roman"/>
          <w:noProof/>
          <w:color w:val="222222"/>
          <w:szCs w:val="24"/>
          <w:lang w:eastAsia="ru-RU"/>
        </w:rPr>
        <w:t>[2,6–8]</w:t>
      </w:r>
      <w:r w:rsidR="00A96FB6" w:rsidRPr="00F242DD">
        <w:rPr>
          <w:rFonts w:eastAsia="Times New Roman"/>
          <w:color w:val="222222"/>
          <w:szCs w:val="24"/>
          <w:lang w:eastAsia="ru-RU"/>
        </w:rPr>
        <w:fldChar w:fldCharType="end"/>
      </w:r>
      <w:r w:rsidR="004A458B" w:rsidRPr="00F242DD">
        <w:t>.</w:t>
      </w:r>
    </w:p>
    <w:p w14:paraId="61FF44F0" w14:textId="77777777" w:rsidR="004D7374" w:rsidRPr="00F242DD" w:rsidRDefault="004D7374" w:rsidP="00131E36">
      <w:pPr>
        <w:pStyle w:val="2"/>
        <w:spacing w:before="0" w:after="0"/>
        <w:ind w:firstLine="709"/>
        <w:contextualSpacing/>
      </w:pPr>
      <w:bookmarkStart w:id="10" w:name="_Toc53140884"/>
      <w:r w:rsidRPr="00F242DD">
        <w:t>1.3 Эпидемиология</w:t>
      </w:r>
      <w:r w:rsidR="00F56B62" w:rsidRPr="00F242DD">
        <w:t xml:space="preserve"> заболевания или состояния (группы заболеваний или состояний)</w:t>
      </w:r>
      <w:bookmarkEnd w:id="10"/>
    </w:p>
    <w:p w14:paraId="190488A0" w14:textId="77777777" w:rsidR="004D7374" w:rsidRPr="00F242DD" w:rsidRDefault="00CD79F9" w:rsidP="00131E36">
      <w:pPr>
        <w:spacing w:before="0" w:after="0"/>
        <w:ind w:firstLine="709"/>
        <w:contextualSpacing/>
      </w:pPr>
      <w:r w:rsidRPr="00F242DD">
        <w:t>Заболеваемость ММ</w:t>
      </w:r>
      <w:r w:rsidR="004A458B" w:rsidRPr="00F242DD">
        <w:t xml:space="preserve"> составляет приблизительно 1</w:t>
      </w:r>
      <w:r w:rsidRPr="00F242DD">
        <w:t> </w:t>
      </w:r>
      <w:r w:rsidR="004A458B" w:rsidRPr="00F242DD">
        <w:t>% среди всех злокачественных опухолей и до 10</w:t>
      </w:r>
      <w:r w:rsidRPr="00F242DD">
        <w:t>−</w:t>
      </w:r>
      <w:r w:rsidR="004A458B" w:rsidRPr="00F242DD">
        <w:t>1</w:t>
      </w:r>
      <w:r w:rsidR="002A5B1B" w:rsidRPr="00F242DD">
        <w:t>5</w:t>
      </w:r>
      <w:r w:rsidRPr="00F242DD">
        <w:t> </w:t>
      </w:r>
      <w:r w:rsidR="004A458B" w:rsidRPr="00F242DD">
        <w:t xml:space="preserve">% всех </w:t>
      </w:r>
      <w:r w:rsidR="002A5B1B" w:rsidRPr="00F242DD">
        <w:t>опухолей кроветворной и лимфоидной тканей</w:t>
      </w:r>
      <w:r w:rsidR="004A458B" w:rsidRPr="00F242DD">
        <w:t xml:space="preserve">. Заболевают преимущественно люди старшей возрастной группы. Средний возраст вновь заболевших </w:t>
      </w:r>
      <w:r w:rsidRPr="00F242DD">
        <w:t>− ≈</w:t>
      </w:r>
      <w:r w:rsidR="004A458B" w:rsidRPr="00F242DD">
        <w:t>70 лет, распространенность заболевания среди населения моложе 40 лет не превышает 2</w:t>
      </w:r>
      <w:r w:rsidR="00EF028E" w:rsidRPr="00F242DD">
        <w:t> </w:t>
      </w:r>
      <w:r w:rsidR="004A458B" w:rsidRPr="00F242DD">
        <w:t>%. В России в 2017 г. заболеваемость ММ составила 2,78 на 100</w:t>
      </w:r>
      <w:r w:rsidR="00C840EE" w:rsidRPr="00F242DD">
        <w:t> </w:t>
      </w:r>
      <w:r w:rsidR="00EF028E" w:rsidRPr="00F242DD">
        <w:t>тыс.</w:t>
      </w:r>
      <w:r w:rsidR="004A458B" w:rsidRPr="00F242DD">
        <w:t xml:space="preserve"> населения, впервые было диагностировано 4</w:t>
      </w:r>
      <w:r w:rsidR="00C840EE" w:rsidRPr="00F242DD">
        <w:t> </w:t>
      </w:r>
      <w:r w:rsidR="004A458B" w:rsidRPr="00F242DD">
        <w:t>075 случая, умерл</w:t>
      </w:r>
      <w:r w:rsidR="00EF028E" w:rsidRPr="00F242DD">
        <w:t>и</w:t>
      </w:r>
      <w:r w:rsidR="004A458B" w:rsidRPr="00F242DD">
        <w:t xml:space="preserve"> 2587 </w:t>
      </w:r>
      <w:r w:rsidR="00FB03BB" w:rsidRPr="00F242DD">
        <w:t>пациентов</w:t>
      </w:r>
      <w:r w:rsidR="00C840EE" w:rsidRPr="00F242DD">
        <w:rPr>
          <w:i/>
        </w:rPr>
        <w:t xml:space="preserve"> </w:t>
      </w:r>
      <w:r w:rsidR="00A96FB6" w:rsidRPr="00F242DD">
        <w:rPr>
          <w:i/>
        </w:rPr>
        <w:fldChar w:fldCharType="begin" w:fldLock="1"/>
      </w:r>
      <w:r w:rsidR="00C840EE" w:rsidRPr="00F242DD">
        <w:rPr>
          <w:i/>
        </w:rPr>
        <w:instrText>ADDIN CSL_CITATION {"citationItems":[{"id":"ITEM-1","itemData":{"id":"ITEM-1","issued":{"date-parts":[["2018"]]},"publisher":"М.: МНИОИ им. П.А. Герцена – филиал ФГБУ «НМИЦ радиологии» Минздрава России","title":"Злокачественные новообразования в России в 2017 году (заболеваемость и смертность). Под ред. А.Д. Каприна, В.В. Старинского, Г.В. Петровой.","type":"book"},"uris":["http://www.mendeley.com/documents/?uuid=68874f7e-083c-49ca-8143-de3506a11a73"]}],"mendeley":{"formattedCitation":"[9]","plainTextFormattedCitation":"[9]","previouslyFormattedCitation":"[9]"},"properties":{"noteIndex":0},"schema":"https://github.com/citation-style-language/schema/raw/master/csl-citation.json"}</w:instrText>
      </w:r>
      <w:r w:rsidR="00A96FB6" w:rsidRPr="00F242DD">
        <w:rPr>
          <w:i/>
        </w:rPr>
        <w:fldChar w:fldCharType="separate"/>
      </w:r>
      <w:r w:rsidR="00C840EE" w:rsidRPr="00F242DD">
        <w:rPr>
          <w:noProof/>
        </w:rPr>
        <w:t>[9]</w:t>
      </w:r>
      <w:r w:rsidR="00A96FB6" w:rsidRPr="00F242DD">
        <w:rPr>
          <w:i/>
        </w:rPr>
        <w:fldChar w:fldCharType="end"/>
      </w:r>
      <w:r w:rsidR="004A458B" w:rsidRPr="00F242DD">
        <w:t>.</w:t>
      </w:r>
    </w:p>
    <w:p w14:paraId="5DFA2901" w14:textId="77777777" w:rsidR="004D7374" w:rsidRPr="00F242DD" w:rsidRDefault="004D7374" w:rsidP="00131E36">
      <w:pPr>
        <w:pStyle w:val="2"/>
        <w:spacing w:before="0" w:after="0"/>
        <w:ind w:firstLine="709"/>
        <w:contextualSpacing/>
      </w:pPr>
      <w:bookmarkStart w:id="11" w:name="_Toc53140885"/>
      <w:r w:rsidRPr="00F242DD">
        <w:t xml:space="preserve">1.4 </w:t>
      </w:r>
      <w:r w:rsidR="00F56B62" w:rsidRPr="00F242DD">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1"/>
    </w:p>
    <w:p w14:paraId="6104051F" w14:textId="77777777" w:rsidR="004A458B" w:rsidRPr="00F242DD" w:rsidRDefault="004A458B" w:rsidP="00131E36">
      <w:pPr>
        <w:spacing w:before="0" w:after="0"/>
        <w:ind w:firstLine="709"/>
        <w:contextualSpacing/>
      </w:pPr>
      <w:r w:rsidRPr="00F242DD">
        <w:rPr>
          <w:b/>
        </w:rPr>
        <w:t xml:space="preserve">С90.0 </w:t>
      </w:r>
      <w:r w:rsidR="00EF028E" w:rsidRPr="00F242DD">
        <w:rPr>
          <w:b/>
        </w:rPr>
        <w:t>−</w:t>
      </w:r>
      <w:r w:rsidRPr="00F242DD">
        <w:t xml:space="preserve"> </w:t>
      </w:r>
      <w:r w:rsidR="00EF028E" w:rsidRPr="00F242DD">
        <w:t>м</w:t>
      </w:r>
      <w:r w:rsidRPr="00F242DD">
        <w:t xml:space="preserve">ножественная миелома </w:t>
      </w:r>
    </w:p>
    <w:p w14:paraId="72455678" w14:textId="77777777" w:rsidR="004D7374" w:rsidRPr="00F242DD" w:rsidRDefault="004D7374" w:rsidP="00E36DFA">
      <w:pPr>
        <w:pStyle w:val="2"/>
      </w:pPr>
      <w:bookmarkStart w:id="12" w:name="_Toc53140886"/>
      <w:r w:rsidRPr="00F242DD">
        <w:lastRenderedPageBreak/>
        <w:t xml:space="preserve">1.5 </w:t>
      </w:r>
      <w:r w:rsidR="00407D81" w:rsidRPr="00F242DD">
        <w:t>Классификация</w:t>
      </w:r>
      <w:r w:rsidR="00F56B62" w:rsidRPr="00F242DD">
        <w:t xml:space="preserve"> заболевания или состояния (группы заболеваний или состояний)</w:t>
      </w:r>
      <w:bookmarkEnd w:id="12"/>
    </w:p>
    <w:p w14:paraId="69131C1F" w14:textId="77777777" w:rsidR="002A5B1B" w:rsidRPr="00F242DD" w:rsidRDefault="002A5B1B" w:rsidP="00131E36">
      <w:pPr>
        <w:spacing w:before="0" w:after="0"/>
        <w:ind w:firstLine="709"/>
        <w:contextualSpacing/>
      </w:pPr>
      <w:r w:rsidRPr="00F242DD">
        <w:t>Среди плазмо</w:t>
      </w:r>
      <w:r w:rsidR="00F96C93" w:rsidRPr="00F242DD">
        <w:t>кл</w:t>
      </w:r>
      <w:r w:rsidRPr="00F242DD">
        <w:t>еточных опухолей в настоящее время выделяют</w:t>
      </w:r>
      <w:r w:rsidR="00C840EE" w:rsidRPr="00F242DD">
        <w:t xml:space="preserve"> </w:t>
      </w:r>
      <w:r w:rsidR="00A96FB6" w:rsidRPr="00F242DD">
        <w:fldChar w:fldCharType="begin" w:fldLock="1"/>
      </w:r>
      <w:r w:rsidR="00F832D0" w:rsidRPr="00F242DD">
        <w:instrText>ADDIN CSL_CITATION {"citationItems":[{"id":"ITEM-1","itemData":{"author":[{"dropping-particle":"","family":"Бессмельцев","given":"С.С.","non-dropping-particle":"","parse-names":false,"suffix":""}],"container-title":"Вестник гематологии.","id":"ITEM-1","issue":"3","issued":{"date-parts":[["2014"]]},"page":"6-39","title":"Множественная миелома (лекция).","type":"article-journal","volume":"10"},"uris":["http://www.mendeley.com/documents/?uuid=1498007c-e9c9-4d2e-b25d-194ee99dadd9"]}],"mendeley":{"formattedCitation":"[10]","plainTextFormattedCitation":"[10]","previouslyFormattedCitation":"[10]"},"properties":{"noteIndex":0},"schema":"https://github.com/citation-style-language/schema/raw/master/csl-citation.json"}</w:instrText>
      </w:r>
      <w:r w:rsidR="00A96FB6" w:rsidRPr="00F242DD">
        <w:fldChar w:fldCharType="separate"/>
      </w:r>
      <w:r w:rsidR="00C840EE" w:rsidRPr="00F242DD">
        <w:rPr>
          <w:noProof/>
        </w:rPr>
        <w:t>[10]</w:t>
      </w:r>
      <w:r w:rsidR="00A96FB6" w:rsidRPr="00F242DD">
        <w:fldChar w:fldCharType="end"/>
      </w:r>
      <w:r w:rsidRPr="00F242DD">
        <w:t>:</w:t>
      </w:r>
    </w:p>
    <w:p w14:paraId="1D2ACC12" w14:textId="77777777" w:rsidR="002A5B1B" w:rsidRPr="00F242DD" w:rsidRDefault="002A5B1B" w:rsidP="00727CDE">
      <w:pPr>
        <w:pStyle w:val="a6"/>
        <w:numPr>
          <w:ilvl w:val="0"/>
          <w:numId w:val="57"/>
        </w:numPr>
        <w:spacing w:before="0" w:after="0"/>
      </w:pPr>
      <w:r w:rsidRPr="00F242DD">
        <w:t>монокл</w:t>
      </w:r>
      <w:r w:rsidR="00C840EE" w:rsidRPr="00F242DD">
        <w:t>о</w:t>
      </w:r>
      <w:r w:rsidRPr="00F242DD">
        <w:t xml:space="preserve">нальную гаммапатию неясного генеза (не </w:t>
      </w:r>
      <w:r w:rsidRPr="00F242DD">
        <w:rPr>
          <w:lang w:val="en-US"/>
        </w:rPr>
        <w:t>Ig</w:t>
      </w:r>
      <w:r w:rsidRPr="00F242DD">
        <w:t>-</w:t>
      </w:r>
      <w:r w:rsidRPr="00F242DD">
        <w:rPr>
          <w:lang w:val="en-US"/>
        </w:rPr>
        <w:t>M</w:t>
      </w:r>
      <w:r w:rsidRPr="00F242DD">
        <w:t xml:space="preserve"> тип)</w:t>
      </w:r>
      <w:r w:rsidR="00C840EE" w:rsidRPr="00F242DD">
        <w:t>;</w:t>
      </w:r>
    </w:p>
    <w:p w14:paraId="0DE39D38" w14:textId="77777777" w:rsidR="002A5B1B" w:rsidRPr="00F242DD" w:rsidRDefault="002A5B1B" w:rsidP="00727CDE">
      <w:pPr>
        <w:pStyle w:val="a6"/>
        <w:numPr>
          <w:ilvl w:val="0"/>
          <w:numId w:val="57"/>
        </w:numPr>
        <w:spacing w:before="0" w:after="0"/>
      </w:pPr>
      <w:r w:rsidRPr="00F242DD">
        <w:t>моноколональн</w:t>
      </w:r>
      <w:r w:rsidR="005A572F" w:rsidRPr="00F242DD">
        <w:t>ую</w:t>
      </w:r>
      <w:r w:rsidRPr="00F242DD">
        <w:t xml:space="preserve"> гаммапати</w:t>
      </w:r>
      <w:r w:rsidR="005A572F" w:rsidRPr="00F242DD">
        <w:t>ю</w:t>
      </w:r>
      <w:r w:rsidRPr="00F242DD">
        <w:t xml:space="preserve"> неясного генеза с вовлечением легких цепей</w:t>
      </w:r>
      <w:r w:rsidR="00C840EE" w:rsidRPr="00F242DD">
        <w:t>;</w:t>
      </w:r>
    </w:p>
    <w:p w14:paraId="7013162D" w14:textId="5A948B80" w:rsidR="002A5B1B" w:rsidRPr="00F242DD" w:rsidRDefault="002A5B1B" w:rsidP="00727CDE">
      <w:pPr>
        <w:pStyle w:val="a6"/>
        <w:numPr>
          <w:ilvl w:val="0"/>
          <w:numId w:val="57"/>
        </w:numPr>
        <w:spacing w:before="0" w:after="0"/>
      </w:pPr>
      <w:r w:rsidRPr="00F242DD">
        <w:t>плазмоклеточную (множественную) миелому</w:t>
      </w:r>
      <w:r w:rsidR="00C840EE" w:rsidRPr="00F242DD">
        <w:t>;</w:t>
      </w:r>
    </w:p>
    <w:p w14:paraId="2746BC54" w14:textId="77777777" w:rsidR="002A5B1B" w:rsidRPr="00F242DD" w:rsidRDefault="002A5B1B" w:rsidP="00727CDE">
      <w:pPr>
        <w:pStyle w:val="a6"/>
        <w:numPr>
          <w:ilvl w:val="0"/>
          <w:numId w:val="57"/>
        </w:numPr>
        <w:spacing w:before="0" w:after="0"/>
      </w:pPr>
      <w:r w:rsidRPr="00F242DD">
        <w:t>варианты плазмоклеточной миеломы</w:t>
      </w:r>
      <w:r w:rsidR="005A572F" w:rsidRPr="00F242DD">
        <w:t>:</w:t>
      </w:r>
      <w:r w:rsidRPr="00F242DD">
        <w:t xml:space="preserve"> вялотекущ</w:t>
      </w:r>
      <w:r w:rsidR="005A572F" w:rsidRPr="00F242DD">
        <w:t>ую</w:t>
      </w:r>
      <w:r w:rsidRPr="00F242DD">
        <w:t xml:space="preserve"> (асимптоматическую) миелом</w:t>
      </w:r>
      <w:r w:rsidR="005A572F" w:rsidRPr="00F242DD">
        <w:t>у</w:t>
      </w:r>
      <w:r w:rsidRPr="00F242DD">
        <w:t>, несекретирующ</w:t>
      </w:r>
      <w:r w:rsidR="005A572F" w:rsidRPr="00F242DD">
        <w:t>ую</w:t>
      </w:r>
      <w:r w:rsidRPr="00F242DD">
        <w:t xml:space="preserve"> миелом</w:t>
      </w:r>
      <w:r w:rsidR="005A572F" w:rsidRPr="00F242DD">
        <w:t>у</w:t>
      </w:r>
      <w:r w:rsidRPr="00F242DD">
        <w:t xml:space="preserve"> и плазмоклеточный лейкоз</w:t>
      </w:r>
      <w:r w:rsidR="00C840EE" w:rsidRPr="00F242DD">
        <w:t>;</w:t>
      </w:r>
      <w:r w:rsidRPr="00F242DD">
        <w:t xml:space="preserve"> </w:t>
      </w:r>
    </w:p>
    <w:p w14:paraId="5FB39F48" w14:textId="77777777" w:rsidR="002A5B1B" w:rsidRPr="00F242DD" w:rsidRDefault="002A5B1B" w:rsidP="00727CDE">
      <w:pPr>
        <w:pStyle w:val="a6"/>
        <w:numPr>
          <w:ilvl w:val="0"/>
          <w:numId w:val="57"/>
        </w:numPr>
        <w:spacing w:before="0" w:after="0"/>
      </w:pPr>
      <w:r w:rsidRPr="00F242DD">
        <w:t>плазмоцитом</w:t>
      </w:r>
      <w:r w:rsidR="005A572F" w:rsidRPr="00F242DD">
        <w:t>у</w:t>
      </w:r>
      <w:r w:rsidR="00C840EE" w:rsidRPr="00F242DD">
        <w:t>.</w:t>
      </w:r>
    </w:p>
    <w:p w14:paraId="08F272EA" w14:textId="77777777" w:rsidR="00371E91" w:rsidRPr="00F242DD" w:rsidRDefault="00371E91" w:rsidP="00131E36">
      <w:pPr>
        <w:spacing w:before="0" w:after="0"/>
        <w:ind w:firstLine="709"/>
        <w:contextualSpacing/>
      </w:pPr>
      <w:r w:rsidRPr="00F242DD">
        <w:t xml:space="preserve">Множественная миелома </w:t>
      </w:r>
      <w:r w:rsidR="00E74207" w:rsidRPr="00F242DD">
        <w:t>классифицируется</w:t>
      </w:r>
      <w:r w:rsidR="008605BE" w:rsidRPr="00F242DD">
        <w:t xml:space="preserve"> по стадиям и </w:t>
      </w:r>
      <w:r w:rsidRPr="00F242DD">
        <w:t>по факторам риска.</w:t>
      </w:r>
    </w:p>
    <w:p w14:paraId="582F21BF" w14:textId="77777777" w:rsidR="004A458B" w:rsidRPr="00F242DD" w:rsidRDefault="004A458B" w:rsidP="00131E36">
      <w:pPr>
        <w:spacing w:before="0" w:after="0"/>
        <w:ind w:firstLine="709"/>
        <w:contextualSpacing/>
        <w:rPr>
          <w:rStyle w:val="ac"/>
          <w:b w:val="0"/>
        </w:rPr>
      </w:pPr>
      <w:bookmarkStart w:id="13" w:name="_Toc520213124"/>
      <w:r w:rsidRPr="00F242DD">
        <w:rPr>
          <w:rStyle w:val="ac"/>
          <w:b w:val="0"/>
        </w:rPr>
        <w:t>Распространенной системой стадирования является классификация B.</w:t>
      </w:r>
      <w:r w:rsidR="005A572F" w:rsidRPr="00F242DD">
        <w:rPr>
          <w:rStyle w:val="ac"/>
          <w:b w:val="0"/>
        </w:rPr>
        <w:t> </w:t>
      </w:r>
      <w:r w:rsidRPr="00F242DD">
        <w:rPr>
          <w:rStyle w:val="ac"/>
          <w:b w:val="0"/>
        </w:rPr>
        <w:t>Durie и S.</w:t>
      </w:r>
      <w:r w:rsidR="005A572F" w:rsidRPr="00F242DD">
        <w:rPr>
          <w:rStyle w:val="ac"/>
          <w:b w:val="0"/>
        </w:rPr>
        <w:t> </w:t>
      </w:r>
      <w:r w:rsidRPr="00F242DD">
        <w:rPr>
          <w:rStyle w:val="ac"/>
          <w:b w:val="0"/>
        </w:rPr>
        <w:t>Salmon, предложенная в 1975 г. (табл. 1)</w:t>
      </w:r>
      <w:r w:rsidR="00F832D0" w:rsidRPr="00F242DD">
        <w:rPr>
          <w:rStyle w:val="ac"/>
          <w:b w:val="0"/>
        </w:rPr>
        <w:t xml:space="preserve"> </w:t>
      </w:r>
      <w:r w:rsidR="00A96FB6" w:rsidRPr="00F242DD">
        <w:rPr>
          <w:rStyle w:val="ac"/>
          <w:b w:val="0"/>
        </w:rPr>
        <w:fldChar w:fldCharType="begin" w:fldLock="1"/>
      </w:r>
      <w:r w:rsidR="00F832D0" w:rsidRPr="00F242DD">
        <w:rPr>
          <w:rStyle w:val="ac"/>
          <w:b w:val="0"/>
        </w:rPr>
        <w:instrText>ADDIN CSL_CITATION {"citationItems":[{"id":"ITEM-1","itemData":{"DOI":"10.1002/1097-0142(197509)36:3&lt;842::AID-CNCR2820360303&gt;3.0.CO;2-U","ISSN":"10970142","abstract":"The presenting clinical features of 71 patients with multiple myeloma were correlated with myeloma cell mass (myeloma cells X 10(12)/m2 of body surface area) determined from measurements of monoclonal immunoglobulin (M-component) synthesis and metabolism. Bivariate correlation and multivariate regression analyses showed that myeloma cell mass could be accurately predicted from A) extent of bone lesions, B) hemoglobin level, C) serum calcium level, and D) M-component levels in serum and urine. Analyses of response to chemotherapy and survival indicated significant correlation with measured myeloma cell burden. The results were synthesized to produce a very reliable and useful clinical staging system with three tumor cell mass levels (Table 7). For clinical research purposes, multivariate regression equations were developed to predict optimally the exact myeloma cell mass. Thus, initial staging can be quantitatively related to followup using tumor cell mass changes calculated from changes in M-component production. Use of the clinical staging system sould provide better initial assessment and followup of individual patients, and should lead to improved study design and analysis in large clinical trials of therapy for multiple myeloma.","author":[{"dropping-particle":"","family":"Durie","given":"Brian G.M.","non-dropping-particle":"","parse-names":false,"suffix":""},{"dropping-particle":"","family":"Salmon","given":"Sydney E.","non-dropping-particle":"","parse-names":false,"suffix":""}],"container-title":"Cancer","id":"ITEM-1","issue":"3","issued":{"date-parts":[["1975"]]},"page":"842-854","title":"A clinical staging system for multiple myeloma correlation of measured myeloma cell mass with presenting clinical features, response to treatment, and survival","type":"article-journal","volume":"36"},"uris":["http://www.mendeley.com/documents/?uuid=c25f510a-8f4d-3754-808b-9ead081306bc"]}],"mendeley":{"formattedCitation":"[11]","plainTextFormattedCitation":"[11]","previouslyFormattedCitation":"[11]"},"properties":{"noteIndex":0},"schema":"https://github.com/citation-style-language/schema/raw/master/csl-citation.json"}</w:instrText>
      </w:r>
      <w:r w:rsidR="00A96FB6" w:rsidRPr="00F242DD">
        <w:rPr>
          <w:rStyle w:val="ac"/>
          <w:b w:val="0"/>
        </w:rPr>
        <w:fldChar w:fldCharType="separate"/>
      </w:r>
      <w:r w:rsidR="00F832D0" w:rsidRPr="00F242DD">
        <w:rPr>
          <w:rStyle w:val="ac"/>
          <w:b w:val="0"/>
          <w:noProof/>
        </w:rPr>
        <w:t>[11]</w:t>
      </w:r>
      <w:r w:rsidR="00A96FB6" w:rsidRPr="00F242DD">
        <w:rPr>
          <w:rStyle w:val="ac"/>
          <w:b w:val="0"/>
        </w:rPr>
        <w:fldChar w:fldCharType="end"/>
      </w:r>
      <w:r w:rsidRPr="00F242DD">
        <w:rPr>
          <w:rStyle w:val="ac"/>
          <w:b w:val="0"/>
        </w:rPr>
        <w:t>, которая была заменена на международную систему стадирования (International</w:t>
      </w:r>
      <w:r w:rsidR="00E74207" w:rsidRPr="00F242DD">
        <w:rPr>
          <w:rStyle w:val="ac"/>
          <w:b w:val="0"/>
        </w:rPr>
        <w:t xml:space="preserve"> </w:t>
      </w:r>
      <w:r w:rsidRPr="00F242DD">
        <w:rPr>
          <w:rStyle w:val="ac"/>
          <w:b w:val="0"/>
        </w:rPr>
        <w:t>Staging</w:t>
      </w:r>
      <w:r w:rsidR="00E74207" w:rsidRPr="00F242DD">
        <w:rPr>
          <w:rStyle w:val="ac"/>
          <w:b w:val="0"/>
        </w:rPr>
        <w:t xml:space="preserve"> </w:t>
      </w:r>
      <w:r w:rsidRPr="00F242DD">
        <w:rPr>
          <w:rStyle w:val="ac"/>
          <w:b w:val="0"/>
        </w:rPr>
        <w:t>System – ISS)</w:t>
      </w:r>
      <w:r w:rsidR="00F832D0" w:rsidRPr="00F242DD">
        <w:rPr>
          <w:rStyle w:val="ac"/>
          <w:b w:val="0"/>
        </w:rPr>
        <w:t xml:space="preserve"> </w:t>
      </w:r>
      <w:r w:rsidR="00A96FB6" w:rsidRPr="00F242DD">
        <w:rPr>
          <w:rStyle w:val="ac"/>
          <w:b w:val="0"/>
        </w:rPr>
        <w:fldChar w:fldCharType="begin" w:fldLock="1"/>
      </w:r>
      <w:r w:rsidR="002E3E42" w:rsidRPr="00F242DD">
        <w:rPr>
          <w:rStyle w:val="ac"/>
          <w:b w:val="0"/>
        </w:rPr>
        <w:instrText>ADDIN CSL_CITATION {"citationItems":[{"id":"ITEM-1","itemData":{"DOI":"10.1200/JCO.2005.04.242","ISSN":"0732183X","abstract":"Purpose: There is a need for a simple, reliable staging system for multiple myeloma that can be applied internationally for patient classification and stratification. Patients and Methods: Clinical and laboratory data were gathered on 10,750 previously untreated symptomatic myeloma patients from 17 institutions, including sites in North America, Europe, and Asia. Potential prognostic factors were evaluated by univariate and multivariate techniques. Three modeling approaches were then explored to develop a staging system including two nontree and one tree survival assessment methodologies. Results: Serum beta 2-microglobulin (S? 2M), serum albumin, platelet count, serum creatinine, and age emerged as powerful predictors of survival and were then used in the tree analysis approach. A combination of S? 2M and serum albumin provided the simplest, most powerful and reproducible three-stage classification. This new International Staging System (ISS) was validated in the remaining patients and consists of the following stages: stage I, S? 2M less than 3.5 mg/L plus serum albumin ? 3.5 g/dL (median survival, 62 months); stage II, neither stage I nor III (median survival, 44 months); and stage III, S? 2M &gt; 5.5 mg/L (median survival, 29 months). The ISS system was further validated by demonstrating effectiveness in patients in North America, Europe, and Asia; in patients less than and ? 65 years of age; in patients with standard therapy or autotransplantation; and in comparison with the Durie/ Salmon staging system. Conclusion: The new ISS is simple, based on easy to use variables (S? 2M and serum albumin), and recommended for early adoption and widespread use. ? 2005 by American Society of Clinical Oncology.","author":[{"dropping-particle":"","family":"Greipp","given":"Philip R.","non-dropping-particle":"","parse-names":false,"suffix":""},{"dropping-particle":"","family":"Miguel","given":"Jesus San","non-dropping-particle":"","parse-names":false,"suffix":""},{"dropping-particle":"","family":"Dune","given":"Brian G.M.","non-dropping-particle":"","parse-names":false,"suffix":""},{"dropping-particle":"","family":"Crowley","given":"John J.","non-dropping-particle":"","parse-names":false,"suffix":""},{"dropping-particle":"","family":"Barlogie","given":"Bart","non-dropping-particle":"","parse-names":false,"suffix":""},{"dropping-particle":"","family":"Bladé","given":"Joan","non-dropping-particle":"","parse-names":false,"suffix":""},{"dropping-particle":"","family":"Boccadoro","given":"Mario","non-dropping-particle":"","parse-names":false,"suffix":""},{"dropping-particle":"","family":"Child","given":"J. Anthony","non-dropping-particle":"","parse-names":false,"suffix":""},{"dropping-particle":"","family":"Harousseau","given":"Jean Luc","non-dropping-particle":"","parse-names":false,"suffix":""},{"dropping-particle":"","family":"Kyle","given":"Robert A.","non-dropping-particle":"","parse-names":false,"suffix":""},{"dropping-particle":"","family":"Lahuerta","given":"Juan J.","non-dropping-particle":"","parse-names":false,"suffix":""},{"dropping-particle":"","family":"Ludwig","given":"Heinz","non-dropping-particle":"","parse-names":false,"suffix":""},{"dropping-particle":"","family":"Morgan","given":"Gareth","non-dropping-particle":"","parse-names":false,"suffix":""},{"dropping-particle":"","family":"Powles","given":"Raymond","non-dropping-particle":"","parse-names":false,"suffix":""},{"dropping-particle":"","family":"Shimizu","given":"Kazuyuki","non-dropping-particle":"","parse-names":false,"suffix":""},{"dropping-particle":"","family":"Shustik","given":"Chaim","non-dropping-particle":"","parse-names":false,"suffix":""},{"dropping-particle":"","family":"Sonneveld","given":"Pieter","non-dropping-particle":"","parse-names":false,"suffix":""},{"dropping-particle":"","family":"Tosi","given":"Patrizia","non-dropping-particle":"","parse-names":false,"suffix":""},{"dropping-particle":"","family":"Turesson","given":"Ingemar","non-dropping-particle":"","parse-names":false,"suffix":""},{"dropping-particle":"","family":"Westin","given":"Jan","non-dropping-particle":"","parse-names":false,"suffix":""}],"container-title":"Journal of Clinical Oncology","id":"ITEM-1","issue":"15","issued":{"date-parts":[["2005"]]},"page":"3412-3420","title":"International staging system for multiple myeloma","type":"article-journal","volume":"23"},"uris":["http://www.mendeley.com/documents/?uuid=aa3df05b-8256-3934-85b7-0a983e32b5ac"]}],"mendeley":{"formattedCitation":"[12]","plainTextFormattedCitation":"[12]","previouslyFormattedCitation":"[12]"},"properties":{"noteIndex":0},"schema":"https://github.com/citation-style-language/schema/raw/master/csl-citation.json"}</w:instrText>
      </w:r>
      <w:r w:rsidR="00A96FB6" w:rsidRPr="00F242DD">
        <w:rPr>
          <w:rStyle w:val="ac"/>
          <w:b w:val="0"/>
        </w:rPr>
        <w:fldChar w:fldCharType="separate"/>
      </w:r>
      <w:r w:rsidR="00F832D0" w:rsidRPr="00F242DD">
        <w:rPr>
          <w:rStyle w:val="ac"/>
          <w:b w:val="0"/>
          <w:noProof/>
        </w:rPr>
        <w:t>[12]</w:t>
      </w:r>
      <w:r w:rsidR="00A96FB6" w:rsidRPr="00F242DD">
        <w:rPr>
          <w:rStyle w:val="ac"/>
          <w:b w:val="0"/>
        </w:rPr>
        <w:fldChar w:fldCharType="end"/>
      </w:r>
      <w:r w:rsidR="00E74207" w:rsidRPr="00F242DD">
        <w:rPr>
          <w:rStyle w:val="ac"/>
          <w:b w:val="0"/>
        </w:rPr>
        <w:t>,</w:t>
      </w:r>
      <w:r w:rsidRPr="00F242DD">
        <w:rPr>
          <w:rStyle w:val="ac"/>
          <w:b w:val="0"/>
        </w:rPr>
        <w:t xml:space="preserve"> пересмотренную </w:t>
      </w:r>
      <w:r w:rsidR="006D12E6" w:rsidRPr="00F242DD">
        <w:rPr>
          <w:rStyle w:val="ac"/>
          <w:b w:val="0"/>
        </w:rPr>
        <w:t>в 2014 г</w:t>
      </w:r>
      <w:r w:rsidR="00F832D0" w:rsidRPr="00F242DD">
        <w:rPr>
          <w:rStyle w:val="ac"/>
          <w:b w:val="0"/>
        </w:rPr>
        <w:t>.</w:t>
      </w:r>
      <w:r w:rsidR="006D12E6" w:rsidRPr="00F242DD">
        <w:rPr>
          <w:rStyle w:val="ac"/>
          <w:b w:val="0"/>
        </w:rPr>
        <w:t xml:space="preserve"> </w:t>
      </w:r>
      <w:r w:rsidR="00A96FB6" w:rsidRPr="00F242DD">
        <w:rPr>
          <w:rStyle w:val="ac"/>
          <w:b w:val="0"/>
        </w:rPr>
        <w:fldChar w:fldCharType="begin" w:fldLock="1"/>
      </w:r>
      <w:r w:rsidR="00131E36" w:rsidRPr="00F242DD">
        <w:rPr>
          <w:rStyle w:val="ac"/>
          <w:b w:val="0"/>
        </w:rPr>
        <w:instrText>ADDIN CSL_CITATION {"citationItems":[{"id":"ITEM-1","itemData":{"DOI":"10.1200/JCO.2015.61.2267","ISSN":"15277755","abstract":"PURPOSE The clinical outcome of multiple myeloma (MM) is heterogeneous. A simple and reliable tool is needed to stratify patients with MM. We combined the International Staging System (ISS) with chromosomal abnormalities (CA) detected by interphase fluorescent in situ hybridization after CD138 plasma cell purification and serum lactate dehydrogenase (LDH) to evaluate their prognostic value in newly diagnosed MM (NDMM). PATIENTS AND METHODS Clinical and laboratory data from 4,445 patients with NDMM enrolled onto 11 international trials were pooled together. The K-adaptive partitioning algorithm was used to define the most appropriate subgroups with homogeneous survival. RESULTS ISS, CA, and LDH data were simultaneously available in 3,060 of 4,445 patients. We defined the following three groups: revised ISS (R-ISS) I (n = 871), including ISS stage I (serum β2-microglobulin level &lt; 3.5 mg/L and serum albumin level ≥ 3.5 g/dL), no high-risk CA [del(17p) and/or t(4;14) and/or t(14;16)], and normal LDH level (less than the upper limit of normal range); R-ISS III (n = 295), including ISS stage III (serum β2-microglobulin level &gt; 5.5 mg/L) and high-risk CA or high LDH level; and R-ISS II (n = 1,894), including all the other possible combinations. At a median follow-up of 46 months, the 5-year OS rate was 82% in the R-ISS I, 62% in the R-ISS II, and 40% in the R-ISS III groups; the 5-year PFS rates were 55%, 36%, and 24%, respectively. CONCLUSION The R-ISS is a simple and powerful prognostic staging system, and we recommend its use in future clinical studies to stratify patients with NDMM effectively with respect to the relative risk to their survival.","author":[{"dropping-particle":"","family":"Palumbo","given":"Antonio","non-dropping-particle":"","parse-names":false,"suffix":""},{"dropping-particle":"","family":"Avet-Loiseau","given":"Hervé","non-dropping-particle":"","parse-names":false,"suffix":""},{"dropping-particle":"","family":"Oliva","given":"Stefania","non-dropping-particle":"","parse-names":false,"suffix":""},{"dropping-particle":"","family":"Lokhorst","given":"Henk M.","non-dropping-particle":"","parse-names":false,"suffix":""},{"dropping-particle":"","family":"Goldschmidt","given":"Hartmut","non-dropping-particle":"","parse-names":false,"suffix":""},{"dropping-particle":"","family":"Rosinol","given":"Laura","non-dropping-particle":"","parse-names":false,"suffix":""},{"dropping-particle":"","family":"Richardson","given":"Paul","non-dropping-particle":"","parse-names":false,"suffix":""},{"dropping-particle":"","family":"Caltagirone","given":"Simona","non-dropping-particle":"","parse-names":false,"suffix":""},{"dropping-particle":"","family":"Lahuerta","given":"Juan José","non-dropping-particle":"","parse-names":false,"suffix":""},{"dropping-particle":"","family":"Facon","given":"Thierry","non-dropping-particle":"","parse-names":false,"suffix":""},{"dropping-particle":"","family":"Bringhen","given":"Sara","non-dropping-particle":"","parse-names":false,"suffix":""},{"dropping-particle":"","family":"Gay","given":"Francesca","non-dropping-particle":"","parse-names":false,"suffix":""},{"dropping-particle":"","family":"Attal","given":"Michel","non-dropping-particle":"","parse-names":false,"suffix":""},{"dropping-particle":"","family":"Passera","given":"Roberto","non-dropping-particle":"","parse-names":false,"suffix":""},{"dropping-particle":"","family":"Spencer","given":"Andrew","non-dropping-particle":"","parse-names":false,"suffix":""},{"dropping-particle":"","family":"Offidani","given":"Massimo","non-dropping-particle":"","parse-names":false,"suffix":""},{"dropping-particle":"","family":"Kumar","given":"Shaji","non-dropping-particle":"","parse-names":false,"suffix":""},{"dropping-particle":"","family":"Musto","given":"Pellegrino","non-dropping-particle":"","parse-names":false,"suffix":""},{"dropping-particle":"","family":"Lonial","given":"Sagar","non-dropping-particle":"","parse-names":false,"suffix":""},{"dropping-particle":"","family":"Petrucci","given":"Maria T.","non-dropping-particle":"","parse-names":false,"suffix":""},{"dropping-particle":"","family":"Orlowski","given":"Robert Z.","non-dropping-particle":"","parse-names":false,"suffix":""},{"dropping-particle":"","family":"Zamagni","given":"Elena","non-dropping-particle":"","parse-names":false,"suffix":""},{"dropping-particle":"","family":"Morgan","given":"Gareth","non-dropping-particle":"","parse-names":false,"suffix":""},{"dropping-particle":"","family":"Dimopoulos","given":"Meletios A.","non-dropping-particle":"","parse-names":false,"suffix":""},{"dropping-particle":"","family":"Durie","given":"Brian G.M.","non-dropping-particle":"","parse-names":false,"suffix":""},{"dropping-particle":"","family":"Anderson","given":"Kenneth C.","non-dropping-particle":"","parse-names":false,"suffix":""},{"dropping-particle":"","family":"Sonneveld","given":"Pieter","non-dropping-particle":"","parse-names":false,"suffix":""},{"dropping-particle":"","family":"Miguel","given":"Jésus San","non-dropping-particle":"","parse-names":false,"suffix":""},{"dropping-particle":"","family":"Cavo","given":"Michele","non-dropping-particle":"","parse-names":false,"suffix":""},{"dropping-particle":"","family":"Rajkumar","given":"S. Vincent","non-dropping-particle":"","parse-names":false,"suffix":""},{"dropping-particle":"","family":"Moreau","given":"Philippe","non-dropping-particle":"","parse-names":false,"suffix":""}],"container-title":"Journal of Clinical Oncology","id":"ITEM-1","issue":"26","issued":{"date-parts":[["2015"]]},"page":"2863-2869","publisher":"American Society of Clinical Oncology","title":"Revised international staging system for multiple myeloma: A report from international myeloma working group","type":"article-journal","volume":"33"},"uris":["http://www.mendeley.com/documents/?uuid=dc5fa189-ca83-351a-8e2c-68a7d7d762af"]}],"mendeley":{"formattedCitation":"[13]","plainTextFormattedCitation":"[13]","previouslyFormattedCitation":"[13]"},"properties":{"noteIndex":0},"schema":"https://github.com/citation-style-language/schema/raw/master/csl-citation.json"}</w:instrText>
      </w:r>
      <w:r w:rsidR="00A96FB6" w:rsidRPr="00F242DD">
        <w:rPr>
          <w:rStyle w:val="ac"/>
          <w:b w:val="0"/>
        </w:rPr>
        <w:fldChar w:fldCharType="separate"/>
      </w:r>
      <w:r w:rsidR="002E3E42" w:rsidRPr="00F242DD">
        <w:rPr>
          <w:rStyle w:val="ac"/>
          <w:b w:val="0"/>
          <w:noProof/>
        </w:rPr>
        <w:t>[13]</w:t>
      </w:r>
      <w:r w:rsidR="00A96FB6" w:rsidRPr="00F242DD">
        <w:rPr>
          <w:rStyle w:val="ac"/>
          <w:b w:val="0"/>
        </w:rPr>
        <w:fldChar w:fldCharType="end"/>
      </w:r>
      <w:r w:rsidRPr="00F242DD">
        <w:rPr>
          <w:rStyle w:val="ac"/>
          <w:b w:val="0"/>
        </w:rPr>
        <w:t>.</w:t>
      </w:r>
    </w:p>
    <w:p w14:paraId="232E72B5" w14:textId="77777777" w:rsidR="004A458B" w:rsidRPr="00F242DD" w:rsidRDefault="004A458B" w:rsidP="00E36DFA">
      <w:pPr>
        <w:pStyle w:val="a4"/>
        <w:spacing w:before="0" w:beforeAutospacing="0" w:after="0" w:afterAutospacing="0" w:line="240" w:lineRule="auto"/>
      </w:pPr>
      <w:r w:rsidRPr="00F242DD">
        <w:rPr>
          <w:rStyle w:val="ac"/>
        </w:rPr>
        <w:t>Таблица 1.</w:t>
      </w:r>
      <w:r w:rsidR="007A5794" w:rsidRPr="00F242DD">
        <w:rPr>
          <w:rStyle w:val="ac"/>
        </w:rPr>
        <w:t xml:space="preserve"> </w:t>
      </w:r>
      <w:r w:rsidRPr="00F242DD">
        <w:t xml:space="preserve">Стадии </w:t>
      </w:r>
      <w:r w:rsidR="007A5794" w:rsidRPr="00F242DD">
        <w:t>ММ</w:t>
      </w:r>
      <w:r w:rsidRPr="00F242DD">
        <w:t xml:space="preserve"> (по B.</w:t>
      </w:r>
      <w:r w:rsidR="001C7270" w:rsidRPr="00F242DD">
        <w:t xml:space="preserve"> </w:t>
      </w:r>
      <w:r w:rsidRPr="00F242DD">
        <w:t>Durie, S.</w:t>
      </w:r>
      <w:r w:rsidR="001C7270" w:rsidRPr="00F242DD">
        <w:t xml:space="preserve"> </w:t>
      </w:r>
      <w:r w:rsidRPr="00F242DD">
        <w:t>Salmon)</w:t>
      </w:r>
    </w:p>
    <w:tbl>
      <w:tblPr>
        <w:tblW w:w="0" w:type="auto"/>
        <w:tblInd w:w="-70" w:type="dxa"/>
        <w:tblLayout w:type="fixed"/>
        <w:tblLook w:val="0000" w:firstRow="0" w:lastRow="0" w:firstColumn="0" w:lastColumn="0" w:noHBand="0" w:noVBand="0"/>
      </w:tblPr>
      <w:tblGrid>
        <w:gridCol w:w="1161"/>
        <w:gridCol w:w="5670"/>
        <w:gridCol w:w="2429"/>
      </w:tblGrid>
      <w:tr w:rsidR="00BF4E7F" w:rsidRPr="00F242DD" w14:paraId="278C9FB5" w14:textId="77777777" w:rsidTr="00E36DFA">
        <w:trPr>
          <w:trHeight w:val="674"/>
        </w:trPr>
        <w:tc>
          <w:tcPr>
            <w:tcW w:w="1161" w:type="dxa"/>
            <w:tcBorders>
              <w:top w:val="single" w:sz="4" w:space="0" w:color="000000"/>
              <w:left w:val="single" w:sz="4" w:space="0" w:color="000000"/>
              <w:bottom w:val="single" w:sz="4" w:space="0" w:color="000000"/>
            </w:tcBorders>
            <w:shd w:val="clear" w:color="auto" w:fill="auto"/>
          </w:tcPr>
          <w:p w14:paraId="47F346D2" w14:textId="77777777" w:rsidR="00BF4E7F" w:rsidRPr="00F242DD" w:rsidRDefault="00BF4E7F" w:rsidP="00E36DFA">
            <w:pPr>
              <w:snapToGrid w:val="0"/>
              <w:spacing w:before="0" w:after="0" w:line="240" w:lineRule="auto"/>
              <w:rPr>
                <w:rFonts w:eastAsia="Times New Roman"/>
                <w:szCs w:val="24"/>
              </w:rPr>
            </w:pPr>
            <w:r w:rsidRPr="00F242DD">
              <w:rPr>
                <w:rFonts w:eastAsia="Times New Roman"/>
                <w:szCs w:val="24"/>
                <w:lang w:val="en-US"/>
              </w:rPr>
              <w:t>Стади</w:t>
            </w:r>
            <w:r w:rsidR="001C7270" w:rsidRPr="00F242DD">
              <w:rPr>
                <w:rFonts w:eastAsia="Times New Roman"/>
                <w:szCs w:val="24"/>
              </w:rPr>
              <w:t>я</w:t>
            </w:r>
          </w:p>
        </w:tc>
        <w:tc>
          <w:tcPr>
            <w:tcW w:w="5670" w:type="dxa"/>
            <w:tcBorders>
              <w:top w:val="single" w:sz="4" w:space="0" w:color="000000"/>
              <w:left w:val="single" w:sz="4" w:space="0" w:color="000000"/>
              <w:bottom w:val="single" w:sz="4" w:space="0" w:color="000000"/>
            </w:tcBorders>
            <w:shd w:val="clear" w:color="auto" w:fill="auto"/>
          </w:tcPr>
          <w:p w14:paraId="5AF0C18D" w14:textId="77777777" w:rsidR="00BF4E7F" w:rsidRPr="00F242DD" w:rsidRDefault="00BF4E7F" w:rsidP="00E36DFA">
            <w:pPr>
              <w:snapToGrid w:val="0"/>
              <w:spacing w:before="0" w:after="0" w:line="240" w:lineRule="auto"/>
              <w:jc w:val="left"/>
              <w:rPr>
                <w:rFonts w:eastAsia="Times New Roman"/>
                <w:szCs w:val="24"/>
              </w:rPr>
            </w:pPr>
            <w:r w:rsidRPr="00F242DD">
              <w:rPr>
                <w:rFonts w:eastAsia="Times New Roman"/>
                <w:szCs w:val="24"/>
              </w:rPr>
              <w:t>Признаки</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13E2134" w14:textId="77777777" w:rsidR="00BF4E7F" w:rsidRPr="00F242DD" w:rsidRDefault="00BF4E7F" w:rsidP="00E36DFA">
            <w:pPr>
              <w:snapToGrid w:val="0"/>
              <w:spacing w:before="0" w:after="0" w:line="240" w:lineRule="auto"/>
              <w:jc w:val="center"/>
              <w:rPr>
                <w:rFonts w:eastAsia="Times New Roman"/>
                <w:szCs w:val="24"/>
                <w:lang w:val="en-US"/>
              </w:rPr>
            </w:pPr>
            <w:r w:rsidRPr="00F242DD">
              <w:rPr>
                <w:rFonts w:eastAsia="Times New Roman"/>
                <w:szCs w:val="24"/>
              </w:rPr>
              <w:t>Клеточная масса</w:t>
            </w:r>
            <w:r w:rsidRPr="00F242DD">
              <w:rPr>
                <w:rFonts w:eastAsia="Times New Roman"/>
                <w:szCs w:val="24"/>
                <w:lang w:val="en-US"/>
              </w:rPr>
              <w:t>,</w:t>
            </w:r>
            <w:r w:rsidRPr="00F242DD">
              <w:rPr>
                <w:rFonts w:eastAsia="Times New Roman"/>
                <w:szCs w:val="24"/>
              </w:rPr>
              <w:t xml:space="preserve"> 10</w:t>
            </w:r>
            <w:r w:rsidRPr="00F242DD">
              <w:rPr>
                <w:rFonts w:eastAsia="Times New Roman"/>
                <w:szCs w:val="24"/>
                <w:vertAlign w:val="superscript"/>
              </w:rPr>
              <w:t>12</w:t>
            </w:r>
            <w:r w:rsidRPr="00F242DD">
              <w:rPr>
                <w:rFonts w:eastAsia="Times New Roman"/>
                <w:szCs w:val="24"/>
                <w:lang w:val="en-US"/>
              </w:rPr>
              <w:t>/м</w:t>
            </w:r>
            <w:r w:rsidRPr="00F242DD">
              <w:rPr>
                <w:rFonts w:eastAsia="Times New Roman"/>
                <w:szCs w:val="24"/>
                <w:vertAlign w:val="superscript"/>
                <w:lang w:val="en-US"/>
              </w:rPr>
              <w:t>2</w:t>
            </w:r>
          </w:p>
        </w:tc>
      </w:tr>
      <w:tr w:rsidR="00BF4E7F" w:rsidRPr="00F242DD" w14:paraId="691FDE67" w14:textId="77777777" w:rsidTr="00E36DFA">
        <w:tc>
          <w:tcPr>
            <w:tcW w:w="1161" w:type="dxa"/>
            <w:tcBorders>
              <w:top w:val="single" w:sz="4" w:space="0" w:color="000000"/>
              <w:left w:val="single" w:sz="4" w:space="0" w:color="000000"/>
            </w:tcBorders>
            <w:shd w:val="clear" w:color="auto" w:fill="auto"/>
          </w:tcPr>
          <w:p w14:paraId="58D7B819" w14:textId="77777777" w:rsidR="00BF4E7F" w:rsidRPr="00F242DD" w:rsidRDefault="00BF4E7F" w:rsidP="00E36DFA">
            <w:pPr>
              <w:snapToGrid w:val="0"/>
              <w:spacing w:before="0" w:after="0" w:line="240" w:lineRule="auto"/>
              <w:jc w:val="center"/>
              <w:rPr>
                <w:rFonts w:eastAsia="Times New Roman"/>
                <w:szCs w:val="24"/>
              </w:rPr>
            </w:pPr>
            <w:r w:rsidRPr="00F242DD">
              <w:rPr>
                <w:rFonts w:eastAsia="Times New Roman"/>
                <w:szCs w:val="24"/>
                <w:lang w:val="en-US"/>
              </w:rPr>
              <w:t>I</w:t>
            </w:r>
          </w:p>
        </w:tc>
        <w:tc>
          <w:tcPr>
            <w:tcW w:w="5670" w:type="dxa"/>
            <w:tcBorders>
              <w:top w:val="single" w:sz="4" w:space="0" w:color="000000"/>
              <w:left w:val="single" w:sz="4" w:space="0" w:color="000000"/>
            </w:tcBorders>
            <w:shd w:val="clear" w:color="auto" w:fill="auto"/>
          </w:tcPr>
          <w:p w14:paraId="66BE6CA6" w14:textId="77777777" w:rsidR="00BF4E7F" w:rsidRPr="00F242DD" w:rsidRDefault="00BF4E7F" w:rsidP="00E36DFA">
            <w:pPr>
              <w:snapToGrid w:val="0"/>
              <w:spacing w:before="0" w:after="0" w:line="240" w:lineRule="auto"/>
              <w:jc w:val="left"/>
              <w:rPr>
                <w:rFonts w:eastAsia="Times New Roman"/>
                <w:szCs w:val="24"/>
              </w:rPr>
            </w:pPr>
            <w:r w:rsidRPr="00F242DD">
              <w:rPr>
                <w:rFonts w:eastAsia="Times New Roman"/>
                <w:szCs w:val="24"/>
              </w:rPr>
              <w:t>Совокупность следующих признаков:</w:t>
            </w:r>
          </w:p>
        </w:tc>
        <w:tc>
          <w:tcPr>
            <w:tcW w:w="2429" w:type="dxa"/>
            <w:tcBorders>
              <w:top w:val="single" w:sz="4" w:space="0" w:color="000000"/>
              <w:left w:val="single" w:sz="4" w:space="0" w:color="000000"/>
              <w:right w:val="single" w:sz="4" w:space="0" w:color="000000"/>
            </w:tcBorders>
            <w:shd w:val="clear" w:color="auto" w:fill="auto"/>
          </w:tcPr>
          <w:p w14:paraId="325B06C7" w14:textId="77777777" w:rsidR="00BF4E7F" w:rsidRPr="00F242DD" w:rsidRDefault="00BF4E7F" w:rsidP="00E36DFA">
            <w:pPr>
              <w:snapToGrid w:val="0"/>
              <w:spacing w:before="0" w:after="0" w:line="240" w:lineRule="auto"/>
              <w:jc w:val="center"/>
              <w:rPr>
                <w:rFonts w:eastAsia="Times New Roman"/>
                <w:szCs w:val="24"/>
              </w:rPr>
            </w:pPr>
            <w:r w:rsidRPr="00F242DD">
              <w:rPr>
                <w:rFonts w:eastAsia="Times New Roman"/>
                <w:szCs w:val="24"/>
              </w:rPr>
              <w:t>&lt;0,6</w:t>
            </w:r>
          </w:p>
        </w:tc>
      </w:tr>
      <w:tr w:rsidR="00BF4E7F" w:rsidRPr="00F242DD" w14:paraId="4329067D" w14:textId="77777777" w:rsidTr="00E36DFA">
        <w:tc>
          <w:tcPr>
            <w:tcW w:w="1161" w:type="dxa"/>
            <w:tcBorders>
              <w:left w:val="single" w:sz="4" w:space="0" w:color="000000"/>
            </w:tcBorders>
            <w:shd w:val="clear" w:color="auto" w:fill="auto"/>
          </w:tcPr>
          <w:p w14:paraId="06A3F4A8" w14:textId="77777777" w:rsidR="00BF4E7F" w:rsidRPr="00F242DD"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14:paraId="5AED7F56" w14:textId="77777777" w:rsidR="00BF4E7F" w:rsidRPr="00F242DD" w:rsidRDefault="007A5794" w:rsidP="00E36DFA">
            <w:pPr>
              <w:suppressAutoHyphens/>
              <w:snapToGrid w:val="0"/>
              <w:spacing w:before="0" w:after="0" w:line="240" w:lineRule="auto"/>
              <w:jc w:val="left"/>
              <w:rPr>
                <w:rFonts w:eastAsia="Times New Roman"/>
                <w:szCs w:val="24"/>
              </w:rPr>
            </w:pPr>
            <w:r w:rsidRPr="00F242DD">
              <w:rPr>
                <w:rFonts w:eastAsia="Times New Roman"/>
                <w:szCs w:val="24"/>
              </w:rPr>
              <w:t xml:space="preserve">1. </w:t>
            </w:r>
            <w:r w:rsidR="00496D81" w:rsidRPr="00F242DD">
              <w:rPr>
                <w:rFonts w:eastAsia="Times New Roman"/>
                <w:szCs w:val="24"/>
              </w:rPr>
              <w:t>Уровень г</w:t>
            </w:r>
            <w:r w:rsidR="00BF4E7F" w:rsidRPr="00F242DD">
              <w:rPr>
                <w:rFonts w:eastAsia="Times New Roman"/>
                <w:szCs w:val="24"/>
              </w:rPr>
              <w:t>емоглобин</w:t>
            </w:r>
            <w:r w:rsidR="00496D81" w:rsidRPr="00F242DD">
              <w:rPr>
                <w:rFonts w:eastAsia="Times New Roman"/>
                <w:szCs w:val="24"/>
              </w:rPr>
              <w:t>а</w:t>
            </w:r>
            <w:r w:rsidR="001C7270" w:rsidRPr="00F242DD">
              <w:rPr>
                <w:rFonts w:eastAsia="Times New Roman"/>
                <w:szCs w:val="24"/>
              </w:rPr>
              <w:t xml:space="preserve"> </w:t>
            </w:r>
            <w:r w:rsidR="00BF4E7F" w:rsidRPr="00F242DD">
              <w:rPr>
                <w:rFonts w:eastAsia="Times New Roman"/>
                <w:szCs w:val="24"/>
              </w:rPr>
              <w:t>&gt;10 г/дл</w:t>
            </w:r>
          </w:p>
        </w:tc>
        <w:tc>
          <w:tcPr>
            <w:tcW w:w="2429" w:type="dxa"/>
            <w:tcBorders>
              <w:left w:val="single" w:sz="4" w:space="0" w:color="000000"/>
              <w:right w:val="single" w:sz="4" w:space="0" w:color="000000"/>
            </w:tcBorders>
            <w:shd w:val="clear" w:color="auto" w:fill="auto"/>
          </w:tcPr>
          <w:p w14:paraId="643AE9D2" w14:textId="77777777" w:rsidR="00BF4E7F" w:rsidRPr="00F242DD" w:rsidRDefault="00BF4E7F" w:rsidP="00E36DFA">
            <w:pPr>
              <w:snapToGrid w:val="0"/>
              <w:spacing w:before="0" w:after="0" w:line="240" w:lineRule="auto"/>
              <w:jc w:val="center"/>
              <w:rPr>
                <w:rFonts w:eastAsia="Times New Roman"/>
                <w:szCs w:val="24"/>
              </w:rPr>
            </w:pPr>
            <w:r w:rsidRPr="00F242DD">
              <w:rPr>
                <w:rFonts w:eastAsia="Times New Roman"/>
                <w:szCs w:val="24"/>
              </w:rPr>
              <w:t>(низкая)</w:t>
            </w:r>
          </w:p>
        </w:tc>
      </w:tr>
      <w:tr w:rsidR="00BF4E7F" w:rsidRPr="00F242DD" w14:paraId="4BA0CE48" w14:textId="77777777" w:rsidTr="00E36DFA">
        <w:tc>
          <w:tcPr>
            <w:tcW w:w="1161" w:type="dxa"/>
            <w:tcBorders>
              <w:left w:val="single" w:sz="4" w:space="0" w:color="000000"/>
            </w:tcBorders>
            <w:shd w:val="clear" w:color="auto" w:fill="auto"/>
          </w:tcPr>
          <w:p w14:paraId="17EAC427" w14:textId="77777777" w:rsidR="00BF4E7F" w:rsidRPr="00F242DD"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14:paraId="2473BE5F" w14:textId="77777777" w:rsidR="00BF4E7F" w:rsidRPr="00F242DD" w:rsidRDefault="007A5794" w:rsidP="00E36DFA">
            <w:pPr>
              <w:suppressAutoHyphens/>
              <w:snapToGrid w:val="0"/>
              <w:spacing w:before="0" w:after="0" w:line="240" w:lineRule="auto"/>
              <w:jc w:val="left"/>
              <w:rPr>
                <w:rFonts w:eastAsia="Times New Roman"/>
                <w:szCs w:val="24"/>
              </w:rPr>
            </w:pPr>
            <w:r w:rsidRPr="00F242DD">
              <w:rPr>
                <w:rFonts w:eastAsia="Times New Roman"/>
                <w:szCs w:val="24"/>
              </w:rPr>
              <w:t xml:space="preserve">2. </w:t>
            </w:r>
            <w:r w:rsidR="00BF4E7F" w:rsidRPr="00F242DD">
              <w:rPr>
                <w:rFonts w:eastAsia="Times New Roman"/>
                <w:szCs w:val="24"/>
              </w:rPr>
              <w:t>Нормальный уровень кальция сыворотки</w:t>
            </w:r>
          </w:p>
        </w:tc>
        <w:tc>
          <w:tcPr>
            <w:tcW w:w="2429" w:type="dxa"/>
            <w:tcBorders>
              <w:left w:val="single" w:sz="4" w:space="0" w:color="000000"/>
              <w:right w:val="single" w:sz="4" w:space="0" w:color="000000"/>
            </w:tcBorders>
            <w:shd w:val="clear" w:color="auto" w:fill="auto"/>
          </w:tcPr>
          <w:p w14:paraId="075B10D1" w14:textId="77777777" w:rsidR="00BF4E7F" w:rsidRPr="00F242DD" w:rsidRDefault="00BF4E7F" w:rsidP="00E36DFA">
            <w:pPr>
              <w:snapToGrid w:val="0"/>
              <w:spacing w:before="0" w:after="0" w:line="240" w:lineRule="auto"/>
              <w:jc w:val="center"/>
              <w:rPr>
                <w:rFonts w:eastAsia="Times New Roman"/>
                <w:szCs w:val="24"/>
              </w:rPr>
            </w:pPr>
          </w:p>
        </w:tc>
      </w:tr>
      <w:tr w:rsidR="00BF4E7F" w:rsidRPr="00F242DD" w14:paraId="2734CC7A" w14:textId="77777777" w:rsidTr="00E36DFA">
        <w:tc>
          <w:tcPr>
            <w:tcW w:w="1161" w:type="dxa"/>
            <w:tcBorders>
              <w:left w:val="single" w:sz="4" w:space="0" w:color="000000"/>
            </w:tcBorders>
            <w:shd w:val="clear" w:color="auto" w:fill="auto"/>
          </w:tcPr>
          <w:p w14:paraId="73168E5F" w14:textId="77777777" w:rsidR="00BF4E7F" w:rsidRPr="00F242DD"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14:paraId="4360DA22" w14:textId="77777777" w:rsidR="00BF4E7F" w:rsidRPr="00F242DD" w:rsidRDefault="007A5794" w:rsidP="00E36DFA">
            <w:pPr>
              <w:suppressAutoHyphens/>
              <w:snapToGrid w:val="0"/>
              <w:spacing w:before="0" w:after="0" w:line="240" w:lineRule="auto"/>
              <w:jc w:val="left"/>
              <w:rPr>
                <w:rFonts w:eastAsia="Times New Roman"/>
                <w:szCs w:val="24"/>
              </w:rPr>
            </w:pPr>
            <w:r w:rsidRPr="00F242DD">
              <w:rPr>
                <w:rFonts w:eastAsia="Times New Roman"/>
                <w:szCs w:val="24"/>
              </w:rPr>
              <w:t>3. Рентгенологически</w:t>
            </w:r>
            <w:r w:rsidR="00BF4E7F" w:rsidRPr="00F242DD">
              <w:rPr>
                <w:rFonts w:eastAsia="Times New Roman"/>
                <w:szCs w:val="24"/>
              </w:rPr>
              <w:t xml:space="preserve"> нормальная структура кост</w:t>
            </w:r>
            <w:r w:rsidR="001C7270" w:rsidRPr="00F242DD">
              <w:rPr>
                <w:rFonts w:eastAsia="Times New Roman"/>
                <w:szCs w:val="24"/>
              </w:rPr>
              <w:t>ей или одиночный очаг поражения</w:t>
            </w:r>
          </w:p>
        </w:tc>
        <w:tc>
          <w:tcPr>
            <w:tcW w:w="2429" w:type="dxa"/>
            <w:tcBorders>
              <w:left w:val="single" w:sz="4" w:space="0" w:color="000000"/>
              <w:right w:val="single" w:sz="4" w:space="0" w:color="000000"/>
            </w:tcBorders>
            <w:shd w:val="clear" w:color="auto" w:fill="auto"/>
          </w:tcPr>
          <w:p w14:paraId="759D1B7F" w14:textId="77777777" w:rsidR="00BF4E7F" w:rsidRPr="00F242DD" w:rsidRDefault="00BF4E7F" w:rsidP="00E36DFA">
            <w:pPr>
              <w:snapToGrid w:val="0"/>
              <w:spacing w:before="0" w:after="0" w:line="240" w:lineRule="auto"/>
              <w:jc w:val="center"/>
              <w:rPr>
                <w:rFonts w:eastAsia="Times New Roman"/>
                <w:szCs w:val="24"/>
              </w:rPr>
            </w:pPr>
          </w:p>
        </w:tc>
      </w:tr>
      <w:tr w:rsidR="00BF4E7F" w:rsidRPr="00F242DD" w14:paraId="68FAC1A0" w14:textId="77777777" w:rsidTr="00E36DFA">
        <w:tc>
          <w:tcPr>
            <w:tcW w:w="1161" w:type="dxa"/>
            <w:tcBorders>
              <w:left w:val="single" w:sz="4" w:space="0" w:color="000000"/>
            </w:tcBorders>
            <w:shd w:val="clear" w:color="auto" w:fill="auto"/>
          </w:tcPr>
          <w:p w14:paraId="2F95292E" w14:textId="77777777" w:rsidR="00BF4E7F" w:rsidRPr="00F242DD"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14:paraId="0859A0C8" w14:textId="77777777" w:rsidR="00BF4E7F" w:rsidRPr="00F242DD" w:rsidRDefault="007A5794" w:rsidP="00E36DFA">
            <w:pPr>
              <w:suppressAutoHyphens/>
              <w:snapToGrid w:val="0"/>
              <w:spacing w:before="0" w:after="0" w:line="240" w:lineRule="auto"/>
              <w:jc w:val="left"/>
              <w:rPr>
                <w:rFonts w:eastAsia="Times New Roman"/>
                <w:szCs w:val="24"/>
              </w:rPr>
            </w:pPr>
            <w:r w:rsidRPr="00F242DD">
              <w:rPr>
                <w:rFonts w:eastAsia="Times New Roman"/>
                <w:szCs w:val="24"/>
              </w:rPr>
              <w:t xml:space="preserve">4. </w:t>
            </w:r>
            <w:r w:rsidR="00BF4E7F" w:rsidRPr="00F242DD">
              <w:rPr>
                <w:rFonts w:eastAsia="Times New Roman"/>
                <w:szCs w:val="24"/>
              </w:rPr>
              <w:t>Низкий уровень М-протеина:</w:t>
            </w:r>
          </w:p>
        </w:tc>
        <w:tc>
          <w:tcPr>
            <w:tcW w:w="2429" w:type="dxa"/>
            <w:tcBorders>
              <w:left w:val="single" w:sz="4" w:space="0" w:color="000000"/>
              <w:right w:val="single" w:sz="4" w:space="0" w:color="000000"/>
            </w:tcBorders>
            <w:shd w:val="clear" w:color="auto" w:fill="auto"/>
          </w:tcPr>
          <w:p w14:paraId="7179CEAD" w14:textId="77777777" w:rsidR="00BF4E7F" w:rsidRPr="00F242DD" w:rsidRDefault="00BF4E7F" w:rsidP="00E36DFA">
            <w:pPr>
              <w:snapToGrid w:val="0"/>
              <w:spacing w:before="0" w:after="0" w:line="240" w:lineRule="auto"/>
              <w:jc w:val="center"/>
              <w:rPr>
                <w:rFonts w:eastAsia="Times New Roman"/>
                <w:szCs w:val="24"/>
              </w:rPr>
            </w:pPr>
          </w:p>
        </w:tc>
      </w:tr>
      <w:tr w:rsidR="00BF4E7F" w:rsidRPr="00F242DD" w14:paraId="5BBD8B1D" w14:textId="77777777" w:rsidTr="00E36DFA">
        <w:tc>
          <w:tcPr>
            <w:tcW w:w="1161" w:type="dxa"/>
            <w:tcBorders>
              <w:left w:val="single" w:sz="4" w:space="0" w:color="000000"/>
            </w:tcBorders>
            <w:shd w:val="clear" w:color="auto" w:fill="auto"/>
          </w:tcPr>
          <w:p w14:paraId="76E2FDD9" w14:textId="77777777" w:rsidR="00BF4E7F" w:rsidRPr="00F242DD"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14:paraId="7D316F28" w14:textId="77777777" w:rsidR="00BF4E7F" w:rsidRPr="00F242DD" w:rsidRDefault="007A5794" w:rsidP="00E36DFA">
            <w:pPr>
              <w:suppressAutoHyphens/>
              <w:snapToGrid w:val="0"/>
              <w:spacing w:before="0" w:after="0" w:line="240" w:lineRule="auto"/>
              <w:jc w:val="left"/>
              <w:rPr>
                <w:rFonts w:eastAsia="Times New Roman"/>
                <w:szCs w:val="24"/>
              </w:rPr>
            </w:pPr>
            <w:r w:rsidRPr="00F242DD">
              <w:rPr>
                <w:rFonts w:eastAsia="Times New Roman"/>
                <w:szCs w:val="24"/>
              </w:rPr>
              <w:t xml:space="preserve">а) </w:t>
            </w:r>
            <w:r w:rsidR="00BF4E7F" w:rsidRPr="00F242DD">
              <w:rPr>
                <w:rFonts w:eastAsia="Times New Roman"/>
                <w:szCs w:val="24"/>
                <w:lang w:val="en-US"/>
              </w:rPr>
              <w:t>IgG</w:t>
            </w:r>
            <w:r w:rsidR="00BF4E7F" w:rsidRPr="00F242DD">
              <w:rPr>
                <w:rFonts w:eastAsia="Times New Roman"/>
                <w:szCs w:val="24"/>
              </w:rPr>
              <w:t xml:space="preserve"> &lt;50 г/л</w:t>
            </w:r>
            <w:r w:rsidR="001C7270" w:rsidRPr="00F242DD">
              <w:rPr>
                <w:rFonts w:eastAsia="Times New Roman"/>
                <w:szCs w:val="24"/>
              </w:rPr>
              <w:t>;</w:t>
            </w:r>
          </w:p>
        </w:tc>
        <w:tc>
          <w:tcPr>
            <w:tcW w:w="2429" w:type="dxa"/>
            <w:tcBorders>
              <w:left w:val="single" w:sz="4" w:space="0" w:color="000000"/>
              <w:right w:val="single" w:sz="4" w:space="0" w:color="000000"/>
            </w:tcBorders>
            <w:shd w:val="clear" w:color="auto" w:fill="auto"/>
          </w:tcPr>
          <w:p w14:paraId="6C823F26" w14:textId="77777777" w:rsidR="00BF4E7F" w:rsidRPr="00F242DD" w:rsidRDefault="00BF4E7F" w:rsidP="00E36DFA">
            <w:pPr>
              <w:snapToGrid w:val="0"/>
              <w:spacing w:before="0" w:after="0" w:line="240" w:lineRule="auto"/>
              <w:jc w:val="center"/>
              <w:rPr>
                <w:rFonts w:eastAsia="Times New Roman"/>
                <w:szCs w:val="24"/>
              </w:rPr>
            </w:pPr>
          </w:p>
        </w:tc>
      </w:tr>
      <w:tr w:rsidR="00BF4E7F" w:rsidRPr="00F242DD" w14:paraId="36AC06D4" w14:textId="77777777" w:rsidTr="00E36DFA">
        <w:tc>
          <w:tcPr>
            <w:tcW w:w="1161" w:type="dxa"/>
            <w:tcBorders>
              <w:left w:val="single" w:sz="4" w:space="0" w:color="000000"/>
            </w:tcBorders>
            <w:shd w:val="clear" w:color="auto" w:fill="auto"/>
          </w:tcPr>
          <w:p w14:paraId="118ED08C" w14:textId="77777777" w:rsidR="00BF4E7F" w:rsidRPr="00F242DD"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14:paraId="2EE34BC0" w14:textId="77777777" w:rsidR="00BF4E7F" w:rsidRPr="00F242DD" w:rsidRDefault="004C0027" w:rsidP="00E36DFA">
            <w:pPr>
              <w:suppressAutoHyphens/>
              <w:snapToGrid w:val="0"/>
              <w:spacing w:before="0" w:after="0" w:line="240" w:lineRule="auto"/>
              <w:jc w:val="left"/>
              <w:rPr>
                <w:rFonts w:eastAsia="Times New Roman"/>
                <w:szCs w:val="24"/>
              </w:rPr>
            </w:pPr>
            <w:r w:rsidRPr="00F242DD">
              <w:rPr>
                <w:rFonts w:eastAsia="Times New Roman"/>
                <w:szCs w:val="24"/>
              </w:rPr>
              <w:t xml:space="preserve">б) </w:t>
            </w:r>
            <w:r w:rsidR="00BF4E7F" w:rsidRPr="00F242DD">
              <w:rPr>
                <w:rFonts w:eastAsia="Times New Roman"/>
                <w:szCs w:val="24"/>
                <w:lang w:val="en-US"/>
              </w:rPr>
              <w:t>IgA</w:t>
            </w:r>
            <w:r w:rsidR="00BF4E7F" w:rsidRPr="00F242DD">
              <w:rPr>
                <w:rFonts w:eastAsia="Times New Roman"/>
                <w:szCs w:val="24"/>
              </w:rPr>
              <w:t xml:space="preserve"> &lt;30 г/л</w:t>
            </w:r>
          </w:p>
        </w:tc>
        <w:tc>
          <w:tcPr>
            <w:tcW w:w="2429" w:type="dxa"/>
            <w:tcBorders>
              <w:left w:val="single" w:sz="4" w:space="0" w:color="000000"/>
              <w:right w:val="single" w:sz="4" w:space="0" w:color="000000"/>
            </w:tcBorders>
            <w:shd w:val="clear" w:color="auto" w:fill="auto"/>
          </w:tcPr>
          <w:p w14:paraId="60DDC3C3" w14:textId="77777777" w:rsidR="00BF4E7F" w:rsidRPr="00F242DD" w:rsidRDefault="00BF4E7F" w:rsidP="00E36DFA">
            <w:pPr>
              <w:snapToGrid w:val="0"/>
              <w:spacing w:before="0" w:after="0" w:line="240" w:lineRule="auto"/>
              <w:jc w:val="center"/>
              <w:rPr>
                <w:rFonts w:eastAsia="Times New Roman"/>
                <w:szCs w:val="24"/>
              </w:rPr>
            </w:pPr>
          </w:p>
        </w:tc>
      </w:tr>
      <w:tr w:rsidR="00BF4E7F" w:rsidRPr="00F242DD" w14:paraId="5CDA65E7" w14:textId="77777777" w:rsidTr="00E36DFA">
        <w:tc>
          <w:tcPr>
            <w:tcW w:w="1161" w:type="dxa"/>
            <w:tcBorders>
              <w:left w:val="single" w:sz="4" w:space="0" w:color="000000"/>
              <w:bottom w:val="single" w:sz="4" w:space="0" w:color="000000"/>
            </w:tcBorders>
            <w:shd w:val="clear" w:color="auto" w:fill="auto"/>
          </w:tcPr>
          <w:p w14:paraId="008EB794" w14:textId="77777777" w:rsidR="00BF4E7F" w:rsidRPr="00F242DD" w:rsidRDefault="00BF4E7F" w:rsidP="00E36DFA">
            <w:pPr>
              <w:snapToGrid w:val="0"/>
              <w:spacing w:before="0" w:after="0" w:line="240" w:lineRule="auto"/>
              <w:jc w:val="center"/>
              <w:rPr>
                <w:rFonts w:eastAsia="Times New Roman"/>
                <w:szCs w:val="24"/>
              </w:rPr>
            </w:pPr>
          </w:p>
        </w:tc>
        <w:tc>
          <w:tcPr>
            <w:tcW w:w="5670" w:type="dxa"/>
            <w:tcBorders>
              <w:left w:val="single" w:sz="4" w:space="0" w:color="000000"/>
              <w:bottom w:val="single" w:sz="4" w:space="0" w:color="000000"/>
            </w:tcBorders>
            <w:shd w:val="clear" w:color="auto" w:fill="auto"/>
          </w:tcPr>
          <w:p w14:paraId="7E2563F5" w14:textId="77777777" w:rsidR="00BF4E7F" w:rsidRPr="00F242DD" w:rsidRDefault="00BF4E7F" w:rsidP="00E36DFA">
            <w:pPr>
              <w:suppressAutoHyphens/>
              <w:snapToGrid w:val="0"/>
              <w:spacing w:before="0" w:after="0" w:line="240" w:lineRule="auto"/>
              <w:jc w:val="left"/>
              <w:rPr>
                <w:rFonts w:eastAsia="Times New Roman"/>
                <w:szCs w:val="24"/>
              </w:rPr>
            </w:pPr>
            <w:r w:rsidRPr="00F242DD">
              <w:rPr>
                <w:rFonts w:eastAsia="Times New Roman"/>
                <w:szCs w:val="24"/>
              </w:rPr>
              <w:t>Белок Бенс</w:t>
            </w:r>
            <w:r w:rsidR="004C0027" w:rsidRPr="00F242DD">
              <w:rPr>
                <w:rFonts w:eastAsia="Times New Roman"/>
                <w:szCs w:val="24"/>
              </w:rPr>
              <w:t>-</w:t>
            </w:r>
            <w:r w:rsidRPr="00F242DD">
              <w:rPr>
                <w:rFonts w:eastAsia="Times New Roman"/>
                <w:szCs w:val="24"/>
              </w:rPr>
              <w:t>Джонса &lt;4</w:t>
            </w:r>
            <w:r w:rsidR="001C7270" w:rsidRPr="00F242DD">
              <w:rPr>
                <w:rFonts w:eastAsia="Times New Roman"/>
                <w:szCs w:val="24"/>
              </w:rPr>
              <w:t> </w:t>
            </w:r>
            <w:r w:rsidRPr="00F242DD">
              <w:rPr>
                <w:rFonts w:eastAsia="Times New Roman"/>
                <w:szCs w:val="24"/>
              </w:rPr>
              <w:t>г/сут</w:t>
            </w:r>
          </w:p>
        </w:tc>
        <w:tc>
          <w:tcPr>
            <w:tcW w:w="2429" w:type="dxa"/>
            <w:tcBorders>
              <w:left w:val="single" w:sz="4" w:space="0" w:color="000000"/>
              <w:bottom w:val="single" w:sz="4" w:space="0" w:color="000000"/>
              <w:right w:val="single" w:sz="4" w:space="0" w:color="000000"/>
            </w:tcBorders>
            <w:shd w:val="clear" w:color="auto" w:fill="auto"/>
          </w:tcPr>
          <w:p w14:paraId="7B789ADF" w14:textId="77777777" w:rsidR="00BF4E7F" w:rsidRPr="00F242DD" w:rsidRDefault="00BF4E7F" w:rsidP="00E36DFA">
            <w:pPr>
              <w:snapToGrid w:val="0"/>
              <w:spacing w:before="0" w:after="0" w:line="240" w:lineRule="auto"/>
              <w:jc w:val="center"/>
              <w:rPr>
                <w:rFonts w:eastAsia="Times New Roman"/>
                <w:szCs w:val="24"/>
              </w:rPr>
            </w:pPr>
          </w:p>
        </w:tc>
      </w:tr>
      <w:tr w:rsidR="00BF4E7F" w:rsidRPr="00F242DD" w14:paraId="5751CD70" w14:textId="77777777" w:rsidTr="00E36DFA">
        <w:tc>
          <w:tcPr>
            <w:tcW w:w="1161" w:type="dxa"/>
            <w:tcBorders>
              <w:top w:val="single" w:sz="4" w:space="0" w:color="000000"/>
              <w:left w:val="single" w:sz="4" w:space="0" w:color="000000"/>
              <w:bottom w:val="single" w:sz="4" w:space="0" w:color="000000"/>
            </w:tcBorders>
            <w:shd w:val="clear" w:color="auto" w:fill="auto"/>
          </w:tcPr>
          <w:p w14:paraId="418449BA" w14:textId="77777777" w:rsidR="00BF4E7F" w:rsidRPr="00F242DD" w:rsidRDefault="00BF4E7F" w:rsidP="00E36DFA">
            <w:pPr>
              <w:snapToGrid w:val="0"/>
              <w:spacing w:before="0" w:after="0" w:line="240" w:lineRule="auto"/>
              <w:jc w:val="center"/>
              <w:rPr>
                <w:rFonts w:eastAsia="Times New Roman"/>
                <w:szCs w:val="24"/>
              </w:rPr>
            </w:pPr>
            <w:r w:rsidRPr="00F242DD">
              <w:rPr>
                <w:rFonts w:eastAsia="Times New Roman"/>
                <w:szCs w:val="24"/>
                <w:lang w:val="en-US"/>
              </w:rPr>
              <w:t>II</w:t>
            </w:r>
          </w:p>
        </w:tc>
        <w:tc>
          <w:tcPr>
            <w:tcW w:w="5670" w:type="dxa"/>
            <w:tcBorders>
              <w:top w:val="single" w:sz="4" w:space="0" w:color="000000"/>
              <w:left w:val="single" w:sz="4" w:space="0" w:color="000000"/>
              <w:bottom w:val="single" w:sz="4" w:space="0" w:color="000000"/>
            </w:tcBorders>
            <w:shd w:val="clear" w:color="auto" w:fill="auto"/>
          </w:tcPr>
          <w:p w14:paraId="0B0D3340" w14:textId="77777777" w:rsidR="00BF4E7F" w:rsidRPr="00F242DD" w:rsidRDefault="00BF4E7F" w:rsidP="00E36DFA">
            <w:pPr>
              <w:snapToGrid w:val="0"/>
              <w:spacing w:before="0" w:after="0" w:line="240" w:lineRule="auto"/>
              <w:jc w:val="left"/>
              <w:rPr>
                <w:rFonts w:eastAsia="Times New Roman"/>
                <w:szCs w:val="24"/>
              </w:rPr>
            </w:pPr>
            <w:r w:rsidRPr="00F242DD">
              <w:rPr>
                <w:rFonts w:eastAsia="Times New Roman"/>
                <w:szCs w:val="24"/>
              </w:rPr>
              <w:t xml:space="preserve">Показатели, не соответствующие ни </w:t>
            </w:r>
            <w:r w:rsidRPr="00F242DD">
              <w:rPr>
                <w:rFonts w:eastAsia="Times New Roman"/>
                <w:szCs w:val="24"/>
                <w:lang w:val="en-US"/>
              </w:rPr>
              <w:t>I</w:t>
            </w:r>
            <w:r w:rsidRPr="00F242DD">
              <w:rPr>
                <w:rFonts w:eastAsia="Times New Roman"/>
                <w:szCs w:val="24"/>
              </w:rPr>
              <w:t xml:space="preserve">, ни </w:t>
            </w:r>
            <w:r w:rsidRPr="00F242DD">
              <w:rPr>
                <w:rFonts w:eastAsia="Times New Roman"/>
                <w:szCs w:val="24"/>
                <w:lang w:val="en-US"/>
              </w:rPr>
              <w:t>III</w:t>
            </w:r>
            <w:r w:rsidRPr="00F242DD">
              <w:rPr>
                <w:rFonts w:eastAsia="Times New Roman"/>
                <w:szCs w:val="24"/>
              </w:rPr>
              <w:t xml:space="preserve"> стадиям</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1473C717" w14:textId="77777777" w:rsidR="00BF4E7F" w:rsidRPr="00F242DD" w:rsidRDefault="00BF4E7F" w:rsidP="00E36DFA">
            <w:pPr>
              <w:snapToGrid w:val="0"/>
              <w:spacing w:before="0" w:after="0" w:line="240" w:lineRule="auto"/>
              <w:jc w:val="center"/>
              <w:rPr>
                <w:rFonts w:eastAsia="Times New Roman"/>
                <w:szCs w:val="24"/>
              </w:rPr>
            </w:pPr>
            <w:r w:rsidRPr="00F242DD">
              <w:rPr>
                <w:rFonts w:eastAsia="Times New Roman"/>
                <w:szCs w:val="24"/>
                <w:lang w:val="en-US"/>
              </w:rPr>
              <w:t>0,6</w:t>
            </w:r>
            <w:r w:rsidR="00496D81" w:rsidRPr="00F242DD">
              <w:rPr>
                <w:rFonts w:eastAsia="Times New Roman"/>
                <w:szCs w:val="24"/>
              </w:rPr>
              <w:t>−</w:t>
            </w:r>
            <w:r w:rsidRPr="00F242DD">
              <w:rPr>
                <w:rFonts w:eastAsia="Times New Roman"/>
                <w:szCs w:val="24"/>
                <w:lang w:val="en-US"/>
              </w:rPr>
              <w:t>1,2</w:t>
            </w:r>
          </w:p>
          <w:p w14:paraId="38A9709B" w14:textId="77777777" w:rsidR="00BF4E7F" w:rsidRPr="00F242DD" w:rsidRDefault="00BF4E7F" w:rsidP="00E36DFA">
            <w:pPr>
              <w:spacing w:before="0" w:after="0" w:line="240" w:lineRule="auto"/>
              <w:jc w:val="center"/>
              <w:rPr>
                <w:rFonts w:eastAsia="Times New Roman"/>
                <w:szCs w:val="24"/>
                <w:lang w:val="en-US"/>
              </w:rPr>
            </w:pPr>
            <w:r w:rsidRPr="00F242DD">
              <w:rPr>
                <w:rFonts w:eastAsia="Times New Roman"/>
                <w:szCs w:val="24"/>
              </w:rPr>
              <w:t>(средняя</w:t>
            </w:r>
            <w:r w:rsidRPr="00F242DD">
              <w:rPr>
                <w:rFonts w:eastAsia="Times New Roman"/>
                <w:szCs w:val="24"/>
                <w:lang w:val="en-US"/>
              </w:rPr>
              <w:t>)</w:t>
            </w:r>
          </w:p>
        </w:tc>
      </w:tr>
      <w:tr w:rsidR="00BF4E7F" w:rsidRPr="00F242DD" w14:paraId="2DABED59" w14:textId="77777777" w:rsidTr="00E36DFA">
        <w:tc>
          <w:tcPr>
            <w:tcW w:w="1161" w:type="dxa"/>
            <w:tcBorders>
              <w:top w:val="single" w:sz="4" w:space="0" w:color="000000"/>
              <w:left w:val="single" w:sz="4" w:space="0" w:color="000000"/>
            </w:tcBorders>
            <w:shd w:val="clear" w:color="auto" w:fill="auto"/>
          </w:tcPr>
          <w:p w14:paraId="78432770" w14:textId="77777777" w:rsidR="00BF4E7F" w:rsidRPr="00F242DD" w:rsidRDefault="00BF4E7F" w:rsidP="00E36DFA">
            <w:pPr>
              <w:snapToGrid w:val="0"/>
              <w:spacing w:before="0" w:after="0" w:line="240" w:lineRule="auto"/>
              <w:jc w:val="center"/>
              <w:rPr>
                <w:rFonts w:eastAsia="Times New Roman"/>
                <w:szCs w:val="24"/>
              </w:rPr>
            </w:pPr>
            <w:r w:rsidRPr="00F242DD">
              <w:rPr>
                <w:rFonts w:eastAsia="Times New Roman"/>
                <w:szCs w:val="24"/>
                <w:lang w:val="en-US"/>
              </w:rPr>
              <w:t>III</w:t>
            </w:r>
          </w:p>
        </w:tc>
        <w:tc>
          <w:tcPr>
            <w:tcW w:w="5670" w:type="dxa"/>
            <w:tcBorders>
              <w:top w:val="single" w:sz="4" w:space="0" w:color="000000"/>
              <w:left w:val="single" w:sz="4" w:space="0" w:color="000000"/>
            </w:tcBorders>
            <w:shd w:val="clear" w:color="auto" w:fill="auto"/>
          </w:tcPr>
          <w:p w14:paraId="434CE727" w14:textId="77777777" w:rsidR="00BF4E7F" w:rsidRPr="00F242DD" w:rsidRDefault="00BF4E7F" w:rsidP="00E36DFA">
            <w:pPr>
              <w:snapToGrid w:val="0"/>
              <w:spacing w:before="0" w:after="0" w:line="240" w:lineRule="auto"/>
              <w:jc w:val="left"/>
              <w:rPr>
                <w:rFonts w:eastAsia="Times New Roman"/>
                <w:szCs w:val="24"/>
              </w:rPr>
            </w:pPr>
            <w:r w:rsidRPr="00F242DD">
              <w:rPr>
                <w:rFonts w:eastAsia="Times New Roman"/>
                <w:szCs w:val="24"/>
              </w:rPr>
              <w:t>Один или более из следующих признаков:</w:t>
            </w:r>
          </w:p>
        </w:tc>
        <w:tc>
          <w:tcPr>
            <w:tcW w:w="2429" w:type="dxa"/>
            <w:tcBorders>
              <w:top w:val="single" w:sz="4" w:space="0" w:color="000000"/>
              <w:left w:val="single" w:sz="4" w:space="0" w:color="000000"/>
              <w:right w:val="single" w:sz="4" w:space="0" w:color="000000"/>
            </w:tcBorders>
            <w:shd w:val="clear" w:color="auto" w:fill="auto"/>
          </w:tcPr>
          <w:p w14:paraId="784C998F" w14:textId="77777777" w:rsidR="00BF4E7F" w:rsidRPr="00F242DD" w:rsidRDefault="00BF4E7F" w:rsidP="00E36DFA">
            <w:pPr>
              <w:snapToGrid w:val="0"/>
              <w:spacing w:before="0" w:after="0" w:line="240" w:lineRule="auto"/>
              <w:jc w:val="center"/>
              <w:rPr>
                <w:rFonts w:eastAsia="Times New Roman"/>
                <w:szCs w:val="24"/>
              </w:rPr>
            </w:pPr>
            <w:r w:rsidRPr="00F242DD">
              <w:rPr>
                <w:rFonts w:eastAsia="Times New Roman"/>
                <w:szCs w:val="24"/>
                <w:lang w:val="en-US"/>
              </w:rPr>
              <w:t>&gt;1,2</w:t>
            </w:r>
          </w:p>
        </w:tc>
      </w:tr>
      <w:tr w:rsidR="00BF4E7F" w:rsidRPr="00F242DD" w14:paraId="3692C23C" w14:textId="77777777" w:rsidTr="00E36DFA">
        <w:tc>
          <w:tcPr>
            <w:tcW w:w="1161" w:type="dxa"/>
            <w:tcBorders>
              <w:left w:val="single" w:sz="4" w:space="0" w:color="000000"/>
            </w:tcBorders>
            <w:shd w:val="clear" w:color="auto" w:fill="auto"/>
          </w:tcPr>
          <w:p w14:paraId="37BD4679" w14:textId="77777777" w:rsidR="00BF4E7F" w:rsidRPr="00F242DD"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14:paraId="7345734F" w14:textId="77777777" w:rsidR="00BF4E7F" w:rsidRPr="00F242DD" w:rsidRDefault="007A5794" w:rsidP="00E36DFA">
            <w:pPr>
              <w:numPr>
                <w:ilvl w:val="0"/>
                <w:numId w:val="7"/>
              </w:numPr>
              <w:suppressAutoHyphens/>
              <w:snapToGrid w:val="0"/>
              <w:spacing w:before="0" w:after="0" w:line="240" w:lineRule="auto"/>
              <w:ind w:left="720"/>
              <w:jc w:val="left"/>
              <w:rPr>
                <w:rFonts w:eastAsia="Times New Roman"/>
                <w:szCs w:val="24"/>
              </w:rPr>
            </w:pPr>
            <w:r w:rsidRPr="00F242DD">
              <w:rPr>
                <w:rFonts w:eastAsia="Times New Roman"/>
                <w:szCs w:val="24"/>
              </w:rPr>
              <w:t>Уровень г</w:t>
            </w:r>
            <w:r w:rsidR="00BF4E7F" w:rsidRPr="00F242DD">
              <w:rPr>
                <w:rFonts w:eastAsia="Times New Roman"/>
                <w:szCs w:val="24"/>
              </w:rPr>
              <w:t>емоглобин</w:t>
            </w:r>
            <w:r w:rsidRPr="00F242DD">
              <w:rPr>
                <w:rFonts w:eastAsia="Times New Roman"/>
                <w:szCs w:val="24"/>
              </w:rPr>
              <w:t xml:space="preserve">а </w:t>
            </w:r>
            <w:r w:rsidR="00BF4E7F" w:rsidRPr="00F242DD">
              <w:rPr>
                <w:rFonts w:eastAsia="Times New Roman"/>
                <w:szCs w:val="24"/>
                <w:lang w:val="en-US"/>
              </w:rPr>
              <w:t>&lt;8,5 г</w:t>
            </w:r>
            <w:r w:rsidR="00BF4E7F" w:rsidRPr="00F242DD">
              <w:rPr>
                <w:rFonts w:eastAsia="Times New Roman"/>
                <w:szCs w:val="24"/>
              </w:rPr>
              <w:t>/дл</w:t>
            </w:r>
          </w:p>
        </w:tc>
        <w:tc>
          <w:tcPr>
            <w:tcW w:w="2429" w:type="dxa"/>
            <w:tcBorders>
              <w:left w:val="single" w:sz="4" w:space="0" w:color="000000"/>
              <w:right w:val="single" w:sz="4" w:space="0" w:color="000000"/>
            </w:tcBorders>
            <w:shd w:val="clear" w:color="auto" w:fill="auto"/>
          </w:tcPr>
          <w:p w14:paraId="4A65985B" w14:textId="77777777" w:rsidR="00BF4E7F" w:rsidRPr="00F242DD" w:rsidRDefault="00BF4E7F" w:rsidP="00E36DFA">
            <w:pPr>
              <w:snapToGrid w:val="0"/>
              <w:spacing w:before="0" w:after="0" w:line="240" w:lineRule="auto"/>
              <w:jc w:val="center"/>
              <w:rPr>
                <w:rFonts w:eastAsia="Times New Roman"/>
                <w:szCs w:val="24"/>
                <w:lang w:val="en-US"/>
              </w:rPr>
            </w:pPr>
            <w:r w:rsidRPr="00F242DD">
              <w:rPr>
                <w:rFonts w:eastAsia="Times New Roman"/>
                <w:szCs w:val="24"/>
              </w:rPr>
              <w:t>(высокая</w:t>
            </w:r>
            <w:r w:rsidRPr="00F242DD">
              <w:rPr>
                <w:rFonts w:eastAsia="Times New Roman"/>
                <w:szCs w:val="24"/>
                <w:lang w:val="en-US"/>
              </w:rPr>
              <w:t>)</w:t>
            </w:r>
          </w:p>
        </w:tc>
      </w:tr>
      <w:tr w:rsidR="00BF4E7F" w:rsidRPr="00F242DD" w14:paraId="70784826" w14:textId="77777777" w:rsidTr="00E36DFA">
        <w:tc>
          <w:tcPr>
            <w:tcW w:w="1161" w:type="dxa"/>
            <w:tcBorders>
              <w:left w:val="single" w:sz="4" w:space="0" w:color="000000"/>
            </w:tcBorders>
            <w:shd w:val="clear" w:color="auto" w:fill="auto"/>
          </w:tcPr>
          <w:p w14:paraId="37325635" w14:textId="77777777" w:rsidR="00BF4E7F" w:rsidRPr="00F242DD" w:rsidRDefault="00BF4E7F" w:rsidP="00E36DFA">
            <w:pPr>
              <w:snapToGrid w:val="0"/>
              <w:spacing w:before="0" w:after="0" w:line="240" w:lineRule="auto"/>
              <w:jc w:val="center"/>
              <w:rPr>
                <w:rFonts w:eastAsia="Times New Roman"/>
                <w:szCs w:val="24"/>
                <w:lang w:val="en-US"/>
              </w:rPr>
            </w:pPr>
          </w:p>
        </w:tc>
        <w:tc>
          <w:tcPr>
            <w:tcW w:w="5670" w:type="dxa"/>
            <w:tcBorders>
              <w:left w:val="single" w:sz="4" w:space="0" w:color="000000"/>
            </w:tcBorders>
            <w:shd w:val="clear" w:color="auto" w:fill="auto"/>
          </w:tcPr>
          <w:p w14:paraId="21220400" w14:textId="77777777" w:rsidR="00BF4E7F" w:rsidRPr="00F242DD" w:rsidRDefault="00BF4E7F" w:rsidP="00E36DFA">
            <w:pPr>
              <w:numPr>
                <w:ilvl w:val="0"/>
                <w:numId w:val="7"/>
              </w:numPr>
              <w:suppressAutoHyphens/>
              <w:snapToGrid w:val="0"/>
              <w:spacing w:before="0" w:after="0" w:line="240" w:lineRule="auto"/>
              <w:ind w:left="720"/>
              <w:jc w:val="left"/>
              <w:rPr>
                <w:rFonts w:eastAsia="Times New Roman"/>
                <w:szCs w:val="24"/>
              </w:rPr>
            </w:pPr>
            <w:r w:rsidRPr="00F242DD">
              <w:rPr>
                <w:rFonts w:eastAsia="Times New Roman"/>
                <w:szCs w:val="24"/>
              </w:rPr>
              <w:t>Уровень кальция сыворотки превышает нормальные значения</w:t>
            </w:r>
          </w:p>
        </w:tc>
        <w:tc>
          <w:tcPr>
            <w:tcW w:w="2429" w:type="dxa"/>
            <w:tcBorders>
              <w:left w:val="single" w:sz="4" w:space="0" w:color="000000"/>
              <w:right w:val="single" w:sz="4" w:space="0" w:color="000000"/>
            </w:tcBorders>
            <w:shd w:val="clear" w:color="auto" w:fill="auto"/>
          </w:tcPr>
          <w:p w14:paraId="31003830" w14:textId="77777777" w:rsidR="00BF4E7F" w:rsidRPr="00F242DD" w:rsidRDefault="00BF4E7F" w:rsidP="00E36DFA">
            <w:pPr>
              <w:snapToGrid w:val="0"/>
              <w:spacing w:before="0" w:after="0" w:line="240" w:lineRule="auto"/>
              <w:jc w:val="center"/>
              <w:rPr>
                <w:rFonts w:eastAsia="Times New Roman"/>
                <w:szCs w:val="24"/>
              </w:rPr>
            </w:pPr>
          </w:p>
        </w:tc>
      </w:tr>
      <w:tr w:rsidR="00BF4E7F" w:rsidRPr="00F242DD" w14:paraId="377E6116" w14:textId="77777777" w:rsidTr="00E36DFA">
        <w:tc>
          <w:tcPr>
            <w:tcW w:w="1161" w:type="dxa"/>
            <w:tcBorders>
              <w:left w:val="single" w:sz="4" w:space="0" w:color="000000"/>
            </w:tcBorders>
            <w:shd w:val="clear" w:color="auto" w:fill="auto"/>
          </w:tcPr>
          <w:p w14:paraId="5174DB48" w14:textId="77777777" w:rsidR="00BF4E7F" w:rsidRPr="00F242DD"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14:paraId="0B0D2E34" w14:textId="77777777" w:rsidR="00BF4E7F" w:rsidRPr="00F242DD" w:rsidRDefault="00DF1752" w:rsidP="00E36DFA">
            <w:pPr>
              <w:numPr>
                <w:ilvl w:val="0"/>
                <w:numId w:val="7"/>
              </w:numPr>
              <w:suppressAutoHyphens/>
              <w:snapToGrid w:val="0"/>
              <w:spacing w:before="0" w:after="0" w:line="240" w:lineRule="auto"/>
              <w:ind w:left="720"/>
              <w:jc w:val="left"/>
              <w:rPr>
                <w:rFonts w:eastAsia="Times New Roman"/>
                <w:szCs w:val="24"/>
              </w:rPr>
            </w:pPr>
            <w:r w:rsidRPr="00F242DD">
              <w:rPr>
                <w:rFonts w:eastAsia="Times New Roman"/>
                <w:szCs w:val="24"/>
              </w:rPr>
              <w:t>Множественные поражения костей</w:t>
            </w:r>
            <w:r w:rsidRPr="00F242DD">
              <w:rPr>
                <w:rFonts w:eastAsia="Times New Roman"/>
                <w:szCs w:val="24"/>
              </w:rPr>
              <w:br/>
            </w:r>
            <w:r w:rsidR="00BF4E7F" w:rsidRPr="00F242DD">
              <w:rPr>
                <w:rFonts w:eastAsia="Times New Roman"/>
                <w:szCs w:val="24"/>
              </w:rPr>
              <w:t>(&gt;3 литических очагов)</w:t>
            </w:r>
          </w:p>
        </w:tc>
        <w:tc>
          <w:tcPr>
            <w:tcW w:w="2429" w:type="dxa"/>
            <w:tcBorders>
              <w:left w:val="single" w:sz="4" w:space="0" w:color="000000"/>
              <w:right w:val="single" w:sz="4" w:space="0" w:color="000000"/>
            </w:tcBorders>
            <w:shd w:val="clear" w:color="auto" w:fill="auto"/>
          </w:tcPr>
          <w:p w14:paraId="13B23A97" w14:textId="77777777" w:rsidR="00BF4E7F" w:rsidRPr="00F242DD" w:rsidRDefault="00BF4E7F" w:rsidP="00E36DFA">
            <w:pPr>
              <w:snapToGrid w:val="0"/>
              <w:spacing w:before="0" w:after="0" w:line="240" w:lineRule="auto"/>
              <w:jc w:val="center"/>
              <w:rPr>
                <w:rFonts w:eastAsia="Times New Roman"/>
                <w:szCs w:val="24"/>
              </w:rPr>
            </w:pPr>
          </w:p>
        </w:tc>
      </w:tr>
      <w:tr w:rsidR="00BF4E7F" w:rsidRPr="00F242DD" w14:paraId="66D72943" w14:textId="77777777" w:rsidTr="00E36DFA">
        <w:tc>
          <w:tcPr>
            <w:tcW w:w="1161" w:type="dxa"/>
            <w:tcBorders>
              <w:left w:val="single" w:sz="4" w:space="0" w:color="000000"/>
            </w:tcBorders>
            <w:shd w:val="clear" w:color="auto" w:fill="auto"/>
          </w:tcPr>
          <w:p w14:paraId="065F659B" w14:textId="77777777" w:rsidR="00BF4E7F" w:rsidRPr="00F242DD"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14:paraId="14C9B245" w14:textId="77777777" w:rsidR="00BF4E7F" w:rsidRPr="00F242DD" w:rsidRDefault="00BF4E7F" w:rsidP="00E36DFA">
            <w:pPr>
              <w:numPr>
                <w:ilvl w:val="0"/>
                <w:numId w:val="7"/>
              </w:numPr>
              <w:suppressAutoHyphens/>
              <w:snapToGrid w:val="0"/>
              <w:spacing w:before="0" w:after="0" w:line="240" w:lineRule="auto"/>
              <w:ind w:left="720"/>
              <w:jc w:val="left"/>
              <w:rPr>
                <w:rFonts w:eastAsia="Times New Roman"/>
                <w:szCs w:val="24"/>
                <w:lang w:val="en-US"/>
              </w:rPr>
            </w:pPr>
            <w:r w:rsidRPr="00F242DD">
              <w:rPr>
                <w:rFonts w:eastAsia="Times New Roman"/>
                <w:szCs w:val="24"/>
              </w:rPr>
              <w:t xml:space="preserve">Высокий </w:t>
            </w:r>
            <w:r w:rsidRPr="00F242DD">
              <w:rPr>
                <w:rFonts w:eastAsia="Times New Roman"/>
                <w:szCs w:val="24"/>
                <w:lang w:val="en-US"/>
              </w:rPr>
              <w:t>уровень М-протеина:</w:t>
            </w:r>
          </w:p>
        </w:tc>
        <w:tc>
          <w:tcPr>
            <w:tcW w:w="2429" w:type="dxa"/>
            <w:tcBorders>
              <w:left w:val="single" w:sz="4" w:space="0" w:color="000000"/>
              <w:right w:val="single" w:sz="4" w:space="0" w:color="000000"/>
            </w:tcBorders>
            <w:shd w:val="clear" w:color="auto" w:fill="auto"/>
          </w:tcPr>
          <w:p w14:paraId="18C8B512" w14:textId="77777777" w:rsidR="00BF4E7F" w:rsidRPr="00F242DD" w:rsidRDefault="00BF4E7F" w:rsidP="00E36DFA">
            <w:pPr>
              <w:snapToGrid w:val="0"/>
              <w:spacing w:before="0" w:after="0" w:line="240" w:lineRule="auto"/>
              <w:jc w:val="center"/>
              <w:rPr>
                <w:rFonts w:eastAsia="Times New Roman"/>
                <w:szCs w:val="24"/>
                <w:lang w:val="en-US"/>
              </w:rPr>
            </w:pPr>
          </w:p>
        </w:tc>
      </w:tr>
      <w:tr w:rsidR="00BF4E7F" w:rsidRPr="00F242DD" w14:paraId="30070209" w14:textId="77777777" w:rsidTr="00E36DFA">
        <w:tc>
          <w:tcPr>
            <w:tcW w:w="1161" w:type="dxa"/>
            <w:tcBorders>
              <w:left w:val="single" w:sz="4" w:space="0" w:color="000000"/>
            </w:tcBorders>
            <w:shd w:val="clear" w:color="auto" w:fill="auto"/>
          </w:tcPr>
          <w:p w14:paraId="6756D23E" w14:textId="77777777" w:rsidR="00BF4E7F" w:rsidRPr="00F242DD" w:rsidRDefault="00BF4E7F" w:rsidP="00E36DFA">
            <w:pPr>
              <w:snapToGrid w:val="0"/>
              <w:spacing w:before="0" w:after="0" w:line="240" w:lineRule="auto"/>
              <w:jc w:val="center"/>
              <w:rPr>
                <w:rFonts w:eastAsia="Times New Roman"/>
                <w:szCs w:val="24"/>
                <w:lang w:val="en-US"/>
              </w:rPr>
            </w:pPr>
          </w:p>
        </w:tc>
        <w:tc>
          <w:tcPr>
            <w:tcW w:w="5670" w:type="dxa"/>
            <w:tcBorders>
              <w:left w:val="single" w:sz="4" w:space="0" w:color="000000"/>
            </w:tcBorders>
            <w:shd w:val="clear" w:color="auto" w:fill="auto"/>
          </w:tcPr>
          <w:p w14:paraId="08CC8BBD" w14:textId="77777777" w:rsidR="00BF4E7F" w:rsidRPr="00F242DD" w:rsidRDefault="00BF4E7F" w:rsidP="00E36DFA">
            <w:pPr>
              <w:numPr>
                <w:ilvl w:val="1"/>
                <w:numId w:val="7"/>
              </w:numPr>
              <w:suppressAutoHyphens/>
              <w:snapToGrid w:val="0"/>
              <w:spacing w:before="0" w:after="0" w:line="240" w:lineRule="auto"/>
              <w:ind w:left="1440"/>
              <w:jc w:val="left"/>
              <w:rPr>
                <w:rFonts w:eastAsia="Times New Roman"/>
                <w:szCs w:val="24"/>
                <w:lang w:val="en-US"/>
              </w:rPr>
            </w:pPr>
            <w:r w:rsidRPr="00F242DD">
              <w:rPr>
                <w:rFonts w:eastAsia="Times New Roman"/>
                <w:szCs w:val="24"/>
                <w:lang w:val="en-US"/>
              </w:rPr>
              <w:t>IgG &gt;70 г/л</w:t>
            </w:r>
            <w:r w:rsidR="007A5794" w:rsidRPr="00F242DD">
              <w:rPr>
                <w:rFonts w:eastAsia="Times New Roman"/>
                <w:szCs w:val="24"/>
              </w:rPr>
              <w:t>;</w:t>
            </w:r>
          </w:p>
        </w:tc>
        <w:tc>
          <w:tcPr>
            <w:tcW w:w="2429" w:type="dxa"/>
            <w:tcBorders>
              <w:left w:val="single" w:sz="4" w:space="0" w:color="000000"/>
              <w:right w:val="single" w:sz="4" w:space="0" w:color="000000"/>
            </w:tcBorders>
            <w:shd w:val="clear" w:color="auto" w:fill="auto"/>
          </w:tcPr>
          <w:p w14:paraId="2A1984C3" w14:textId="77777777" w:rsidR="00BF4E7F" w:rsidRPr="00F242DD" w:rsidRDefault="00BF4E7F" w:rsidP="00E36DFA">
            <w:pPr>
              <w:snapToGrid w:val="0"/>
              <w:spacing w:before="0" w:after="0" w:line="240" w:lineRule="auto"/>
              <w:jc w:val="center"/>
              <w:rPr>
                <w:rFonts w:eastAsia="Times New Roman"/>
                <w:szCs w:val="24"/>
                <w:lang w:val="en-US"/>
              </w:rPr>
            </w:pPr>
          </w:p>
        </w:tc>
      </w:tr>
      <w:tr w:rsidR="00BF4E7F" w:rsidRPr="00F242DD" w14:paraId="0B8C9BE1" w14:textId="77777777" w:rsidTr="00E36DFA">
        <w:tc>
          <w:tcPr>
            <w:tcW w:w="1161" w:type="dxa"/>
            <w:tcBorders>
              <w:left w:val="single" w:sz="4" w:space="0" w:color="000000"/>
            </w:tcBorders>
            <w:shd w:val="clear" w:color="auto" w:fill="auto"/>
          </w:tcPr>
          <w:p w14:paraId="17E5DAE7" w14:textId="77777777" w:rsidR="00BF4E7F" w:rsidRPr="00F242DD" w:rsidRDefault="00BF4E7F" w:rsidP="00E36DFA">
            <w:pPr>
              <w:snapToGrid w:val="0"/>
              <w:spacing w:before="0" w:after="0" w:line="240" w:lineRule="auto"/>
              <w:jc w:val="center"/>
              <w:rPr>
                <w:rFonts w:eastAsia="Times New Roman"/>
                <w:szCs w:val="24"/>
                <w:lang w:val="en-US"/>
              </w:rPr>
            </w:pPr>
          </w:p>
        </w:tc>
        <w:tc>
          <w:tcPr>
            <w:tcW w:w="5670" w:type="dxa"/>
            <w:tcBorders>
              <w:left w:val="single" w:sz="4" w:space="0" w:color="000000"/>
            </w:tcBorders>
            <w:shd w:val="clear" w:color="auto" w:fill="auto"/>
          </w:tcPr>
          <w:p w14:paraId="680B9C45" w14:textId="77777777" w:rsidR="00BF4E7F" w:rsidRPr="00F242DD" w:rsidRDefault="00BF4E7F" w:rsidP="00E36DFA">
            <w:pPr>
              <w:numPr>
                <w:ilvl w:val="1"/>
                <w:numId w:val="7"/>
              </w:numPr>
              <w:suppressAutoHyphens/>
              <w:snapToGrid w:val="0"/>
              <w:spacing w:before="0" w:after="0" w:line="240" w:lineRule="auto"/>
              <w:ind w:left="1440"/>
              <w:jc w:val="left"/>
              <w:rPr>
                <w:rFonts w:eastAsia="Times New Roman"/>
                <w:szCs w:val="24"/>
                <w:lang w:val="en-US"/>
              </w:rPr>
            </w:pPr>
            <w:r w:rsidRPr="00F242DD">
              <w:rPr>
                <w:rFonts w:eastAsia="Times New Roman"/>
                <w:szCs w:val="24"/>
                <w:lang w:val="en-US"/>
              </w:rPr>
              <w:t>IgA &gt;50 г/л</w:t>
            </w:r>
          </w:p>
        </w:tc>
        <w:tc>
          <w:tcPr>
            <w:tcW w:w="2429" w:type="dxa"/>
            <w:tcBorders>
              <w:left w:val="single" w:sz="4" w:space="0" w:color="000000"/>
              <w:right w:val="single" w:sz="4" w:space="0" w:color="000000"/>
            </w:tcBorders>
            <w:shd w:val="clear" w:color="auto" w:fill="auto"/>
          </w:tcPr>
          <w:p w14:paraId="2076E06E" w14:textId="77777777" w:rsidR="00BF4E7F" w:rsidRPr="00F242DD" w:rsidRDefault="00BF4E7F" w:rsidP="00E36DFA">
            <w:pPr>
              <w:snapToGrid w:val="0"/>
              <w:spacing w:before="0" w:after="0" w:line="240" w:lineRule="auto"/>
              <w:jc w:val="center"/>
              <w:rPr>
                <w:rFonts w:eastAsia="Times New Roman"/>
                <w:szCs w:val="24"/>
                <w:lang w:val="en-US"/>
              </w:rPr>
            </w:pPr>
          </w:p>
        </w:tc>
      </w:tr>
      <w:tr w:rsidR="00BF4E7F" w:rsidRPr="00F242DD" w14:paraId="0E172064" w14:textId="77777777" w:rsidTr="00E36DFA">
        <w:tc>
          <w:tcPr>
            <w:tcW w:w="1161" w:type="dxa"/>
            <w:tcBorders>
              <w:left w:val="single" w:sz="4" w:space="0" w:color="000000"/>
              <w:bottom w:val="single" w:sz="4" w:space="0" w:color="000000"/>
            </w:tcBorders>
            <w:shd w:val="clear" w:color="auto" w:fill="auto"/>
          </w:tcPr>
          <w:p w14:paraId="2C44B7E5" w14:textId="77777777" w:rsidR="00BF4E7F" w:rsidRPr="00F242DD" w:rsidRDefault="00BF4E7F" w:rsidP="00E36DFA">
            <w:pPr>
              <w:snapToGrid w:val="0"/>
              <w:spacing w:before="0" w:after="0" w:line="240" w:lineRule="auto"/>
              <w:jc w:val="center"/>
              <w:rPr>
                <w:rFonts w:eastAsia="Times New Roman"/>
                <w:szCs w:val="24"/>
                <w:lang w:val="en-US"/>
              </w:rPr>
            </w:pPr>
          </w:p>
        </w:tc>
        <w:tc>
          <w:tcPr>
            <w:tcW w:w="5670" w:type="dxa"/>
            <w:tcBorders>
              <w:left w:val="single" w:sz="4" w:space="0" w:color="000000"/>
              <w:bottom w:val="single" w:sz="4" w:space="0" w:color="000000"/>
            </w:tcBorders>
            <w:shd w:val="clear" w:color="auto" w:fill="auto"/>
          </w:tcPr>
          <w:p w14:paraId="634F85A9" w14:textId="77777777" w:rsidR="00BF4E7F" w:rsidRPr="00F242DD" w:rsidRDefault="00BF4E7F" w:rsidP="00E36DFA">
            <w:pPr>
              <w:numPr>
                <w:ilvl w:val="0"/>
                <w:numId w:val="7"/>
              </w:numPr>
              <w:suppressAutoHyphens/>
              <w:snapToGrid w:val="0"/>
              <w:spacing w:before="0" w:after="0" w:line="240" w:lineRule="auto"/>
              <w:ind w:left="720"/>
              <w:jc w:val="left"/>
              <w:rPr>
                <w:rFonts w:eastAsia="Times New Roman"/>
                <w:szCs w:val="24"/>
              </w:rPr>
            </w:pPr>
            <w:r w:rsidRPr="00F242DD">
              <w:rPr>
                <w:rFonts w:eastAsia="Times New Roman"/>
                <w:szCs w:val="24"/>
              </w:rPr>
              <w:t>Белок Бенс-Джонса &gt;12 г/сут</w:t>
            </w:r>
          </w:p>
        </w:tc>
        <w:tc>
          <w:tcPr>
            <w:tcW w:w="2429" w:type="dxa"/>
            <w:tcBorders>
              <w:left w:val="single" w:sz="4" w:space="0" w:color="000000"/>
              <w:bottom w:val="single" w:sz="4" w:space="0" w:color="000000"/>
              <w:right w:val="single" w:sz="4" w:space="0" w:color="000000"/>
            </w:tcBorders>
            <w:shd w:val="clear" w:color="auto" w:fill="auto"/>
          </w:tcPr>
          <w:p w14:paraId="7CC78A72" w14:textId="77777777" w:rsidR="00BF4E7F" w:rsidRPr="00F242DD" w:rsidRDefault="00BF4E7F" w:rsidP="00E36DFA">
            <w:pPr>
              <w:snapToGrid w:val="0"/>
              <w:spacing w:before="0" w:after="0" w:line="240" w:lineRule="auto"/>
              <w:jc w:val="center"/>
              <w:rPr>
                <w:rFonts w:eastAsia="Times New Roman"/>
                <w:szCs w:val="24"/>
              </w:rPr>
            </w:pPr>
          </w:p>
        </w:tc>
      </w:tr>
    </w:tbl>
    <w:p w14:paraId="2842623D" w14:textId="77777777" w:rsidR="004A458B" w:rsidRPr="00F242DD" w:rsidRDefault="004A458B" w:rsidP="00E36DFA">
      <w:pPr>
        <w:pStyle w:val="a4"/>
        <w:spacing w:before="0" w:beforeAutospacing="0" w:after="0" w:afterAutospacing="0" w:line="360" w:lineRule="auto"/>
        <w:ind w:firstLine="709"/>
        <w:jc w:val="both"/>
      </w:pPr>
      <w:r w:rsidRPr="00F242DD">
        <w:t>Дополнительным признаком, определяющим подстадию, является состояние функции почек:</w:t>
      </w:r>
    </w:p>
    <w:p w14:paraId="15BF83B2" w14:textId="77777777" w:rsidR="004A458B" w:rsidRPr="00F242DD" w:rsidRDefault="004A458B" w:rsidP="00E36DFA">
      <w:pPr>
        <w:pStyle w:val="a4"/>
        <w:numPr>
          <w:ilvl w:val="0"/>
          <w:numId w:val="6"/>
        </w:numPr>
        <w:spacing w:before="0" w:beforeAutospacing="0" w:after="0" w:afterAutospacing="0" w:line="360" w:lineRule="auto"/>
      </w:pPr>
      <w:r w:rsidRPr="00F242DD">
        <w:t xml:space="preserve">А </w:t>
      </w:r>
      <w:r w:rsidR="003957AE" w:rsidRPr="00F242DD">
        <w:t>−</w:t>
      </w:r>
      <w:r w:rsidRPr="00F242DD">
        <w:t xml:space="preserve"> нормальная (креатинин сыворотки </w:t>
      </w:r>
      <w:r w:rsidR="003957AE" w:rsidRPr="00F242DD">
        <w:t>&lt;</w:t>
      </w:r>
      <w:r w:rsidRPr="00F242DD">
        <w:t>170 мкмоль/л или 2 г/дл).</w:t>
      </w:r>
    </w:p>
    <w:p w14:paraId="6F2C0CB7" w14:textId="77777777" w:rsidR="004A458B" w:rsidRPr="00F242DD" w:rsidRDefault="004A458B" w:rsidP="00E36DFA">
      <w:pPr>
        <w:pStyle w:val="a4"/>
        <w:numPr>
          <w:ilvl w:val="0"/>
          <w:numId w:val="6"/>
        </w:numPr>
        <w:spacing w:before="0" w:beforeAutospacing="0" w:after="0" w:afterAutospacing="0" w:line="360" w:lineRule="auto"/>
      </w:pPr>
      <w:r w:rsidRPr="00F242DD">
        <w:t xml:space="preserve">В </w:t>
      </w:r>
      <w:r w:rsidR="003957AE" w:rsidRPr="00F242DD">
        <w:t>−</w:t>
      </w:r>
      <w:r w:rsidRPr="00F242DD">
        <w:t xml:space="preserve"> сниженная (креатинин сыворотки </w:t>
      </w:r>
      <w:r w:rsidR="003957AE" w:rsidRPr="00F242DD">
        <w:t>≥</w:t>
      </w:r>
      <w:r w:rsidRPr="00F242DD">
        <w:t>170 мкмоль/л или 2 г/дл).</w:t>
      </w:r>
    </w:p>
    <w:p w14:paraId="07F0CC82" w14:textId="77777777" w:rsidR="004A458B" w:rsidRPr="00F242DD" w:rsidRDefault="004A458B" w:rsidP="00E36DFA">
      <w:pPr>
        <w:pStyle w:val="a4"/>
        <w:spacing w:before="0" w:beforeAutospacing="0" w:after="0" w:afterAutospacing="0" w:line="360" w:lineRule="auto"/>
        <w:ind w:firstLine="709"/>
      </w:pPr>
      <w:r w:rsidRPr="00F242DD">
        <w:lastRenderedPageBreak/>
        <w:t>Классификация ISS основана на важном прогностическом значении сочетания β2-микроглобулина и альбумина сыворотки крови (табл. 2)</w:t>
      </w:r>
      <w:r w:rsidR="002E3E42" w:rsidRPr="00F242DD">
        <w:rPr>
          <w:lang w:val="en-US"/>
        </w:rPr>
        <w:t xml:space="preserve"> </w:t>
      </w:r>
      <w:r w:rsidR="00A96FB6" w:rsidRPr="00F242DD">
        <w:rPr>
          <w:rStyle w:val="ac"/>
          <w:b w:val="0"/>
        </w:rPr>
        <w:fldChar w:fldCharType="begin" w:fldLock="1"/>
      </w:r>
      <w:r w:rsidR="002E3E42" w:rsidRPr="00F242DD">
        <w:rPr>
          <w:rStyle w:val="ac"/>
          <w:b w:val="0"/>
        </w:rPr>
        <w:instrText>ADDIN CSL_CITATION {"citationItems":[{"id":"ITEM-1","itemData":{"DOI":"10.1200/JCO.2005.04.242","ISSN":"0732183X","abstract":"Purpose: There is a need for a simple, reliable staging system for multiple myeloma that can be applied internationally for patient classification and stratification. Patients and Methods: Clinical and laboratory data were gathered on 10,750 previously untreated symptomatic myeloma patients from 17 institutions, including sites in North America, Europe, and Asia. Potential prognostic factors were evaluated by univariate and multivariate techniques. Three modeling approaches were then explored to develop a staging system including two nontree and one tree survival assessment methodologies. Results: Serum beta 2-microglobulin (S? 2M), serum albumin, platelet count, serum creatinine, and age emerged as powerful predictors of survival and were then used in the tree analysis approach. A combination of S? 2M and serum albumin provided the simplest, most powerful and reproducible three-stage classification. This new International Staging System (ISS) was validated in the remaining patients and consists of the following stages: stage I, S? 2M less than 3.5 mg/L plus serum albumin ? 3.5 g/dL (median survival, 62 months); stage II, neither stage I nor III (median survival, 44 months); and stage III, S? 2M &gt; 5.5 mg/L (median survival, 29 months). The ISS system was further validated by demonstrating effectiveness in patients in North America, Europe, and Asia; in patients less than and ? 65 years of age; in patients with standard therapy or autotransplantation; and in comparison with the Durie/ Salmon staging system. Conclusion: The new ISS is simple, based on easy to use variables (S? 2M and serum albumin), and recommended for early adoption and widespread use. ? 2005 by American Society of Clinical Oncology.","author":[{"dropping-particle":"","family":"Greipp","given":"Philip R.","non-dropping-particle":"","parse-names":false,"suffix":""},{"dropping-particle":"","family":"Miguel","given":"Jesus San","non-dropping-particle":"","parse-names":false,"suffix":""},{"dropping-particle":"","family":"Dune","given":"Brian G.M.","non-dropping-particle":"","parse-names":false,"suffix":""},{"dropping-particle":"","family":"Crowley","given":"John J.","non-dropping-particle":"","parse-names":false,"suffix":""},{"dropping-particle":"","family":"Barlogie","given":"Bart","non-dropping-particle":"","parse-names":false,"suffix":""},{"dropping-particle":"","family":"Bladé","given":"Joan","non-dropping-particle":"","parse-names":false,"suffix":""},{"dropping-particle":"","family":"Boccadoro","given":"Mario","non-dropping-particle":"","parse-names":false,"suffix":""},{"dropping-particle":"","family":"Child","given":"J. Anthony","non-dropping-particle":"","parse-names":false,"suffix":""},{"dropping-particle":"","family":"Harousseau","given":"Jean Luc","non-dropping-particle":"","parse-names":false,"suffix":""},{"dropping-particle":"","family":"Kyle","given":"Robert A.","non-dropping-particle":"","parse-names":false,"suffix":""},{"dropping-particle":"","family":"Lahuerta","given":"Juan J.","non-dropping-particle":"","parse-names":false,"suffix":""},{"dropping-particle":"","family":"Ludwig","given":"Heinz","non-dropping-particle":"","parse-names":false,"suffix":""},{"dropping-particle":"","family":"Morgan","given":"Gareth","non-dropping-particle":"","parse-names":false,"suffix":""},{"dropping-particle":"","family":"Powles","given":"Raymond","non-dropping-particle":"","parse-names":false,"suffix":""},{"dropping-particle":"","family":"Shimizu","given":"Kazuyuki","non-dropping-particle":"","parse-names":false,"suffix":""},{"dropping-particle":"","family":"Shustik","given":"Chaim","non-dropping-particle":"","parse-names":false,"suffix":""},{"dropping-particle":"","family":"Sonneveld","given":"Pieter","non-dropping-particle":"","parse-names":false,"suffix":""},{"dropping-particle":"","family":"Tosi","given":"Patrizia","non-dropping-particle":"","parse-names":false,"suffix":""},{"dropping-particle":"","family":"Turesson","given":"Ingemar","non-dropping-particle":"","parse-names":false,"suffix":""},{"dropping-particle":"","family":"Westin","given":"Jan","non-dropping-particle":"","parse-names":false,"suffix":""}],"container-title":"Journal of Clinical Oncology","id":"ITEM-1","issue":"15","issued":{"date-parts":[["2005"]]},"page":"3412-3420","title":"International staging system for multiple myeloma","type":"article-journal","volume":"23"},"uris":["http://www.mendeley.com/documents/?uuid=aa3df05b-8256-3934-85b7-0a983e32b5ac"]}],"mendeley":{"formattedCitation":"[12]","plainTextFormattedCitation":"[12]","previouslyFormattedCitation":"[12]"},"properties":{"noteIndex":0},"schema":"https://github.com/citation-style-language/schema/raw/master/csl-citation.json"}</w:instrText>
      </w:r>
      <w:r w:rsidR="00A96FB6" w:rsidRPr="00F242DD">
        <w:rPr>
          <w:rStyle w:val="ac"/>
          <w:b w:val="0"/>
        </w:rPr>
        <w:fldChar w:fldCharType="separate"/>
      </w:r>
      <w:r w:rsidR="002E3E42" w:rsidRPr="00F242DD">
        <w:rPr>
          <w:rStyle w:val="ac"/>
          <w:b w:val="0"/>
          <w:noProof/>
        </w:rPr>
        <w:t>[12]</w:t>
      </w:r>
      <w:r w:rsidR="00A96FB6" w:rsidRPr="00F242DD">
        <w:rPr>
          <w:rStyle w:val="ac"/>
          <w:b w:val="0"/>
        </w:rPr>
        <w:fldChar w:fldCharType="end"/>
      </w:r>
      <w:r w:rsidRPr="00F242DD">
        <w:t>.</w:t>
      </w:r>
    </w:p>
    <w:p w14:paraId="3BE24CCD" w14:textId="77777777" w:rsidR="004A458B" w:rsidRPr="00F242DD" w:rsidRDefault="004A458B" w:rsidP="00E36DFA">
      <w:pPr>
        <w:pStyle w:val="a4"/>
        <w:spacing w:before="0" w:beforeAutospacing="0" w:after="0" w:afterAutospacing="0" w:line="360" w:lineRule="auto"/>
      </w:pPr>
      <w:r w:rsidRPr="00F242DD">
        <w:rPr>
          <w:rStyle w:val="ac"/>
        </w:rPr>
        <w:t>Таблица 2.</w:t>
      </w:r>
      <w:r w:rsidRPr="00F242DD">
        <w:t> </w:t>
      </w:r>
      <w:r w:rsidR="007809BE" w:rsidRPr="00F242DD">
        <w:t xml:space="preserve"> </w:t>
      </w:r>
      <w:r w:rsidRPr="00F242DD">
        <w:t>ISS</w:t>
      </w:r>
    </w:p>
    <w:tbl>
      <w:tblPr>
        <w:tblW w:w="0" w:type="auto"/>
        <w:tblInd w:w="108" w:type="dxa"/>
        <w:tblLayout w:type="fixed"/>
        <w:tblLook w:val="0000" w:firstRow="0" w:lastRow="0" w:firstColumn="0" w:lastColumn="0" w:noHBand="0" w:noVBand="0"/>
      </w:tblPr>
      <w:tblGrid>
        <w:gridCol w:w="1764"/>
        <w:gridCol w:w="5040"/>
        <w:gridCol w:w="2288"/>
      </w:tblGrid>
      <w:tr w:rsidR="00BF4E7F" w:rsidRPr="00F242DD" w14:paraId="5A3C25DA" w14:textId="77777777" w:rsidTr="00E36DFA">
        <w:tc>
          <w:tcPr>
            <w:tcW w:w="1764" w:type="dxa"/>
            <w:tcBorders>
              <w:top w:val="single" w:sz="4" w:space="0" w:color="000000"/>
              <w:left w:val="single" w:sz="4" w:space="0" w:color="000000"/>
              <w:bottom w:val="single" w:sz="4" w:space="0" w:color="000000"/>
            </w:tcBorders>
            <w:shd w:val="clear" w:color="auto" w:fill="auto"/>
            <w:vAlign w:val="center"/>
          </w:tcPr>
          <w:p w14:paraId="73A92970" w14:textId="77777777" w:rsidR="00BF4E7F" w:rsidRPr="00F242DD" w:rsidRDefault="00BF4E7F" w:rsidP="00E36DFA">
            <w:pPr>
              <w:autoSpaceDE w:val="0"/>
              <w:snapToGrid w:val="0"/>
              <w:spacing w:before="0" w:after="0" w:line="240" w:lineRule="auto"/>
              <w:jc w:val="center"/>
              <w:rPr>
                <w:rFonts w:eastAsia="Times New Roman"/>
              </w:rPr>
            </w:pPr>
            <w:r w:rsidRPr="00F242DD">
              <w:rPr>
                <w:rFonts w:eastAsia="Times New Roman"/>
                <w:lang w:val="en-US"/>
              </w:rPr>
              <w:t>Стади</w:t>
            </w:r>
            <w:r w:rsidR="003957AE" w:rsidRPr="00F242DD">
              <w:rPr>
                <w:rFonts w:eastAsia="Times New Roman"/>
              </w:rPr>
              <w:t>я</w:t>
            </w:r>
          </w:p>
        </w:tc>
        <w:tc>
          <w:tcPr>
            <w:tcW w:w="5040" w:type="dxa"/>
            <w:tcBorders>
              <w:top w:val="single" w:sz="4" w:space="0" w:color="000000"/>
              <w:left w:val="single" w:sz="4" w:space="0" w:color="000000"/>
              <w:bottom w:val="single" w:sz="4" w:space="0" w:color="000000"/>
            </w:tcBorders>
            <w:shd w:val="clear" w:color="auto" w:fill="auto"/>
            <w:vAlign w:val="center"/>
          </w:tcPr>
          <w:p w14:paraId="3BA7AD24" w14:textId="77777777" w:rsidR="00BF4E7F" w:rsidRPr="00F242DD" w:rsidRDefault="00BF4E7F" w:rsidP="00E36DFA">
            <w:pPr>
              <w:autoSpaceDE w:val="0"/>
              <w:snapToGrid w:val="0"/>
              <w:spacing w:before="0" w:after="0" w:line="240" w:lineRule="auto"/>
              <w:jc w:val="center"/>
            </w:pPr>
            <w:r w:rsidRPr="00F242DD">
              <w:rPr>
                <w:rFonts w:eastAsia="Times New Roman"/>
                <w:lang w:val="en-US"/>
              </w:rPr>
              <w:t>Показатели</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A16DF" w14:textId="77777777" w:rsidR="00BF4E7F" w:rsidRPr="00F242DD" w:rsidRDefault="00BF4E7F" w:rsidP="00E36DFA">
            <w:pPr>
              <w:snapToGrid w:val="0"/>
              <w:spacing w:before="0" w:after="0" w:line="240" w:lineRule="auto"/>
              <w:jc w:val="center"/>
            </w:pPr>
            <w:r w:rsidRPr="00F242DD">
              <w:t>Медиана ОВ,</w:t>
            </w:r>
            <w:r w:rsidR="003957AE" w:rsidRPr="00F242DD">
              <w:t xml:space="preserve"> </w:t>
            </w:r>
            <w:r w:rsidRPr="00F242DD">
              <w:t>мес</w:t>
            </w:r>
          </w:p>
        </w:tc>
      </w:tr>
      <w:tr w:rsidR="00BF4E7F" w:rsidRPr="00F242DD" w14:paraId="3D8704E0" w14:textId="77777777" w:rsidTr="00E36DFA">
        <w:tc>
          <w:tcPr>
            <w:tcW w:w="1764" w:type="dxa"/>
            <w:tcBorders>
              <w:top w:val="single" w:sz="4" w:space="0" w:color="000000"/>
              <w:left w:val="single" w:sz="4" w:space="0" w:color="000000"/>
            </w:tcBorders>
            <w:shd w:val="clear" w:color="auto" w:fill="auto"/>
            <w:vAlign w:val="center"/>
          </w:tcPr>
          <w:p w14:paraId="508508EA" w14:textId="77777777" w:rsidR="00BF4E7F" w:rsidRPr="00F242DD" w:rsidRDefault="00BF4E7F" w:rsidP="00E36DFA">
            <w:pPr>
              <w:autoSpaceDE w:val="0"/>
              <w:snapToGrid w:val="0"/>
              <w:spacing w:before="0" w:after="0" w:line="240" w:lineRule="auto"/>
              <w:jc w:val="center"/>
              <w:rPr>
                <w:rFonts w:eastAsia="Times New Roman"/>
                <w:lang w:val="en-US"/>
              </w:rPr>
            </w:pPr>
            <w:r w:rsidRPr="00F242DD">
              <w:rPr>
                <w:rFonts w:eastAsia="Times New Roman"/>
                <w:lang w:val="en-US"/>
              </w:rPr>
              <w:t>I</w:t>
            </w:r>
          </w:p>
        </w:tc>
        <w:tc>
          <w:tcPr>
            <w:tcW w:w="5040" w:type="dxa"/>
            <w:tcBorders>
              <w:top w:val="single" w:sz="4" w:space="0" w:color="000000"/>
              <w:left w:val="single" w:sz="4" w:space="0" w:color="000000"/>
            </w:tcBorders>
            <w:shd w:val="clear" w:color="auto" w:fill="auto"/>
            <w:vAlign w:val="center"/>
          </w:tcPr>
          <w:p w14:paraId="1AB3E85B" w14:textId="77777777" w:rsidR="00BF4E7F" w:rsidRPr="00F242DD" w:rsidRDefault="00BF4E7F" w:rsidP="00E36DFA">
            <w:pPr>
              <w:autoSpaceDE w:val="0"/>
              <w:snapToGrid w:val="0"/>
              <w:spacing w:before="0" w:after="0" w:line="240" w:lineRule="auto"/>
              <w:jc w:val="center"/>
            </w:pPr>
            <w:r w:rsidRPr="00F242DD">
              <w:rPr>
                <w:rFonts w:eastAsia="Times New Roman"/>
                <w:lang w:val="en-US"/>
              </w:rPr>
              <w:t>β</w:t>
            </w:r>
            <w:r w:rsidRPr="00F242DD">
              <w:rPr>
                <w:rFonts w:eastAsia="Times New Roman"/>
              </w:rPr>
              <w:t>2-</w:t>
            </w:r>
            <w:r w:rsidR="00575248" w:rsidRPr="00F242DD">
              <w:rPr>
                <w:rFonts w:eastAsia="Times New Roman"/>
              </w:rPr>
              <w:t>микроглобулин сыворотки &lt;</w:t>
            </w:r>
            <w:r w:rsidRPr="00F242DD">
              <w:rPr>
                <w:rFonts w:eastAsia="Times New Roman"/>
              </w:rPr>
              <w:t>3,5 мг/л</w:t>
            </w:r>
          </w:p>
        </w:tc>
        <w:tc>
          <w:tcPr>
            <w:tcW w:w="2288" w:type="dxa"/>
            <w:tcBorders>
              <w:top w:val="single" w:sz="4" w:space="0" w:color="000000"/>
              <w:left w:val="single" w:sz="4" w:space="0" w:color="000000"/>
              <w:right w:val="single" w:sz="4" w:space="0" w:color="000000"/>
            </w:tcBorders>
            <w:shd w:val="clear" w:color="auto" w:fill="auto"/>
            <w:vAlign w:val="center"/>
          </w:tcPr>
          <w:p w14:paraId="02E59B64" w14:textId="77777777" w:rsidR="00BF4E7F" w:rsidRPr="00F242DD" w:rsidRDefault="00BF4E7F" w:rsidP="00E36DFA">
            <w:pPr>
              <w:snapToGrid w:val="0"/>
              <w:spacing w:before="0" w:after="0" w:line="240" w:lineRule="auto"/>
              <w:jc w:val="center"/>
              <w:rPr>
                <w:rFonts w:eastAsia="Times New Roman"/>
              </w:rPr>
            </w:pPr>
            <w:r w:rsidRPr="00F242DD">
              <w:t>62</w:t>
            </w:r>
          </w:p>
        </w:tc>
      </w:tr>
      <w:tr w:rsidR="00BF4E7F" w:rsidRPr="00F242DD" w14:paraId="14273813" w14:textId="77777777" w:rsidTr="00E36DFA">
        <w:tc>
          <w:tcPr>
            <w:tcW w:w="1764" w:type="dxa"/>
            <w:tcBorders>
              <w:left w:val="single" w:sz="4" w:space="0" w:color="000000"/>
              <w:bottom w:val="single" w:sz="4" w:space="0" w:color="000000"/>
            </w:tcBorders>
            <w:shd w:val="clear" w:color="auto" w:fill="auto"/>
            <w:vAlign w:val="center"/>
          </w:tcPr>
          <w:p w14:paraId="7FD2CC08" w14:textId="77777777" w:rsidR="00BF4E7F" w:rsidRPr="00F242DD" w:rsidRDefault="00BF4E7F" w:rsidP="00E36DFA">
            <w:pPr>
              <w:autoSpaceDE w:val="0"/>
              <w:snapToGrid w:val="0"/>
              <w:spacing w:before="0" w:after="0" w:line="240" w:lineRule="auto"/>
              <w:jc w:val="center"/>
              <w:rPr>
                <w:rFonts w:eastAsia="Times New Roman"/>
              </w:rPr>
            </w:pPr>
          </w:p>
        </w:tc>
        <w:tc>
          <w:tcPr>
            <w:tcW w:w="5040" w:type="dxa"/>
            <w:tcBorders>
              <w:left w:val="single" w:sz="4" w:space="0" w:color="000000"/>
              <w:bottom w:val="single" w:sz="4" w:space="0" w:color="000000"/>
            </w:tcBorders>
            <w:shd w:val="clear" w:color="auto" w:fill="auto"/>
            <w:vAlign w:val="center"/>
          </w:tcPr>
          <w:p w14:paraId="54EA4AC3" w14:textId="77777777" w:rsidR="00BF4E7F" w:rsidRPr="00F242DD" w:rsidRDefault="00BF4E7F" w:rsidP="00E36DFA">
            <w:pPr>
              <w:autoSpaceDE w:val="0"/>
              <w:snapToGrid w:val="0"/>
              <w:spacing w:before="0" w:after="0" w:line="240" w:lineRule="auto"/>
              <w:jc w:val="center"/>
            </w:pPr>
            <w:r w:rsidRPr="00F242DD">
              <w:rPr>
                <w:rFonts w:eastAsia="Times New Roman"/>
                <w:lang w:val="en-US"/>
              </w:rPr>
              <w:t>Альбумин</w:t>
            </w:r>
            <w:r w:rsidR="00575248" w:rsidRPr="00F242DD">
              <w:rPr>
                <w:rFonts w:eastAsia="Times New Roman"/>
              </w:rPr>
              <w:t xml:space="preserve"> </w:t>
            </w:r>
            <w:r w:rsidRPr="00F242DD">
              <w:rPr>
                <w:rFonts w:eastAsia="Times New Roman"/>
                <w:lang w:val="en-US"/>
              </w:rPr>
              <w:t>≥3,5 г/</w:t>
            </w:r>
            <w:r w:rsidRPr="00F242DD">
              <w:rPr>
                <w:rFonts w:eastAsia="Times New Roman"/>
              </w:rPr>
              <w:t>д</w:t>
            </w:r>
            <w:r w:rsidRPr="00F242DD">
              <w:rPr>
                <w:rFonts w:eastAsia="Times New Roman"/>
                <w:lang w:val="en-US"/>
              </w:rPr>
              <w:t>л</w:t>
            </w:r>
          </w:p>
        </w:tc>
        <w:tc>
          <w:tcPr>
            <w:tcW w:w="2288" w:type="dxa"/>
            <w:tcBorders>
              <w:left w:val="single" w:sz="4" w:space="0" w:color="000000"/>
              <w:bottom w:val="single" w:sz="4" w:space="0" w:color="000000"/>
              <w:right w:val="single" w:sz="4" w:space="0" w:color="000000"/>
            </w:tcBorders>
            <w:shd w:val="clear" w:color="auto" w:fill="auto"/>
            <w:vAlign w:val="center"/>
          </w:tcPr>
          <w:p w14:paraId="3B42FE6C" w14:textId="77777777" w:rsidR="00BF4E7F" w:rsidRPr="00F242DD" w:rsidRDefault="00BF4E7F" w:rsidP="00E36DFA">
            <w:pPr>
              <w:snapToGrid w:val="0"/>
              <w:spacing w:before="0" w:after="0" w:line="240" w:lineRule="auto"/>
              <w:jc w:val="center"/>
            </w:pPr>
          </w:p>
        </w:tc>
      </w:tr>
      <w:tr w:rsidR="00BF4E7F" w:rsidRPr="00F242DD" w14:paraId="263A3BEE" w14:textId="77777777" w:rsidTr="00E36DFA">
        <w:tc>
          <w:tcPr>
            <w:tcW w:w="1764" w:type="dxa"/>
            <w:tcBorders>
              <w:top w:val="single" w:sz="4" w:space="0" w:color="000000"/>
              <w:left w:val="single" w:sz="4" w:space="0" w:color="000000"/>
            </w:tcBorders>
            <w:shd w:val="clear" w:color="auto" w:fill="auto"/>
            <w:vAlign w:val="center"/>
          </w:tcPr>
          <w:p w14:paraId="3F9EE547" w14:textId="77777777" w:rsidR="00BF4E7F" w:rsidRPr="00F242DD" w:rsidRDefault="00BF4E7F" w:rsidP="00E36DFA">
            <w:pPr>
              <w:autoSpaceDE w:val="0"/>
              <w:snapToGrid w:val="0"/>
              <w:spacing w:before="0" w:after="0" w:line="240" w:lineRule="auto"/>
              <w:jc w:val="center"/>
              <w:rPr>
                <w:rFonts w:eastAsia="Times New Roman"/>
                <w:lang w:val="en-US"/>
              </w:rPr>
            </w:pPr>
            <w:r w:rsidRPr="00F242DD">
              <w:rPr>
                <w:rFonts w:eastAsia="Times New Roman"/>
                <w:lang w:val="en-US"/>
              </w:rPr>
              <w:t>II</w:t>
            </w:r>
          </w:p>
        </w:tc>
        <w:tc>
          <w:tcPr>
            <w:tcW w:w="5040" w:type="dxa"/>
            <w:tcBorders>
              <w:top w:val="single" w:sz="4" w:space="0" w:color="000000"/>
              <w:left w:val="single" w:sz="4" w:space="0" w:color="000000"/>
            </w:tcBorders>
            <w:shd w:val="clear" w:color="auto" w:fill="auto"/>
            <w:vAlign w:val="center"/>
          </w:tcPr>
          <w:p w14:paraId="4DCEAD5C" w14:textId="77777777" w:rsidR="00BF4E7F" w:rsidRPr="00F242DD" w:rsidRDefault="00BF4E7F" w:rsidP="00E36DFA">
            <w:pPr>
              <w:autoSpaceDE w:val="0"/>
              <w:snapToGrid w:val="0"/>
              <w:spacing w:before="0" w:after="0" w:line="240" w:lineRule="auto"/>
              <w:jc w:val="center"/>
            </w:pPr>
            <w:r w:rsidRPr="00F242DD">
              <w:rPr>
                <w:rFonts w:eastAsia="Times New Roman"/>
                <w:lang w:val="en-US"/>
              </w:rPr>
              <w:t>β</w:t>
            </w:r>
            <w:r w:rsidRPr="00F242DD">
              <w:rPr>
                <w:rFonts w:eastAsia="Times New Roman"/>
              </w:rPr>
              <w:t>2-микроглобулин сыворотки &lt;3,5 мг/л</w:t>
            </w:r>
          </w:p>
        </w:tc>
        <w:tc>
          <w:tcPr>
            <w:tcW w:w="2288" w:type="dxa"/>
            <w:tcBorders>
              <w:top w:val="single" w:sz="4" w:space="0" w:color="000000"/>
              <w:left w:val="single" w:sz="4" w:space="0" w:color="000000"/>
              <w:right w:val="single" w:sz="4" w:space="0" w:color="000000"/>
            </w:tcBorders>
            <w:shd w:val="clear" w:color="auto" w:fill="auto"/>
            <w:vAlign w:val="center"/>
          </w:tcPr>
          <w:p w14:paraId="0CDD70BA" w14:textId="77777777" w:rsidR="00BF4E7F" w:rsidRPr="00F242DD" w:rsidRDefault="00BF4E7F" w:rsidP="00E36DFA">
            <w:pPr>
              <w:snapToGrid w:val="0"/>
              <w:spacing w:before="0" w:after="0" w:line="240" w:lineRule="auto"/>
              <w:jc w:val="center"/>
              <w:rPr>
                <w:rFonts w:eastAsia="Times New Roman"/>
              </w:rPr>
            </w:pPr>
            <w:r w:rsidRPr="00F242DD">
              <w:t>44</w:t>
            </w:r>
          </w:p>
        </w:tc>
      </w:tr>
      <w:tr w:rsidR="00BF4E7F" w:rsidRPr="00F242DD" w14:paraId="58AEF370" w14:textId="77777777" w:rsidTr="00E36DFA">
        <w:tc>
          <w:tcPr>
            <w:tcW w:w="1764" w:type="dxa"/>
            <w:tcBorders>
              <w:left w:val="single" w:sz="4" w:space="0" w:color="000000"/>
            </w:tcBorders>
            <w:shd w:val="clear" w:color="auto" w:fill="auto"/>
            <w:vAlign w:val="center"/>
          </w:tcPr>
          <w:p w14:paraId="2319E152" w14:textId="77777777" w:rsidR="00BF4E7F" w:rsidRPr="00F242DD" w:rsidRDefault="00BF4E7F" w:rsidP="00E36DFA">
            <w:pPr>
              <w:autoSpaceDE w:val="0"/>
              <w:snapToGrid w:val="0"/>
              <w:spacing w:before="0" w:after="0" w:line="240" w:lineRule="auto"/>
              <w:jc w:val="center"/>
              <w:rPr>
                <w:rFonts w:eastAsia="Times New Roman"/>
              </w:rPr>
            </w:pPr>
          </w:p>
        </w:tc>
        <w:tc>
          <w:tcPr>
            <w:tcW w:w="5040" w:type="dxa"/>
            <w:tcBorders>
              <w:left w:val="single" w:sz="4" w:space="0" w:color="000000"/>
            </w:tcBorders>
            <w:shd w:val="clear" w:color="auto" w:fill="auto"/>
            <w:vAlign w:val="center"/>
          </w:tcPr>
          <w:p w14:paraId="32E5C1AF" w14:textId="77777777" w:rsidR="00BF4E7F" w:rsidRPr="00F242DD" w:rsidRDefault="00BF4E7F" w:rsidP="00E36DFA">
            <w:pPr>
              <w:autoSpaceDE w:val="0"/>
              <w:snapToGrid w:val="0"/>
              <w:spacing w:before="0" w:after="0" w:line="240" w:lineRule="auto"/>
              <w:jc w:val="center"/>
            </w:pPr>
            <w:r w:rsidRPr="00F242DD">
              <w:rPr>
                <w:rFonts w:eastAsia="Times New Roman"/>
                <w:lang w:val="en-US"/>
              </w:rPr>
              <w:t>Альбумин</w:t>
            </w:r>
            <w:r w:rsidR="00575248" w:rsidRPr="00F242DD">
              <w:rPr>
                <w:rFonts w:eastAsia="Times New Roman"/>
              </w:rPr>
              <w:t xml:space="preserve"> </w:t>
            </w:r>
            <w:r w:rsidRPr="00F242DD">
              <w:rPr>
                <w:rFonts w:eastAsia="Times New Roman"/>
                <w:lang w:val="en-US"/>
              </w:rPr>
              <w:t>&lt;3,5 г/</w:t>
            </w:r>
            <w:r w:rsidRPr="00F242DD">
              <w:rPr>
                <w:rFonts w:eastAsia="Times New Roman"/>
              </w:rPr>
              <w:t>д</w:t>
            </w:r>
            <w:r w:rsidRPr="00F242DD">
              <w:rPr>
                <w:rFonts w:eastAsia="Times New Roman"/>
                <w:lang w:val="en-US"/>
              </w:rPr>
              <w:t>л</w:t>
            </w:r>
          </w:p>
        </w:tc>
        <w:tc>
          <w:tcPr>
            <w:tcW w:w="2288" w:type="dxa"/>
            <w:tcBorders>
              <w:left w:val="single" w:sz="4" w:space="0" w:color="000000"/>
              <w:right w:val="single" w:sz="4" w:space="0" w:color="000000"/>
            </w:tcBorders>
            <w:shd w:val="clear" w:color="auto" w:fill="auto"/>
            <w:vAlign w:val="center"/>
          </w:tcPr>
          <w:p w14:paraId="33442793" w14:textId="77777777" w:rsidR="00BF4E7F" w:rsidRPr="00F242DD" w:rsidRDefault="00BF4E7F" w:rsidP="00E36DFA">
            <w:pPr>
              <w:snapToGrid w:val="0"/>
              <w:spacing w:before="0" w:after="0" w:line="240" w:lineRule="auto"/>
              <w:jc w:val="center"/>
            </w:pPr>
          </w:p>
        </w:tc>
      </w:tr>
      <w:tr w:rsidR="00BF4E7F" w:rsidRPr="00F242DD" w14:paraId="59F3C840" w14:textId="77777777" w:rsidTr="00E36DFA">
        <w:tc>
          <w:tcPr>
            <w:tcW w:w="1764" w:type="dxa"/>
            <w:tcBorders>
              <w:left w:val="single" w:sz="4" w:space="0" w:color="000000"/>
            </w:tcBorders>
            <w:shd w:val="clear" w:color="auto" w:fill="auto"/>
            <w:vAlign w:val="center"/>
          </w:tcPr>
          <w:p w14:paraId="4ABE0300" w14:textId="77777777" w:rsidR="00BF4E7F" w:rsidRPr="00F242DD" w:rsidRDefault="00BF4E7F" w:rsidP="00E36DFA">
            <w:pPr>
              <w:autoSpaceDE w:val="0"/>
              <w:snapToGrid w:val="0"/>
              <w:spacing w:before="0" w:after="0" w:line="240" w:lineRule="auto"/>
              <w:jc w:val="center"/>
              <w:rPr>
                <w:rFonts w:eastAsia="Times New Roman"/>
                <w:lang w:val="en-US"/>
              </w:rPr>
            </w:pPr>
          </w:p>
        </w:tc>
        <w:tc>
          <w:tcPr>
            <w:tcW w:w="5040" w:type="dxa"/>
            <w:tcBorders>
              <w:left w:val="single" w:sz="4" w:space="0" w:color="000000"/>
            </w:tcBorders>
            <w:shd w:val="clear" w:color="auto" w:fill="auto"/>
            <w:vAlign w:val="center"/>
          </w:tcPr>
          <w:p w14:paraId="768605BE" w14:textId="77777777" w:rsidR="00BF4E7F" w:rsidRPr="00F242DD" w:rsidRDefault="00BF4E7F" w:rsidP="00E36DFA">
            <w:pPr>
              <w:autoSpaceDE w:val="0"/>
              <w:snapToGrid w:val="0"/>
              <w:spacing w:before="0" w:after="0" w:line="240" w:lineRule="auto"/>
              <w:jc w:val="center"/>
            </w:pPr>
            <w:r w:rsidRPr="00F242DD">
              <w:rPr>
                <w:rFonts w:eastAsia="Times New Roman"/>
                <w:lang w:val="en-US"/>
              </w:rPr>
              <w:t>или</w:t>
            </w:r>
          </w:p>
        </w:tc>
        <w:tc>
          <w:tcPr>
            <w:tcW w:w="2288" w:type="dxa"/>
            <w:tcBorders>
              <w:left w:val="single" w:sz="4" w:space="0" w:color="000000"/>
              <w:right w:val="single" w:sz="4" w:space="0" w:color="000000"/>
            </w:tcBorders>
            <w:shd w:val="clear" w:color="auto" w:fill="auto"/>
            <w:vAlign w:val="center"/>
          </w:tcPr>
          <w:p w14:paraId="0E9735B3" w14:textId="77777777" w:rsidR="00BF4E7F" w:rsidRPr="00F242DD" w:rsidRDefault="00BF4E7F" w:rsidP="00E36DFA">
            <w:pPr>
              <w:snapToGrid w:val="0"/>
              <w:spacing w:before="0" w:after="0" w:line="240" w:lineRule="auto"/>
              <w:jc w:val="center"/>
            </w:pPr>
          </w:p>
        </w:tc>
      </w:tr>
      <w:tr w:rsidR="00BF4E7F" w:rsidRPr="00F242DD" w14:paraId="308A5F93" w14:textId="77777777" w:rsidTr="00E36DFA">
        <w:tc>
          <w:tcPr>
            <w:tcW w:w="1764" w:type="dxa"/>
            <w:tcBorders>
              <w:left w:val="single" w:sz="4" w:space="0" w:color="000000"/>
              <w:bottom w:val="single" w:sz="4" w:space="0" w:color="000000"/>
            </w:tcBorders>
            <w:shd w:val="clear" w:color="auto" w:fill="auto"/>
            <w:vAlign w:val="center"/>
          </w:tcPr>
          <w:p w14:paraId="7856303D" w14:textId="77777777" w:rsidR="00BF4E7F" w:rsidRPr="00F242DD" w:rsidRDefault="00BF4E7F" w:rsidP="00E36DFA">
            <w:pPr>
              <w:autoSpaceDE w:val="0"/>
              <w:snapToGrid w:val="0"/>
              <w:spacing w:before="0" w:after="0" w:line="240" w:lineRule="auto"/>
              <w:jc w:val="center"/>
              <w:rPr>
                <w:rFonts w:eastAsia="Times New Roman"/>
                <w:lang w:val="en-US"/>
              </w:rPr>
            </w:pPr>
          </w:p>
        </w:tc>
        <w:tc>
          <w:tcPr>
            <w:tcW w:w="5040" w:type="dxa"/>
            <w:tcBorders>
              <w:left w:val="single" w:sz="4" w:space="0" w:color="000000"/>
              <w:bottom w:val="single" w:sz="4" w:space="0" w:color="000000"/>
            </w:tcBorders>
            <w:shd w:val="clear" w:color="auto" w:fill="auto"/>
            <w:vAlign w:val="center"/>
          </w:tcPr>
          <w:p w14:paraId="1D859111" w14:textId="77777777" w:rsidR="00BF4E7F" w:rsidRPr="00F242DD" w:rsidRDefault="00BF4E7F" w:rsidP="00E36DFA">
            <w:pPr>
              <w:autoSpaceDE w:val="0"/>
              <w:snapToGrid w:val="0"/>
              <w:spacing w:before="0" w:after="0" w:line="240" w:lineRule="auto"/>
              <w:jc w:val="center"/>
            </w:pPr>
            <w:r w:rsidRPr="00F242DD">
              <w:rPr>
                <w:rFonts w:eastAsia="Times New Roman"/>
                <w:lang w:val="en-US"/>
              </w:rPr>
              <w:t>β</w:t>
            </w:r>
            <w:r w:rsidRPr="00F242DD">
              <w:rPr>
                <w:rFonts w:eastAsia="Times New Roman"/>
              </w:rPr>
              <w:t>2-микроглобулин сыворотки 3,5</w:t>
            </w:r>
            <w:r w:rsidR="00575248" w:rsidRPr="00F242DD">
              <w:rPr>
                <w:rFonts w:eastAsia="Times New Roman"/>
              </w:rPr>
              <w:t>−</w:t>
            </w:r>
            <w:r w:rsidRPr="00F242DD">
              <w:rPr>
                <w:rFonts w:eastAsia="Times New Roman"/>
              </w:rPr>
              <w:t>5,5 мг/л</w:t>
            </w:r>
          </w:p>
        </w:tc>
        <w:tc>
          <w:tcPr>
            <w:tcW w:w="2288" w:type="dxa"/>
            <w:tcBorders>
              <w:left w:val="single" w:sz="4" w:space="0" w:color="000000"/>
              <w:bottom w:val="single" w:sz="4" w:space="0" w:color="000000"/>
              <w:right w:val="single" w:sz="4" w:space="0" w:color="000000"/>
            </w:tcBorders>
            <w:shd w:val="clear" w:color="auto" w:fill="auto"/>
            <w:vAlign w:val="center"/>
          </w:tcPr>
          <w:p w14:paraId="281B0B39" w14:textId="77777777" w:rsidR="00BF4E7F" w:rsidRPr="00F242DD" w:rsidRDefault="00BF4E7F" w:rsidP="00E36DFA">
            <w:pPr>
              <w:snapToGrid w:val="0"/>
              <w:spacing w:before="0" w:after="0" w:line="240" w:lineRule="auto"/>
              <w:jc w:val="center"/>
            </w:pPr>
          </w:p>
        </w:tc>
      </w:tr>
      <w:tr w:rsidR="00BF4E7F" w:rsidRPr="00F242DD" w14:paraId="67905170" w14:textId="77777777" w:rsidTr="00E36DFA">
        <w:tc>
          <w:tcPr>
            <w:tcW w:w="1764" w:type="dxa"/>
            <w:tcBorders>
              <w:top w:val="single" w:sz="4" w:space="0" w:color="000000"/>
              <w:left w:val="single" w:sz="4" w:space="0" w:color="000000"/>
              <w:bottom w:val="single" w:sz="4" w:space="0" w:color="000000"/>
            </w:tcBorders>
            <w:shd w:val="clear" w:color="auto" w:fill="auto"/>
            <w:vAlign w:val="center"/>
          </w:tcPr>
          <w:p w14:paraId="47816A63" w14:textId="77777777" w:rsidR="00BF4E7F" w:rsidRPr="00F242DD" w:rsidRDefault="00BF4E7F" w:rsidP="00E36DFA">
            <w:pPr>
              <w:autoSpaceDE w:val="0"/>
              <w:snapToGrid w:val="0"/>
              <w:spacing w:before="0" w:after="0" w:line="240" w:lineRule="auto"/>
              <w:jc w:val="center"/>
              <w:rPr>
                <w:rFonts w:eastAsia="Times New Roman"/>
                <w:lang w:val="en-US"/>
              </w:rPr>
            </w:pPr>
            <w:r w:rsidRPr="00F242DD">
              <w:rPr>
                <w:rFonts w:eastAsia="Times New Roman"/>
                <w:lang w:val="en-US"/>
              </w:rPr>
              <w:t>III</w:t>
            </w:r>
          </w:p>
        </w:tc>
        <w:tc>
          <w:tcPr>
            <w:tcW w:w="5040" w:type="dxa"/>
            <w:tcBorders>
              <w:top w:val="single" w:sz="4" w:space="0" w:color="000000"/>
              <w:left w:val="single" w:sz="4" w:space="0" w:color="000000"/>
              <w:bottom w:val="single" w:sz="4" w:space="0" w:color="000000"/>
            </w:tcBorders>
            <w:shd w:val="clear" w:color="auto" w:fill="auto"/>
            <w:vAlign w:val="center"/>
          </w:tcPr>
          <w:p w14:paraId="4ADB2597" w14:textId="77777777" w:rsidR="00BF4E7F" w:rsidRPr="00F242DD" w:rsidRDefault="00BF4E7F" w:rsidP="00E36DFA">
            <w:pPr>
              <w:autoSpaceDE w:val="0"/>
              <w:snapToGrid w:val="0"/>
              <w:spacing w:before="0" w:after="0" w:line="240" w:lineRule="auto"/>
              <w:jc w:val="center"/>
            </w:pPr>
            <w:r w:rsidRPr="00F242DD">
              <w:rPr>
                <w:rFonts w:eastAsia="Times New Roman"/>
                <w:lang w:val="en-US"/>
              </w:rPr>
              <w:t>β2</w:t>
            </w:r>
            <w:r w:rsidRPr="00F242DD">
              <w:rPr>
                <w:rFonts w:eastAsia="Times New Roman"/>
              </w:rPr>
              <w:t>-</w:t>
            </w:r>
            <w:r w:rsidRPr="00F242DD">
              <w:rPr>
                <w:rFonts w:eastAsia="Times New Roman"/>
                <w:lang w:val="en-US"/>
              </w:rPr>
              <w:t>микроглобулин</w:t>
            </w:r>
            <w:r w:rsidR="00575248" w:rsidRPr="00F242DD">
              <w:rPr>
                <w:rFonts w:eastAsia="Times New Roman"/>
              </w:rPr>
              <w:t xml:space="preserve"> </w:t>
            </w:r>
            <w:r w:rsidRPr="00F242DD">
              <w:rPr>
                <w:rFonts w:eastAsia="Times New Roman"/>
                <w:lang w:val="en-US"/>
              </w:rPr>
              <w:t>≥5,5 мг/л</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DF296" w14:textId="77777777" w:rsidR="00BF4E7F" w:rsidRPr="00F242DD" w:rsidRDefault="00BF4E7F" w:rsidP="00E36DFA">
            <w:pPr>
              <w:snapToGrid w:val="0"/>
              <w:spacing w:before="0" w:after="0" w:line="240" w:lineRule="auto"/>
              <w:jc w:val="center"/>
            </w:pPr>
            <w:r w:rsidRPr="00F242DD">
              <w:t>29</w:t>
            </w:r>
          </w:p>
        </w:tc>
      </w:tr>
    </w:tbl>
    <w:p w14:paraId="26911393" w14:textId="77777777" w:rsidR="00575248" w:rsidRPr="00F242DD" w:rsidRDefault="00575248" w:rsidP="00E36DFA">
      <w:pPr>
        <w:pStyle w:val="a4"/>
        <w:spacing w:before="0" w:beforeAutospacing="0" w:after="0" w:afterAutospacing="0" w:line="360" w:lineRule="auto"/>
        <w:ind w:firstLine="709"/>
        <w:jc w:val="both"/>
      </w:pPr>
    </w:p>
    <w:p w14:paraId="26A8B8BC" w14:textId="77777777" w:rsidR="004A458B" w:rsidRPr="00F242DD" w:rsidRDefault="004A458B" w:rsidP="00E36DFA">
      <w:pPr>
        <w:pStyle w:val="a4"/>
        <w:spacing w:before="0" w:beforeAutospacing="0" w:after="0" w:afterAutospacing="0" w:line="360" w:lineRule="auto"/>
        <w:ind w:firstLine="709"/>
        <w:jc w:val="both"/>
      </w:pPr>
      <w:r w:rsidRPr="00F242DD">
        <w:t>В 2014 г</w:t>
      </w:r>
      <w:r w:rsidR="00575248" w:rsidRPr="00F242DD">
        <w:t>.</w:t>
      </w:r>
      <w:r w:rsidRPr="00F242DD">
        <w:t xml:space="preserve"> </w:t>
      </w:r>
      <w:r w:rsidR="007809BE" w:rsidRPr="00F242DD">
        <w:rPr>
          <w:lang w:val="en-US"/>
        </w:rPr>
        <w:t>ISS</w:t>
      </w:r>
      <w:r w:rsidRPr="00F242DD">
        <w:t xml:space="preserve"> была пересмотрена (revised ISS; R-ISS). Кроме показателей β2-микроглобулина и альбумина сыворотки R-ISS учитывает наличие неблагоприятных хромосомных аномалий и высокий уровень </w:t>
      </w:r>
      <w:r w:rsidR="0085349A" w:rsidRPr="00F242DD">
        <w:t>лактатдегидрогеназы (</w:t>
      </w:r>
      <w:r w:rsidRPr="00F242DD">
        <w:t>ЛДГ</w:t>
      </w:r>
      <w:r w:rsidR="0085349A" w:rsidRPr="00F242DD">
        <w:t>)</w:t>
      </w:r>
      <w:r w:rsidRPr="00F242DD">
        <w:t xml:space="preserve"> (табл.</w:t>
      </w:r>
      <w:r w:rsidR="0085349A" w:rsidRPr="00F242DD">
        <w:t xml:space="preserve"> </w:t>
      </w:r>
      <w:r w:rsidRPr="00F242DD">
        <w:t>3)</w:t>
      </w:r>
      <w:r w:rsidR="002E3E42" w:rsidRPr="00F242DD">
        <w:t xml:space="preserve"> </w:t>
      </w:r>
      <w:r w:rsidR="00A96FB6" w:rsidRPr="00F242DD">
        <w:rPr>
          <w:rStyle w:val="ac"/>
          <w:b w:val="0"/>
        </w:rPr>
        <w:fldChar w:fldCharType="begin" w:fldLock="1"/>
      </w:r>
      <w:r w:rsidR="00131E36" w:rsidRPr="00F242DD">
        <w:rPr>
          <w:rStyle w:val="ac"/>
          <w:b w:val="0"/>
        </w:rPr>
        <w:instrText>ADDIN CSL_CITATION {"citationItems":[{"id":"ITEM-1","itemData":{"DOI":"10.1200/JCO.2015.61.2267","ISSN":"15277755","abstract":"PURPOSE The clinical outcome of multiple myeloma (MM) is heterogeneous. A simple and reliable tool is needed to stratify patients with MM. We combined the International Staging System (ISS) with chromosomal abnormalities (CA) detected by interphase fluorescent in situ hybridization after CD138 plasma cell purification and serum lactate dehydrogenase (LDH) to evaluate their prognostic value in newly diagnosed MM (NDMM). PATIENTS AND METHODS Clinical and laboratory data from 4,445 patients with NDMM enrolled onto 11 international trials were pooled together. The K-adaptive partitioning algorithm was used to define the most appropriate subgroups with homogeneous survival. RESULTS ISS, CA, and LDH data were simultaneously available in 3,060 of 4,445 patients. We defined the following three groups: revised ISS (R-ISS) I (n = 871), including ISS stage I (serum β2-microglobulin level &lt; 3.5 mg/L and serum albumin level ≥ 3.5 g/dL), no high-risk CA [del(17p) and/or t(4;14) and/or t(14;16)], and normal LDH level (less than the upper limit of normal range); R-ISS III (n = 295), including ISS stage III (serum β2-microglobulin level &gt; 5.5 mg/L) and high-risk CA or high LDH level; and R-ISS II (n = 1,894), including all the other possible combinations. At a median follow-up of 46 months, the 5-year OS rate was 82% in the R-ISS I, 62% in the R-ISS II, and 40% in the R-ISS III groups; the 5-year PFS rates were 55%, 36%, and 24%, respectively. CONCLUSION The R-ISS is a simple and powerful prognostic staging system, and we recommend its use in future clinical studies to stratify patients with NDMM effectively with respect to the relative risk to their survival.","author":[{"dropping-particle":"","family":"Palumbo","given":"Antonio","non-dropping-particle":"","parse-names":false,"suffix":""},{"dropping-particle":"","family":"Avet-Loiseau","given":"Hervé","non-dropping-particle":"","parse-names":false,"suffix":""},{"dropping-particle":"","family":"Oliva","given":"Stefania","non-dropping-particle":"","parse-names":false,"suffix":""},{"dropping-particle":"","family":"Lokhorst","given":"Henk M.","non-dropping-particle":"","parse-names":false,"suffix":""},{"dropping-particle":"","family":"Goldschmidt","given":"Hartmut","non-dropping-particle":"","parse-names":false,"suffix":""},{"dropping-particle":"","family":"Rosinol","given":"Laura","non-dropping-particle":"","parse-names":false,"suffix":""},{"dropping-particle":"","family":"Richardson","given":"Paul","non-dropping-particle":"","parse-names":false,"suffix":""},{"dropping-particle":"","family":"Caltagirone","given":"Simona","non-dropping-particle":"","parse-names":false,"suffix":""},{"dropping-particle":"","family":"Lahuerta","given":"Juan José","non-dropping-particle":"","parse-names":false,"suffix":""},{"dropping-particle":"","family":"Facon","given":"Thierry","non-dropping-particle":"","parse-names":false,"suffix":""},{"dropping-particle":"","family":"Bringhen","given":"Sara","non-dropping-particle":"","parse-names":false,"suffix":""},{"dropping-particle":"","family":"Gay","given":"Francesca","non-dropping-particle":"","parse-names":false,"suffix":""},{"dropping-particle":"","family":"Attal","given":"Michel","non-dropping-particle":"","parse-names":false,"suffix":""},{"dropping-particle":"","family":"Passera","given":"Roberto","non-dropping-particle":"","parse-names":false,"suffix":""},{"dropping-particle":"","family":"Spencer","given":"Andrew","non-dropping-particle":"","parse-names":false,"suffix":""},{"dropping-particle":"","family":"Offidani","given":"Massimo","non-dropping-particle":"","parse-names":false,"suffix":""},{"dropping-particle":"","family":"Kumar","given":"Shaji","non-dropping-particle":"","parse-names":false,"suffix":""},{"dropping-particle":"","family":"Musto","given":"Pellegrino","non-dropping-particle":"","parse-names":false,"suffix":""},{"dropping-particle":"","family":"Lonial","given":"Sagar","non-dropping-particle":"","parse-names":false,"suffix":""},{"dropping-particle":"","family":"Petrucci","given":"Maria T.","non-dropping-particle":"","parse-names":false,"suffix":""},{"dropping-particle":"","family":"Orlowski","given":"Robert Z.","non-dropping-particle":"","parse-names":false,"suffix":""},{"dropping-particle":"","family":"Zamagni","given":"Elena","non-dropping-particle":"","parse-names":false,"suffix":""},{"dropping-particle":"","family":"Morgan","given":"Gareth","non-dropping-particle":"","parse-names":false,"suffix":""},{"dropping-particle":"","family":"Dimopoulos","given":"Meletios A.","non-dropping-particle":"","parse-names":false,"suffix":""},{"dropping-particle":"","family":"Durie","given":"Brian G.M.","non-dropping-particle":"","parse-names":false,"suffix":""},{"dropping-particle":"","family":"Anderson","given":"Kenneth C.","non-dropping-particle":"","parse-names":false,"suffix":""},{"dropping-particle":"","family":"Sonneveld","given":"Pieter","non-dropping-particle":"","parse-names":false,"suffix":""},{"dropping-particle":"","family":"Miguel","given":"Jésus San","non-dropping-particle":"","parse-names":false,"suffix":""},{"dropping-particle":"","family":"Cavo","given":"Michele","non-dropping-particle":"","parse-names":false,"suffix":""},{"dropping-particle":"","family":"Rajkumar","given":"S. Vincent","non-dropping-particle":"","parse-names":false,"suffix":""},{"dropping-particle":"","family":"Moreau","given":"Philippe","non-dropping-particle":"","parse-names":false,"suffix":""}],"container-title":"Journal of Clinical Oncology","id":"ITEM-1","issue":"26","issued":{"date-parts":[["2015"]]},"page":"2863-2869","publisher":"American Society of Clinical Oncology","title":"Revised international staging system for multiple myeloma: A report from international myeloma working group","type":"article-journal","volume":"33"},"uris":["http://www.mendeley.com/documents/?uuid=dc5fa189-ca83-351a-8e2c-68a7d7d762af"]}],"mendeley":{"formattedCitation":"[13]","plainTextFormattedCitation":"[13]","previouslyFormattedCitation":"[13]"},"properties":{"noteIndex":0},"schema":"https://github.com/citation-style-language/schema/raw/master/csl-citation.json"}</w:instrText>
      </w:r>
      <w:r w:rsidR="00A96FB6" w:rsidRPr="00F242DD">
        <w:rPr>
          <w:rStyle w:val="ac"/>
          <w:b w:val="0"/>
        </w:rPr>
        <w:fldChar w:fldCharType="separate"/>
      </w:r>
      <w:r w:rsidR="002E3E42" w:rsidRPr="00F242DD">
        <w:rPr>
          <w:rStyle w:val="ac"/>
          <w:b w:val="0"/>
          <w:noProof/>
        </w:rPr>
        <w:t>[13]</w:t>
      </w:r>
      <w:r w:rsidR="00A96FB6" w:rsidRPr="00F242DD">
        <w:rPr>
          <w:rStyle w:val="ac"/>
          <w:b w:val="0"/>
        </w:rPr>
        <w:fldChar w:fldCharType="end"/>
      </w:r>
      <w:r w:rsidRPr="00F242DD">
        <w:t>.</w:t>
      </w:r>
    </w:p>
    <w:p w14:paraId="31C3BEF8" w14:textId="77777777" w:rsidR="004A458B" w:rsidRPr="00F242DD" w:rsidRDefault="004A458B" w:rsidP="00E36DFA">
      <w:pPr>
        <w:pStyle w:val="a4"/>
        <w:spacing w:before="0" w:beforeAutospacing="0" w:after="0" w:afterAutospacing="0" w:line="360" w:lineRule="auto"/>
      </w:pPr>
      <w:r w:rsidRPr="00F242DD">
        <w:rPr>
          <w:rStyle w:val="ac"/>
        </w:rPr>
        <w:t>Таблица 3. </w:t>
      </w:r>
      <w:r w:rsidRPr="00F242DD">
        <w:t xml:space="preserve">Стандартные факторы риска </w:t>
      </w:r>
      <w:r w:rsidR="0085349A" w:rsidRPr="00F242DD">
        <w:t>ММ</w:t>
      </w:r>
      <w:r w:rsidRPr="00F242DD">
        <w:t xml:space="preserve"> и R-ISS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957CAB" w:rsidRPr="00F242DD" w14:paraId="336295EF" w14:textId="77777777" w:rsidTr="00E36DFA">
        <w:tc>
          <w:tcPr>
            <w:tcW w:w="4785" w:type="dxa"/>
            <w:shd w:val="clear" w:color="auto" w:fill="auto"/>
          </w:tcPr>
          <w:p w14:paraId="3D81EC30" w14:textId="77777777" w:rsidR="00957CAB" w:rsidRPr="00F242DD" w:rsidRDefault="00957CAB" w:rsidP="00E36DFA">
            <w:pPr>
              <w:spacing w:line="240" w:lineRule="auto"/>
            </w:pPr>
            <w:r w:rsidRPr="00F242DD">
              <w:t>Прогностический фактор</w:t>
            </w:r>
          </w:p>
        </w:tc>
        <w:tc>
          <w:tcPr>
            <w:tcW w:w="4786" w:type="dxa"/>
            <w:shd w:val="clear" w:color="auto" w:fill="auto"/>
          </w:tcPr>
          <w:p w14:paraId="3C4EBAD7" w14:textId="77777777" w:rsidR="00957CAB" w:rsidRPr="00F242DD" w:rsidRDefault="00957CAB" w:rsidP="00E36DFA">
            <w:pPr>
              <w:spacing w:line="240" w:lineRule="auto"/>
            </w:pPr>
            <w:r w:rsidRPr="00F242DD">
              <w:t>Критерии</w:t>
            </w:r>
          </w:p>
        </w:tc>
      </w:tr>
      <w:tr w:rsidR="00957CAB" w:rsidRPr="00F242DD" w14:paraId="049B5B00" w14:textId="77777777" w:rsidTr="00E36DFA">
        <w:trPr>
          <w:trHeight w:val="1782"/>
        </w:trPr>
        <w:tc>
          <w:tcPr>
            <w:tcW w:w="4785" w:type="dxa"/>
            <w:shd w:val="clear" w:color="auto" w:fill="auto"/>
          </w:tcPr>
          <w:p w14:paraId="681EC4C5" w14:textId="77777777" w:rsidR="00957CAB" w:rsidRPr="00F242DD" w:rsidRDefault="00957CAB" w:rsidP="00E36DFA">
            <w:pPr>
              <w:spacing w:line="240" w:lineRule="auto"/>
              <w:rPr>
                <w:lang w:val="en-US"/>
              </w:rPr>
            </w:pPr>
            <w:r w:rsidRPr="00F242DD">
              <w:t>Стадии</w:t>
            </w:r>
            <w:r w:rsidRPr="00F242DD">
              <w:rPr>
                <w:lang w:val="en-US"/>
              </w:rPr>
              <w:t xml:space="preserve"> ISS</w:t>
            </w:r>
          </w:p>
          <w:p w14:paraId="7F6F9653" w14:textId="77777777" w:rsidR="00957CAB" w:rsidRPr="00F242DD" w:rsidRDefault="00957CAB" w:rsidP="00E36DFA">
            <w:pPr>
              <w:spacing w:line="240" w:lineRule="auto"/>
              <w:rPr>
                <w:lang w:val="en-US"/>
              </w:rPr>
            </w:pPr>
            <w:r w:rsidRPr="00F242DD">
              <w:rPr>
                <w:lang w:val="en-US"/>
              </w:rPr>
              <w:t>I</w:t>
            </w:r>
          </w:p>
          <w:p w14:paraId="76E6E968" w14:textId="77777777" w:rsidR="00957CAB" w:rsidRPr="00F242DD" w:rsidRDefault="00957CAB" w:rsidP="00E36DFA">
            <w:pPr>
              <w:spacing w:line="240" w:lineRule="auto"/>
              <w:rPr>
                <w:lang w:val="en-US"/>
              </w:rPr>
            </w:pPr>
            <w:r w:rsidRPr="00F242DD">
              <w:rPr>
                <w:lang w:val="en-US"/>
              </w:rPr>
              <w:t>II</w:t>
            </w:r>
          </w:p>
          <w:p w14:paraId="13953358" w14:textId="77777777" w:rsidR="00957CAB" w:rsidRPr="00F242DD" w:rsidRDefault="00957CAB" w:rsidP="00E36DFA">
            <w:pPr>
              <w:spacing w:before="0" w:after="160" w:line="240" w:lineRule="auto"/>
              <w:jc w:val="left"/>
              <w:rPr>
                <w:lang w:val="en-US"/>
              </w:rPr>
            </w:pPr>
            <w:r w:rsidRPr="00F242DD">
              <w:rPr>
                <w:lang w:val="en-US"/>
              </w:rPr>
              <w:t>III</w:t>
            </w:r>
          </w:p>
        </w:tc>
        <w:tc>
          <w:tcPr>
            <w:tcW w:w="4786" w:type="dxa"/>
            <w:shd w:val="clear" w:color="auto" w:fill="auto"/>
          </w:tcPr>
          <w:p w14:paraId="5DDF747C" w14:textId="77777777" w:rsidR="00957CAB" w:rsidRPr="00F242DD" w:rsidRDefault="00957CAB" w:rsidP="00E36DFA">
            <w:pPr>
              <w:spacing w:line="240" w:lineRule="auto"/>
            </w:pPr>
            <w:r w:rsidRPr="00F242DD">
              <w:t>β-2 микроглобулин сыворотки &lt;3,5 мг/л, альбумин ≥3,5 г/дл</w:t>
            </w:r>
          </w:p>
          <w:p w14:paraId="608497C1" w14:textId="77777777" w:rsidR="00957CAB" w:rsidRPr="00F242DD" w:rsidRDefault="00957CAB" w:rsidP="00E36DFA">
            <w:pPr>
              <w:spacing w:line="240" w:lineRule="auto"/>
            </w:pPr>
            <w:r w:rsidRPr="00F242DD">
              <w:t>Критерии не соответствуют I или III стадиям</w:t>
            </w:r>
          </w:p>
          <w:p w14:paraId="59BEB7BB" w14:textId="77777777" w:rsidR="00957CAB" w:rsidRPr="00F242DD" w:rsidRDefault="00957CAB" w:rsidP="00E36DFA">
            <w:pPr>
              <w:spacing w:line="240" w:lineRule="auto"/>
            </w:pPr>
            <w:r w:rsidRPr="00F242DD">
              <w:t>β2-микроглобулин ≥5,5 мг/л</w:t>
            </w:r>
          </w:p>
        </w:tc>
      </w:tr>
      <w:tr w:rsidR="00957CAB" w:rsidRPr="00F242DD" w14:paraId="3AE1C5C9" w14:textId="77777777" w:rsidTr="00E36DFA">
        <w:tc>
          <w:tcPr>
            <w:tcW w:w="4785" w:type="dxa"/>
            <w:shd w:val="clear" w:color="auto" w:fill="auto"/>
          </w:tcPr>
          <w:p w14:paraId="56FECF36" w14:textId="77777777" w:rsidR="00957CAB" w:rsidRPr="00F242DD" w:rsidRDefault="00957CAB" w:rsidP="00E36DFA">
            <w:pPr>
              <w:spacing w:line="240" w:lineRule="auto"/>
            </w:pPr>
            <w:r w:rsidRPr="00F242DD">
              <w:t>Цитогенетические аномалии по FISH</w:t>
            </w:r>
          </w:p>
          <w:p w14:paraId="08603E03" w14:textId="77777777" w:rsidR="00957CAB" w:rsidRPr="00F242DD" w:rsidRDefault="00957CAB" w:rsidP="00E36DFA">
            <w:pPr>
              <w:spacing w:line="240" w:lineRule="auto"/>
            </w:pPr>
            <w:r w:rsidRPr="00F242DD">
              <w:t>Высокий риск</w:t>
            </w:r>
          </w:p>
          <w:p w14:paraId="6F37A213" w14:textId="77777777" w:rsidR="00957CAB" w:rsidRPr="00F242DD" w:rsidRDefault="00957CAB" w:rsidP="00E36DFA">
            <w:pPr>
              <w:spacing w:line="240" w:lineRule="auto"/>
            </w:pPr>
            <w:r w:rsidRPr="00F242DD">
              <w:t>Стандартный риск</w:t>
            </w:r>
          </w:p>
        </w:tc>
        <w:tc>
          <w:tcPr>
            <w:tcW w:w="4786" w:type="dxa"/>
            <w:shd w:val="clear" w:color="auto" w:fill="auto"/>
          </w:tcPr>
          <w:p w14:paraId="44519A74" w14:textId="77777777" w:rsidR="00957CAB" w:rsidRPr="00F242DD" w:rsidRDefault="00957CAB" w:rsidP="00E36DFA">
            <w:pPr>
              <w:spacing w:line="240" w:lineRule="auto"/>
            </w:pPr>
            <w:r w:rsidRPr="00F242DD">
              <w:t>Наличие del 17p и/или транслокации t(4;14) и/или транслокации t(14;16)</w:t>
            </w:r>
          </w:p>
          <w:p w14:paraId="099F2F2F" w14:textId="77777777" w:rsidR="00957CAB" w:rsidRPr="00F242DD" w:rsidRDefault="00957CAB" w:rsidP="00E36DFA">
            <w:pPr>
              <w:spacing w:line="240" w:lineRule="auto"/>
            </w:pPr>
            <w:r w:rsidRPr="00F242DD">
              <w:t>Отсутствие цитогенетических аномалий высокого риска</w:t>
            </w:r>
          </w:p>
        </w:tc>
      </w:tr>
      <w:tr w:rsidR="00957CAB" w:rsidRPr="00F242DD" w14:paraId="631B3332" w14:textId="77777777" w:rsidTr="00E36DFA">
        <w:tc>
          <w:tcPr>
            <w:tcW w:w="4785" w:type="dxa"/>
            <w:shd w:val="clear" w:color="auto" w:fill="auto"/>
          </w:tcPr>
          <w:p w14:paraId="026D9434" w14:textId="77777777" w:rsidR="00957CAB" w:rsidRPr="00F242DD" w:rsidRDefault="00957CAB" w:rsidP="00E36DFA">
            <w:pPr>
              <w:tabs>
                <w:tab w:val="left" w:pos="3030"/>
              </w:tabs>
              <w:spacing w:line="240" w:lineRule="auto"/>
            </w:pPr>
            <w:r w:rsidRPr="00F242DD">
              <w:t>ЛДГ</w:t>
            </w:r>
          </w:p>
          <w:p w14:paraId="40DB3CBF" w14:textId="77777777" w:rsidR="00957CAB" w:rsidRPr="00F242DD" w:rsidRDefault="00957CAB" w:rsidP="00E36DFA">
            <w:pPr>
              <w:tabs>
                <w:tab w:val="left" w:pos="3030"/>
              </w:tabs>
              <w:spacing w:line="240" w:lineRule="auto"/>
            </w:pPr>
            <w:r w:rsidRPr="00F242DD">
              <w:t>Норма</w:t>
            </w:r>
          </w:p>
          <w:p w14:paraId="35B64B86" w14:textId="77777777" w:rsidR="00957CAB" w:rsidRPr="00F242DD" w:rsidRDefault="00957CAB" w:rsidP="00E36DFA">
            <w:pPr>
              <w:tabs>
                <w:tab w:val="left" w:pos="3030"/>
              </w:tabs>
              <w:spacing w:line="240" w:lineRule="auto"/>
            </w:pPr>
            <w:r w:rsidRPr="00F242DD">
              <w:t>Высокий уровень</w:t>
            </w:r>
          </w:p>
        </w:tc>
        <w:tc>
          <w:tcPr>
            <w:tcW w:w="4786" w:type="dxa"/>
            <w:shd w:val="clear" w:color="auto" w:fill="auto"/>
          </w:tcPr>
          <w:p w14:paraId="2D7C1FE2" w14:textId="77777777" w:rsidR="00957CAB" w:rsidRPr="00F242DD" w:rsidRDefault="00957CAB" w:rsidP="00E36DFA">
            <w:pPr>
              <w:spacing w:line="240" w:lineRule="auto"/>
            </w:pPr>
            <w:r w:rsidRPr="00F242DD">
              <w:t>ЛДГ сыворотки ниже верхней границы нормального уровня</w:t>
            </w:r>
          </w:p>
          <w:p w14:paraId="0DDFF087" w14:textId="77777777" w:rsidR="00957CAB" w:rsidRPr="00F242DD" w:rsidRDefault="00957CAB" w:rsidP="00E36DFA">
            <w:pPr>
              <w:spacing w:line="240" w:lineRule="auto"/>
            </w:pPr>
            <w:r w:rsidRPr="00F242DD">
              <w:t>ЛДГ сыворотки выше верхней границы нормального уровня</w:t>
            </w:r>
          </w:p>
        </w:tc>
      </w:tr>
      <w:tr w:rsidR="00957CAB" w:rsidRPr="00F242DD" w14:paraId="25EAA6D5" w14:textId="77777777" w:rsidTr="00E36DFA">
        <w:tc>
          <w:tcPr>
            <w:tcW w:w="4785" w:type="dxa"/>
            <w:shd w:val="clear" w:color="auto" w:fill="auto"/>
          </w:tcPr>
          <w:p w14:paraId="2588024C" w14:textId="77777777" w:rsidR="00957CAB" w:rsidRPr="00F242DD" w:rsidRDefault="00957CAB" w:rsidP="00E36DFA">
            <w:pPr>
              <w:spacing w:line="240" w:lineRule="auto"/>
              <w:jc w:val="left"/>
            </w:pPr>
            <w:r w:rsidRPr="00F242DD">
              <w:t>Новая модель стратификационного риска ММ</w:t>
            </w:r>
          </w:p>
          <w:p w14:paraId="6DCCDE1F" w14:textId="77777777" w:rsidR="00957CAB" w:rsidRPr="00F242DD" w:rsidRDefault="00957CAB" w:rsidP="00E36DFA">
            <w:pPr>
              <w:spacing w:line="240" w:lineRule="auto"/>
              <w:jc w:val="left"/>
            </w:pPr>
            <w:r w:rsidRPr="00F242DD">
              <w:t>Стадии R-ISS</w:t>
            </w:r>
          </w:p>
          <w:p w14:paraId="67723429" w14:textId="77777777" w:rsidR="00957CAB" w:rsidRPr="00F242DD" w:rsidRDefault="00957CAB" w:rsidP="00E36DFA">
            <w:pPr>
              <w:spacing w:line="240" w:lineRule="auto"/>
              <w:jc w:val="left"/>
            </w:pPr>
            <w:r w:rsidRPr="00F242DD">
              <w:t>I</w:t>
            </w:r>
          </w:p>
          <w:p w14:paraId="2347EE20" w14:textId="77777777" w:rsidR="00957CAB" w:rsidRPr="00F242DD" w:rsidRDefault="00957CAB" w:rsidP="00E36DFA">
            <w:pPr>
              <w:spacing w:line="240" w:lineRule="auto"/>
              <w:jc w:val="left"/>
            </w:pPr>
            <w:r w:rsidRPr="00F242DD">
              <w:t>II</w:t>
            </w:r>
          </w:p>
          <w:p w14:paraId="19870450" w14:textId="77777777" w:rsidR="00957CAB" w:rsidRPr="00F242DD" w:rsidRDefault="00957CAB" w:rsidP="00E36DFA">
            <w:pPr>
              <w:spacing w:line="240" w:lineRule="auto"/>
              <w:jc w:val="left"/>
            </w:pPr>
            <w:r w:rsidRPr="00F242DD">
              <w:t>III</w:t>
            </w:r>
          </w:p>
        </w:tc>
        <w:tc>
          <w:tcPr>
            <w:tcW w:w="4786" w:type="dxa"/>
            <w:shd w:val="clear" w:color="auto" w:fill="auto"/>
          </w:tcPr>
          <w:p w14:paraId="6BBD3DDD" w14:textId="77777777" w:rsidR="00957CAB" w:rsidRPr="00F242DD" w:rsidRDefault="00957CAB" w:rsidP="00E36DFA">
            <w:pPr>
              <w:spacing w:line="240" w:lineRule="auto"/>
            </w:pPr>
            <w:r w:rsidRPr="00F242DD">
              <w:t>ISS-стадия I, цитогенетические аномалии стандартного риска по FISH и нормальный уровень ЛДГ</w:t>
            </w:r>
          </w:p>
          <w:p w14:paraId="55FB2817" w14:textId="77777777" w:rsidR="00957CAB" w:rsidRPr="00F242DD" w:rsidRDefault="00957CAB" w:rsidP="00E36DFA">
            <w:pPr>
              <w:spacing w:line="240" w:lineRule="auto"/>
            </w:pPr>
            <w:r w:rsidRPr="00F242DD">
              <w:t>Критерии не соответствуют I или III стадиям R-ISS</w:t>
            </w:r>
          </w:p>
          <w:p w14:paraId="1F3DEE46" w14:textId="77777777" w:rsidR="00957CAB" w:rsidRPr="00F242DD" w:rsidRDefault="00957CAB" w:rsidP="00E36DFA">
            <w:pPr>
              <w:spacing w:line="240" w:lineRule="auto"/>
            </w:pPr>
            <w:r w:rsidRPr="00F242DD">
              <w:t>ISS стадия III и/или цитогенетические аномалии высокого риска по FISH или высокий уровень ЛДГ</w:t>
            </w:r>
          </w:p>
        </w:tc>
      </w:tr>
    </w:tbl>
    <w:p w14:paraId="360F0415" w14:textId="77777777" w:rsidR="00756E45" w:rsidRPr="00F242DD" w:rsidRDefault="0072722C" w:rsidP="00E36DFA">
      <w:pPr>
        <w:pStyle w:val="2"/>
      </w:pPr>
      <w:bookmarkStart w:id="14" w:name="_Toc53140887"/>
      <w:r w:rsidRPr="00F242DD">
        <w:lastRenderedPageBreak/>
        <w:t>1</w:t>
      </w:r>
      <w:r w:rsidR="00756E45" w:rsidRPr="00F242DD">
        <w:t>.6 Клиническая картина</w:t>
      </w:r>
      <w:r w:rsidR="00F56B62" w:rsidRPr="00F242DD">
        <w:t xml:space="preserve"> заболевания или состояния (группы заболеваний или состояний)</w:t>
      </w:r>
      <w:bookmarkEnd w:id="14"/>
    </w:p>
    <w:p w14:paraId="791C7723" w14:textId="77777777" w:rsidR="00B940F3" w:rsidRPr="00F242DD" w:rsidRDefault="00A851FE" w:rsidP="00131E36">
      <w:pPr>
        <w:spacing w:before="0" w:after="0"/>
        <w:ind w:firstLine="709"/>
        <w:contextualSpacing/>
      </w:pPr>
      <w:r w:rsidRPr="00F242DD">
        <w:t xml:space="preserve">Клинические проявления ММ чрезвычайно разнообразны, но в значительной мере определяются </w:t>
      </w:r>
      <w:r w:rsidR="00B940F3" w:rsidRPr="00F242DD">
        <w:t xml:space="preserve">инфильтрацией костного мозга </w:t>
      </w:r>
      <w:r w:rsidR="003A6BE5" w:rsidRPr="00F242DD">
        <w:t>ПК</w:t>
      </w:r>
      <w:r w:rsidR="00B940F3" w:rsidRPr="00F242DD">
        <w:t xml:space="preserve"> и органными повреждениями. Клинические признаки ММ проявляются симптомами, обусловленными костными повреждениями (боли в костях, переломы костей скелета, компрессия спинного мозга, радикулярные боли), гиперкальциемией (полиурия, полидипсия, тошнота, рвота), почечной недостаточностью (тошнота, рвота, недомогание, слабость), амилоидозом (периферическая нейропатия, отеки, органомегалия</w:t>
      </w:r>
      <w:r w:rsidR="00B97938" w:rsidRPr="00F242DD">
        <w:t>), инфильтрацией миеломными клетками костного мозга (анемия, геморрагический синдром), снижением уровня нормальных иммуноглобулинов (частые инфекции, пневмонии), криоглобулинемией (синдром Рейно, акроцианоз), синдромом гипервязкости (одышка, транзиторные ишемические атаки, тромбоз глубоких вен, кровоизлияния в сетчатку глаза, тромбоз центральной вены сетчатки или ее ветвей, носовые кровотечения)</w:t>
      </w:r>
      <w:r w:rsidR="00131E36" w:rsidRPr="00F242DD">
        <w:t xml:space="preserve"> </w:t>
      </w:r>
      <w:r w:rsidR="00A96FB6" w:rsidRPr="00F242DD">
        <w:fldChar w:fldCharType="begin" w:fldLock="1"/>
      </w:r>
      <w:r w:rsidR="00131E36" w:rsidRPr="00F242DD">
        <w:instrText>ADDIN CSL_CITATION {"citationItems":[{"id":"ITEM-1","itemData":{"author":[{"dropping-particle":"","family":"Бессмельцев","given":"С.С.","non-dropping-particle":"","parse-names":false,"suffix":""}],"container-title":"Вестник гематологии.","id":"ITEM-1","issue":"3","issued":{"date-parts":[["2014"]]},"page":"6-39","title":"Множественная миелома (лекция).","type":"article-journal","volume":"10"},"uris":["http://www.mendeley.com/documents/?uuid=1498007c-e9c9-4d2e-b25d-194ee99dadd9"]}],"mendeley":{"formattedCitation":"[10]","plainTextFormattedCitation":"[10]","previouslyFormattedCitation":"[10]"},"properties":{"noteIndex":0},"schema":"https://github.com/citation-style-language/schema/raw/master/csl-citation.json"}</w:instrText>
      </w:r>
      <w:r w:rsidR="00A96FB6" w:rsidRPr="00F242DD">
        <w:fldChar w:fldCharType="separate"/>
      </w:r>
      <w:r w:rsidR="00131E36" w:rsidRPr="00F242DD">
        <w:rPr>
          <w:noProof/>
        </w:rPr>
        <w:t>[10]</w:t>
      </w:r>
      <w:r w:rsidR="00A96FB6" w:rsidRPr="00F242DD">
        <w:fldChar w:fldCharType="end"/>
      </w:r>
      <w:r w:rsidR="00B97938" w:rsidRPr="00F242DD">
        <w:t>.</w:t>
      </w:r>
    </w:p>
    <w:p w14:paraId="54136DED" w14:textId="77777777" w:rsidR="00756E45" w:rsidRDefault="00756E45" w:rsidP="00131E36">
      <w:pPr>
        <w:spacing w:before="0" w:after="0"/>
        <w:ind w:firstLine="709"/>
        <w:contextualSpacing/>
      </w:pPr>
      <w:r w:rsidRPr="00F242DD">
        <w:t xml:space="preserve">Длительность заболевания до появления первых клинических симптомов может составлять от нескольких месяцев до </w:t>
      </w:r>
      <w:r w:rsidR="006208D0" w:rsidRPr="00F242DD">
        <w:t>≥</w:t>
      </w:r>
      <w:r w:rsidRPr="00F242DD">
        <w:t>2</w:t>
      </w:r>
      <w:r w:rsidR="006208D0" w:rsidRPr="00F242DD">
        <w:t>−</w:t>
      </w:r>
      <w:r w:rsidRPr="00F242DD">
        <w:t>3 лет.</w:t>
      </w:r>
    </w:p>
    <w:p w14:paraId="399079A1" w14:textId="6A63C95F" w:rsidR="00993359" w:rsidRPr="00993359" w:rsidRDefault="00993359" w:rsidP="00993359">
      <w:pPr>
        <w:pStyle w:val="2"/>
      </w:pPr>
      <w:bookmarkStart w:id="15" w:name="_Toc53140888"/>
      <w:r>
        <w:t>1.7</w:t>
      </w:r>
      <w:r w:rsidRPr="00993359">
        <w:t xml:space="preserve"> Множественная миелома, </w:t>
      </w:r>
      <w:r>
        <w:t>осложненная</w:t>
      </w:r>
      <w:r w:rsidRPr="00993359">
        <w:t xml:space="preserve"> почечной недостаточностью.</w:t>
      </w:r>
      <w:bookmarkEnd w:id="15"/>
    </w:p>
    <w:p w14:paraId="7696D519" w14:textId="77777777" w:rsidR="00993359" w:rsidRPr="00E355C0" w:rsidRDefault="00993359" w:rsidP="00993359">
      <w:pPr>
        <w:spacing w:before="0" w:after="0"/>
        <w:ind w:firstLine="851"/>
        <w:rPr>
          <w:szCs w:val="24"/>
        </w:rPr>
      </w:pPr>
      <w:r w:rsidRPr="00E355C0">
        <w:rPr>
          <w:szCs w:val="24"/>
        </w:rPr>
        <w:t xml:space="preserve">Основная причина поражения почек при множественной миеломе – поражение структур нефрона моноклональными легкими цепями. Наиболее часто развивается миеломная нефропатия (33-57% от всех причин почечной недостаточности), реже AL-амилоидоз (21%) и болезнь отложения легких цепей (22%). </w:t>
      </w:r>
    </w:p>
    <w:p w14:paraId="137A2874" w14:textId="77777777" w:rsidR="00993359" w:rsidRPr="00E355C0" w:rsidRDefault="00993359" w:rsidP="00993359">
      <w:pPr>
        <w:spacing w:before="0" w:after="0"/>
        <w:ind w:firstLine="851"/>
        <w:rPr>
          <w:szCs w:val="24"/>
        </w:rPr>
      </w:pPr>
      <w:r w:rsidRPr="00E355C0">
        <w:rPr>
          <w:b/>
          <w:i/>
          <w:iCs/>
          <w:szCs w:val="24"/>
        </w:rPr>
        <w:t>Миеломная нефропатия</w:t>
      </w:r>
      <w:r w:rsidRPr="00E355C0">
        <w:rPr>
          <w:i/>
          <w:iCs/>
          <w:szCs w:val="24"/>
        </w:rPr>
        <w:t xml:space="preserve"> </w:t>
      </w:r>
      <w:r w:rsidRPr="00E355C0">
        <w:rPr>
          <w:szCs w:val="24"/>
        </w:rPr>
        <w:t xml:space="preserve">(цилиндр-нефропатия, cast-nephropathy) – морфологический вариант поражения почек при ММ, характеризующийся образованием белковых цилиндров в дистальном отделе канальцев, развитием тубулоинтерстициального воспаления и фиброза. </w:t>
      </w:r>
    </w:p>
    <w:p w14:paraId="506EB418" w14:textId="77777777" w:rsidR="00993359" w:rsidRPr="00E355C0" w:rsidRDefault="00993359" w:rsidP="00993359">
      <w:pPr>
        <w:spacing w:before="0" w:after="0"/>
        <w:ind w:firstLine="851"/>
        <w:rPr>
          <w:szCs w:val="24"/>
        </w:rPr>
      </w:pPr>
      <w:r w:rsidRPr="00E355C0">
        <w:rPr>
          <w:szCs w:val="24"/>
        </w:rPr>
        <w:t xml:space="preserve">Критерии миеломной нефропатии: </w:t>
      </w:r>
    </w:p>
    <w:p w14:paraId="41FFE146" w14:textId="77777777" w:rsidR="00993359" w:rsidRPr="00E355C0" w:rsidRDefault="00993359" w:rsidP="00993359">
      <w:pPr>
        <w:spacing w:before="0" w:after="0"/>
        <w:rPr>
          <w:szCs w:val="24"/>
        </w:rPr>
      </w:pPr>
      <w:r w:rsidRPr="00E355C0">
        <w:rPr>
          <w:szCs w:val="24"/>
        </w:rPr>
        <w:t xml:space="preserve">• креатинин &gt;177 мкмоль/л (2 мг/дл) или СКФ &lt;40 мл/мин; </w:t>
      </w:r>
    </w:p>
    <w:p w14:paraId="10720B21" w14:textId="77777777" w:rsidR="00993359" w:rsidRPr="00E355C0" w:rsidRDefault="00993359" w:rsidP="00993359">
      <w:pPr>
        <w:spacing w:before="0" w:after="0"/>
        <w:rPr>
          <w:szCs w:val="24"/>
        </w:rPr>
      </w:pPr>
      <w:r w:rsidRPr="00E355C0">
        <w:rPr>
          <w:szCs w:val="24"/>
        </w:rPr>
        <w:t xml:space="preserve">• высокий уровень секреции СЛЦ иммуноглобулинов сыворотки (более 500 мг/л); </w:t>
      </w:r>
    </w:p>
    <w:p w14:paraId="0221BC85" w14:textId="77777777" w:rsidR="00993359" w:rsidRPr="00E355C0" w:rsidRDefault="00993359" w:rsidP="00993359">
      <w:pPr>
        <w:spacing w:before="0" w:after="0"/>
        <w:rPr>
          <w:szCs w:val="24"/>
        </w:rPr>
      </w:pPr>
      <w:r w:rsidRPr="00E355C0">
        <w:rPr>
          <w:szCs w:val="24"/>
        </w:rPr>
        <w:t xml:space="preserve">• при иммуноэлектрофорезе мочи преобладает белок Бенс-Джонса (протеинурия переполнения, канальцевая). </w:t>
      </w:r>
    </w:p>
    <w:p w14:paraId="6349F163" w14:textId="0AA06FC1" w:rsidR="00993359" w:rsidRPr="00E355C0" w:rsidRDefault="00993359" w:rsidP="00993359">
      <w:pPr>
        <w:spacing w:before="0" w:after="0"/>
        <w:ind w:firstLine="851"/>
        <w:rPr>
          <w:szCs w:val="24"/>
        </w:rPr>
      </w:pPr>
      <w:r w:rsidRPr="00E355C0">
        <w:rPr>
          <w:szCs w:val="24"/>
        </w:rPr>
        <w:t xml:space="preserve">Миеломная нефропатия – основная причина острого почечного повреждения при ММ. Повреждение почек усиливается при воздействии таких факторов как гиперкальциемия, дегидратация, применение аминогликозидов, нестероидных </w:t>
      </w:r>
      <w:r w:rsidRPr="00E355C0">
        <w:rPr>
          <w:szCs w:val="24"/>
        </w:rPr>
        <w:lastRenderedPageBreak/>
        <w:t xml:space="preserve">противовоспалительных препаратов, внутривенном введении контрастных веществ. Для диагностики острого почечного повреждения рекомендовано использовать критерии RIFLE или AKIN (табл. </w:t>
      </w:r>
      <w:r>
        <w:rPr>
          <w:szCs w:val="24"/>
        </w:rPr>
        <w:t>4</w:t>
      </w:r>
      <w:r w:rsidRPr="00E355C0">
        <w:rPr>
          <w:szCs w:val="24"/>
        </w:rPr>
        <w:t>).</w:t>
      </w:r>
    </w:p>
    <w:p w14:paraId="26BE5037" w14:textId="417E7FC3" w:rsidR="00993359" w:rsidRPr="00993359" w:rsidRDefault="00993359" w:rsidP="00993359">
      <w:pPr>
        <w:spacing w:before="0" w:after="0"/>
        <w:rPr>
          <w:szCs w:val="24"/>
        </w:rPr>
      </w:pPr>
      <w:r w:rsidRPr="00993359">
        <w:rPr>
          <w:b/>
          <w:szCs w:val="24"/>
        </w:rPr>
        <w:t xml:space="preserve">Таблица 4. </w:t>
      </w:r>
      <w:r w:rsidRPr="00993359">
        <w:rPr>
          <w:szCs w:val="24"/>
        </w:rPr>
        <w:t>Диагностика острого почечного повреждения (критерии RIFLE и AKIN)</w:t>
      </w:r>
    </w:p>
    <w:tbl>
      <w:tblPr>
        <w:tblStyle w:val="ae"/>
        <w:tblW w:w="0" w:type="auto"/>
        <w:tblInd w:w="108" w:type="dxa"/>
        <w:tblLook w:val="04A0" w:firstRow="1" w:lastRow="0" w:firstColumn="1" w:lastColumn="0" w:noHBand="0" w:noVBand="1"/>
      </w:tblPr>
      <w:tblGrid>
        <w:gridCol w:w="2977"/>
        <w:gridCol w:w="3145"/>
        <w:gridCol w:w="3115"/>
      </w:tblGrid>
      <w:tr w:rsidR="00993359" w:rsidRPr="00E355C0" w14:paraId="11D57CA7" w14:textId="77777777" w:rsidTr="00993359">
        <w:tc>
          <w:tcPr>
            <w:tcW w:w="6122" w:type="dxa"/>
            <w:gridSpan w:val="2"/>
          </w:tcPr>
          <w:p w14:paraId="6E181203" w14:textId="77777777" w:rsidR="00993359" w:rsidRPr="00E355C0" w:rsidRDefault="00993359" w:rsidP="00993359">
            <w:pPr>
              <w:spacing w:before="0" w:after="0"/>
              <w:rPr>
                <w:szCs w:val="24"/>
              </w:rPr>
            </w:pPr>
            <w:r w:rsidRPr="00E355C0">
              <w:rPr>
                <w:szCs w:val="24"/>
              </w:rPr>
              <w:t>Критерии по креатинину и СКФ</w:t>
            </w:r>
          </w:p>
        </w:tc>
        <w:tc>
          <w:tcPr>
            <w:tcW w:w="3115" w:type="dxa"/>
          </w:tcPr>
          <w:p w14:paraId="2C77FA99" w14:textId="77777777" w:rsidR="00993359" w:rsidRPr="00E355C0" w:rsidRDefault="00993359" w:rsidP="00993359">
            <w:pPr>
              <w:spacing w:before="0" w:after="0"/>
              <w:rPr>
                <w:szCs w:val="24"/>
              </w:rPr>
            </w:pPr>
            <w:r w:rsidRPr="00E355C0">
              <w:rPr>
                <w:szCs w:val="24"/>
              </w:rPr>
              <w:t>Критерии по темпу диуреза</w:t>
            </w:r>
          </w:p>
        </w:tc>
      </w:tr>
      <w:tr w:rsidR="00993359" w:rsidRPr="00E355C0" w14:paraId="254AB4CC" w14:textId="77777777" w:rsidTr="00993359">
        <w:tc>
          <w:tcPr>
            <w:tcW w:w="2977" w:type="dxa"/>
          </w:tcPr>
          <w:p w14:paraId="461BC791" w14:textId="77777777" w:rsidR="00993359" w:rsidRPr="00E355C0" w:rsidRDefault="00993359" w:rsidP="00993359">
            <w:pPr>
              <w:spacing w:before="0" w:after="0"/>
              <w:rPr>
                <w:szCs w:val="24"/>
              </w:rPr>
            </w:pPr>
            <w:r w:rsidRPr="00E355C0">
              <w:rPr>
                <w:szCs w:val="24"/>
              </w:rPr>
              <w:t xml:space="preserve">RIFLE </w:t>
            </w:r>
          </w:p>
          <w:p w14:paraId="32C3E8A8" w14:textId="77777777" w:rsidR="00993359" w:rsidRPr="00E355C0" w:rsidRDefault="00993359" w:rsidP="00993359">
            <w:pPr>
              <w:spacing w:before="0" w:after="0"/>
              <w:rPr>
                <w:szCs w:val="24"/>
              </w:rPr>
            </w:pPr>
          </w:p>
        </w:tc>
        <w:tc>
          <w:tcPr>
            <w:tcW w:w="3145" w:type="dxa"/>
          </w:tcPr>
          <w:p w14:paraId="20C14CD9" w14:textId="77777777" w:rsidR="00993359" w:rsidRPr="00E355C0" w:rsidRDefault="00993359" w:rsidP="00993359">
            <w:pPr>
              <w:spacing w:before="0" w:after="0"/>
              <w:rPr>
                <w:szCs w:val="24"/>
              </w:rPr>
            </w:pPr>
            <w:r w:rsidRPr="00E355C0">
              <w:rPr>
                <w:szCs w:val="24"/>
              </w:rPr>
              <w:t xml:space="preserve">AKIN </w:t>
            </w:r>
          </w:p>
          <w:p w14:paraId="32ADF62D" w14:textId="77777777" w:rsidR="00993359" w:rsidRPr="00E355C0" w:rsidRDefault="00993359" w:rsidP="00993359">
            <w:pPr>
              <w:spacing w:before="0" w:after="0"/>
              <w:rPr>
                <w:szCs w:val="24"/>
              </w:rPr>
            </w:pPr>
          </w:p>
        </w:tc>
        <w:tc>
          <w:tcPr>
            <w:tcW w:w="3115" w:type="dxa"/>
          </w:tcPr>
          <w:p w14:paraId="56C9F1EA" w14:textId="77777777" w:rsidR="00993359" w:rsidRPr="00E355C0" w:rsidRDefault="00993359" w:rsidP="00993359">
            <w:pPr>
              <w:spacing w:before="0" w:after="0"/>
              <w:rPr>
                <w:szCs w:val="24"/>
              </w:rPr>
            </w:pPr>
            <w:r w:rsidRPr="00E355C0">
              <w:rPr>
                <w:szCs w:val="24"/>
              </w:rPr>
              <w:t xml:space="preserve">RIFLE и AKIN </w:t>
            </w:r>
          </w:p>
          <w:p w14:paraId="1C52887C" w14:textId="77777777" w:rsidR="00993359" w:rsidRPr="00E355C0" w:rsidRDefault="00993359" w:rsidP="00993359">
            <w:pPr>
              <w:spacing w:before="0" w:after="0"/>
              <w:rPr>
                <w:szCs w:val="24"/>
              </w:rPr>
            </w:pPr>
          </w:p>
        </w:tc>
      </w:tr>
      <w:tr w:rsidR="00993359" w:rsidRPr="00E355C0" w14:paraId="650A62E2" w14:textId="77777777" w:rsidTr="00993359">
        <w:tc>
          <w:tcPr>
            <w:tcW w:w="2977" w:type="dxa"/>
          </w:tcPr>
          <w:p w14:paraId="3E06AEFB" w14:textId="77777777" w:rsidR="00993359" w:rsidRPr="00E355C0" w:rsidRDefault="00993359" w:rsidP="00993359">
            <w:pPr>
              <w:spacing w:before="0" w:after="0"/>
              <w:rPr>
                <w:b/>
                <w:szCs w:val="24"/>
              </w:rPr>
            </w:pPr>
            <w:r w:rsidRPr="00E355C0">
              <w:rPr>
                <w:b/>
                <w:szCs w:val="24"/>
              </w:rPr>
              <w:t xml:space="preserve">Стадия R (риск) </w:t>
            </w:r>
          </w:p>
          <w:p w14:paraId="2173A7DB" w14:textId="77777777" w:rsidR="00993359" w:rsidRPr="00E355C0" w:rsidRDefault="00993359" w:rsidP="00993359">
            <w:pPr>
              <w:spacing w:before="0" w:after="0"/>
              <w:rPr>
                <w:szCs w:val="24"/>
              </w:rPr>
            </w:pPr>
            <w:r w:rsidRPr="00E355C0">
              <w:rPr>
                <w:szCs w:val="24"/>
              </w:rPr>
              <w:t xml:space="preserve">Увеличение концентрации креатинина ≥50% или снижение СКФ &gt;25% от исходного значения </w:t>
            </w:r>
          </w:p>
        </w:tc>
        <w:tc>
          <w:tcPr>
            <w:tcW w:w="3145" w:type="dxa"/>
          </w:tcPr>
          <w:p w14:paraId="6CFB39C6" w14:textId="77777777" w:rsidR="00993359" w:rsidRPr="00E355C0" w:rsidRDefault="00993359" w:rsidP="00993359">
            <w:pPr>
              <w:spacing w:before="0" w:after="0"/>
              <w:rPr>
                <w:b/>
                <w:szCs w:val="24"/>
              </w:rPr>
            </w:pPr>
            <w:r w:rsidRPr="00E355C0">
              <w:rPr>
                <w:b/>
                <w:szCs w:val="24"/>
              </w:rPr>
              <w:t xml:space="preserve">Стадия I </w:t>
            </w:r>
          </w:p>
          <w:p w14:paraId="7CE44A20" w14:textId="77777777" w:rsidR="00993359" w:rsidRPr="00E355C0" w:rsidRDefault="00993359" w:rsidP="00993359">
            <w:pPr>
              <w:spacing w:before="0" w:after="0"/>
              <w:rPr>
                <w:szCs w:val="24"/>
              </w:rPr>
            </w:pPr>
            <w:r w:rsidRPr="00E355C0">
              <w:rPr>
                <w:szCs w:val="24"/>
              </w:rPr>
              <w:t xml:space="preserve">Увеличение концентрации креатинина ≥50% или более 0,3 мг/дл (26,4 мкмоль/л) от исходного значения </w:t>
            </w:r>
          </w:p>
        </w:tc>
        <w:tc>
          <w:tcPr>
            <w:tcW w:w="3115" w:type="dxa"/>
          </w:tcPr>
          <w:p w14:paraId="5CFCAEBA" w14:textId="77777777" w:rsidR="00993359" w:rsidRPr="00E355C0" w:rsidRDefault="00993359" w:rsidP="00993359">
            <w:pPr>
              <w:spacing w:before="0" w:after="0"/>
              <w:rPr>
                <w:szCs w:val="24"/>
              </w:rPr>
            </w:pPr>
            <w:r w:rsidRPr="00E355C0">
              <w:rPr>
                <w:szCs w:val="24"/>
              </w:rPr>
              <w:t xml:space="preserve">менее 0,5 мл/кг/час в течение </w:t>
            </w:r>
          </w:p>
          <w:p w14:paraId="64C7EE35" w14:textId="77777777" w:rsidR="00993359" w:rsidRPr="00E355C0" w:rsidRDefault="00993359" w:rsidP="00993359">
            <w:pPr>
              <w:spacing w:before="0" w:after="0"/>
              <w:rPr>
                <w:szCs w:val="24"/>
              </w:rPr>
            </w:pPr>
            <w:r w:rsidRPr="00E355C0">
              <w:rPr>
                <w:szCs w:val="24"/>
              </w:rPr>
              <w:t xml:space="preserve">6 часов </w:t>
            </w:r>
          </w:p>
        </w:tc>
      </w:tr>
      <w:tr w:rsidR="00993359" w:rsidRPr="00E355C0" w14:paraId="25BD6940" w14:textId="77777777" w:rsidTr="00993359">
        <w:tc>
          <w:tcPr>
            <w:tcW w:w="2977" w:type="dxa"/>
          </w:tcPr>
          <w:p w14:paraId="5A806D10" w14:textId="77777777" w:rsidR="00993359" w:rsidRPr="00E355C0" w:rsidRDefault="00993359" w:rsidP="00993359">
            <w:pPr>
              <w:spacing w:before="0" w:after="0"/>
              <w:rPr>
                <w:b/>
                <w:szCs w:val="24"/>
              </w:rPr>
            </w:pPr>
            <w:r w:rsidRPr="00E355C0">
              <w:rPr>
                <w:b/>
                <w:szCs w:val="24"/>
              </w:rPr>
              <w:t xml:space="preserve">Стадия I (повреждение) </w:t>
            </w:r>
          </w:p>
          <w:p w14:paraId="0BE4ED69" w14:textId="77777777" w:rsidR="00993359" w:rsidRPr="00E355C0" w:rsidRDefault="00993359" w:rsidP="00993359">
            <w:pPr>
              <w:spacing w:before="0" w:after="0"/>
              <w:rPr>
                <w:szCs w:val="24"/>
              </w:rPr>
            </w:pPr>
            <w:r w:rsidRPr="00E355C0">
              <w:rPr>
                <w:szCs w:val="24"/>
              </w:rPr>
              <w:t xml:space="preserve">Увеличение концентрации креатинина ≥100% или снижение СКФ &gt;50% от исходного значения </w:t>
            </w:r>
          </w:p>
        </w:tc>
        <w:tc>
          <w:tcPr>
            <w:tcW w:w="3145" w:type="dxa"/>
          </w:tcPr>
          <w:p w14:paraId="68748C84" w14:textId="77777777" w:rsidR="00993359" w:rsidRPr="00E355C0" w:rsidRDefault="00993359" w:rsidP="00993359">
            <w:pPr>
              <w:spacing w:before="0" w:after="0"/>
              <w:rPr>
                <w:b/>
                <w:szCs w:val="24"/>
              </w:rPr>
            </w:pPr>
            <w:r w:rsidRPr="00E355C0">
              <w:rPr>
                <w:b/>
                <w:szCs w:val="24"/>
              </w:rPr>
              <w:t xml:space="preserve">Стадия II </w:t>
            </w:r>
          </w:p>
          <w:p w14:paraId="5A3F86B5" w14:textId="77777777" w:rsidR="00993359" w:rsidRPr="00E355C0" w:rsidRDefault="00993359" w:rsidP="00993359">
            <w:pPr>
              <w:spacing w:before="0" w:after="0"/>
              <w:rPr>
                <w:szCs w:val="24"/>
              </w:rPr>
            </w:pPr>
            <w:r w:rsidRPr="00E355C0">
              <w:rPr>
                <w:szCs w:val="24"/>
              </w:rPr>
              <w:t xml:space="preserve">Увеличение концентрации креатинина ≥100% от исходного значения </w:t>
            </w:r>
          </w:p>
        </w:tc>
        <w:tc>
          <w:tcPr>
            <w:tcW w:w="3115" w:type="dxa"/>
          </w:tcPr>
          <w:p w14:paraId="521FB707" w14:textId="77777777" w:rsidR="00993359" w:rsidRPr="00E355C0" w:rsidRDefault="00993359" w:rsidP="00993359">
            <w:pPr>
              <w:spacing w:before="0" w:after="0"/>
              <w:rPr>
                <w:szCs w:val="24"/>
              </w:rPr>
            </w:pPr>
            <w:r w:rsidRPr="00E355C0">
              <w:rPr>
                <w:szCs w:val="24"/>
              </w:rPr>
              <w:t xml:space="preserve">менее 0,5 мл/кг/час в течение 12 часов </w:t>
            </w:r>
          </w:p>
        </w:tc>
      </w:tr>
      <w:tr w:rsidR="00993359" w:rsidRPr="00E355C0" w14:paraId="0FF45560" w14:textId="77777777" w:rsidTr="00993359">
        <w:tc>
          <w:tcPr>
            <w:tcW w:w="2977" w:type="dxa"/>
          </w:tcPr>
          <w:p w14:paraId="6E7B90B1" w14:textId="77777777" w:rsidR="00993359" w:rsidRPr="00E355C0" w:rsidRDefault="00993359" w:rsidP="00993359">
            <w:pPr>
              <w:spacing w:before="0" w:after="0"/>
              <w:rPr>
                <w:szCs w:val="24"/>
              </w:rPr>
            </w:pPr>
            <w:r w:rsidRPr="00E355C0">
              <w:rPr>
                <w:b/>
                <w:szCs w:val="24"/>
              </w:rPr>
              <w:t>Стадия F (недостаточность)</w:t>
            </w:r>
            <w:r w:rsidRPr="00E355C0">
              <w:rPr>
                <w:szCs w:val="24"/>
              </w:rPr>
              <w:t xml:space="preserve"> Увеличение концентрации креатинина ≥200% или снижение СКФ &gt;75% от исходного значения или содержание креатинина в сыворотке более 4 мг/дл </w:t>
            </w:r>
          </w:p>
          <w:p w14:paraId="156ACB57" w14:textId="77777777" w:rsidR="00993359" w:rsidRPr="00E355C0" w:rsidRDefault="00993359" w:rsidP="00993359">
            <w:pPr>
              <w:spacing w:before="0" w:after="0"/>
              <w:rPr>
                <w:szCs w:val="24"/>
              </w:rPr>
            </w:pPr>
            <w:r w:rsidRPr="00E355C0">
              <w:rPr>
                <w:szCs w:val="24"/>
              </w:rPr>
              <w:t xml:space="preserve">(≥354 мкмоль/л) с быстрым повышением более 0,5 мг/дл </w:t>
            </w:r>
          </w:p>
          <w:p w14:paraId="3D0797CE" w14:textId="77777777" w:rsidR="00993359" w:rsidRPr="00E355C0" w:rsidRDefault="00993359" w:rsidP="00993359">
            <w:pPr>
              <w:spacing w:before="0" w:after="0"/>
              <w:rPr>
                <w:szCs w:val="24"/>
              </w:rPr>
            </w:pPr>
            <w:r w:rsidRPr="00E355C0">
              <w:rPr>
                <w:szCs w:val="24"/>
              </w:rPr>
              <w:t xml:space="preserve">(44 мкмоль/л) </w:t>
            </w:r>
          </w:p>
        </w:tc>
        <w:tc>
          <w:tcPr>
            <w:tcW w:w="3145" w:type="dxa"/>
          </w:tcPr>
          <w:p w14:paraId="67579373" w14:textId="77777777" w:rsidR="00993359" w:rsidRPr="00E355C0" w:rsidRDefault="00993359" w:rsidP="00993359">
            <w:pPr>
              <w:spacing w:before="0" w:after="0"/>
              <w:rPr>
                <w:b/>
                <w:szCs w:val="24"/>
              </w:rPr>
            </w:pPr>
            <w:r w:rsidRPr="00E355C0">
              <w:rPr>
                <w:b/>
                <w:szCs w:val="24"/>
              </w:rPr>
              <w:t xml:space="preserve">Стадия III </w:t>
            </w:r>
          </w:p>
          <w:p w14:paraId="25C085E9" w14:textId="77777777" w:rsidR="00993359" w:rsidRPr="00E355C0" w:rsidRDefault="00993359" w:rsidP="00993359">
            <w:pPr>
              <w:spacing w:before="0" w:after="0"/>
              <w:rPr>
                <w:szCs w:val="24"/>
              </w:rPr>
            </w:pPr>
            <w:r w:rsidRPr="00E355C0">
              <w:rPr>
                <w:szCs w:val="24"/>
              </w:rPr>
              <w:t xml:space="preserve">Увеличение концентрации креатинина ≥200% от исходного значения или содержание креатинина в сыворотке более 4 мг/дл (≥354 мкмоль/л) с быстрым повышением более 0,5 мг/дл (44 мкмоль/л) или необходимость заместительной почечной терапии </w:t>
            </w:r>
          </w:p>
        </w:tc>
        <w:tc>
          <w:tcPr>
            <w:tcW w:w="3115" w:type="dxa"/>
          </w:tcPr>
          <w:p w14:paraId="65DDFB08" w14:textId="77777777" w:rsidR="00993359" w:rsidRPr="00E355C0" w:rsidRDefault="00993359" w:rsidP="00993359">
            <w:pPr>
              <w:spacing w:before="0" w:after="0"/>
              <w:rPr>
                <w:szCs w:val="24"/>
              </w:rPr>
            </w:pPr>
            <w:r w:rsidRPr="00E355C0">
              <w:rPr>
                <w:szCs w:val="24"/>
              </w:rPr>
              <w:t xml:space="preserve">менее 0,3 мл/кг/час в течение 24 часов или анурия в течение 12 часов </w:t>
            </w:r>
          </w:p>
        </w:tc>
      </w:tr>
      <w:tr w:rsidR="00993359" w:rsidRPr="00E355C0" w14:paraId="51C6EAD5" w14:textId="77777777" w:rsidTr="00993359">
        <w:tc>
          <w:tcPr>
            <w:tcW w:w="2977" w:type="dxa"/>
          </w:tcPr>
          <w:p w14:paraId="2B7BF3D5" w14:textId="77777777" w:rsidR="00993359" w:rsidRPr="00E355C0" w:rsidRDefault="00993359" w:rsidP="00993359">
            <w:pPr>
              <w:spacing w:before="0" w:after="0"/>
              <w:rPr>
                <w:b/>
                <w:szCs w:val="24"/>
              </w:rPr>
            </w:pPr>
            <w:r w:rsidRPr="00E355C0">
              <w:rPr>
                <w:b/>
                <w:szCs w:val="24"/>
              </w:rPr>
              <w:t xml:space="preserve">Стадия L (утрата) </w:t>
            </w:r>
          </w:p>
          <w:p w14:paraId="4D45EF72" w14:textId="77777777" w:rsidR="00993359" w:rsidRPr="00E355C0" w:rsidRDefault="00993359" w:rsidP="00993359">
            <w:pPr>
              <w:spacing w:before="0" w:after="0"/>
              <w:rPr>
                <w:szCs w:val="24"/>
              </w:rPr>
            </w:pPr>
            <w:r w:rsidRPr="00E355C0">
              <w:rPr>
                <w:szCs w:val="24"/>
              </w:rPr>
              <w:t xml:space="preserve">Полная утрата функции почек (необходимость заместительной почечной </w:t>
            </w:r>
            <w:r w:rsidRPr="00E355C0">
              <w:rPr>
                <w:szCs w:val="24"/>
              </w:rPr>
              <w:lastRenderedPageBreak/>
              <w:t xml:space="preserve">терапии) более 4-х недель </w:t>
            </w:r>
          </w:p>
        </w:tc>
        <w:tc>
          <w:tcPr>
            <w:tcW w:w="3145" w:type="dxa"/>
          </w:tcPr>
          <w:p w14:paraId="0EFFC3AE" w14:textId="77777777" w:rsidR="00993359" w:rsidRPr="00E355C0" w:rsidRDefault="00993359" w:rsidP="00993359">
            <w:pPr>
              <w:spacing w:before="0" w:after="0"/>
              <w:rPr>
                <w:szCs w:val="24"/>
              </w:rPr>
            </w:pPr>
          </w:p>
        </w:tc>
        <w:tc>
          <w:tcPr>
            <w:tcW w:w="3115" w:type="dxa"/>
          </w:tcPr>
          <w:p w14:paraId="0502A6D5" w14:textId="77777777" w:rsidR="00993359" w:rsidRPr="00E355C0" w:rsidRDefault="00993359" w:rsidP="00993359">
            <w:pPr>
              <w:spacing w:before="0" w:after="0"/>
              <w:rPr>
                <w:szCs w:val="24"/>
              </w:rPr>
            </w:pPr>
          </w:p>
        </w:tc>
      </w:tr>
      <w:tr w:rsidR="00993359" w:rsidRPr="00E355C0" w14:paraId="1D870147" w14:textId="77777777" w:rsidTr="00993359">
        <w:tc>
          <w:tcPr>
            <w:tcW w:w="2977" w:type="dxa"/>
          </w:tcPr>
          <w:p w14:paraId="572BC2B9" w14:textId="77777777" w:rsidR="00993359" w:rsidRPr="00E355C0" w:rsidRDefault="00993359" w:rsidP="00993359">
            <w:pPr>
              <w:spacing w:before="0" w:after="0"/>
              <w:rPr>
                <w:b/>
                <w:szCs w:val="24"/>
              </w:rPr>
            </w:pPr>
            <w:r w:rsidRPr="00E355C0">
              <w:rPr>
                <w:b/>
                <w:szCs w:val="24"/>
              </w:rPr>
              <w:lastRenderedPageBreak/>
              <w:t xml:space="preserve">Стадия E (конечная стадия заболевания почек) </w:t>
            </w:r>
          </w:p>
          <w:p w14:paraId="44DA08C6" w14:textId="77777777" w:rsidR="00993359" w:rsidRPr="00E355C0" w:rsidRDefault="00993359" w:rsidP="00993359">
            <w:pPr>
              <w:spacing w:before="0" w:after="0"/>
              <w:rPr>
                <w:szCs w:val="24"/>
              </w:rPr>
            </w:pPr>
            <w:r w:rsidRPr="00E355C0">
              <w:rPr>
                <w:szCs w:val="24"/>
              </w:rPr>
              <w:t xml:space="preserve">Необходимость заместительной почечной терапии более 3-х мес. </w:t>
            </w:r>
          </w:p>
        </w:tc>
        <w:tc>
          <w:tcPr>
            <w:tcW w:w="3145" w:type="dxa"/>
          </w:tcPr>
          <w:p w14:paraId="7B8F7E66" w14:textId="77777777" w:rsidR="00993359" w:rsidRPr="00E355C0" w:rsidRDefault="00993359" w:rsidP="00993359">
            <w:pPr>
              <w:spacing w:before="0" w:after="0"/>
              <w:rPr>
                <w:szCs w:val="24"/>
              </w:rPr>
            </w:pPr>
          </w:p>
        </w:tc>
        <w:tc>
          <w:tcPr>
            <w:tcW w:w="3115" w:type="dxa"/>
          </w:tcPr>
          <w:p w14:paraId="4AF11387" w14:textId="77777777" w:rsidR="00993359" w:rsidRPr="00E355C0" w:rsidRDefault="00993359" w:rsidP="00993359">
            <w:pPr>
              <w:spacing w:before="0" w:after="0"/>
              <w:rPr>
                <w:szCs w:val="24"/>
              </w:rPr>
            </w:pPr>
          </w:p>
        </w:tc>
      </w:tr>
    </w:tbl>
    <w:p w14:paraId="0831F373" w14:textId="47501B7B" w:rsidR="00993359" w:rsidRPr="00E355C0" w:rsidRDefault="00993359" w:rsidP="00993359">
      <w:pPr>
        <w:spacing w:before="0" w:after="0"/>
        <w:rPr>
          <w:szCs w:val="24"/>
        </w:rPr>
      </w:pPr>
      <w:r w:rsidRPr="00E355C0">
        <w:rPr>
          <w:szCs w:val="24"/>
        </w:rPr>
        <w:t xml:space="preserve">У пациентов со стабильной функцией почек стадию хронической болезни почек определяют на основании скорости клубочковой фильтрации, определяемой по формулам MDRD или CKD-EPI (табл. </w:t>
      </w:r>
      <w:r>
        <w:rPr>
          <w:szCs w:val="24"/>
        </w:rPr>
        <w:t>5</w:t>
      </w:r>
      <w:r w:rsidRPr="00E355C0">
        <w:rPr>
          <w:szCs w:val="24"/>
        </w:rPr>
        <w:t>).</w:t>
      </w:r>
    </w:p>
    <w:p w14:paraId="055C72C7" w14:textId="361FC9B7" w:rsidR="00993359" w:rsidRPr="00E355C0" w:rsidRDefault="00993359" w:rsidP="00993359">
      <w:pPr>
        <w:spacing w:before="0" w:after="0"/>
        <w:rPr>
          <w:szCs w:val="24"/>
        </w:rPr>
      </w:pPr>
      <w:r w:rsidRPr="00993359">
        <w:rPr>
          <w:b/>
          <w:szCs w:val="24"/>
        </w:rPr>
        <w:t>Таблица 5.</w:t>
      </w:r>
      <w:r>
        <w:rPr>
          <w:szCs w:val="24"/>
        </w:rPr>
        <w:t xml:space="preserve"> </w:t>
      </w:r>
      <w:r w:rsidRPr="00E355C0">
        <w:rPr>
          <w:szCs w:val="24"/>
        </w:rPr>
        <w:t>Классификация хронической болезни почек</w:t>
      </w:r>
    </w:p>
    <w:tbl>
      <w:tblPr>
        <w:tblStyle w:val="ae"/>
        <w:tblW w:w="0" w:type="auto"/>
        <w:tblInd w:w="108" w:type="dxa"/>
        <w:tblLook w:val="04A0" w:firstRow="1" w:lastRow="0" w:firstColumn="1" w:lastColumn="0" w:noHBand="0" w:noVBand="1"/>
      </w:tblPr>
      <w:tblGrid>
        <w:gridCol w:w="1021"/>
        <w:gridCol w:w="5529"/>
        <w:gridCol w:w="2687"/>
      </w:tblGrid>
      <w:tr w:rsidR="00993359" w:rsidRPr="00E355C0" w14:paraId="217A8004" w14:textId="77777777" w:rsidTr="00993359">
        <w:tc>
          <w:tcPr>
            <w:tcW w:w="1021" w:type="dxa"/>
          </w:tcPr>
          <w:p w14:paraId="46ABEE92" w14:textId="77777777" w:rsidR="00993359" w:rsidRPr="00E355C0" w:rsidRDefault="00993359" w:rsidP="00993359">
            <w:pPr>
              <w:spacing w:before="0" w:after="0"/>
              <w:rPr>
                <w:szCs w:val="24"/>
              </w:rPr>
            </w:pPr>
            <w:r w:rsidRPr="00E355C0">
              <w:rPr>
                <w:szCs w:val="24"/>
              </w:rPr>
              <w:t xml:space="preserve">Стадия </w:t>
            </w:r>
          </w:p>
          <w:p w14:paraId="4CEC2C4F" w14:textId="77777777" w:rsidR="00993359" w:rsidRPr="00E355C0" w:rsidRDefault="00993359" w:rsidP="00993359">
            <w:pPr>
              <w:spacing w:before="0" w:after="0"/>
              <w:rPr>
                <w:szCs w:val="24"/>
              </w:rPr>
            </w:pPr>
          </w:p>
        </w:tc>
        <w:tc>
          <w:tcPr>
            <w:tcW w:w="5529" w:type="dxa"/>
          </w:tcPr>
          <w:p w14:paraId="1B6CA14D" w14:textId="77777777" w:rsidR="00993359" w:rsidRPr="00E355C0" w:rsidRDefault="00993359" w:rsidP="00993359">
            <w:pPr>
              <w:spacing w:before="0" w:after="0"/>
              <w:rPr>
                <w:szCs w:val="24"/>
              </w:rPr>
            </w:pPr>
            <w:r w:rsidRPr="00E355C0">
              <w:rPr>
                <w:szCs w:val="24"/>
              </w:rPr>
              <w:t>Характеристика</w:t>
            </w:r>
          </w:p>
          <w:p w14:paraId="3174CF34" w14:textId="77777777" w:rsidR="00993359" w:rsidRPr="00E355C0" w:rsidRDefault="00993359" w:rsidP="00993359">
            <w:pPr>
              <w:spacing w:before="0" w:after="0"/>
              <w:rPr>
                <w:szCs w:val="24"/>
              </w:rPr>
            </w:pPr>
          </w:p>
        </w:tc>
        <w:tc>
          <w:tcPr>
            <w:tcW w:w="2687" w:type="dxa"/>
          </w:tcPr>
          <w:p w14:paraId="693DDBA0" w14:textId="77777777" w:rsidR="00993359" w:rsidRPr="00E355C0" w:rsidRDefault="00993359" w:rsidP="00993359">
            <w:pPr>
              <w:spacing w:before="0" w:after="0"/>
              <w:rPr>
                <w:szCs w:val="24"/>
              </w:rPr>
            </w:pPr>
            <w:r w:rsidRPr="00E355C0">
              <w:rPr>
                <w:szCs w:val="24"/>
              </w:rPr>
              <w:t>СКФ мл/мин/1,73 м</w:t>
            </w:r>
            <w:r w:rsidRPr="00E355C0">
              <w:rPr>
                <w:szCs w:val="24"/>
                <w:vertAlign w:val="superscript"/>
              </w:rPr>
              <w:t>2</w:t>
            </w:r>
            <w:r w:rsidRPr="00E355C0">
              <w:rPr>
                <w:szCs w:val="24"/>
              </w:rPr>
              <w:t xml:space="preserve"> </w:t>
            </w:r>
          </w:p>
          <w:p w14:paraId="051F6BE2" w14:textId="77777777" w:rsidR="00993359" w:rsidRPr="00E355C0" w:rsidRDefault="00993359" w:rsidP="00993359">
            <w:pPr>
              <w:spacing w:before="0" w:after="0"/>
              <w:rPr>
                <w:szCs w:val="24"/>
              </w:rPr>
            </w:pPr>
          </w:p>
        </w:tc>
      </w:tr>
      <w:tr w:rsidR="00993359" w:rsidRPr="00E355C0" w14:paraId="4A85F169" w14:textId="77777777" w:rsidTr="00993359">
        <w:tc>
          <w:tcPr>
            <w:tcW w:w="1021" w:type="dxa"/>
          </w:tcPr>
          <w:p w14:paraId="738DD4CB" w14:textId="77777777" w:rsidR="00993359" w:rsidRPr="00E355C0" w:rsidRDefault="00993359" w:rsidP="00993359">
            <w:pPr>
              <w:spacing w:before="0" w:after="0"/>
              <w:rPr>
                <w:szCs w:val="24"/>
              </w:rPr>
            </w:pPr>
            <w:r w:rsidRPr="00E355C0">
              <w:rPr>
                <w:szCs w:val="24"/>
              </w:rPr>
              <w:t>1</w:t>
            </w:r>
          </w:p>
        </w:tc>
        <w:tc>
          <w:tcPr>
            <w:tcW w:w="5529" w:type="dxa"/>
          </w:tcPr>
          <w:p w14:paraId="23296A8E" w14:textId="77777777" w:rsidR="00993359" w:rsidRPr="00E355C0" w:rsidRDefault="00993359" w:rsidP="00993359">
            <w:pPr>
              <w:spacing w:before="0" w:after="0"/>
              <w:rPr>
                <w:szCs w:val="24"/>
              </w:rPr>
            </w:pPr>
            <w:r w:rsidRPr="00E355C0">
              <w:rPr>
                <w:szCs w:val="24"/>
              </w:rPr>
              <w:t xml:space="preserve">Поражение почек с нормальной или повышенной СКФ </w:t>
            </w:r>
          </w:p>
        </w:tc>
        <w:tc>
          <w:tcPr>
            <w:tcW w:w="2687" w:type="dxa"/>
          </w:tcPr>
          <w:p w14:paraId="06E99857" w14:textId="77777777" w:rsidR="00993359" w:rsidRPr="00E355C0" w:rsidRDefault="00993359" w:rsidP="00993359">
            <w:pPr>
              <w:spacing w:before="0" w:after="0"/>
              <w:rPr>
                <w:szCs w:val="24"/>
              </w:rPr>
            </w:pPr>
            <w:r w:rsidRPr="00E355C0">
              <w:rPr>
                <w:color w:val="445566"/>
                <w:szCs w:val="24"/>
                <w:shd w:val="clear" w:color="auto" w:fill="FEFCFC"/>
              </w:rPr>
              <w:t>≥90</w:t>
            </w:r>
          </w:p>
        </w:tc>
      </w:tr>
      <w:tr w:rsidR="00993359" w:rsidRPr="00E355C0" w14:paraId="3DA39EC3" w14:textId="77777777" w:rsidTr="00993359">
        <w:tc>
          <w:tcPr>
            <w:tcW w:w="1021" w:type="dxa"/>
          </w:tcPr>
          <w:p w14:paraId="0F8B1EA4" w14:textId="77777777" w:rsidR="00993359" w:rsidRPr="00E355C0" w:rsidRDefault="00993359" w:rsidP="00993359">
            <w:pPr>
              <w:spacing w:before="0" w:after="0"/>
              <w:rPr>
                <w:szCs w:val="24"/>
              </w:rPr>
            </w:pPr>
            <w:r w:rsidRPr="00E355C0">
              <w:rPr>
                <w:szCs w:val="24"/>
              </w:rPr>
              <w:t>2</w:t>
            </w:r>
          </w:p>
        </w:tc>
        <w:tc>
          <w:tcPr>
            <w:tcW w:w="5529" w:type="dxa"/>
          </w:tcPr>
          <w:p w14:paraId="672336B8" w14:textId="77777777" w:rsidR="00993359" w:rsidRPr="00E355C0" w:rsidRDefault="00993359" w:rsidP="00993359">
            <w:pPr>
              <w:spacing w:before="0" w:after="0"/>
              <w:rPr>
                <w:szCs w:val="24"/>
              </w:rPr>
            </w:pPr>
            <w:r w:rsidRPr="00E355C0">
              <w:rPr>
                <w:szCs w:val="24"/>
              </w:rPr>
              <w:t xml:space="preserve">Минимальное снижение СКФ </w:t>
            </w:r>
          </w:p>
        </w:tc>
        <w:tc>
          <w:tcPr>
            <w:tcW w:w="2687" w:type="dxa"/>
          </w:tcPr>
          <w:p w14:paraId="4CF71313" w14:textId="77777777" w:rsidR="00993359" w:rsidRPr="00E355C0" w:rsidRDefault="00993359" w:rsidP="00993359">
            <w:pPr>
              <w:spacing w:before="0" w:after="0"/>
              <w:rPr>
                <w:szCs w:val="24"/>
              </w:rPr>
            </w:pPr>
            <w:r w:rsidRPr="00E355C0">
              <w:rPr>
                <w:szCs w:val="24"/>
              </w:rPr>
              <w:t>60-89</w:t>
            </w:r>
          </w:p>
        </w:tc>
      </w:tr>
      <w:tr w:rsidR="00993359" w:rsidRPr="00E355C0" w14:paraId="6898A289" w14:textId="77777777" w:rsidTr="00993359">
        <w:tc>
          <w:tcPr>
            <w:tcW w:w="1021" w:type="dxa"/>
          </w:tcPr>
          <w:p w14:paraId="490E7708" w14:textId="77777777" w:rsidR="00993359" w:rsidRPr="00E355C0" w:rsidRDefault="00993359" w:rsidP="00993359">
            <w:pPr>
              <w:spacing w:before="0" w:after="0"/>
              <w:rPr>
                <w:szCs w:val="24"/>
              </w:rPr>
            </w:pPr>
            <w:r w:rsidRPr="00E355C0">
              <w:rPr>
                <w:szCs w:val="24"/>
              </w:rPr>
              <w:t>3</w:t>
            </w:r>
          </w:p>
        </w:tc>
        <w:tc>
          <w:tcPr>
            <w:tcW w:w="5529" w:type="dxa"/>
          </w:tcPr>
          <w:p w14:paraId="4AF93FBA" w14:textId="77777777" w:rsidR="00993359" w:rsidRPr="00E355C0" w:rsidRDefault="00993359" w:rsidP="00993359">
            <w:pPr>
              <w:spacing w:before="0" w:after="0"/>
              <w:rPr>
                <w:szCs w:val="24"/>
              </w:rPr>
            </w:pPr>
            <w:r w:rsidRPr="00E355C0">
              <w:rPr>
                <w:szCs w:val="24"/>
              </w:rPr>
              <w:t xml:space="preserve">Умеренное снижение СКФ </w:t>
            </w:r>
          </w:p>
        </w:tc>
        <w:tc>
          <w:tcPr>
            <w:tcW w:w="2687" w:type="dxa"/>
          </w:tcPr>
          <w:p w14:paraId="570EA9E5" w14:textId="77777777" w:rsidR="00993359" w:rsidRPr="00E355C0" w:rsidRDefault="00993359" w:rsidP="00993359">
            <w:pPr>
              <w:spacing w:before="0" w:after="0"/>
              <w:rPr>
                <w:szCs w:val="24"/>
              </w:rPr>
            </w:pPr>
            <w:r w:rsidRPr="00E355C0">
              <w:rPr>
                <w:szCs w:val="24"/>
              </w:rPr>
              <w:t>30-59</w:t>
            </w:r>
          </w:p>
        </w:tc>
      </w:tr>
      <w:tr w:rsidR="00993359" w:rsidRPr="00E355C0" w14:paraId="1104E960" w14:textId="77777777" w:rsidTr="00993359">
        <w:tc>
          <w:tcPr>
            <w:tcW w:w="1021" w:type="dxa"/>
          </w:tcPr>
          <w:p w14:paraId="42A054A2" w14:textId="77777777" w:rsidR="00993359" w:rsidRPr="00E355C0" w:rsidRDefault="00993359" w:rsidP="00993359">
            <w:pPr>
              <w:spacing w:before="0" w:after="0"/>
              <w:rPr>
                <w:szCs w:val="24"/>
              </w:rPr>
            </w:pPr>
            <w:r w:rsidRPr="00E355C0">
              <w:rPr>
                <w:szCs w:val="24"/>
              </w:rPr>
              <w:t>4</w:t>
            </w:r>
          </w:p>
        </w:tc>
        <w:tc>
          <w:tcPr>
            <w:tcW w:w="5529" w:type="dxa"/>
          </w:tcPr>
          <w:p w14:paraId="1BDBB627" w14:textId="77777777" w:rsidR="00993359" w:rsidRPr="00E355C0" w:rsidRDefault="00993359" w:rsidP="00993359">
            <w:pPr>
              <w:spacing w:before="0" w:after="0"/>
              <w:rPr>
                <w:szCs w:val="24"/>
              </w:rPr>
            </w:pPr>
            <w:r w:rsidRPr="00E355C0">
              <w:rPr>
                <w:szCs w:val="24"/>
              </w:rPr>
              <w:t xml:space="preserve">Выраженное снижение СКФ </w:t>
            </w:r>
          </w:p>
        </w:tc>
        <w:tc>
          <w:tcPr>
            <w:tcW w:w="2687" w:type="dxa"/>
          </w:tcPr>
          <w:p w14:paraId="56E7ADD7" w14:textId="77777777" w:rsidR="00993359" w:rsidRPr="00E355C0" w:rsidRDefault="00993359" w:rsidP="00993359">
            <w:pPr>
              <w:spacing w:before="0" w:after="0"/>
              <w:rPr>
                <w:szCs w:val="24"/>
              </w:rPr>
            </w:pPr>
            <w:r w:rsidRPr="00E355C0">
              <w:rPr>
                <w:szCs w:val="24"/>
              </w:rPr>
              <w:t>15-29</w:t>
            </w:r>
          </w:p>
        </w:tc>
      </w:tr>
      <w:tr w:rsidR="00993359" w:rsidRPr="00E355C0" w14:paraId="7BEDD184" w14:textId="77777777" w:rsidTr="00993359">
        <w:tc>
          <w:tcPr>
            <w:tcW w:w="1021" w:type="dxa"/>
          </w:tcPr>
          <w:p w14:paraId="0479BA4E" w14:textId="77777777" w:rsidR="00993359" w:rsidRPr="00E355C0" w:rsidRDefault="00993359" w:rsidP="00993359">
            <w:pPr>
              <w:spacing w:before="0" w:after="0"/>
              <w:rPr>
                <w:szCs w:val="24"/>
              </w:rPr>
            </w:pPr>
            <w:r w:rsidRPr="00E355C0">
              <w:rPr>
                <w:szCs w:val="24"/>
              </w:rPr>
              <w:t>5</w:t>
            </w:r>
          </w:p>
        </w:tc>
        <w:tc>
          <w:tcPr>
            <w:tcW w:w="5529" w:type="dxa"/>
          </w:tcPr>
          <w:p w14:paraId="4CECFF2D" w14:textId="77777777" w:rsidR="00993359" w:rsidRPr="00E355C0" w:rsidRDefault="00993359" w:rsidP="00993359">
            <w:pPr>
              <w:spacing w:before="0" w:after="0"/>
              <w:rPr>
                <w:szCs w:val="24"/>
              </w:rPr>
            </w:pPr>
            <w:r w:rsidRPr="00E355C0">
              <w:rPr>
                <w:szCs w:val="24"/>
              </w:rPr>
              <w:t xml:space="preserve">Почечная недостаточность </w:t>
            </w:r>
          </w:p>
        </w:tc>
        <w:tc>
          <w:tcPr>
            <w:tcW w:w="2687" w:type="dxa"/>
          </w:tcPr>
          <w:p w14:paraId="3B064E12" w14:textId="77777777" w:rsidR="00993359" w:rsidRPr="00E355C0" w:rsidRDefault="00993359" w:rsidP="00993359">
            <w:pPr>
              <w:spacing w:before="0" w:after="0"/>
              <w:rPr>
                <w:szCs w:val="24"/>
              </w:rPr>
            </w:pPr>
            <w:r w:rsidRPr="00E355C0">
              <w:rPr>
                <w:szCs w:val="24"/>
                <w:lang w:val="en-US"/>
              </w:rPr>
              <w:t xml:space="preserve">&lt;15 </w:t>
            </w:r>
            <w:r w:rsidRPr="00E355C0">
              <w:rPr>
                <w:szCs w:val="24"/>
              </w:rPr>
              <w:t>или диализ</w:t>
            </w:r>
          </w:p>
        </w:tc>
      </w:tr>
    </w:tbl>
    <w:p w14:paraId="6D8BB202" w14:textId="77777777" w:rsidR="00993359" w:rsidRPr="00E355C0" w:rsidRDefault="00993359" w:rsidP="00993359">
      <w:pPr>
        <w:spacing w:before="0" w:after="0"/>
        <w:rPr>
          <w:szCs w:val="24"/>
        </w:rPr>
      </w:pPr>
      <w:r w:rsidRPr="00E355C0">
        <w:rPr>
          <w:szCs w:val="24"/>
        </w:rPr>
        <w:t xml:space="preserve">Острое почечное повреждение вследствие миеломной нефропатии является показанием к немедленному началу специфической терапии, поскольку улучшение функции почек возможно только при редукции опухоли. Следует использовать терапевтические схемы, которые позволяют достигнуть быстрого и максимального гематологического и почечного ответов. При необходимости терапию проводят одновременно с гемодиализом или перитонеальным диализом, при этом все препараты вводятся в полных дозах после сеанса гемодиализа или в междиализные дни. </w:t>
      </w:r>
    </w:p>
    <w:p w14:paraId="5E0FF3E3" w14:textId="77777777" w:rsidR="00993359" w:rsidRPr="00F242DD" w:rsidRDefault="00993359" w:rsidP="00131E36">
      <w:pPr>
        <w:spacing w:before="0" w:after="0"/>
        <w:ind w:firstLine="709"/>
        <w:contextualSpacing/>
      </w:pPr>
    </w:p>
    <w:p w14:paraId="086D12D0" w14:textId="77777777" w:rsidR="004D7374" w:rsidRPr="00F242DD" w:rsidRDefault="004D7374">
      <w:pPr>
        <w:pStyle w:val="1"/>
        <w:spacing w:before="0" w:after="0"/>
      </w:pPr>
      <w:bookmarkStart w:id="16" w:name="_Toc53140889"/>
      <w:r w:rsidRPr="00F242DD">
        <w:lastRenderedPageBreak/>
        <w:t>2. Диагностика</w:t>
      </w:r>
      <w:bookmarkEnd w:id="13"/>
      <w:r w:rsidR="00131E36" w:rsidRPr="00F242DD">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16"/>
    </w:p>
    <w:p w14:paraId="5B7776C0" w14:textId="77777777" w:rsidR="00131E36" w:rsidRPr="00F242DD" w:rsidRDefault="00131E36" w:rsidP="00131E36">
      <w:pPr>
        <w:rPr>
          <w:b/>
          <w:i/>
        </w:rPr>
      </w:pPr>
      <w:r w:rsidRPr="00F242DD">
        <w:rPr>
          <w:b/>
          <w:i/>
        </w:rPr>
        <w:t>Критерии установления диагноза/состояния:</w:t>
      </w:r>
    </w:p>
    <w:p w14:paraId="11137EA4" w14:textId="77777777" w:rsidR="00131E36" w:rsidRPr="00F242DD" w:rsidRDefault="00131E36" w:rsidP="008033EF">
      <w:pPr>
        <w:spacing w:before="0" w:after="0"/>
        <w:contextualSpacing/>
        <w:rPr>
          <w:i/>
        </w:rPr>
      </w:pPr>
      <w:r w:rsidRPr="00F242DD">
        <w:rPr>
          <w:i/>
        </w:rPr>
        <w:t>Тлеющая (асимптоматическая) ММ должна удовлетворять двум критериям:</w:t>
      </w:r>
    </w:p>
    <w:p w14:paraId="33EE19B8" w14:textId="77777777" w:rsidR="00131E36" w:rsidRPr="00F242DD" w:rsidRDefault="00131E36" w:rsidP="008033EF">
      <w:pPr>
        <w:pStyle w:val="a6"/>
        <w:numPr>
          <w:ilvl w:val="0"/>
          <w:numId w:val="55"/>
        </w:numPr>
        <w:spacing w:before="0" w:after="0"/>
        <w:ind w:left="0" w:firstLine="0"/>
        <w:rPr>
          <w:i/>
        </w:rPr>
      </w:pPr>
      <w:r w:rsidRPr="00F242DD">
        <w:rPr>
          <w:i/>
        </w:rPr>
        <w:t>Моноклональный протеин в сыворотке крови ≥30 г/л и/или 500 мг в суточном анализе мочи и/или 10</w:t>
      </w:r>
      <w:r w:rsidR="006208D0" w:rsidRPr="00F242DD">
        <w:rPr>
          <w:i/>
        </w:rPr>
        <w:t>−</w:t>
      </w:r>
      <w:r w:rsidRPr="00F242DD">
        <w:rPr>
          <w:i/>
        </w:rPr>
        <w:t>59</w:t>
      </w:r>
      <w:r w:rsidR="006208D0" w:rsidRPr="00F242DD">
        <w:rPr>
          <w:i/>
        </w:rPr>
        <w:t> </w:t>
      </w:r>
      <w:r w:rsidRPr="00F242DD">
        <w:rPr>
          <w:i/>
        </w:rPr>
        <w:t xml:space="preserve">% клональных </w:t>
      </w:r>
      <w:r w:rsidR="006208D0" w:rsidRPr="00F242DD">
        <w:rPr>
          <w:i/>
        </w:rPr>
        <w:t>ПК</w:t>
      </w:r>
      <w:r w:rsidRPr="00F242DD">
        <w:rPr>
          <w:i/>
        </w:rPr>
        <w:t xml:space="preserve"> в костном мозге</w:t>
      </w:r>
      <w:r w:rsidR="006208D0" w:rsidRPr="00F242DD">
        <w:rPr>
          <w:i/>
        </w:rPr>
        <w:t>.</w:t>
      </w:r>
      <w:r w:rsidRPr="00F242DD">
        <w:rPr>
          <w:i/>
        </w:rPr>
        <w:t xml:space="preserve"> </w:t>
      </w:r>
    </w:p>
    <w:p w14:paraId="505D6DE7" w14:textId="77777777" w:rsidR="00131E36" w:rsidRPr="00F242DD" w:rsidRDefault="00131E36" w:rsidP="008033EF">
      <w:pPr>
        <w:pStyle w:val="a6"/>
        <w:numPr>
          <w:ilvl w:val="0"/>
          <w:numId w:val="55"/>
        </w:numPr>
        <w:spacing w:before="0" w:after="0"/>
        <w:ind w:left="0" w:firstLine="0"/>
        <w:rPr>
          <w:i/>
          <w:u w:val="single"/>
        </w:rPr>
      </w:pPr>
      <w:r w:rsidRPr="00F242DD">
        <w:rPr>
          <w:i/>
        </w:rPr>
        <w:t>Отсутствие органных повреждений (</w:t>
      </w:r>
      <w:r w:rsidRPr="00F242DD">
        <w:rPr>
          <w:i/>
          <w:lang w:val="en-US"/>
        </w:rPr>
        <w:t>CRAB</w:t>
      </w:r>
      <w:r w:rsidR="0050601C" w:rsidRPr="00F242DD">
        <w:rPr>
          <w:i/>
        </w:rPr>
        <w:t xml:space="preserve"> </w:t>
      </w:r>
      <w:r w:rsidRPr="00F242DD">
        <w:rPr>
          <w:i/>
        </w:rPr>
        <w:t xml:space="preserve">– см. симптоматическую ММ), в том числе отсутствие признаков поражения костей (что подтверждено данными </w:t>
      </w:r>
      <w:r w:rsidR="0050601C" w:rsidRPr="00F242DD">
        <w:rPr>
          <w:i/>
        </w:rPr>
        <w:t>магнитно-резонансной томографии</w:t>
      </w:r>
      <w:r w:rsidRPr="00F242DD">
        <w:rPr>
          <w:i/>
        </w:rPr>
        <w:t xml:space="preserve"> или </w:t>
      </w:r>
      <w:r w:rsidR="0050601C" w:rsidRPr="00F242DD">
        <w:rPr>
          <w:i/>
        </w:rPr>
        <w:t>позитронно-эмиссионной/компьютерной томографии (</w:t>
      </w:r>
      <w:r w:rsidRPr="00F242DD">
        <w:rPr>
          <w:i/>
        </w:rPr>
        <w:t>ПЭТ/КТ</w:t>
      </w:r>
      <w:r w:rsidR="0050601C" w:rsidRPr="00F242DD">
        <w:rPr>
          <w:i/>
        </w:rPr>
        <w:t>)</w:t>
      </w:r>
      <w:r w:rsidR="00110202" w:rsidRPr="00F242DD">
        <w:rPr>
          <w:i/>
        </w:rPr>
        <w:t>,</w:t>
      </w:r>
      <w:r w:rsidRPr="00F242DD">
        <w:rPr>
          <w:i/>
        </w:rPr>
        <w:t xml:space="preserve"> или </w:t>
      </w:r>
      <w:r w:rsidR="00382B70" w:rsidRPr="00F242DD">
        <w:rPr>
          <w:i/>
        </w:rPr>
        <w:t>спиральной компьюте</w:t>
      </w:r>
      <w:r w:rsidR="00110202" w:rsidRPr="00F242DD">
        <w:rPr>
          <w:i/>
        </w:rPr>
        <w:t>р</w:t>
      </w:r>
      <w:r w:rsidR="00382B70" w:rsidRPr="00F242DD">
        <w:rPr>
          <w:i/>
        </w:rPr>
        <w:t>ной томографии</w:t>
      </w:r>
      <w:r w:rsidR="00E62084" w:rsidRPr="00F242DD">
        <w:rPr>
          <w:i/>
        </w:rPr>
        <w:t xml:space="preserve"> костей в низко</w:t>
      </w:r>
      <w:r w:rsidRPr="00F242DD">
        <w:rPr>
          <w:i/>
        </w:rPr>
        <w:t>дозовом режиме) и</w:t>
      </w:r>
      <w:r w:rsidR="00110202" w:rsidRPr="00F242DD">
        <w:rPr>
          <w:i/>
        </w:rPr>
        <w:t xml:space="preserve"> </w:t>
      </w:r>
      <w:r w:rsidRPr="00F242DD">
        <w:rPr>
          <w:i/>
        </w:rPr>
        <w:t>отсутствие амилоидоза.</w:t>
      </w:r>
    </w:p>
    <w:p w14:paraId="2B4E0A64" w14:textId="77777777" w:rsidR="00131E36" w:rsidRPr="00F242DD" w:rsidRDefault="00131E36" w:rsidP="008033EF">
      <w:pPr>
        <w:spacing w:before="0" w:after="0"/>
        <w:rPr>
          <w:i/>
        </w:rPr>
      </w:pPr>
      <w:r w:rsidRPr="00F242DD">
        <w:rPr>
          <w:i/>
        </w:rPr>
        <w:t>Симптоматическая ММ должна удовлетворять трем критериям:</w:t>
      </w:r>
    </w:p>
    <w:p w14:paraId="6BF15F24" w14:textId="77777777" w:rsidR="00131E36" w:rsidRPr="00F242DD" w:rsidRDefault="00131E36" w:rsidP="008033EF">
      <w:pPr>
        <w:pStyle w:val="a6"/>
        <w:numPr>
          <w:ilvl w:val="0"/>
          <w:numId w:val="56"/>
        </w:numPr>
        <w:spacing w:before="0" w:after="0"/>
        <w:ind w:left="0" w:firstLine="0"/>
        <w:rPr>
          <w:i/>
        </w:rPr>
      </w:pPr>
      <w:r w:rsidRPr="00F242DD">
        <w:rPr>
          <w:i/>
        </w:rPr>
        <w:t>Присутствие в костном мозге ≥10</w:t>
      </w:r>
      <w:r w:rsidR="00110202" w:rsidRPr="00F242DD">
        <w:rPr>
          <w:i/>
        </w:rPr>
        <w:t> </w:t>
      </w:r>
      <w:r w:rsidRPr="00F242DD">
        <w:rPr>
          <w:i/>
        </w:rPr>
        <w:t xml:space="preserve">% клональных </w:t>
      </w:r>
      <w:r w:rsidR="00110202" w:rsidRPr="00F242DD">
        <w:rPr>
          <w:i/>
        </w:rPr>
        <w:t>ПК</w:t>
      </w:r>
      <w:r w:rsidRPr="00F242DD">
        <w:rPr>
          <w:i/>
        </w:rPr>
        <w:t xml:space="preserve"> или наличие подтвержденной биопсией костной/экстрамедуллярной плазмоцитомы и </w:t>
      </w:r>
      <w:r w:rsidR="00D24853" w:rsidRPr="00F242DD">
        <w:rPr>
          <w:i/>
        </w:rPr>
        <w:t>1</w:t>
      </w:r>
      <w:r w:rsidRPr="00F242DD">
        <w:rPr>
          <w:i/>
        </w:rPr>
        <w:t xml:space="preserve"> или несколько обозначенных ниже симптомов, обусловленных ММ: </w:t>
      </w:r>
    </w:p>
    <w:p w14:paraId="25DBC67D" w14:textId="77777777" w:rsidR="00D24853" w:rsidRPr="00F242DD" w:rsidRDefault="00D24853" w:rsidP="008033EF">
      <w:pPr>
        <w:pStyle w:val="a6"/>
        <w:spacing w:before="0" w:after="0"/>
        <w:ind w:left="0"/>
        <w:rPr>
          <w:i/>
        </w:rPr>
      </w:pPr>
      <w:r w:rsidRPr="00F242DD">
        <w:rPr>
          <w:i/>
        </w:rPr>
        <w:t>а) г</w:t>
      </w:r>
      <w:r w:rsidR="00131E36" w:rsidRPr="00F242DD">
        <w:rPr>
          <w:i/>
        </w:rPr>
        <w:t>иперкальциемия: уровень кальция в сыворотке крови &gt;11,5 мг/дл (&gt;2,75 ммоль/л)</w:t>
      </w:r>
      <w:r w:rsidRPr="00F242DD">
        <w:rPr>
          <w:i/>
        </w:rPr>
        <w:t>;</w:t>
      </w:r>
    </w:p>
    <w:p w14:paraId="7B5A7E27" w14:textId="77777777" w:rsidR="00131E36" w:rsidRPr="00F242DD" w:rsidRDefault="00D24853" w:rsidP="008033EF">
      <w:pPr>
        <w:pStyle w:val="a6"/>
        <w:spacing w:before="0" w:after="0"/>
        <w:ind w:left="0"/>
        <w:rPr>
          <w:i/>
        </w:rPr>
      </w:pPr>
      <w:r w:rsidRPr="00F242DD">
        <w:rPr>
          <w:i/>
        </w:rPr>
        <w:t>б) д</w:t>
      </w:r>
      <w:r w:rsidR="00131E36" w:rsidRPr="00F242DD">
        <w:rPr>
          <w:i/>
        </w:rPr>
        <w:t xml:space="preserve">исфункция почек: уровень креатинина в сыворотке крови &gt;2 мг/дл (&gt;173 ммоль/л), клиренс креатинина </w:t>
      </w:r>
      <w:r w:rsidRPr="00F242DD">
        <w:rPr>
          <w:i/>
        </w:rPr>
        <w:t>&lt;</w:t>
      </w:r>
      <w:r w:rsidR="00131E36" w:rsidRPr="00F242DD">
        <w:rPr>
          <w:i/>
        </w:rPr>
        <w:t>40 мл/мин</w:t>
      </w:r>
      <w:r w:rsidRPr="00F242DD">
        <w:rPr>
          <w:i/>
        </w:rPr>
        <w:t>;</w:t>
      </w:r>
    </w:p>
    <w:p w14:paraId="59A688B7" w14:textId="77777777" w:rsidR="00131E36" w:rsidRPr="00F242DD" w:rsidRDefault="00D24853" w:rsidP="008033EF">
      <w:pPr>
        <w:pStyle w:val="a6"/>
        <w:spacing w:before="0" w:after="0"/>
        <w:ind w:left="0"/>
        <w:rPr>
          <w:i/>
        </w:rPr>
      </w:pPr>
      <w:r w:rsidRPr="00F242DD">
        <w:rPr>
          <w:i/>
        </w:rPr>
        <w:t>в) а</w:t>
      </w:r>
      <w:r w:rsidR="00131E36" w:rsidRPr="00F242DD">
        <w:rPr>
          <w:i/>
        </w:rPr>
        <w:t xml:space="preserve">немия: нормохромная нормоцитарная, </w:t>
      </w:r>
      <w:r w:rsidRPr="00F242DD">
        <w:rPr>
          <w:i/>
        </w:rPr>
        <w:t xml:space="preserve">уровень </w:t>
      </w:r>
      <w:r w:rsidR="00131E36" w:rsidRPr="00F242DD">
        <w:rPr>
          <w:i/>
        </w:rPr>
        <w:t>гемоглобин</w:t>
      </w:r>
      <w:r w:rsidRPr="00F242DD">
        <w:rPr>
          <w:i/>
        </w:rPr>
        <w:t>а</w:t>
      </w:r>
      <w:r w:rsidR="00131E36" w:rsidRPr="00F242DD">
        <w:rPr>
          <w:i/>
        </w:rPr>
        <w:t xml:space="preserve"> на 2 г/дл (20 г/л) меньше нижней границы нормы или &lt; 10 г/дл (&lt;100 г/л)</w:t>
      </w:r>
      <w:r w:rsidR="003B0311" w:rsidRPr="00F242DD">
        <w:rPr>
          <w:i/>
        </w:rPr>
        <w:t>;</w:t>
      </w:r>
    </w:p>
    <w:p w14:paraId="64D7B9B5" w14:textId="77777777" w:rsidR="00131E36" w:rsidRPr="00F242DD" w:rsidRDefault="003B0311" w:rsidP="008033EF">
      <w:pPr>
        <w:pStyle w:val="a6"/>
        <w:spacing w:before="0" w:after="0"/>
        <w:ind w:left="0"/>
        <w:rPr>
          <w:i/>
        </w:rPr>
      </w:pPr>
      <w:r w:rsidRPr="00F242DD">
        <w:rPr>
          <w:i/>
        </w:rPr>
        <w:t>г) 1</w:t>
      </w:r>
      <w:r w:rsidR="00131E36" w:rsidRPr="00F242DD">
        <w:rPr>
          <w:i/>
        </w:rPr>
        <w:t xml:space="preserve"> или более остеолитических очагов, в том числе подтвержд</w:t>
      </w:r>
      <w:r w:rsidRPr="00F242DD">
        <w:rPr>
          <w:i/>
        </w:rPr>
        <w:t>е</w:t>
      </w:r>
      <w:r w:rsidR="00131E36" w:rsidRPr="00F242DD">
        <w:rPr>
          <w:i/>
        </w:rPr>
        <w:t xml:space="preserve">нных данными рентгенографии костей, </w:t>
      </w:r>
      <w:r w:rsidRPr="00F242DD">
        <w:rPr>
          <w:i/>
        </w:rPr>
        <w:t>спиральной компьютерной томографии</w:t>
      </w:r>
      <w:r w:rsidR="00131E36" w:rsidRPr="00F242DD">
        <w:rPr>
          <w:i/>
        </w:rPr>
        <w:t xml:space="preserve"> или ПЭТ/КТ</w:t>
      </w:r>
      <w:r w:rsidRPr="00F242DD">
        <w:rPr>
          <w:i/>
        </w:rPr>
        <w:t>;</w:t>
      </w:r>
      <w:r w:rsidR="00131E36" w:rsidRPr="00F242DD">
        <w:rPr>
          <w:i/>
        </w:rPr>
        <w:t xml:space="preserve"> </w:t>
      </w:r>
    </w:p>
    <w:p w14:paraId="42FC3DCE" w14:textId="77777777" w:rsidR="00131E36" w:rsidRPr="00F242DD" w:rsidRDefault="003B0311" w:rsidP="008033EF">
      <w:pPr>
        <w:pStyle w:val="a6"/>
        <w:spacing w:before="0" w:after="0"/>
        <w:ind w:left="0"/>
        <w:rPr>
          <w:i/>
        </w:rPr>
      </w:pPr>
      <w:r w:rsidRPr="00F242DD">
        <w:rPr>
          <w:i/>
        </w:rPr>
        <w:t>д) к</w:t>
      </w:r>
      <w:r w:rsidR="00131E36" w:rsidRPr="00F242DD">
        <w:rPr>
          <w:i/>
        </w:rPr>
        <w:t xml:space="preserve">оличество клональных плазмоцитов в костном мозге </w:t>
      </w:r>
      <w:r w:rsidRPr="00F242DD">
        <w:rPr>
          <w:i/>
        </w:rPr>
        <w:t>&gt;</w:t>
      </w:r>
      <w:r w:rsidR="00131E36" w:rsidRPr="00F242DD">
        <w:rPr>
          <w:i/>
        </w:rPr>
        <w:t>60</w:t>
      </w:r>
      <w:r w:rsidRPr="00F242DD">
        <w:rPr>
          <w:i/>
        </w:rPr>
        <w:t> </w:t>
      </w:r>
      <w:r w:rsidR="00131E36" w:rsidRPr="00F242DD">
        <w:rPr>
          <w:i/>
        </w:rPr>
        <w:t>%</w:t>
      </w:r>
      <w:r w:rsidRPr="00F242DD">
        <w:rPr>
          <w:i/>
        </w:rPr>
        <w:t>;</w:t>
      </w:r>
    </w:p>
    <w:p w14:paraId="61DBD4A3" w14:textId="77777777" w:rsidR="00131E36" w:rsidRPr="00F242DD" w:rsidRDefault="003B0311" w:rsidP="008033EF">
      <w:pPr>
        <w:pStyle w:val="a6"/>
        <w:spacing w:before="0" w:after="0"/>
        <w:ind w:left="0"/>
        <w:rPr>
          <w:i/>
        </w:rPr>
      </w:pPr>
      <w:r w:rsidRPr="00F242DD">
        <w:rPr>
          <w:i/>
        </w:rPr>
        <w:t>е) н</w:t>
      </w:r>
      <w:r w:rsidR="00131E36" w:rsidRPr="00F242DD">
        <w:rPr>
          <w:i/>
        </w:rPr>
        <w:t xml:space="preserve">енормальное соотношение </w:t>
      </w:r>
      <w:r w:rsidR="004F0B51" w:rsidRPr="00F242DD">
        <w:rPr>
          <w:i/>
        </w:rPr>
        <w:t>свободных легких цепей (</w:t>
      </w:r>
      <w:r w:rsidR="00131E36" w:rsidRPr="00F242DD">
        <w:rPr>
          <w:i/>
        </w:rPr>
        <w:t>СЛЦ</w:t>
      </w:r>
      <w:r w:rsidR="004F0B51" w:rsidRPr="00F242DD">
        <w:rPr>
          <w:i/>
        </w:rPr>
        <w:t>)</w:t>
      </w:r>
      <w:r w:rsidR="00131E36" w:rsidRPr="00F242DD">
        <w:rPr>
          <w:i/>
        </w:rPr>
        <w:t>: ≥100 или ≤0,01</w:t>
      </w:r>
      <w:r w:rsidR="00785610" w:rsidRPr="00F242DD">
        <w:rPr>
          <w:i/>
        </w:rPr>
        <w:t>;</w:t>
      </w:r>
    </w:p>
    <w:p w14:paraId="49795206" w14:textId="4DAD75F8" w:rsidR="00131E36" w:rsidRPr="00F242DD" w:rsidRDefault="009A649F" w:rsidP="008033EF">
      <w:pPr>
        <w:pStyle w:val="a6"/>
        <w:spacing w:before="0" w:after="0"/>
        <w:ind w:left="0"/>
        <w:rPr>
          <w:i/>
        </w:rPr>
      </w:pPr>
      <w:r w:rsidRPr="00F242DD">
        <w:rPr>
          <w:i/>
        </w:rPr>
        <w:t>ж</w:t>
      </w:r>
      <w:r w:rsidR="00785610" w:rsidRPr="00F242DD">
        <w:rPr>
          <w:i/>
        </w:rPr>
        <w:t>) б</w:t>
      </w:r>
      <w:r w:rsidR="00131E36" w:rsidRPr="00F242DD">
        <w:rPr>
          <w:i/>
        </w:rPr>
        <w:t xml:space="preserve">олее </w:t>
      </w:r>
      <w:r w:rsidR="00785610" w:rsidRPr="00F242DD">
        <w:rPr>
          <w:i/>
        </w:rPr>
        <w:t>1</w:t>
      </w:r>
      <w:r w:rsidR="00791645">
        <w:rPr>
          <w:i/>
        </w:rPr>
        <w:t xml:space="preserve"> очага поражения </w:t>
      </w:r>
      <w:r w:rsidR="00131E36" w:rsidRPr="00F242DD">
        <w:rPr>
          <w:i/>
        </w:rPr>
        <w:t xml:space="preserve">костного мозга, выявленного при </w:t>
      </w:r>
      <w:r w:rsidR="00785610" w:rsidRPr="00F242DD">
        <w:rPr>
          <w:i/>
        </w:rPr>
        <w:t>магнитно-резонансной томографии</w:t>
      </w:r>
      <w:r w:rsidR="00131E36" w:rsidRPr="00F242DD">
        <w:rPr>
          <w:i/>
        </w:rPr>
        <w:t xml:space="preserve"> костей</w:t>
      </w:r>
      <w:r w:rsidR="00785610" w:rsidRPr="00F242DD">
        <w:rPr>
          <w:i/>
        </w:rPr>
        <w:t>.</w:t>
      </w:r>
    </w:p>
    <w:p w14:paraId="4E4C7DBB" w14:textId="77777777" w:rsidR="00131E36" w:rsidRPr="00F242DD" w:rsidRDefault="00131E36" w:rsidP="008033EF">
      <w:pPr>
        <w:pStyle w:val="a6"/>
        <w:numPr>
          <w:ilvl w:val="0"/>
          <w:numId w:val="56"/>
        </w:numPr>
        <w:spacing w:before="0" w:after="0"/>
        <w:ind w:left="0" w:firstLine="0"/>
        <w:rPr>
          <w:i/>
        </w:rPr>
      </w:pPr>
      <w:r w:rsidRPr="00F242DD">
        <w:rPr>
          <w:i/>
        </w:rPr>
        <w:t>Другие симптомы: гипервязкость, амилоидоз, частые бактериальные инфекции (&gt;2 эпизодов в течение 12 мес)</w:t>
      </w:r>
      <w:r w:rsidR="006B0B30" w:rsidRPr="00F242DD">
        <w:rPr>
          <w:i/>
        </w:rPr>
        <w:t>.</w:t>
      </w:r>
    </w:p>
    <w:p w14:paraId="678048B2" w14:textId="77777777" w:rsidR="00131E36" w:rsidRPr="00F242DD" w:rsidRDefault="00131E36" w:rsidP="008033EF">
      <w:pPr>
        <w:spacing w:before="0" w:after="0"/>
        <w:rPr>
          <w:i/>
        </w:rPr>
      </w:pPr>
      <w:r w:rsidRPr="00F242DD">
        <w:rPr>
          <w:i/>
        </w:rPr>
        <w:t xml:space="preserve">Для несекретирующей миеломы характерно выявление в пунктате костного мозга </w:t>
      </w:r>
      <w:r w:rsidR="006B0B30" w:rsidRPr="00F242DD">
        <w:rPr>
          <w:i/>
        </w:rPr>
        <w:t>≥</w:t>
      </w:r>
      <w:r w:rsidRPr="00F242DD">
        <w:rPr>
          <w:i/>
        </w:rPr>
        <w:t>10</w:t>
      </w:r>
      <w:r w:rsidR="006B0B30" w:rsidRPr="00F242DD">
        <w:rPr>
          <w:i/>
        </w:rPr>
        <w:t> </w:t>
      </w:r>
      <w:r w:rsidRPr="00F242DD">
        <w:rPr>
          <w:i/>
        </w:rPr>
        <w:t xml:space="preserve">% </w:t>
      </w:r>
      <w:r w:rsidR="006B0B30" w:rsidRPr="00F242DD">
        <w:rPr>
          <w:i/>
        </w:rPr>
        <w:t>ПК</w:t>
      </w:r>
      <w:r w:rsidR="00C57432" w:rsidRPr="00F242DD">
        <w:rPr>
          <w:i/>
        </w:rPr>
        <w:t xml:space="preserve">, а также </w:t>
      </w:r>
      <w:r w:rsidRPr="00F242DD">
        <w:rPr>
          <w:i/>
        </w:rPr>
        <w:t>признак</w:t>
      </w:r>
      <w:r w:rsidR="00C57432" w:rsidRPr="00F242DD">
        <w:rPr>
          <w:i/>
        </w:rPr>
        <w:t>ов</w:t>
      </w:r>
      <w:r w:rsidRPr="00F242DD">
        <w:rPr>
          <w:i/>
        </w:rPr>
        <w:t xml:space="preserve"> </w:t>
      </w:r>
      <w:r w:rsidRPr="00F242DD">
        <w:rPr>
          <w:i/>
          <w:lang w:val="en-US"/>
        </w:rPr>
        <w:t>CRAB</w:t>
      </w:r>
      <w:r w:rsidRPr="00F242DD">
        <w:rPr>
          <w:i/>
        </w:rPr>
        <w:t xml:space="preserve">-синдрома. Моноклонального протеина нет ни в сыворотке крови, ни в моче, что подтверждают результаты иммунофиксации. Увеличение </w:t>
      </w:r>
      <w:r w:rsidR="00C57432" w:rsidRPr="00F242DD">
        <w:rPr>
          <w:i/>
        </w:rPr>
        <w:t>СЛЦ</w:t>
      </w:r>
      <w:r w:rsidRPr="00F242DD">
        <w:rPr>
          <w:i/>
        </w:rPr>
        <w:t xml:space="preserve"> отмечается у 2/3 пациентов с несекретирующей ММ.</w:t>
      </w:r>
    </w:p>
    <w:p w14:paraId="3F71C5BB" w14:textId="77777777" w:rsidR="004D7374" w:rsidRPr="00F242DD" w:rsidRDefault="004D7374" w:rsidP="00E36DFA">
      <w:pPr>
        <w:pStyle w:val="2"/>
      </w:pPr>
      <w:bookmarkStart w:id="17" w:name="_Toc53140890"/>
      <w:r w:rsidRPr="00F242DD">
        <w:lastRenderedPageBreak/>
        <w:t>2.1 Жалобы и анамнез</w:t>
      </w:r>
      <w:bookmarkEnd w:id="17"/>
    </w:p>
    <w:p w14:paraId="0ABB7473" w14:textId="77777777" w:rsidR="004D7374" w:rsidRPr="00F242DD" w:rsidRDefault="004D7374" w:rsidP="00131E36">
      <w:pPr>
        <w:pStyle w:val="a6"/>
        <w:numPr>
          <w:ilvl w:val="0"/>
          <w:numId w:val="1"/>
        </w:numPr>
        <w:spacing w:before="0" w:after="0"/>
        <w:ind w:left="709"/>
      </w:pPr>
      <w:r w:rsidRPr="00F242DD">
        <w:t xml:space="preserve">У всех пациентов с подозрением на </w:t>
      </w:r>
      <w:r w:rsidR="00E80729" w:rsidRPr="00F242DD">
        <w:t>ММ</w:t>
      </w:r>
      <w:r w:rsidRPr="00F242DD">
        <w:t xml:space="preserve"> или выявленн</w:t>
      </w:r>
      <w:r w:rsidR="00E80729" w:rsidRPr="00F242DD">
        <w:t xml:space="preserve">ой ММ </w:t>
      </w:r>
      <w:r w:rsidRPr="00F242DD">
        <w:t xml:space="preserve">при первичном приеме </w:t>
      </w:r>
      <w:r w:rsidRPr="00F242DD">
        <w:rPr>
          <w:b/>
        </w:rPr>
        <w:t>рекомендуется</w:t>
      </w:r>
      <w:r w:rsidRPr="00F242DD">
        <w:t xml:space="preserve"> тщательный сбор</w:t>
      </w:r>
      <w:r w:rsidR="00BE70BE" w:rsidRPr="00F242DD">
        <w:t xml:space="preserve"> </w:t>
      </w:r>
      <w:r w:rsidR="00221203" w:rsidRPr="00F242DD">
        <w:t>жалоб и анамнеза при заболеваниях органов кроветворения и крови</w:t>
      </w:r>
      <w:r w:rsidR="00680CFC" w:rsidRPr="00F242DD">
        <w:t xml:space="preserve"> для верификации диагноза</w:t>
      </w:r>
      <w:r w:rsidR="00131E36" w:rsidRPr="00F242DD">
        <w:t xml:space="preserve"> </w:t>
      </w:r>
      <w:r w:rsidR="00A96FB6" w:rsidRPr="00F242DD">
        <w:fldChar w:fldCharType="begin" w:fldLock="1"/>
      </w:r>
      <w:r w:rsidR="00267DE2"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миелома","type":"chapter"},"uris":["http://www.mendeley.com/documents/?uuid=74f72d23-d025-4daa-a02d-40d14fc77cc4"]},{"id":"ITEM-2","itemData":{"DOI":"10.1038/leu.2008.291","ISSN":"1476-5551","PMID":"18971951","abstract":"New systems have emerged for diagnosis, staging and response assessment in multiple myeloma (MM). The diagnostic and response criteria recommended are primarily derived from the International Myeloma Working Group, with certain updates and clarifications. The International Staging System is the current standard for staging of myeloma. A new risk stratification model is provided to specifically define high-risk patients who may benefit from novel therapeutic strategies. This paper provides the current criteria for diagnosis, staging, risk stratification and response assessment of MM.","author":[{"dropping-particle":"","family":"Kyle","given":"R A","non-dropping-particle":"","parse-names":false,"suffix":""},{"dropping-particle":"V","family":"Rajkumar","given":"S","non-dropping-particle":"","parse-names":false,"suffix":""}],"container-title":"Leukemia","id":"ITEM-2","issue":"1","issued":{"date-parts":[["2009","1"]]},"page":"3-9","title":"Criteria for diagnosis, staging, risk stratification and response assessment of multiple myeloma.","type":"article-journal","volume":"23"},"uris":["http://www.mendeley.com/documents/?uuid=7769f5b6-e5a5-3505-9c33-44322e77a602"]},{"id":"ITEM-3","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Oncology","id":"ITEM-3","issue":"suppl_4","issued":{"date-parts":[["2017","7","1"]]},"page":"iv52-iv61","title":"Multiple myeloma: ESMO Clinical Practice Guidelines for diagnosis, treatment and follow-up.","type":"article-journal","volume":"28"},"uris":["http://www.mendeley.com/documents/?uuid=e710540c-71bd-39f6-a6ad-aa95562089c3"]}],"mendeley":{"formattedCitation":"[1,14,15]","plainTextFormattedCitation":"[1,14,15]","previouslyFormattedCitation":"[1,14,15]"},"properties":{"noteIndex":0},"schema":"https://github.com/citation-style-language/schema/raw/master/csl-citation.json"}</w:instrText>
      </w:r>
      <w:r w:rsidR="00A96FB6" w:rsidRPr="00F242DD">
        <w:fldChar w:fldCharType="separate"/>
      </w:r>
      <w:r w:rsidR="000D22CF" w:rsidRPr="00F242DD">
        <w:rPr>
          <w:noProof/>
        </w:rPr>
        <w:t>[1,14,15]</w:t>
      </w:r>
      <w:r w:rsidR="00A96FB6" w:rsidRPr="00F242DD">
        <w:fldChar w:fldCharType="end"/>
      </w:r>
      <w:r w:rsidR="00E05D8E" w:rsidRPr="00F242DD">
        <w:t>.</w:t>
      </w:r>
    </w:p>
    <w:p w14:paraId="546F0743" w14:textId="77777777" w:rsidR="004D7374" w:rsidRPr="00F242DD" w:rsidRDefault="00E05D8E" w:rsidP="00131E36">
      <w:pPr>
        <w:spacing w:before="0" w:after="0"/>
        <w:ind w:left="709"/>
        <w:rPr>
          <w:b/>
        </w:rPr>
      </w:pPr>
      <w:r w:rsidRPr="00F242DD">
        <w:rPr>
          <w:b/>
        </w:rPr>
        <w:t xml:space="preserve">Уровень убедительности рекомендаций </w:t>
      </w:r>
      <w:r w:rsidR="00FA247E" w:rsidRPr="00F242DD">
        <w:rPr>
          <w:b/>
        </w:rPr>
        <w:t xml:space="preserve">− </w:t>
      </w:r>
      <w:r w:rsidRPr="00F242DD">
        <w:rPr>
          <w:b/>
        </w:rPr>
        <w:t xml:space="preserve">С (уровень достоверности доказательств </w:t>
      </w:r>
      <w:r w:rsidR="00FA247E" w:rsidRPr="00F242DD">
        <w:rPr>
          <w:b/>
        </w:rPr>
        <w:t xml:space="preserve">− </w:t>
      </w:r>
      <w:r w:rsidRPr="00F242DD">
        <w:rPr>
          <w:b/>
        </w:rPr>
        <w:t>5)</w:t>
      </w:r>
    </w:p>
    <w:p w14:paraId="42768AFA" w14:textId="77777777" w:rsidR="004D7374" w:rsidRPr="00F242DD" w:rsidRDefault="004D7374" w:rsidP="00E36DFA">
      <w:pPr>
        <w:pStyle w:val="2"/>
      </w:pPr>
      <w:bookmarkStart w:id="18" w:name="_Toc53140891"/>
      <w:r w:rsidRPr="00F242DD">
        <w:t>2.2 Физикальное обследование</w:t>
      </w:r>
      <w:bookmarkEnd w:id="18"/>
    </w:p>
    <w:p w14:paraId="58BE7967" w14:textId="77777777" w:rsidR="004D7374" w:rsidRPr="00F242DD" w:rsidRDefault="004D7374" w:rsidP="00131E36">
      <w:pPr>
        <w:pStyle w:val="a6"/>
        <w:numPr>
          <w:ilvl w:val="0"/>
          <w:numId w:val="1"/>
        </w:numPr>
        <w:spacing w:before="0" w:after="0"/>
        <w:ind w:left="709" w:hanging="709"/>
      </w:pPr>
      <w:r w:rsidRPr="00F242DD">
        <w:t xml:space="preserve">У всех пациентов с подозрением на </w:t>
      </w:r>
      <w:r w:rsidR="00E80729" w:rsidRPr="00F242DD">
        <w:t>ММ</w:t>
      </w:r>
      <w:r w:rsidRPr="00F242DD">
        <w:t xml:space="preserve"> или выявленн</w:t>
      </w:r>
      <w:r w:rsidR="00E80729" w:rsidRPr="00F242DD">
        <w:t xml:space="preserve">ой ММ </w:t>
      </w:r>
      <w:r w:rsidRPr="00F242DD">
        <w:t xml:space="preserve">при первичном или повторном приеме, при контрольных обследованиях и при подозрении на рецидив заболевания </w:t>
      </w:r>
      <w:r w:rsidRPr="00F242DD">
        <w:rPr>
          <w:b/>
        </w:rPr>
        <w:t>рекомендуется</w:t>
      </w:r>
      <w:r w:rsidR="00BE70BE" w:rsidRPr="00F242DD">
        <w:rPr>
          <w:b/>
        </w:rPr>
        <w:t xml:space="preserve"> </w:t>
      </w:r>
      <w:r w:rsidR="00EB0D1B" w:rsidRPr="00F242DD">
        <w:t>выполнение визуального осмотра терапевтического, пальпации терапевтической и</w:t>
      </w:r>
      <w:r w:rsidR="00141689" w:rsidRPr="00F242DD">
        <w:t xml:space="preserve"> аускультации терапевтической, </w:t>
      </w:r>
      <w:r w:rsidRPr="00F242DD">
        <w:t xml:space="preserve">определение общего состояния по шкале ECOG, а также осмотр миндалин и полости рта для уточнения распространенности и тяжести течения </w:t>
      </w:r>
      <w:r w:rsidR="00582778" w:rsidRPr="00F242DD">
        <w:t>заболевани</w:t>
      </w:r>
      <w:r w:rsidR="00E05D8E" w:rsidRPr="00F242DD">
        <w:t>я</w:t>
      </w:r>
      <w:r w:rsidR="00131E36" w:rsidRPr="00F242DD">
        <w:t xml:space="preserve"> </w:t>
      </w:r>
      <w:r w:rsidR="00A96FB6" w:rsidRPr="00F242DD">
        <w:fldChar w:fldCharType="begin" w:fldLock="1"/>
      </w:r>
      <w:r w:rsidR="00267DE2"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миелома","type":"chapter"},"uris":["http://www.mendeley.com/documents/?uuid=74f72d23-d025-4daa-a02d-40d14fc77cc4"]},{"id":"ITEM-2","itemData":{"DOI":"10.1038/leu.2008.291","ISSN":"1476-5551","PMID":"18971951","abstract":"New systems have emerged for diagnosis, staging and response assessment in multiple myeloma (MM). The diagnostic and response criteria recommended are primarily derived from the International Myeloma Working Group, with certain updates and clarifications. The International Staging System is the current standard for staging of myeloma. A new risk stratification model is provided to specifically define high-risk patients who may benefit from novel therapeutic strategies. This paper provides the current criteria for diagnosis, staging, risk stratification and response assessment of MM.","author":[{"dropping-particle":"","family":"Kyle","given":"R A","non-dropping-particle":"","parse-names":false,"suffix":""},{"dropping-particle":"V","family":"Rajkumar","given":"S","non-dropping-particle":"","parse-names":false,"suffix":""}],"container-title":"Leukemia","id":"ITEM-2","issue":"1","issued":{"date-parts":[["2009","1"]]},"page":"3-9","title":"Criteria for diagnosis, staging, risk stratification and response assessment of multiple myeloma.","type":"article-journal","volume":"23"},"uris":["http://www.mendeley.com/documents/?uuid=7769f5b6-e5a5-3505-9c33-44322e77a602"]},{"id":"ITEM-3","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Oncology","id":"ITEM-3","issue":"suppl_4","issued":{"date-parts":[["2017","7","1"]]},"page":"iv52-iv61","title":"Multiple myeloma: ESMO Clinical Practice Guidelines for diagnosis, treatment and follow-up.","type":"article-journal","volume":"28"},"uris":["http://www.mendeley.com/documents/?uuid=e710540c-71bd-39f6-a6ad-aa95562089c3"]}],"mendeley":{"formattedCitation":"[1,14,15]","plainTextFormattedCitation":"[1,14,15]","previouslyFormattedCitation":"[1,14,15]"},"properties":{"noteIndex":0},"schema":"https://github.com/citation-style-language/schema/raw/master/csl-citation.json"}</w:instrText>
      </w:r>
      <w:r w:rsidR="00A96FB6" w:rsidRPr="00F242DD">
        <w:fldChar w:fldCharType="separate"/>
      </w:r>
      <w:r w:rsidR="000D22CF" w:rsidRPr="00F242DD">
        <w:rPr>
          <w:noProof/>
        </w:rPr>
        <w:t>[1,14,15]</w:t>
      </w:r>
      <w:r w:rsidR="00A96FB6" w:rsidRPr="00F242DD">
        <w:fldChar w:fldCharType="end"/>
      </w:r>
      <w:r w:rsidR="00E05D8E" w:rsidRPr="00F242DD">
        <w:t>.</w:t>
      </w:r>
    </w:p>
    <w:p w14:paraId="1E44436E" w14:textId="77777777" w:rsidR="001837F9" w:rsidRPr="00F242DD" w:rsidRDefault="00E05D8E" w:rsidP="00131E36">
      <w:pPr>
        <w:spacing w:before="0" w:after="0"/>
        <w:ind w:left="709"/>
        <w:rPr>
          <w:b/>
        </w:rPr>
      </w:pPr>
      <w:r w:rsidRPr="00F242DD">
        <w:rPr>
          <w:b/>
        </w:rPr>
        <w:t xml:space="preserve">Уровень убедительности рекомендаций </w:t>
      </w:r>
      <w:r w:rsidR="001837F9" w:rsidRPr="00F242DD">
        <w:rPr>
          <w:b/>
        </w:rPr>
        <w:t xml:space="preserve">− </w:t>
      </w:r>
      <w:r w:rsidRPr="00F242DD">
        <w:rPr>
          <w:b/>
        </w:rPr>
        <w:t xml:space="preserve">С (уровень достоверности доказательств </w:t>
      </w:r>
      <w:r w:rsidR="001837F9" w:rsidRPr="00F242DD">
        <w:rPr>
          <w:b/>
        </w:rPr>
        <w:t xml:space="preserve">− </w:t>
      </w:r>
      <w:r w:rsidRPr="00F242DD">
        <w:rPr>
          <w:b/>
        </w:rPr>
        <w:t>5)</w:t>
      </w:r>
    </w:p>
    <w:p w14:paraId="3BDB92BA" w14:textId="77777777" w:rsidR="00EB0D1B" w:rsidRPr="00F242DD" w:rsidRDefault="00EB0D1B" w:rsidP="00131E36">
      <w:pPr>
        <w:spacing w:before="0" w:after="0"/>
        <w:ind w:left="709"/>
        <w:rPr>
          <w:i/>
        </w:rPr>
      </w:pPr>
      <w:r w:rsidRPr="00F242DD">
        <w:rPr>
          <w:b/>
        </w:rPr>
        <w:t>Комментари</w:t>
      </w:r>
      <w:r w:rsidR="001837F9" w:rsidRPr="00F242DD">
        <w:rPr>
          <w:b/>
        </w:rPr>
        <w:t>й</w:t>
      </w:r>
      <w:r w:rsidRPr="00F242DD">
        <w:rPr>
          <w:b/>
        </w:rPr>
        <w:t>:</w:t>
      </w:r>
      <w:r w:rsidR="00FC7F2E" w:rsidRPr="00F242DD">
        <w:rPr>
          <w:b/>
        </w:rPr>
        <w:t xml:space="preserve"> </w:t>
      </w:r>
      <w:r w:rsidR="00131E36" w:rsidRPr="00F242DD">
        <w:rPr>
          <w:i/>
        </w:rPr>
        <w:t xml:space="preserve">при </w:t>
      </w:r>
      <w:r w:rsidRPr="00F242DD">
        <w:rPr>
          <w:i/>
        </w:rPr>
        <w:t xml:space="preserve">осмотре необходимо оценить общее состояние пациента по шкале </w:t>
      </w:r>
      <w:r w:rsidRPr="00F242DD">
        <w:rPr>
          <w:i/>
          <w:lang w:val="en-US"/>
        </w:rPr>
        <w:t>ECOG</w:t>
      </w:r>
      <w:r w:rsidRPr="00F242DD">
        <w:rPr>
          <w:i/>
        </w:rPr>
        <w:t xml:space="preserve"> (см. приложение Г1), а также осмотреть миндалины и полость рта; пальпация должна включать в себя </w:t>
      </w:r>
      <w:r w:rsidR="00FC7F2E" w:rsidRPr="00F242DD">
        <w:rPr>
          <w:i/>
        </w:rPr>
        <w:t xml:space="preserve">пальпацию доступных групп </w:t>
      </w:r>
      <w:r w:rsidRPr="00F242DD">
        <w:rPr>
          <w:i/>
        </w:rPr>
        <w:t>периферических лимфатических узлов, печени, селезенки.</w:t>
      </w:r>
    </w:p>
    <w:p w14:paraId="7198B326" w14:textId="77777777" w:rsidR="0045054E" w:rsidRPr="00F242DD" w:rsidRDefault="00807232" w:rsidP="00E36DFA">
      <w:pPr>
        <w:pStyle w:val="2"/>
      </w:pPr>
      <w:bookmarkStart w:id="19" w:name="_Toc53140892"/>
      <w:r w:rsidRPr="00F242DD">
        <w:t xml:space="preserve">2.3 </w:t>
      </w:r>
      <w:r w:rsidR="004D7374" w:rsidRPr="00F242DD">
        <w:t>Лабораторн</w:t>
      </w:r>
      <w:r w:rsidR="00B255C9" w:rsidRPr="00F242DD">
        <w:t>ые диагностические исследования</w:t>
      </w:r>
      <w:bookmarkEnd w:id="19"/>
    </w:p>
    <w:p w14:paraId="0A1DA0E2" w14:textId="77777777" w:rsidR="00BE4440" w:rsidRPr="00F242DD" w:rsidRDefault="00BE4440" w:rsidP="00993359">
      <w:pPr>
        <w:pStyle w:val="a6"/>
        <w:numPr>
          <w:ilvl w:val="0"/>
          <w:numId w:val="2"/>
        </w:numPr>
        <w:spacing w:before="0" w:after="0"/>
        <w:ind w:left="284" w:hanging="284"/>
      </w:pPr>
      <w:r w:rsidRPr="00F242DD">
        <w:t xml:space="preserve">Всем пациентам с подозрением на ММ или выявленной ММ при первичном или повторном приеме, при контрольных обследованиях и при подозрении на рецидив заболевания </w:t>
      </w:r>
      <w:r w:rsidRPr="00F242DD">
        <w:rPr>
          <w:b/>
        </w:rPr>
        <w:t>рекомендуется</w:t>
      </w:r>
      <w:r w:rsidRPr="00F242DD">
        <w:t xml:space="preserve"> для уточнения состояния пациента, выработки адекватной терапевтической тактики и/или (в случае ранее проведенной терапии) </w:t>
      </w:r>
      <w:r w:rsidR="00B66CBC" w:rsidRPr="00F242DD">
        <w:t xml:space="preserve">при </w:t>
      </w:r>
      <w:r w:rsidRPr="00F242DD">
        <w:t>развити</w:t>
      </w:r>
      <w:r w:rsidR="00B66CBC" w:rsidRPr="00F242DD">
        <w:t>и</w:t>
      </w:r>
      <w:r w:rsidRPr="00F242DD">
        <w:t xml:space="preserve"> нежелательных явлений лечения выполнить следующие лабораторные исследования:</w:t>
      </w:r>
    </w:p>
    <w:p w14:paraId="2DB1BD1E" w14:textId="410A0BFC" w:rsidR="00BE4440" w:rsidRPr="00F242DD" w:rsidRDefault="00BE4440" w:rsidP="00993359">
      <w:pPr>
        <w:pStyle w:val="a6"/>
        <w:numPr>
          <w:ilvl w:val="2"/>
          <w:numId w:val="2"/>
        </w:numPr>
        <w:spacing w:before="0" w:after="0"/>
        <w:ind w:left="284" w:hanging="284"/>
      </w:pPr>
      <w:r w:rsidRPr="00F242DD">
        <w:t xml:space="preserve">развернутый клинический анализ крови с определением </w:t>
      </w:r>
      <w:r w:rsidR="00B66CBC" w:rsidRPr="00F242DD">
        <w:t xml:space="preserve">уровней </w:t>
      </w:r>
      <w:r w:rsidRPr="00F242DD">
        <w:t>гемоглобина, эритроцитов, тромбоцитов, лейкоцитов, подсчетом лейкоцитарной формулы и количества ретикулоцитов</w:t>
      </w:r>
      <w:r w:rsidR="00D47D9A">
        <w:t xml:space="preserve">, </w:t>
      </w:r>
      <w:r w:rsidR="00D47D9A" w:rsidRPr="00F5033E">
        <w:t>СОЭ</w:t>
      </w:r>
      <w:r w:rsidRPr="00F242DD">
        <w:t xml:space="preserve"> </w:t>
      </w:r>
      <w:r w:rsidR="00A96FB6" w:rsidRPr="00F242DD">
        <w:fldChar w:fldCharType="begin" w:fldLock="1"/>
      </w:r>
      <w:r w:rsidR="00267DE2"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rsidRPr="00F242DD">
        <w:fldChar w:fldCharType="separate"/>
      </w:r>
      <w:r w:rsidR="000D22CF" w:rsidRPr="00F242DD">
        <w:rPr>
          <w:noProof/>
        </w:rPr>
        <w:t>[1,15,16]</w:t>
      </w:r>
      <w:r w:rsidR="00A96FB6" w:rsidRPr="00F242DD">
        <w:fldChar w:fldCharType="end"/>
      </w:r>
      <w:r w:rsidRPr="00F242DD">
        <w:t>;</w:t>
      </w:r>
    </w:p>
    <w:p w14:paraId="16B0F886" w14:textId="77777777" w:rsidR="00BE4440" w:rsidRPr="00F242DD" w:rsidRDefault="00BE4440" w:rsidP="00993359">
      <w:pPr>
        <w:pStyle w:val="a6"/>
        <w:numPr>
          <w:ilvl w:val="2"/>
          <w:numId w:val="2"/>
        </w:numPr>
        <w:spacing w:before="0" w:after="0"/>
        <w:ind w:left="284" w:hanging="284"/>
      </w:pPr>
      <w:r w:rsidRPr="00F242DD">
        <w:t xml:space="preserve">общий (клинический) анализ мочи </w:t>
      </w:r>
      <w:r w:rsidR="00A96FB6" w:rsidRPr="00F242DD">
        <w:fldChar w:fldCharType="begin" w:fldLock="1"/>
      </w:r>
      <w:r w:rsidR="00267DE2"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rsidRPr="00F242DD">
        <w:fldChar w:fldCharType="separate"/>
      </w:r>
      <w:r w:rsidR="000D22CF" w:rsidRPr="00F242DD">
        <w:rPr>
          <w:noProof/>
        </w:rPr>
        <w:t>[1,15,16]</w:t>
      </w:r>
      <w:r w:rsidR="00A96FB6" w:rsidRPr="00F242DD">
        <w:fldChar w:fldCharType="end"/>
      </w:r>
      <w:r w:rsidR="004F7ADD" w:rsidRPr="00F242DD">
        <w:t>;</w:t>
      </w:r>
    </w:p>
    <w:p w14:paraId="1E3AF13E" w14:textId="77777777" w:rsidR="00807232" w:rsidRPr="00F242DD" w:rsidRDefault="00807232" w:rsidP="00993359">
      <w:pPr>
        <w:pStyle w:val="a6"/>
        <w:numPr>
          <w:ilvl w:val="2"/>
          <w:numId w:val="2"/>
        </w:numPr>
        <w:spacing w:before="0" w:after="0"/>
        <w:ind w:left="284" w:hanging="284"/>
      </w:pPr>
      <w:r w:rsidRPr="00F242DD">
        <w:t xml:space="preserve">определение количества белка в суточной моче </w:t>
      </w:r>
      <w:r w:rsidR="00A96FB6" w:rsidRPr="00F242DD">
        <w:fldChar w:fldCharType="begin" w:fldLock="1"/>
      </w:r>
      <w:r w:rsidR="00267DE2"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rsidRPr="00F242DD">
        <w:fldChar w:fldCharType="separate"/>
      </w:r>
      <w:r w:rsidR="000D22CF" w:rsidRPr="00F242DD">
        <w:rPr>
          <w:noProof/>
        </w:rPr>
        <w:t>[1,15,16]</w:t>
      </w:r>
      <w:r w:rsidR="00A96FB6" w:rsidRPr="00F242DD">
        <w:fldChar w:fldCharType="end"/>
      </w:r>
      <w:r w:rsidRPr="00F242DD">
        <w:t>;</w:t>
      </w:r>
    </w:p>
    <w:p w14:paraId="564592B7" w14:textId="77777777" w:rsidR="00BE4440" w:rsidRPr="00F242DD" w:rsidRDefault="00BE4440" w:rsidP="00993359">
      <w:pPr>
        <w:pStyle w:val="a6"/>
        <w:numPr>
          <w:ilvl w:val="2"/>
          <w:numId w:val="2"/>
        </w:numPr>
        <w:spacing w:before="0" w:after="0"/>
        <w:ind w:left="284" w:hanging="284"/>
      </w:pPr>
      <w:r w:rsidRPr="00F242DD">
        <w:t xml:space="preserve">биохимический анализ крови (общий белок, альбумин, ЛДГ, мочевина, креатинин, билирубин, </w:t>
      </w:r>
      <w:r w:rsidR="00B66CBC" w:rsidRPr="00F242DD">
        <w:t>аспартатаминотрансфераза</w:t>
      </w:r>
      <w:r w:rsidRPr="00F242DD">
        <w:t xml:space="preserve">, </w:t>
      </w:r>
      <w:r w:rsidR="00903F68" w:rsidRPr="00F242DD">
        <w:t>аланинаминотрансфераза</w:t>
      </w:r>
      <w:r w:rsidRPr="00F242DD">
        <w:t xml:space="preserve">, щелочная фосфатаза, кальций, калий) </w:t>
      </w:r>
      <w:r w:rsidR="00A96FB6" w:rsidRPr="00F242DD">
        <w:fldChar w:fldCharType="begin" w:fldLock="1"/>
      </w:r>
      <w:r w:rsidR="00267DE2"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rsidRPr="00F242DD">
        <w:fldChar w:fldCharType="separate"/>
      </w:r>
      <w:r w:rsidR="000D22CF" w:rsidRPr="00F242DD">
        <w:rPr>
          <w:noProof/>
        </w:rPr>
        <w:t>[1,15,16]</w:t>
      </w:r>
      <w:r w:rsidR="00A96FB6" w:rsidRPr="00F242DD">
        <w:fldChar w:fldCharType="end"/>
      </w:r>
      <w:r w:rsidR="004F7ADD" w:rsidRPr="00F242DD">
        <w:t>;</w:t>
      </w:r>
    </w:p>
    <w:p w14:paraId="461A635A" w14:textId="77777777" w:rsidR="00BE4440" w:rsidRPr="00F242DD" w:rsidRDefault="00BE4440" w:rsidP="00993359">
      <w:pPr>
        <w:pStyle w:val="a6"/>
        <w:numPr>
          <w:ilvl w:val="2"/>
          <w:numId w:val="2"/>
        </w:numPr>
        <w:spacing w:before="0" w:after="0"/>
        <w:ind w:left="284" w:hanging="284"/>
      </w:pPr>
      <w:r w:rsidRPr="00F242DD">
        <w:lastRenderedPageBreak/>
        <w:t>коагулограмм</w:t>
      </w:r>
      <w:r w:rsidR="00903F68" w:rsidRPr="00F242DD">
        <w:t>у</w:t>
      </w:r>
      <w:r w:rsidRPr="00F242DD">
        <w:t xml:space="preserve"> (ориентировочное исследование системы гемостаза) с включением следующих параметров: </w:t>
      </w:r>
      <w:r w:rsidRPr="00F242DD">
        <w:rPr>
          <w:i/>
        </w:rPr>
        <w:t xml:space="preserve">протромбин, </w:t>
      </w:r>
      <w:r w:rsidR="00903F68" w:rsidRPr="00F242DD">
        <w:rPr>
          <w:i/>
        </w:rPr>
        <w:t>международное нормализованное отношение</w:t>
      </w:r>
      <w:r w:rsidRPr="00F242DD">
        <w:rPr>
          <w:i/>
        </w:rPr>
        <w:t xml:space="preserve">, </w:t>
      </w:r>
      <w:r w:rsidR="00903F68" w:rsidRPr="00F242DD">
        <w:rPr>
          <w:i/>
        </w:rPr>
        <w:t>активированное частичное тромбопластиновое время</w:t>
      </w:r>
      <w:r w:rsidRPr="00F242DD">
        <w:rPr>
          <w:i/>
        </w:rPr>
        <w:t xml:space="preserve">, фибриноген, тромбиновое время, антитромбин </w:t>
      </w:r>
      <w:r w:rsidRPr="00F242DD">
        <w:rPr>
          <w:i/>
          <w:lang w:val="en-US"/>
        </w:rPr>
        <w:t>III</w:t>
      </w:r>
      <w:r w:rsidRPr="00F242DD">
        <w:rPr>
          <w:i/>
        </w:rPr>
        <w:t xml:space="preserve">, плазминоген </w:t>
      </w:r>
      <w:r w:rsidR="00A96FB6" w:rsidRPr="00F242DD">
        <w:fldChar w:fldCharType="begin" w:fldLock="1"/>
      </w:r>
      <w:r w:rsidR="00267DE2"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follow-up.","type":"article-journal","volume":"28"},"uris":["http://www.mendeley.com/documents/?uuid=e710540c-71bd-39f6-a6ad-aa95562089c3"]},{"id":"ITEM-3","itemData":{"DOI":"10.1055/s-0031-1297372","ISSN":"1098-9064","PMID":"22198858","abstract":"A variety of disease- and treatment-related factors affect the coagulation system and the risk of bleeding and thrombotic complications in patients with multiple myeloma (MM) and related plasma cell disorders (PCD). As commonly observed in other cancer settings, the malignant clone induces a cytokine environment responsible for a hypercoagulable state. The increase of blood viscosity and impairment of platelet and coagulation function due to circulating monoclonal proteins are considered key mechanisms in the hemostatic abnormalities frequently detected in patients with PCD. However, clinically significant bleeding is relatively rare and poorly correlated with these abnormalities. Management is often challenging because of the multifactorial pathogenesis and underestimation or misdiagnosis of acquired bleeding disorders, particularly acquired von Willebrand syndrome. In recent years, growing interest in thromboembolic risk has emerged after the introduction of novel and more effective antimyeloma agents (thalidomide and lenalidomide), which was associated with increased risk of venous thromboembolism, particularly when associated with dexamethasone and multiagent chemotherapy in newly diagnosed patients. The clinical impact of bleeding and thrombotic complications in patients with PCD, with emphasis on MM, will be discussed in this review, reporting the current knowledge about pathophysiologic mechanisms and implications for management.","author":[{"dropping-particle":"","family":"Coppola","given":"Antonio","non-dropping-particle":"","parse-names":false,"suffix":""},{"dropping-particle":"","family":"Tufano","given":"Antonella","non-dropping-particle":"","parse-names":false,"suffix":""},{"dropping-particle":"","family":"Capua","given":"Mirko","non-dropping-particle":"Di","parse-names":false,"suffix":""},{"dropping-particle":"","family":"Franchini","given":"Massimo","non-dropping-particle":"","parse-names":false,"suffix":""}],"container-title":"Seminars in thrombosis and hemostasis","id":"ITEM-3","issue":"8","issued":{"date-parts":[["2011","11"]]},"page":"929-45","title":"Bleeding and thrombosis in multiple myeloma and related plasma cell disorders.","type":"article-journal","volume":"37"},"uris":["http://www.mendeley.com/documents/?uuid=7eaf4086-3784-3f75-b1be-403b2976e310"]},{"id":"ITEM-4","itemData":{"DOI":"10.1016/S1470-2045(14)70442-5","ISSN":"14745488","abstract":"This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Oncology","id":"ITEM-4","issue":"12","issued":{"date-parts":[["2014","11","1"]]},"page":"e538-e548","publisher":"Lancet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17]","plainTextFormattedCitation":"[1,15–17]","previouslyFormattedCitation":"[1,15–17]"},"properties":{"noteIndex":0},"schema":"https://github.com/citation-style-language/schema/raw/master/csl-citation.json"}</w:instrText>
      </w:r>
      <w:r w:rsidR="00A96FB6" w:rsidRPr="00F242DD">
        <w:fldChar w:fldCharType="separate"/>
      </w:r>
      <w:r w:rsidR="000D22CF" w:rsidRPr="00F242DD">
        <w:rPr>
          <w:noProof/>
        </w:rPr>
        <w:t>[1,15–17]</w:t>
      </w:r>
      <w:r w:rsidR="00A96FB6" w:rsidRPr="00F242DD">
        <w:fldChar w:fldCharType="end"/>
      </w:r>
      <w:r w:rsidR="00807232" w:rsidRPr="00F242DD">
        <w:t>.</w:t>
      </w:r>
    </w:p>
    <w:p w14:paraId="7D624A9C" w14:textId="77777777" w:rsidR="00BE4440" w:rsidRPr="00F242DD" w:rsidRDefault="00BE4440" w:rsidP="00BE4440">
      <w:pPr>
        <w:spacing w:before="0" w:after="0"/>
        <w:ind w:left="709"/>
        <w:contextualSpacing/>
        <w:rPr>
          <w:b/>
        </w:rPr>
      </w:pPr>
      <w:r w:rsidRPr="00F242DD">
        <w:rPr>
          <w:b/>
        </w:rPr>
        <w:t xml:space="preserve">Уровень убедительности рекомендаций </w:t>
      </w:r>
      <w:r w:rsidR="00536161" w:rsidRPr="00F242DD">
        <w:rPr>
          <w:b/>
        </w:rPr>
        <w:t xml:space="preserve">− </w:t>
      </w:r>
      <w:r w:rsidRPr="00F242DD">
        <w:rPr>
          <w:b/>
        </w:rPr>
        <w:t xml:space="preserve">С (уровень достоверности доказательств </w:t>
      </w:r>
      <w:r w:rsidR="00536161" w:rsidRPr="00F242DD">
        <w:rPr>
          <w:b/>
        </w:rPr>
        <w:t xml:space="preserve">− </w:t>
      </w:r>
      <w:r w:rsidRPr="00F242DD">
        <w:rPr>
          <w:b/>
        </w:rPr>
        <w:t>5)</w:t>
      </w:r>
    </w:p>
    <w:p w14:paraId="3ED5377C" w14:textId="77777777" w:rsidR="00A943DF" w:rsidRPr="00F242DD" w:rsidRDefault="00A943DF" w:rsidP="00131E36">
      <w:pPr>
        <w:pStyle w:val="a6"/>
        <w:numPr>
          <w:ilvl w:val="1"/>
          <w:numId w:val="2"/>
        </w:numPr>
        <w:spacing w:before="0" w:after="0"/>
        <w:ind w:left="709" w:hanging="709"/>
      </w:pPr>
      <w:r w:rsidRPr="00F242DD">
        <w:t xml:space="preserve">Всем пациентам с подозрением на ММ или выявленной ММ при первичном или повторном приеме, при контрольных обследованиях и при подозрении на рецидив заболевания </w:t>
      </w:r>
      <w:r w:rsidRPr="00F242DD">
        <w:rPr>
          <w:b/>
        </w:rPr>
        <w:t>рекомендуется</w:t>
      </w:r>
      <w:r w:rsidRPr="00F242DD">
        <w:t xml:space="preserve"> определить</w:t>
      </w:r>
      <w:r w:rsidR="00C91E36" w:rsidRPr="00F242DD">
        <w:t xml:space="preserve"> клиренс креатинина и</w:t>
      </w:r>
      <w:r w:rsidRPr="00F242DD">
        <w:t xml:space="preserve"> скорость клубочковой фильтрации расчетным методом по формулам СКD-EPI или MDRD для уточнения состояния </w:t>
      </w:r>
      <w:r w:rsidR="004124AD" w:rsidRPr="00F242DD">
        <w:t>функции почек</w:t>
      </w:r>
      <w:r w:rsidRPr="00F242DD">
        <w:t xml:space="preserve"> и</w:t>
      </w:r>
      <w:r w:rsidR="004124AD" w:rsidRPr="00F242DD">
        <w:t xml:space="preserve"> определения необходимости модификации терапии или доз препаратов при наличии почечной недостаточности</w:t>
      </w:r>
      <w:r w:rsidR="00F80ECB" w:rsidRPr="00F242DD">
        <w:t xml:space="preserve"> и/или определения показаний к назначению гемодиализа</w:t>
      </w:r>
      <w:r w:rsidRPr="00F242DD">
        <w:t xml:space="preserve"> </w:t>
      </w:r>
      <w:r w:rsidR="00A96FB6" w:rsidRPr="00F242DD">
        <w:fldChar w:fldCharType="begin" w:fldLock="1"/>
      </w:r>
      <w:r w:rsidR="00267DE2"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rsidRPr="00F242DD">
        <w:fldChar w:fldCharType="separate"/>
      </w:r>
      <w:r w:rsidR="000D22CF" w:rsidRPr="00F242DD">
        <w:rPr>
          <w:noProof/>
        </w:rPr>
        <w:t>[1,15,16]</w:t>
      </w:r>
      <w:r w:rsidR="00A96FB6" w:rsidRPr="00F242DD">
        <w:fldChar w:fldCharType="end"/>
      </w:r>
      <w:r w:rsidRPr="00F242DD">
        <w:t>.</w:t>
      </w:r>
    </w:p>
    <w:p w14:paraId="14BE70C8" w14:textId="77777777" w:rsidR="00786F4D" w:rsidRPr="00F242DD" w:rsidRDefault="00786F4D" w:rsidP="00786F4D">
      <w:pPr>
        <w:pStyle w:val="a6"/>
        <w:spacing w:before="0" w:after="0"/>
        <w:ind w:left="705"/>
        <w:rPr>
          <w:b/>
        </w:rPr>
      </w:pPr>
      <w:r w:rsidRPr="00F242DD">
        <w:rPr>
          <w:b/>
        </w:rPr>
        <w:t xml:space="preserve">Уровень убедительности рекомендаций </w:t>
      </w:r>
      <w:r w:rsidR="00536161" w:rsidRPr="00F242DD">
        <w:rPr>
          <w:b/>
        </w:rPr>
        <w:t xml:space="preserve">− </w:t>
      </w:r>
      <w:r w:rsidRPr="00F242DD">
        <w:rPr>
          <w:b/>
        </w:rPr>
        <w:t xml:space="preserve">С (уровень достоверности доказательств </w:t>
      </w:r>
      <w:r w:rsidR="00536161" w:rsidRPr="00F242DD">
        <w:rPr>
          <w:b/>
        </w:rPr>
        <w:t xml:space="preserve">− </w:t>
      </w:r>
      <w:r w:rsidRPr="00F242DD">
        <w:rPr>
          <w:b/>
        </w:rPr>
        <w:t>5)</w:t>
      </w:r>
    </w:p>
    <w:p w14:paraId="68F96F3D" w14:textId="77777777" w:rsidR="00F80ECB" w:rsidRPr="00F242DD" w:rsidRDefault="00F80ECB" w:rsidP="00131E36">
      <w:pPr>
        <w:pStyle w:val="a6"/>
        <w:spacing w:before="0" w:after="0"/>
        <w:ind w:left="709"/>
      </w:pPr>
      <w:r w:rsidRPr="00F242DD">
        <w:rPr>
          <w:b/>
        </w:rPr>
        <w:t>Комментари</w:t>
      </w:r>
      <w:r w:rsidR="00536161" w:rsidRPr="00F242DD">
        <w:rPr>
          <w:b/>
        </w:rPr>
        <w:t>й</w:t>
      </w:r>
      <w:r w:rsidRPr="00F242DD">
        <w:rPr>
          <w:b/>
        </w:rPr>
        <w:t>:</w:t>
      </w:r>
      <w:r w:rsidR="00A25036" w:rsidRPr="00F242DD">
        <w:rPr>
          <w:b/>
        </w:rPr>
        <w:t xml:space="preserve"> </w:t>
      </w:r>
      <w:r w:rsidR="00A25036" w:rsidRPr="00F242DD">
        <w:rPr>
          <w:i/>
        </w:rPr>
        <w:t xml:space="preserve">рекомендации </w:t>
      </w:r>
      <w:r w:rsidRPr="00F242DD">
        <w:rPr>
          <w:i/>
        </w:rPr>
        <w:t>по коррекции дозы леналидомида</w:t>
      </w:r>
      <w:r w:rsidR="006E7B15" w:rsidRPr="00F242DD">
        <w:rPr>
          <w:i/>
        </w:rPr>
        <w:t>**</w:t>
      </w:r>
      <w:r w:rsidRPr="00F242DD">
        <w:rPr>
          <w:i/>
        </w:rPr>
        <w:t xml:space="preserve"> в зависимости от функции почек – см. приложение </w:t>
      </w:r>
      <w:r w:rsidR="00C812D6" w:rsidRPr="00F242DD">
        <w:rPr>
          <w:i/>
        </w:rPr>
        <w:t>А3.2</w:t>
      </w:r>
      <w:r w:rsidRPr="00F242DD">
        <w:rPr>
          <w:i/>
        </w:rPr>
        <w:t>.</w:t>
      </w:r>
    </w:p>
    <w:p w14:paraId="442D550C" w14:textId="77777777" w:rsidR="00786F4D" w:rsidRPr="00F242DD" w:rsidRDefault="00786F4D" w:rsidP="00131E36">
      <w:pPr>
        <w:pStyle w:val="a6"/>
        <w:numPr>
          <w:ilvl w:val="1"/>
          <w:numId w:val="2"/>
        </w:numPr>
        <w:spacing w:before="0" w:after="0"/>
        <w:ind w:left="709" w:hanging="709"/>
      </w:pPr>
      <w:r w:rsidRPr="00F242DD">
        <w:t xml:space="preserve">Всем пациентам с подозрением на ММ или выявленной ММ при первичном или повторном приеме, при контрольных обследованиях и при подозрении на рецидив заболевания </w:t>
      </w:r>
      <w:r w:rsidRPr="00F242DD">
        <w:rPr>
          <w:b/>
        </w:rPr>
        <w:t>рекомендуется</w:t>
      </w:r>
      <w:r w:rsidRPr="00F242DD">
        <w:t xml:space="preserve"> для уточнения активности основного заболевания или для оценки ответа на терапию выполнить следующие обследования:</w:t>
      </w:r>
    </w:p>
    <w:p w14:paraId="2509A7FF" w14:textId="27D82C48" w:rsidR="00031CDE" w:rsidRDefault="00786F4D" w:rsidP="00786F4D">
      <w:pPr>
        <w:pStyle w:val="a6"/>
        <w:numPr>
          <w:ilvl w:val="2"/>
          <w:numId w:val="2"/>
        </w:numPr>
        <w:spacing w:before="0" w:after="0"/>
      </w:pPr>
      <w:r w:rsidRPr="00F242DD">
        <w:t>определить соотношение белковых фракций в крови</w:t>
      </w:r>
      <w:r w:rsidR="00E56A54" w:rsidRPr="00F242DD">
        <w:t xml:space="preserve"> (кроме пациентов с несекретирующей, вялотекущей миеломой и миеломой легких цепей)</w:t>
      </w:r>
      <w:r w:rsidRPr="00F242DD">
        <w:t xml:space="preserve"> и моче методом электрофореза с количественным определением моноклонального и поликлональных иммуноглобулинов </w:t>
      </w:r>
      <w:r w:rsidR="00031CDE" w:rsidRPr="00F242DD">
        <w:fldChar w:fldCharType="begin" w:fldLock="1"/>
      </w:r>
      <w:r w:rsidR="00031CDE"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myeloma","type":"article","volume":"15"},"uris":["http://www.mendeley.com/documents/?uuid=654583c8-45f6-3f26-ba19-0e6818b2cabf"]},{"id":"ITEM-4","itemData":{"DOI":"10.7860/JCDR/2012/4213.2532","ISSN":"2249782X","abstract":"BACKGROUND Multiple Myeloma (M.M) is a neoplasm of B cell lineage characterized by excessive proliferation of abnormal plasma cells, secreting abnormal immunoglobulin causing monoclonal gammopathy which can be detected by the presence of M protein in serum and urine electrophoresis. AIM To detect and quantify monoclonal gammopathy in suspected cases of multiple myeloma and to differentiate them from benign conditions, because of the vast difference between their prognosis and management. METHOD Serum samples from 150 suspected cases of M.M were subjected to serum protein electrophoresis on cellulose acetate strip. M band detected visually and estimation of M protein was done by densitometer. Bone Marrow biopsy and clinical profile were correlated in M band positive cases. RESULT Out of 150 cases 10.66% cases had monoclonal gammopathy. Ten percent cases were diagnosed to be multiple myeloma and one case was found to be Monoclonal gammopathy of undetermined significance. CONCLUSION SPEP is an easy to perform laboratory test which can be used for detection and quantification of monoclonal gammopathy and should be recommended as preliminary test for suspected cases of multiple myeloma. MGUS must be differentiated from M.M, as management and prognosis of these two cases is totally different.","author":[{"dropping-particle":"","family":"Tripathy","given":"Sunita","non-dropping-particle":"","parse-names":false,"suffix":""}],"container-title":"Journal of Clinical and Diagnostic Research","id":"ITEM-4","issue":"9","issued":{"date-parts":[["2012","11","15"]]},"page":"1458-1461","title":"The role of serum protein electrophoresis in the detection of multiple myeloma: An experience of a corporate hospital","type":"article-journal","volume":"6"},"uris":["http://www.mendeley.com/documents/?uuid=a2ea1b2f-2116-3cd0-819c-31f187d28fa1"]},{"id":"ITEM-5","itemData":{"DOI":"10.1007/s12288-015-0605-3","ISSN":"09740449","abstract":"INTRODUCTION: High resolution electrophoresis (HRE) and immunofixation (IFX) of serum and urine are integral to the diagnostic work-up of multiple myeloma. Unusual electrophoresis patterns are common and may be misinterpreted. Though primarily the responsibility of the hematopathologist, clinicians who are responsible for managing myelomas may benefit from knowledge of these. In this review article we intend to discuss the patterns and importance of electrophoresis in present day scenario.\\nMETHODS: Patterns of HRE and IFX seen in our laboratory over the past 15 years were studied.\\nRESULTS: Monoclonal proteins are seen on HRE as sharply defined bands, sometimes two, lying from γ- to α-globulin regions on a background of normal, increased or decreased polyclonal γ-globulins, showing HRE to be a rapid and dependable method of detecting M-protein in serum or urine. Immunofixation complements HRE and due to its greater sensitivity, is able to pick up small or light chain bands, not apparent on electrophoresis, including biclonal disease even when electrophoresis shows only one M-band. Special features liable to misinterpretation are discussed. Familiarity with the interpretation of the varied patterns seen in health and disease is essential for providing dependable laboratory support in the management of multiple myeloma.","author":[{"dropping-particle":"","family":"Misra","given":"Aroonima","non-dropping-particle":"","parse-names":false,"suffix":""},{"dropping-particle":"","family":"Mishra","given":"Jyoti","non-dropping-particle":"","parse-names":false,"suffix":""},{"dropping-particle":"","family":"Chandramohan","given":"Jagan","non-dropping-particle":"","parse-names":false,"suffix":""},{"dropping-particle":"","family":"Sharma","given":"Atul","non-dropping-particle":"","parse-names":false,"suffix":""},{"dropping-particle":"","family":"Raina","given":"Vinod","non-dropping-particle":"","parse-names":false,"suffix":""},{"dropping-particle":"","family":"Kumar","given":"Rajive","non-dropping-particle":"","parse-names":false,"suffix":""},{"dropping-particle":"","family":"Soni","given":"Sushant","non-dropping-particle":"","parse-names":false,"suffix":""},{"dropping-particle":"","family":"Chopra","given":"Anita","non-dropping-particle":"","parse-names":false,"suffix":""}],"container-title":"Indian Journal of Hematology and Blood Transfusion","id":"ITEM-5","issue":"1","issued":{"date-parts":[["2016","3","1"]]},"page":"10-17","publisher":"Springer India","title":"Old but Still Relevant: High Resolution Electrophoresis and Immunofixation in Multiple Myeloma","type":"article","volume":"32"},"uris":["http://www.mendeley.com/documents/?uuid=6ef53f7f-a8ea-313b-8592-b30a07009fbf"]}],"mendeley":{"formattedCitation":"[1,15,16,18,19]","plainTextFormattedCitation":"[1,15,16,18,19]","previouslyFormattedCitation":"[1,15,16,18,19]"},"properties":{"noteIndex":0},"schema":"https://github.com/citation-style-language/schema/raw/master/csl-citation.json"}</w:instrText>
      </w:r>
      <w:r w:rsidR="00031CDE" w:rsidRPr="00F242DD">
        <w:fldChar w:fldCharType="separate"/>
      </w:r>
      <w:r w:rsidR="00031CDE" w:rsidRPr="00F242DD">
        <w:rPr>
          <w:noProof/>
        </w:rPr>
        <w:t>[1,15,16,18,19]</w:t>
      </w:r>
      <w:r w:rsidR="00031CDE" w:rsidRPr="00F242DD">
        <w:fldChar w:fldCharType="end"/>
      </w:r>
      <w:r w:rsidR="00031CDE" w:rsidRPr="00F242DD">
        <w:t>;</w:t>
      </w:r>
    </w:p>
    <w:p w14:paraId="1A2477B1" w14:textId="30428E16" w:rsidR="00786F4D" w:rsidRPr="00F242DD" w:rsidRDefault="00031CDE" w:rsidP="00786F4D">
      <w:pPr>
        <w:pStyle w:val="a6"/>
        <w:numPr>
          <w:ilvl w:val="2"/>
          <w:numId w:val="2"/>
        </w:numPr>
        <w:spacing w:before="0" w:after="0"/>
      </w:pPr>
      <w:r w:rsidRPr="00C15E57">
        <w:t>определить β2-микроглобулин при диагностике ММ для стадирования</w:t>
      </w:r>
      <w:r w:rsidR="00786F4D" w:rsidRPr="00C15E57">
        <w:t xml:space="preserve"> </w:t>
      </w:r>
      <w:r w:rsidR="001F3CDD" w:rsidRPr="00C15E57">
        <w:t>согласно современной</w:t>
      </w:r>
      <w:r w:rsidRPr="00C15E57">
        <w:t xml:space="preserve"> классификаци</w:t>
      </w:r>
      <w:r w:rsidR="001F3CDD" w:rsidRPr="00C15E57">
        <w:t>и</w:t>
      </w:r>
      <w:r>
        <w:t xml:space="preserve"> </w:t>
      </w:r>
      <w:r w:rsidR="00A96FB6" w:rsidRPr="00F242DD">
        <w:fldChar w:fldCharType="begin" w:fldLock="1"/>
      </w:r>
      <w:r w:rsidR="00267DE2"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myeloma","type":"article","volume":"15"},"uris":["http://www.mendeley.com/documents/?uuid=654583c8-45f6-3f26-ba19-0e6818b2cabf"]},{"id":"ITEM-4","itemData":{"DOI":"10.7860/JCDR/2012/4213.2532","ISSN":"2249782X","abstract":"BACKGROUND Multiple Myeloma (M.M) is a neoplasm of B cell lineage characterized by excessive proliferation of abnormal plasma cells, secreting abnormal immunoglobulin causing monoclonal gammopathy which can be detected by the presence of M protein in serum and urine electrophoresis. AIM To detect and quantify monoclonal gammopathy in suspected cases of multiple myeloma and to differentiate them from benign conditions, because of the vast difference between their prognosis and management. METHOD Serum samples from 150 suspected cases of M.M were subjected to serum protein electrophoresis on cellulose acetate strip. M band detected visually and estimation of M protein was done by densitometer. Bone Marrow biopsy and clinical profile were correlated in M band positive cases. RESULT Out of 150 cases 10.66% cases had monoclonal gammopathy. Ten percent cases were diagnosed to be multiple myeloma and one case was found to be Monoclonal gammopathy of undetermined significance. CONCLUSION SPEP is an easy to perform laboratory test which can be used for detection and quantification of monoclonal gammopathy and should be recommended as preliminary test for suspected cases of multiple myeloma. MGUS must be differentiated from M.M, as management and prognosis of these two cases is totally different.","author":[{"dropping-particle":"","family":"Tripathy","given":"Sunita","non-dropping-particle":"","parse-names":false,"suffix":""}],"container-title":"Journal of Clinical and Diagnostic Research","id":"ITEM-4","issue":"9","issued":{"date-parts":[["2012","11","15"]]},"page":"1458-1461","title":"The role of serum protein electrophoresis in the detection of multiple myeloma: An experience of a corporate hospital","type":"article-journal","volume":"6"},"uris":["http://www.mendeley.com/documents/?uuid=a2ea1b2f-2116-3cd0-819c-31f187d28fa1"]},{"id":"ITEM-5","itemData":{"DOI":"10.1007/s12288-015-0605-3","ISSN":"09740449","abstract":"INTRODUCTION: High resolution electrophoresis (HRE) and immunofixation (IFX) of serum and urine are integral to the diagnostic work-up of multiple myeloma. Unusual electrophoresis patterns are common and may be misinterpreted. Though primarily the responsibility of the hematopathologist, clinicians who are responsible for managing myelomas may benefit from knowledge of these. In this review article we intend to discuss the patterns and importance of electrophoresis in present day scenario.\\nMETHODS: Patterns of HRE and IFX seen in our laboratory over the past 15 years were studied.\\nRESULTS: Monoclonal proteins are seen on HRE as sharply defined bands, sometimes two, lying from γ- to α-globulin regions on a background of normal, increased or decreased polyclonal γ-globulins, showing HRE to be a rapid and dependable method of detecting M-protein in serum or urine. Immunofixation complements HRE and due to its greater sensitivity, is able to pick up small or light chain bands, not apparent on electrophoresis, including biclonal disease even when electrophoresis shows only one M-band. Special features liable to misinterpretation are discussed. Familiarity with the interpretation of the varied patterns seen in health and disease is essential for providing dependable laboratory support in the management of multiple myeloma.","author":[{"dropping-particle":"","family":"Misra","given":"Aroonima","non-dropping-particle":"","parse-names":false,"suffix":""},{"dropping-particle":"","family":"Mishra","given":"Jyoti","non-dropping-particle":"","parse-names":false,"suffix":""},{"dropping-particle":"","family":"Chandramohan","given":"Jagan","non-dropping-particle":"","parse-names":false,"suffix":""},{"dropping-particle":"","family":"Sharma","given":"Atul","non-dropping-particle":"","parse-names":false,"suffix":""},{"dropping-particle":"","family":"Raina","given":"Vinod","non-dropping-particle":"","parse-names":false,"suffix":""},{"dropping-particle":"","family":"Kumar","given":"Rajive","non-dropping-particle":"","parse-names":false,"suffix":""},{"dropping-particle":"","family":"Soni","given":"Sushant","non-dropping-particle":"","parse-names":false,"suffix":""},{"dropping-particle":"","family":"Chopra","given":"Anita","non-dropping-particle":"","parse-names":false,"suffix":""}],"container-title":"Indian Journal of Hematology and Blood Transfusion","id":"ITEM-5","issue":"1","issued":{"date-parts":[["2016","3","1"]]},"page":"10-17","publisher":"Springer India","title":"Old but Still Relevant: High Resolution Electrophoresis and Immunofixation in Multiple Myeloma","type":"article","volume":"32"},"uris":["http://www.mendeley.com/documents/?uuid=6ef53f7f-a8ea-313b-8592-b30a07009fbf"]}],"mendeley":{"formattedCitation":"[1,15,16,18,19]","plainTextFormattedCitation":"[1,15,16,18,19]","previouslyFormattedCitation":"[1,15,16,18,19]"},"properties":{"noteIndex":0},"schema":"https://github.com/citation-style-language/schema/raw/master/csl-citation.json"}</w:instrText>
      </w:r>
      <w:r w:rsidR="00A96FB6" w:rsidRPr="00F242DD">
        <w:fldChar w:fldCharType="separate"/>
      </w:r>
      <w:r w:rsidR="000D22CF" w:rsidRPr="00F242DD">
        <w:rPr>
          <w:noProof/>
        </w:rPr>
        <w:t>[1,15,16,18,19]</w:t>
      </w:r>
      <w:r w:rsidR="00A96FB6" w:rsidRPr="00F242DD">
        <w:fldChar w:fldCharType="end"/>
      </w:r>
      <w:r w:rsidR="00340A8E" w:rsidRPr="00F242DD">
        <w:t>;</w:t>
      </w:r>
    </w:p>
    <w:p w14:paraId="04107BF9" w14:textId="77777777" w:rsidR="00340A8E" w:rsidRPr="00F242DD" w:rsidRDefault="00340A8E" w:rsidP="00786F4D">
      <w:pPr>
        <w:pStyle w:val="a6"/>
        <w:numPr>
          <w:ilvl w:val="2"/>
          <w:numId w:val="2"/>
        </w:numPr>
        <w:spacing w:before="0" w:after="0"/>
      </w:pPr>
      <w:r w:rsidRPr="00F242DD">
        <w:t>исследование моноклональности иммуноглобулинов в крови</w:t>
      </w:r>
      <w:r w:rsidR="00E56A54" w:rsidRPr="00F242DD">
        <w:t xml:space="preserve"> и суточной моче </w:t>
      </w:r>
      <w:r w:rsidRPr="00F242DD">
        <w:t xml:space="preserve">методом иммунофиксации с количественным определением уровня М-градиента </w:t>
      </w:r>
      <w:r w:rsidR="00A96FB6" w:rsidRPr="00F242DD">
        <w:fldChar w:fldCharType="begin" w:fldLock="1"/>
      </w:r>
      <w:r w:rsidR="00267DE2"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myeloma","type":"article","volume":"15"},"uris":["http://www.mendeley.com/documents/?uuid=654583c8-45f6-3f26-ba19-0e6818b2cabf"]},{"id":"ITEM-4","itemData":{"DOI":"10.1007/s12288-015-0605-3","ISSN":"09740449","abstract":"INTRODUCTION: High resolution electrophoresis (HRE) and immunofixation (IFX) of serum and urine are integral to the diagnostic work-up of multiple myeloma. Unusual electrophoresis patterns are common and may be misinterpreted. Though primarily the responsibility of the hematopathologist, clinicians who are responsible for managing myelomas may benefit from knowledge of these. In this review article we intend to discuss the patterns and importance of electrophoresis in present day scenario.\\nMETHODS: Patterns of HRE and IFX seen in our laboratory over the past 15 years were studied.\\nRESULTS: Monoclonal proteins are seen on HRE as sharply defined bands, sometimes two, lying from γ- to α-globulin regions on a background of normal, increased or decreased polyclonal γ-globulins, showing HRE to be a rapid and dependable method of detecting M-protein in serum or urine. Immunofixation complements HRE and due to its greater sensitivity, is able to pick up small or light chain bands, not apparent on electrophoresis, including biclonal disease even when electrophoresis shows only one M-band. Special features liable to misinterpretation are discussed. Familiarity with the interpretation of the varied patterns seen in health and disease is essential for providing dependable laboratory support in the management of multiple myeloma.","author":[{"dropping-particle":"","family":"Misra","given":"Aroonima","non-dropping-particle":"","parse-names":false,"suffix":""},{"dropping-particle":"","family":"Mishra","given":"Jyoti","non-dropping-particle":"","parse-names":false,"suffix":""},{"dropping-particle":"","family":"Chandramohan","given":"Jagan","non-dropping-particle":"","parse-names":false,"suffix":""},{"dropping-particle":"","family":"Sharma","given":"Atul","non-dropping-particle":"","parse-names":false,"suffix":""},{"dropping-particle":"","family":"Raina","given":"Vinod","non-dropping-particle":"","parse-names":false,"suffix":""},{"dropping-particle":"","family":"Kumar","given":"Rajive","non-dropping-particle":"","parse-names":false,"suffix":""},{"dropping-particle":"","family":"Soni","given":"Sushant","non-dropping-particle":"","parse-names":false,"suffix":""},{"dropping-particle":"","family":"Chopra","given":"Anita","non-dropping-particle":"","parse-names":false,"suffix":""}],"container-title":"Indian Journal of Hematology and Blood Transfusion","id":"ITEM-4","issue":"1","issued":{"date-parts":[["2016","3","1"]]},"page":"10-17","publisher":"Springer India","title":"Old but Still Relevant: High Resolution Electrophoresis and Immunofixation in Multiple Myeloma","type":"article","volume":"32"},"uris":["http://www.mendeley.com/documents/?uuid=6ef53f7f-a8ea-313b-8592-b30a07009fbf"]}],"mendeley":{"formattedCitation":"[1,15,16,19]","plainTextFormattedCitation":"[1,15,16,19]","previouslyFormattedCitation":"[1,15,16,19]"},"properties":{"noteIndex":0},"schema":"https://github.com/citation-style-language/schema/raw/master/csl-citation.json"}</w:instrText>
      </w:r>
      <w:r w:rsidR="00A96FB6" w:rsidRPr="00F242DD">
        <w:fldChar w:fldCharType="separate"/>
      </w:r>
      <w:r w:rsidR="000D22CF" w:rsidRPr="00F242DD">
        <w:rPr>
          <w:noProof/>
        </w:rPr>
        <w:t>[1,15,16,19]</w:t>
      </w:r>
      <w:r w:rsidR="00A96FB6" w:rsidRPr="00F242DD">
        <w:fldChar w:fldCharType="end"/>
      </w:r>
      <w:r w:rsidR="00A25036" w:rsidRPr="00F242DD">
        <w:t>.</w:t>
      </w:r>
    </w:p>
    <w:p w14:paraId="0770BB8E" w14:textId="77777777" w:rsidR="00A943DF" w:rsidRPr="00F242DD" w:rsidRDefault="00A943DF" w:rsidP="00131E36">
      <w:pPr>
        <w:spacing w:before="0" w:after="0"/>
        <w:ind w:left="709"/>
        <w:contextualSpacing/>
        <w:rPr>
          <w:b/>
        </w:rPr>
      </w:pPr>
      <w:r w:rsidRPr="00F242DD">
        <w:rPr>
          <w:b/>
        </w:rPr>
        <w:t xml:space="preserve">Уровень убедительности рекомендаций </w:t>
      </w:r>
      <w:r w:rsidR="00586EA7" w:rsidRPr="00F242DD">
        <w:rPr>
          <w:b/>
        </w:rPr>
        <w:t xml:space="preserve">− </w:t>
      </w:r>
      <w:r w:rsidR="00582778" w:rsidRPr="00F242DD">
        <w:rPr>
          <w:b/>
        </w:rPr>
        <w:t>С</w:t>
      </w:r>
      <w:r w:rsidRPr="00F242DD">
        <w:rPr>
          <w:b/>
        </w:rPr>
        <w:t xml:space="preserve"> (уровень достоверности доказательств </w:t>
      </w:r>
      <w:r w:rsidR="00586EA7" w:rsidRPr="00F242DD">
        <w:rPr>
          <w:b/>
        </w:rPr>
        <w:t xml:space="preserve">− </w:t>
      </w:r>
      <w:r w:rsidR="00582778" w:rsidRPr="00F242DD">
        <w:rPr>
          <w:b/>
        </w:rPr>
        <w:t>5</w:t>
      </w:r>
      <w:r w:rsidRPr="00F242DD">
        <w:rPr>
          <w:b/>
        </w:rPr>
        <w:t>)</w:t>
      </w:r>
    </w:p>
    <w:p w14:paraId="0AD7DDA1" w14:textId="77777777" w:rsidR="00D64615" w:rsidRPr="00F242DD" w:rsidRDefault="007B27AA" w:rsidP="00131E36">
      <w:pPr>
        <w:spacing w:before="0" w:after="0"/>
        <w:ind w:left="709"/>
        <w:contextualSpacing/>
        <w:rPr>
          <w:i/>
        </w:rPr>
      </w:pPr>
      <w:r w:rsidRPr="00F242DD">
        <w:rPr>
          <w:b/>
        </w:rPr>
        <w:t xml:space="preserve">Комментарий: </w:t>
      </w:r>
      <w:r w:rsidR="00586EA7" w:rsidRPr="00F242DD">
        <w:rPr>
          <w:i/>
        </w:rPr>
        <w:t>х</w:t>
      </w:r>
      <w:r w:rsidRPr="00F242DD">
        <w:rPr>
          <w:i/>
        </w:rPr>
        <w:t xml:space="preserve">арактерным для ММ является увеличение содержания общего белка в сыворотке крови. При электрофорезе белков сыворотки крови М-градиент </w:t>
      </w:r>
      <w:r w:rsidR="003703A8" w:rsidRPr="00F242DD">
        <w:rPr>
          <w:i/>
        </w:rPr>
        <w:lastRenderedPageBreak/>
        <w:t>определяется у 80</w:t>
      </w:r>
      <w:r w:rsidR="00586EA7" w:rsidRPr="00F242DD">
        <w:rPr>
          <w:i/>
        </w:rPr>
        <w:t> </w:t>
      </w:r>
      <w:r w:rsidR="003703A8" w:rsidRPr="00F242DD">
        <w:rPr>
          <w:i/>
        </w:rPr>
        <w:t xml:space="preserve">% пациентов </w:t>
      </w:r>
      <w:r w:rsidRPr="00F242DD">
        <w:rPr>
          <w:i/>
        </w:rPr>
        <w:t>ММ в виде характерного пика</w:t>
      </w:r>
      <w:r w:rsidR="00D64615" w:rsidRPr="00F242DD">
        <w:rPr>
          <w:i/>
        </w:rPr>
        <w:t>, при иммунофиксации</w:t>
      </w:r>
      <w:r w:rsidR="00586EA7" w:rsidRPr="00F242DD">
        <w:rPr>
          <w:i/>
        </w:rPr>
        <w:t> </w:t>
      </w:r>
      <w:r w:rsidR="00D64615" w:rsidRPr="00F242DD">
        <w:rPr>
          <w:i/>
        </w:rPr>
        <w:t xml:space="preserve">– у </w:t>
      </w:r>
      <w:r w:rsidR="006F2433" w:rsidRPr="00F242DD">
        <w:rPr>
          <w:i/>
        </w:rPr>
        <w:t>93</w:t>
      </w:r>
      <w:r w:rsidR="00586EA7" w:rsidRPr="00F242DD">
        <w:rPr>
          <w:i/>
        </w:rPr>
        <w:t> </w:t>
      </w:r>
      <w:r w:rsidR="006F2433" w:rsidRPr="00F242DD">
        <w:rPr>
          <w:i/>
        </w:rPr>
        <w:t>%</w:t>
      </w:r>
      <w:r w:rsidRPr="00F242DD">
        <w:rPr>
          <w:i/>
        </w:rPr>
        <w:t>. Физические особенности парапротеинов лежат в основе синдрома гипервязкости, вероятность которого возрастает</w:t>
      </w:r>
      <w:r w:rsidR="00B76B3D" w:rsidRPr="00F242DD">
        <w:rPr>
          <w:i/>
        </w:rPr>
        <w:t xml:space="preserve"> с увеличением содержания парапротеинов в плазме крови. </w:t>
      </w:r>
    </w:p>
    <w:p w14:paraId="165E0EF5" w14:textId="77777777" w:rsidR="00D64615" w:rsidRPr="00F242DD" w:rsidRDefault="003703A8" w:rsidP="00131E36">
      <w:pPr>
        <w:spacing w:before="0" w:after="0"/>
        <w:ind w:left="709"/>
        <w:contextualSpacing/>
        <w:rPr>
          <w:i/>
        </w:rPr>
      </w:pPr>
      <w:r w:rsidRPr="00F242DD">
        <w:rPr>
          <w:i/>
        </w:rPr>
        <w:t>Нередко у пациентов с</w:t>
      </w:r>
      <w:r w:rsidR="00D64615" w:rsidRPr="00F242DD">
        <w:rPr>
          <w:i/>
        </w:rPr>
        <w:t xml:space="preserve"> ММ выявляется экскреция патологического белка с мочой. Эти случаи относят к миеломе Бенс-Джонса. Для скрининга мочевого протеина (необходим сбор мочи в течение 24 ч) также испо</w:t>
      </w:r>
      <w:r w:rsidRPr="00F242DD">
        <w:rPr>
          <w:i/>
        </w:rPr>
        <w:t>льзуют электрофорез и иммунофик</w:t>
      </w:r>
      <w:r w:rsidR="00D64615" w:rsidRPr="00F242DD">
        <w:rPr>
          <w:i/>
        </w:rPr>
        <w:t>сацию.</w:t>
      </w:r>
    </w:p>
    <w:p w14:paraId="31707996" w14:textId="77777777" w:rsidR="007B27AA" w:rsidRPr="00F242DD" w:rsidRDefault="00B76B3D" w:rsidP="00131E36">
      <w:pPr>
        <w:spacing w:before="0" w:after="0"/>
        <w:ind w:left="709"/>
        <w:contextualSpacing/>
        <w:rPr>
          <w:i/>
        </w:rPr>
      </w:pPr>
      <w:r w:rsidRPr="00F242DD">
        <w:rPr>
          <w:i/>
        </w:rPr>
        <w:t>На основании уровня парапротеинов определя</w:t>
      </w:r>
      <w:r w:rsidR="00071ABE" w:rsidRPr="00F242DD">
        <w:rPr>
          <w:i/>
        </w:rPr>
        <w:t>ю</w:t>
      </w:r>
      <w:r w:rsidRPr="00F242DD">
        <w:rPr>
          <w:i/>
        </w:rPr>
        <w:t>тся стадия ММ (см. раздел 1.5</w:t>
      </w:r>
      <w:r w:rsidR="00071ABE" w:rsidRPr="00F242DD">
        <w:rPr>
          <w:i/>
        </w:rPr>
        <w:t>.</w:t>
      </w:r>
      <w:r w:rsidRPr="00F242DD">
        <w:rPr>
          <w:i/>
        </w:rPr>
        <w:t xml:space="preserve"> Классификация ММ), а также глубина ответа на ММ (см. раздел 3.5</w:t>
      </w:r>
      <w:r w:rsidR="00071ABE" w:rsidRPr="00F242DD">
        <w:rPr>
          <w:i/>
        </w:rPr>
        <w:t>.</w:t>
      </w:r>
      <w:r w:rsidRPr="00F242DD">
        <w:rPr>
          <w:i/>
        </w:rPr>
        <w:t xml:space="preserve"> Определение эффективности лечения).</w:t>
      </w:r>
    </w:p>
    <w:p w14:paraId="42F54C41" w14:textId="77777777" w:rsidR="00340A8E" w:rsidRPr="00F242DD" w:rsidRDefault="00340A8E" w:rsidP="00131E36">
      <w:pPr>
        <w:spacing w:before="0" w:after="0"/>
        <w:ind w:left="709"/>
        <w:contextualSpacing/>
        <w:rPr>
          <w:i/>
        </w:rPr>
      </w:pPr>
      <w:r w:rsidRPr="00F242DD">
        <w:rPr>
          <w:i/>
        </w:rPr>
        <w:t xml:space="preserve">Иммунофиксацию необходимо выполнять, даже если при электрофорезе крови характерный пик не выявлялся. Она проводится с целью </w:t>
      </w:r>
      <w:r w:rsidR="00A25036" w:rsidRPr="00F242DD">
        <w:rPr>
          <w:i/>
          <w:iCs/>
        </w:rPr>
        <w:t>уточнения моноклональной природы М-градиента, обнаруженного в ходе электрофореза белковых фракций, и его типирования (определения, какие типы т</w:t>
      </w:r>
      <w:r w:rsidR="000F0E6B" w:rsidRPr="00F242DD">
        <w:rPr>
          <w:i/>
          <w:iCs/>
        </w:rPr>
        <w:t>я</w:t>
      </w:r>
      <w:r w:rsidR="00A25036" w:rsidRPr="00F242DD">
        <w:rPr>
          <w:i/>
          <w:iCs/>
        </w:rPr>
        <w:t>желых и легких цепей входят в его состав)</w:t>
      </w:r>
      <w:r w:rsidR="000F0E6B" w:rsidRPr="00F242DD">
        <w:rPr>
          <w:i/>
          <w:iCs/>
        </w:rPr>
        <w:t>.</w:t>
      </w:r>
    </w:p>
    <w:p w14:paraId="577B2E82" w14:textId="77777777" w:rsidR="00D37606" w:rsidRPr="00F242DD" w:rsidRDefault="00D37606" w:rsidP="00131E36">
      <w:pPr>
        <w:pStyle w:val="a6"/>
        <w:numPr>
          <w:ilvl w:val="1"/>
          <w:numId w:val="2"/>
        </w:numPr>
        <w:spacing w:before="0" w:after="0"/>
        <w:ind w:left="709" w:hanging="709"/>
      </w:pPr>
      <w:r w:rsidRPr="00F242DD">
        <w:t>Всем пациентам с несекретирующей, олигосе</w:t>
      </w:r>
      <w:r w:rsidR="00BB20D6" w:rsidRPr="00F242DD">
        <w:t>кретирующей, вялотекущей миеломой</w:t>
      </w:r>
      <w:r w:rsidRPr="00F242DD">
        <w:t xml:space="preserve"> и миелом</w:t>
      </w:r>
      <w:r w:rsidR="00BB20D6" w:rsidRPr="00F242DD">
        <w:t>ой</w:t>
      </w:r>
      <w:r w:rsidRPr="00F242DD">
        <w:t xml:space="preserve"> л</w:t>
      </w:r>
      <w:r w:rsidR="00926C05" w:rsidRPr="00F242DD">
        <w:t>егких цепей, а также при диализ</w:t>
      </w:r>
      <w:r w:rsidRPr="00F242DD">
        <w:t>зависимой почечной недостаточности, при подозрении на заболевание, при первичном или повторном приеме по поводу выявленного заболевания</w:t>
      </w:r>
      <w:r w:rsidR="00EE3E28" w:rsidRPr="00F242DD">
        <w:t>, при контрольных обследованиях</w:t>
      </w:r>
      <w:r w:rsidRPr="00F242DD">
        <w:t xml:space="preserve"> и подозрении на рецидив заболевания </w:t>
      </w:r>
      <w:r w:rsidRPr="00F242DD">
        <w:rPr>
          <w:b/>
        </w:rPr>
        <w:t xml:space="preserve">рекомендуется </w:t>
      </w:r>
      <w:r w:rsidRPr="00F242DD">
        <w:t xml:space="preserve">определение содержания </w:t>
      </w:r>
      <w:r w:rsidR="00926C05" w:rsidRPr="00F242DD">
        <w:t>СЛЦ</w:t>
      </w:r>
      <w:r w:rsidRPr="00F242DD">
        <w:t xml:space="preserve"> в крови для уточнения </w:t>
      </w:r>
      <w:r w:rsidR="00AB1182" w:rsidRPr="00F242DD">
        <w:t>активности</w:t>
      </w:r>
      <w:r w:rsidRPr="00F242DD">
        <w:t xml:space="preserve"> основного заболевания или </w:t>
      </w:r>
      <w:r w:rsidR="00926C05" w:rsidRPr="00F242DD">
        <w:t xml:space="preserve">для </w:t>
      </w:r>
      <w:r w:rsidRPr="00F242DD">
        <w:t xml:space="preserve">оценки ответа на терапию </w:t>
      </w:r>
      <w:r w:rsidR="00A96FB6" w:rsidRPr="00F242DD">
        <w:fldChar w:fldCharType="begin" w:fldLock="1"/>
      </w:r>
      <w:r w:rsidR="00267DE2"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id":"ITEM-4","itemData":{"author":[{"dropping-particle":"","family":"Любимова","given":"Н.В.","non-dropping-particle":"","parse-names":false,"suffix":""},{"dropping-particle":"","family":"Тимофеев","given":"Ю.С.","non-dropping-particle":"","parse-names":false,"suffix":""},{"dropping-particle":"","family":"Вотякова","given":"О.М.","non-dropping-particle":"","parse-names":false,"suffix":""},{"dropping-particle":"","family":"Кушлинский","given":"Н.Е.","non-dropping-particle":"","parse-names":false,"suffix":""}],"container-title":"Альманах клинической медицины","id":"ITEM-4","issue":"2","issued":{"date-parts":[["2017"]]},"page":"102-108","title":"Свободные легкие цепи иммуноглобулинов в диагностике и прогнозе множественной миеломы.","type":"article-journal","volume":"45"},"uris":["http://www.mendeley.com/documents/?uuid=8aa5368e-e5e8-41af-9d89-285f61c86798"]}],"mendeley":{"formattedCitation":"[1,15,16,20]","plainTextFormattedCitation":"[1,15,16,20]","previouslyFormattedCitation":"[1,15,16,20]"},"properties":{"noteIndex":0},"schema":"https://github.com/citation-style-language/schema/raw/master/csl-citation.json"}</w:instrText>
      </w:r>
      <w:r w:rsidR="00A96FB6" w:rsidRPr="00F242DD">
        <w:fldChar w:fldCharType="separate"/>
      </w:r>
      <w:r w:rsidR="000D22CF" w:rsidRPr="00F242DD">
        <w:rPr>
          <w:noProof/>
        </w:rPr>
        <w:t>[1,15,16,20]</w:t>
      </w:r>
      <w:r w:rsidR="00A96FB6" w:rsidRPr="00F242DD">
        <w:fldChar w:fldCharType="end"/>
      </w:r>
      <w:r w:rsidRPr="00F242DD">
        <w:t>.</w:t>
      </w:r>
    </w:p>
    <w:p w14:paraId="2BB40359" w14:textId="77777777" w:rsidR="00D37606" w:rsidRPr="00F242DD" w:rsidRDefault="00D37606" w:rsidP="00131E36">
      <w:pPr>
        <w:spacing w:before="0" w:after="0"/>
        <w:ind w:left="709"/>
        <w:contextualSpacing/>
        <w:rPr>
          <w:b/>
        </w:rPr>
      </w:pPr>
      <w:r w:rsidRPr="00F242DD">
        <w:rPr>
          <w:b/>
        </w:rPr>
        <w:t>Урове</w:t>
      </w:r>
      <w:r w:rsidR="003C65DB" w:rsidRPr="00F242DD">
        <w:rPr>
          <w:b/>
        </w:rPr>
        <w:t xml:space="preserve">нь убедительности рекомендаций </w:t>
      </w:r>
      <w:r w:rsidR="00926C05" w:rsidRPr="00F242DD">
        <w:rPr>
          <w:b/>
        </w:rPr>
        <w:t xml:space="preserve">− </w:t>
      </w:r>
      <w:r w:rsidR="006A50CD" w:rsidRPr="00F242DD">
        <w:rPr>
          <w:b/>
        </w:rPr>
        <w:t xml:space="preserve">В </w:t>
      </w:r>
      <w:r w:rsidRPr="00F242DD">
        <w:rPr>
          <w:b/>
        </w:rPr>
        <w:t xml:space="preserve">(уровень достоверности доказательств </w:t>
      </w:r>
      <w:r w:rsidR="00926C05" w:rsidRPr="00F242DD">
        <w:rPr>
          <w:b/>
        </w:rPr>
        <w:t xml:space="preserve">− </w:t>
      </w:r>
      <w:r w:rsidR="006A50CD" w:rsidRPr="00F242DD">
        <w:rPr>
          <w:b/>
        </w:rPr>
        <w:t>3</w:t>
      </w:r>
      <w:r w:rsidRPr="00F242DD">
        <w:rPr>
          <w:b/>
        </w:rPr>
        <w:t>)</w:t>
      </w:r>
    </w:p>
    <w:p w14:paraId="33F14A2B" w14:textId="77777777" w:rsidR="007E4984" w:rsidRPr="00F242DD" w:rsidRDefault="007E4984" w:rsidP="00131E36">
      <w:pPr>
        <w:spacing w:before="0" w:after="0"/>
        <w:ind w:left="709"/>
        <w:contextualSpacing/>
        <w:rPr>
          <w:b/>
        </w:rPr>
      </w:pPr>
      <w:r w:rsidRPr="00F242DD">
        <w:rPr>
          <w:b/>
        </w:rPr>
        <w:t xml:space="preserve">Комментарий: </w:t>
      </w:r>
      <w:r w:rsidR="00926C05" w:rsidRPr="00F242DD">
        <w:rPr>
          <w:i/>
        </w:rPr>
        <w:t>в</w:t>
      </w:r>
      <w:r w:rsidRPr="00F242DD">
        <w:rPr>
          <w:i/>
        </w:rPr>
        <w:t xml:space="preserve">ключение метода определения </w:t>
      </w:r>
      <w:r w:rsidR="005D58D2" w:rsidRPr="00F242DD">
        <w:rPr>
          <w:i/>
        </w:rPr>
        <w:t>СЛЦ</w:t>
      </w:r>
      <w:r w:rsidRPr="00F242DD">
        <w:rPr>
          <w:i/>
        </w:rPr>
        <w:t xml:space="preserve"> в сыворотке крови в план обследования пациентов с предполагаемой моноклональной</w:t>
      </w:r>
      <w:r w:rsidR="00833D44" w:rsidRPr="00F242DD">
        <w:rPr>
          <w:i/>
        </w:rPr>
        <w:t xml:space="preserve"> </w:t>
      </w:r>
      <w:r w:rsidRPr="00F242DD">
        <w:rPr>
          <w:i/>
        </w:rPr>
        <w:t>гаммапатией позволяет увеличить диагностическую чувствительность имеющихся методов определения парапротеина, а та</w:t>
      </w:r>
      <w:r w:rsidR="00296908" w:rsidRPr="00F242DD">
        <w:rPr>
          <w:i/>
        </w:rPr>
        <w:t xml:space="preserve">кже проводить мониторинг пациентов </w:t>
      </w:r>
      <w:r w:rsidRPr="00F242DD">
        <w:rPr>
          <w:i/>
        </w:rPr>
        <w:t>с</w:t>
      </w:r>
      <w:r w:rsidR="00833D44" w:rsidRPr="00F242DD">
        <w:rPr>
          <w:i/>
        </w:rPr>
        <w:t xml:space="preserve"> </w:t>
      </w:r>
      <w:r w:rsidRPr="00F242DD">
        <w:rPr>
          <w:i/>
        </w:rPr>
        <w:t xml:space="preserve">несекретирующей </w:t>
      </w:r>
      <w:r w:rsidR="005D58D2" w:rsidRPr="00F242DD">
        <w:rPr>
          <w:i/>
        </w:rPr>
        <w:t>ММ</w:t>
      </w:r>
      <w:r w:rsidRPr="00F242DD">
        <w:rPr>
          <w:i/>
        </w:rPr>
        <w:t xml:space="preserve">. Анализ </w:t>
      </w:r>
      <w:r w:rsidR="005D58D2" w:rsidRPr="00F242DD">
        <w:rPr>
          <w:i/>
        </w:rPr>
        <w:t>СЛЦ</w:t>
      </w:r>
      <w:r w:rsidR="00296908" w:rsidRPr="00F242DD">
        <w:rPr>
          <w:i/>
        </w:rPr>
        <w:t xml:space="preserve"> у пациентов с</w:t>
      </w:r>
      <w:r w:rsidRPr="00F242DD">
        <w:rPr>
          <w:i/>
        </w:rPr>
        <w:t xml:space="preserve"> ММ приобретает особое значение в прогнозировании ремиссии, поскольку противоопухолевый ответ по результатам их определения наступает раньше по сравнению с результатами стандартных иммунохимических исследований.</w:t>
      </w:r>
    </w:p>
    <w:p w14:paraId="4AB72F7C" w14:textId="77777777" w:rsidR="00AB1182" w:rsidRPr="00F242DD" w:rsidRDefault="008D5521" w:rsidP="00131E36">
      <w:pPr>
        <w:pStyle w:val="a6"/>
        <w:numPr>
          <w:ilvl w:val="1"/>
          <w:numId w:val="2"/>
        </w:numPr>
        <w:spacing w:before="0" w:after="0"/>
        <w:ind w:left="709" w:hanging="709"/>
      </w:pPr>
      <w:r w:rsidRPr="00F242DD">
        <w:lastRenderedPageBreak/>
        <w:t xml:space="preserve">Всем пациентам с подозрением на ММ или </w:t>
      </w:r>
      <w:r w:rsidR="008B7771" w:rsidRPr="00F242DD">
        <w:t xml:space="preserve">ММ, </w:t>
      </w:r>
      <w:r w:rsidRPr="00F242DD">
        <w:t xml:space="preserve">выявленной </w:t>
      </w:r>
      <w:r w:rsidR="00AB1182" w:rsidRPr="00F242DD">
        <w:t>при первичном или повторном приеме по поводу выявленного заболевания</w:t>
      </w:r>
      <w:r w:rsidR="00EE3E28" w:rsidRPr="00F242DD">
        <w:t>, при контрольных обследованиях</w:t>
      </w:r>
      <w:r w:rsidR="00AB1182" w:rsidRPr="00F242DD">
        <w:t xml:space="preserve"> и при подозрении на рецидив заболевания </w:t>
      </w:r>
      <w:r w:rsidR="00AB1182" w:rsidRPr="00F242DD">
        <w:rPr>
          <w:b/>
        </w:rPr>
        <w:t xml:space="preserve">рекомендуется </w:t>
      </w:r>
      <w:r w:rsidR="00AB1182" w:rsidRPr="00F242DD">
        <w:t>определение основных групп крови по AB0, определение антигена D системы Резус (резус-фактора)</w:t>
      </w:r>
      <w:r w:rsidR="00833D44" w:rsidRPr="00F242DD">
        <w:t>, определение фенотипа антигенов эритроцитов</w:t>
      </w:r>
      <w:r w:rsidR="00AB1182" w:rsidRPr="00F242DD">
        <w:t xml:space="preserve"> для возможности выполнения гемотрансфузии при наличии показаний до, во время или после терапии</w:t>
      </w:r>
      <w:r w:rsidR="00E56A54" w:rsidRPr="00F242DD">
        <w:t xml:space="preserve"> </w:t>
      </w:r>
      <w:r w:rsidR="00A96FB6" w:rsidRPr="00F242DD">
        <w:fldChar w:fldCharType="begin" w:fldLock="1"/>
      </w:r>
      <w:r w:rsidR="00DF4AEA"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rsidRPr="00F242DD">
        <w:fldChar w:fldCharType="separate"/>
      </w:r>
      <w:r w:rsidR="00E56A54" w:rsidRPr="00F242DD">
        <w:rPr>
          <w:noProof/>
        </w:rPr>
        <w:t>[1]</w:t>
      </w:r>
      <w:r w:rsidR="00A96FB6" w:rsidRPr="00F242DD">
        <w:fldChar w:fldCharType="end"/>
      </w:r>
      <w:r w:rsidR="00AB1182" w:rsidRPr="00F242DD">
        <w:t>.</w:t>
      </w:r>
    </w:p>
    <w:p w14:paraId="70A5760B" w14:textId="77777777" w:rsidR="00AB1182" w:rsidRPr="00F242DD" w:rsidRDefault="00AB1182" w:rsidP="00131E36">
      <w:pPr>
        <w:spacing w:before="0" w:after="0"/>
        <w:ind w:left="709"/>
        <w:contextualSpacing/>
        <w:rPr>
          <w:b/>
        </w:rPr>
      </w:pPr>
      <w:r w:rsidRPr="00F242DD">
        <w:rPr>
          <w:b/>
        </w:rPr>
        <w:t>Урове</w:t>
      </w:r>
      <w:r w:rsidR="003C65DB" w:rsidRPr="00F242DD">
        <w:rPr>
          <w:b/>
        </w:rPr>
        <w:t xml:space="preserve">нь убедительности рекомендаций </w:t>
      </w:r>
      <w:r w:rsidR="00524749" w:rsidRPr="00F242DD">
        <w:rPr>
          <w:b/>
        </w:rPr>
        <w:t xml:space="preserve">− </w:t>
      </w:r>
      <w:r w:rsidR="003C65DB" w:rsidRPr="00F242DD">
        <w:rPr>
          <w:b/>
        </w:rPr>
        <w:t>С</w:t>
      </w:r>
      <w:r w:rsidRPr="00F242DD">
        <w:rPr>
          <w:b/>
        </w:rPr>
        <w:t xml:space="preserve"> (уровень достоверности доказательств </w:t>
      </w:r>
      <w:r w:rsidR="00524749" w:rsidRPr="00F242DD">
        <w:rPr>
          <w:b/>
        </w:rPr>
        <w:t xml:space="preserve">− </w:t>
      </w:r>
      <w:r w:rsidR="003C65DB" w:rsidRPr="00F242DD">
        <w:rPr>
          <w:b/>
        </w:rPr>
        <w:t>5</w:t>
      </w:r>
      <w:r w:rsidRPr="00F242DD">
        <w:rPr>
          <w:b/>
        </w:rPr>
        <w:t>)</w:t>
      </w:r>
    </w:p>
    <w:p w14:paraId="16AE8793" w14:textId="77777777" w:rsidR="00AB1182" w:rsidRPr="00F242DD" w:rsidRDefault="008D5521" w:rsidP="00971A8A">
      <w:pPr>
        <w:pStyle w:val="a6"/>
        <w:numPr>
          <w:ilvl w:val="1"/>
          <w:numId w:val="2"/>
        </w:numPr>
        <w:spacing w:before="0" w:after="0"/>
        <w:ind w:left="709" w:hanging="709"/>
      </w:pPr>
      <w:r w:rsidRPr="00F242DD">
        <w:t>Всем пациентам с подозрением на ММ или выявленной</w:t>
      </w:r>
      <w:r w:rsidR="00AB1182" w:rsidRPr="00F242DD">
        <w:t xml:space="preserve"> </w:t>
      </w:r>
      <w:r w:rsidR="008302A9" w:rsidRPr="00F242DD">
        <w:t xml:space="preserve">ММ </w:t>
      </w:r>
      <w:r w:rsidR="00AB1182" w:rsidRPr="00F242DD">
        <w:t xml:space="preserve">при первичном или повторном приеме по поводу выявленного заболевания, при контрольных обследованиях и при подозрении на рецидив заболевания </w:t>
      </w:r>
      <w:r w:rsidR="00AB1182" w:rsidRPr="00F242DD">
        <w:rPr>
          <w:b/>
        </w:rPr>
        <w:t xml:space="preserve">рекомендуется </w:t>
      </w:r>
      <w:r w:rsidR="001A37A4" w:rsidRPr="00F242DD">
        <w:t xml:space="preserve">определение антител к вирусу гепатита C (Hepatitis C virus) в крови; </w:t>
      </w:r>
      <w:r w:rsidR="006A50CD" w:rsidRPr="00F242DD">
        <w:t xml:space="preserve">определение </w:t>
      </w:r>
      <w:r w:rsidR="001A37A4" w:rsidRPr="00F242DD">
        <w:t>антител к поверхностному антигену (HBsAg) вируса гепатита B (Hepatitis B virus) в крови</w:t>
      </w:r>
      <w:r w:rsidR="001A37A4" w:rsidRPr="00F242DD" w:rsidDel="001A37A4">
        <w:t xml:space="preserve"> </w:t>
      </w:r>
      <w:r w:rsidR="00AB1182" w:rsidRPr="00F242DD">
        <w:t>с целью уточнения необходимости терапии или профилактики реактивации вирусного гепатита</w:t>
      </w:r>
      <w:r w:rsidR="00E56A54" w:rsidRPr="00F242DD">
        <w:t xml:space="preserve"> </w:t>
      </w:r>
      <w:r w:rsidR="00A96FB6" w:rsidRPr="00F242DD">
        <w:fldChar w:fldCharType="begin" w:fldLock="1"/>
      </w:r>
      <w:r w:rsidR="00DF4AEA"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rsidRPr="00F242DD">
        <w:fldChar w:fldCharType="separate"/>
      </w:r>
      <w:r w:rsidR="00E56A54" w:rsidRPr="00F242DD">
        <w:rPr>
          <w:noProof/>
        </w:rPr>
        <w:t>[1]</w:t>
      </w:r>
      <w:r w:rsidR="00A96FB6" w:rsidRPr="00F242DD">
        <w:fldChar w:fldCharType="end"/>
      </w:r>
      <w:r w:rsidR="00AB1182" w:rsidRPr="00F242DD">
        <w:t>.</w:t>
      </w:r>
    </w:p>
    <w:p w14:paraId="4093C461" w14:textId="77777777" w:rsidR="00AB1182" w:rsidRPr="00F242DD" w:rsidRDefault="00AB1182" w:rsidP="00131E36">
      <w:pPr>
        <w:spacing w:before="0" w:after="0"/>
        <w:ind w:left="709"/>
        <w:contextualSpacing/>
        <w:rPr>
          <w:b/>
        </w:rPr>
      </w:pPr>
      <w:r w:rsidRPr="00F242DD">
        <w:rPr>
          <w:b/>
        </w:rPr>
        <w:t>Урове</w:t>
      </w:r>
      <w:r w:rsidR="003C65DB" w:rsidRPr="00F242DD">
        <w:rPr>
          <w:b/>
        </w:rPr>
        <w:t xml:space="preserve">нь убедительности рекомендаций </w:t>
      </w:r>
      <w:r w:rsidR="00524749" w:rsidRPr="00F242DD">
        <w:rPr>
          <w:b/>
        </w:rPr>
        <w:t xml:space="preserve">− </w:t>
      </w:r>
      <w:r w:rsidR="003C65DB" w:rsidRPr="00F242DD">
        <w:rPr>
          <w:b/>
        </w:rPr>
        <w:t>С</w:t>
      </w:r>
      <w:r w:rsidRPr="00F242DD">
        <w:rPr>
          <w:b/>
        </w:rPr>
        <w:t xml:space="preserve"> (уровень достоверности доказательств </w:t>
      </w:r>
      <w:r w:rsidR="00524749" w:rsidRPr="00F242DD">
        <w:rPr>
          <w:b/>
        </w:rPr>
        <w:t xml:space="preserve">− </w:t>
      </w:r>
      <w:r w:rsidR="003C65DB" w:rsidRPr="00F242DD">
        <w:rPr>
          <w:b/>
        </w:rPr>
        <w:t>5</w:t>
      </w:r>
      <w:r w:rsidRPr="00F242DD">
        <w:rPr>
          <w:b/>
        </w:rPr>
        <w:t>)</w:t>
      </w:r>
    </w:p>
    <w:p w14:paraId="7FE19CFE" w14:textId="77777777" w:rsidR="00AB1182" w:rsidRPr="00F242DD" w:rsidRDefault="00783FB2" w:rsidP="00131E36">
      <w:pPr>
        <w:pStyle w:val="a6"/>
        <w:numPr>
          <w:ilvl w:val="1"/>
          <w:numId w:val="2"/>
        </w:numPr>
        <w:spacing w:before="0" w:after="0"/>
        <w:ind w:left="709" w:hanging="709"/>
      </w:pPr>
      <w:r w:rsidRPr="00F242DD">
        <w:t xml:space="preserve">Всем пациентам с подозрением на ММ или выявленной ММ </w:t>
      </w:r>
      <w:r w:rsidR="00524749" w:rsidRPr="00F242DD">
        <w:t>при подозрении на заболевание</w:t>
      </w:r>
      <w:r w:rsidR="00AB1182" w:rsidRPr="00F242DD">
        <w:t xml:space="preserve"> при первичном или повторном приеме по поводу выявленного заболевания</w:t>
      </w:r>
      <w:r w:rsidR="00EE3E28" w:rsidRPr="00F242DD">
        <w:t>, при контрольных обследованиях</w:t>
      </w:r>
      <w:r w:rsidR="00AB1182" w:rsidRPr="00F242DD">
        <w:t xml:space="preserve"> и при подозрении на рецидив заболевания </w:t>
      </w:r>
      <w:r w:rsidR="00AB1182" w:rsidRPr="00F242DD">
        <w:rPr>
          <w:b/>
        </w:rPr>
        <w:t xml:space="preserve">рекомендуется </w:t>
      </w:r>
      <w:r w:rsidR="000D22CF" w:rsidRPr="00F242DD">
        <w:t xml:space="preserve">определение антител классов M, G (IgM, IgG) к вирусам иммунодефицита человека ВИЧ-1 (Human immunodeficiency virus HIV 1) и ВИЧ-2 (Human immunodeficiency virus HIV 2) в крови </w:t>
      </w:r>
      <w:r w:rsidR="00AB1182" w:rsidRPr="00F242DD">
        <w:t>для уточнения необходимости одновременного проведения противоопухолевой и антиретровирусной терапии</w:t>
      </w:r>
      <w:r w:rsidR="00E56A54" w:rsidRPr="00F242DD">
        <w:t xml:space="preserve"> </w:t>
      </w:r>
      <w:r w:rsidR="00A96FB6" w:rsidRPr="00F242DD">
        <w:fldChar w:fldCharType="begin" w:fldLock="1"/>
      </w:r>
      <w:r w:rsidR="00DF4AEA"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rsidRPr="00F242DD">
        <w:fldChar w:fldCharType="separate"/>
      </w:r>
      <w:r w:rsidR="00E56A54" w:rsidRPr="00F242DD">
        <w:rPr>
          <w:noProof/>
        </w:rPr>
        <w:t>[1]</w:t>
      </w:r>
      <w:r w:rsidR="00A96FB6" w:rsidRPr="00F242DD">
        <w:fldChar w:fldCharType="end"/>
      </w:r>
      <w:r w:rsidR="00AB1182" w:rsidRPr="00F242DD">
        <w:t>.</w:t>
      </w:r>
    </w:p>
    <w:p w14:paraId="0D50C1B9" w14:textId="77777777" w:rsidR="00A943DF" w:rsidRPr="00F242DD" w:rsidRDefault="00AB1182" w:rsidP="00131E36">
      <w:pPr>
        <w:spacing w:before="0" w:after="0"/>
        <w:ind w:left="709"/>
        <w:contextualSpacing/>
        <w:rPr>
          <w:b/>
        </w:rPr>
      </w:pPr>
      <w:r w:rsidRPr="00F242DD">
        <w:rPr>
          <w:b/>
        </w:rPr>
        <w:t>Уровень убедительност</w:t>
      </w:r>
      <w:r w:rsidR="003C65DB" w:rsidRPr="00F242DD">
        <w:rPr>
          <w:b/>
        </w:rPr>
        <w:t xml:space="preserve">и рекомендаций </w:t>
      </w:r>
      <w:r w:rsidR="00F75CE3" w:rsidRPr="00F242DD">
        <w:rPr>
          <w:b/>
        </w:rPr>
        <w:t xml:space="preserve">− </w:t>
      </w:r>
      <w:r w:rsidR="003C65DB" w:rsidRPr="00F242DD">
        <w:rPr>
          <w:b/>
        </w:rPr>
        <w:t>С</w:t>
      </w:r>
      <w:r w:rsidRPr="00F242DD">
        <w:rPr>
          <w:b/>
        </w:rPr>
        <w:t xml:space="preserve"> (уровень достоверности доказательств </w:t>
      </w:r>
      <w:r w:rsidR="00F75CE3" w:rsidRPr="00F242DD">
        <w:rPr>
          <w:b/>
        </w:rPr>
        <w:t xml:space="preserve">− </w:t>
      </w:r>
      <w:r w:rsidR="003C65DB" w:rsidRPr="00F242DD">
        <w:rPr>
          <w:b/>
        </w:rPr>
        <w:t>5</w:t>
      </w:r>
      <w:r w:rsidRPr="00F242DD">
        <w:rPr>
          <w:b/>
        </w:rPr>
        <w:t>)</w:t>
      </w:r>
    </w:p>
    <w:p w14:paraId="0A9A7856" w14:textId="37BC906F" w:rsidR="005808F9" w:rsidRPr="00F242DD" w:rsidRDefault="005808F9" w:rsidP="005808F9">
      <w:pPr>
        <w:pStyle w:val="a6"/>
        <w:numPr>
          <w:ilvl w:val="0"/>
          <w:numId w:val="3"/>
        </w:numPr>
        <w:spacing w:before="0" w:after="0"/>
        <w:ind w:left="709" w:hanging="709"/>
      </w:pPr>
      <w:r w:rsidRPr="00F242DD">
        <w:t xml:space="preserve">Всем пациентам с подозрением на ММ или выявленной ММ при первичном приеме, при контрольных обследованиях и при подозрении на рецидив заболевания </w:t>
      </w:r>
      <w:r w:rsidRPr="00F242DD">
        <w:rPr>
          <w:b/>
        </w:rPr>
        <w:t>рекомендуется</w:t>
      </w:r>
      <w:r w:rsidRPr="00F242DD">
        <w:t xml:space="preserve"> выполнить получение цитологического препарата КМ путем пункции (стернальная пункция), цитологическое (миелограмма) и </w:t>
      </w:r>
      <w:r w:rsidR="001F3CDD" w:rsidRPr="00C528FA">
        <w:t xml:space="preserve">при необходимости </w:t>
      </w:r>
      <w:r w:rsidRPr="00C528FA">
        <w:t>иммунофенотипическое (методом проточной цитоф</w:t>
      </w:r>
      <w:r w:rsidRPr="00F242DD">
        <w:t>луориметрии) исследование</w:t>
      </w:r>
      <w:r w:rsidR="001F3CDD">
        <w:t xml:space="preserve"> </w:t>
      </w:r>
      <w:r w:rsidRPr="00F242DD">
        <w:t xml:space="preserve">КМ для подтверждения и формулирования диагноза </w:t>
      </w:r>
      <w:r w:rsidR="00A96FB6" w:rsidRPr="00F242DD">
        <w:fldChar w:fldCharType="begin" w:fldLock="1"/>
      </w:r>
      <w:r w:rsidR="008E3216" w:rsidRPr="00F242DD">
        <w:instrText>ADDIN CSL_CITATION {"citationItems":[{"id":"ITEM-1","itemData":{"DOI":"10.1016/j.clml.2015.07.301","ISSN":"21522650","author":[{"dropping-particle":"","family":"Julie","given":"D.","non-dropping-particle":"","parse-names":false,"suffix":""},{"dropping-particle":"","family":"Roland","given":"D.W.","non-dropping-particle":"","parse-names":false,"suffix":""},{"dropping-particle":"","family":"Marie-Françoise","given":"D.","non-dropping-particle":"","parse-names":false,"suffix":""},{"dropping-particle":"","family":"Brigitte","given":"C.","non-dropping-particle":"","parse-names":false,"suffix":""},{"dropping-particle":"","family":"Olivier","given":"P.","non-dropping-particle":"","parse-names":false,"suffix":""},{"dropping-particle":"","family":"Jonathan","given":"B.","non-dropping-particle":"","parse-names":false,"suffix":""},{"dropping-particle":"","family":"Marie","given":"M.","non-dropping-particle":"","parse-names":false,"suffix":""},{"dropping-particle":"","family":"Virginie","given":"D.W.","non-dropping-particle":"","parse-names":false,"suffix":""},{"dropping-particle":"","family":"Benjamin","given":"B.","non-dropping-particle":"","parse-names":false,"suffix":""},{"dropping-particle":"","family":"Sarah","given":"B.","non-dropping-particle":"","parse-names":false,"suffix":""},{"dropping-particle":"","family":"Dominique","given":"B.","non-dropping-particle":"","parse-names":false,"suffix":""},{"dropping-particle":"","family":"Nathalie","given":"M.","non-dropping-particle":"","parse-names":false,"suffix":""}],"container-title":"Clinical Lymphoma Myeloma and Leukemia","id":"ITEM-1","issued":{"date-parts":[["2015","9"]]},"page":"e117","publisher":"Elsevier BV","title":"Comparison of Bone marrow Aspirate and Bone marrow Biopsy in the workup of Patients with Multiple Myeloma","type":"article-journal","volume":"15"},"uris":["http://www.mendeley.com/documents/?uuid=32e7873d-8d80-3fd1-96b5-3b37e8d4f0bf"]}],"mendeley":{"formattedCitation":"[22]","plainTextFormattedCitation":"[22]","previouslyFormattedCitation":"[22]"},"properties":{"noteIndex":0},"schema":"https://github.com/citation-style-language/schema/raw/master/csl-citation.json"}</w:instrText>
      </w:r>
      <w:r w:rsidR="00A96FB6" w:rsidRPr="00F242DD">
        <w:fldChar w:fldCharType="separate"/>
      </w:r>
      <w:r w:rsidR="008E3216" w:rsidRPr="00F242DD">
        <w:rPr>
          <w:noProof/>
        </w:rPr>
        <w:t>[22]</w:t>
      </w:r>
      <w:r w:rsidR="00A96FB6" w:rsidRPr="00F242DD">
        <w:fldChar w:fldCharType="end"/>
      </w:r>
      <w:r w:rsidRPr="00F242DD">
        <w:t>.</w:t>
      </w:r>
    </w:p>
    <w:p w14:paraId="7764F06B" w14:textId="77777777" w:rsidR="00C528FA" w:rsidRDefault="005808F9" w:rsidP="00C528FA">
      <w:pPr>
        <w:spacing w:before="0" w:after="0"/>
        <w:ind w:left="709"/>
        <w:contextualSpacing/>
        <w:rPr>
          <w:b/>
        </w:rPr>
      </w:pPr>
      <w:r w:rsidRPr="00F242DD">
        <w:rPr>
          <w:b/>
        </w:rPr>
        <w:lastRenderedPageBreak/>
        <w:t xml:space="preserve">Уровень убедительности рекомендаций </w:t>
      </w:r>
      <w:r w:rsidR="006A50CD" w:rsidRPr="00F242DD">
        <w:rPr>
          <w:b/>
        </w:rPr>
        <w:t xml:space="preserve">С </w:t>
      </w:r>
      <w:r w:rsidRPr="00F242DD">
        <w:rPr>
          <w:b/>
        </w:rPr>
        <w:t xml:space="preserve">(уровень достоверности доказательств </w:t>
      </w:r>
      <w:r w:rsidR="006A50CD" w:rsidRPr="00F242DD">
        <w:rPr>
          <w:b/>
        </w:rPr>
        <w:t>4</w:t>
      </w:r>
      <w:r w:rsidRPr="00F242DD">
        <w:rPr>
          <w:b/>
        </w:rPr>
        <w:t>)</w:t>
      </w:r>
    </w:p>
    <w:p w14:paraId="254D5DE1" w14:textId="6A7DA9BB" w:rsidR="008E3216" w:rsidRPr="00C528FA" w:rsidRDefault="00B60AA1" w:rsidP="00C528FA">
      <w:pPr>
        <w:pStyle w:val="a6"/>
        <w:numPr>
          <w:ilvl w:val="0"/>
          <w:numId w:val="3"/>
        </w:numPr>
        <w:spacing w:before="0" w:after="0"/>
        <w:ind w:left="709"/>
        <w:rPr>
          <w:b/>
        </w:rPr>
      </w:pPr>
      <w:r w:rsidRPr="00C528FA">
        <w:t>Всем пациентам с подозрением на ММ или выявленной ММ при первичном приеме</w:t>
      </w:r>
      <w:r w:rsidR="00EE3E28" w:rsidRPr="00C528FA">
        <w:t xml:space="preserve">, </w:t>
      </w:r>
      <w:r w:rsidR="007B028D" w:rsidRPr="00C528FA">
        <w:t xml:space="preserve">а также </w:t>
      </w:r>
      <w:r w:rsidR="001F3CDD" w:rsidRPr="00C528FA">
        <w:t>для оценки костномозгового кроветворения перед сбором СКК или при подозрении на рецидив заболевания</w:t>
      </w:r>
      <w:r w:rsidR="00C528FA" w:rsidRPr="00C528FA">
        <w:t xml:space="preserve"> </w:t>
      </w:r>
      <w:r w:rsidRPr="00C528FA">
        <w:rPr>
          <w:b/>
        </w:rPr>
        <w:t>рекомендуется</w:t>
      </w:r>
      <w:r w:rsidRPr="00C528FA">
        <w:t xml:space="preserve"> выполнить</w:t>
      </w:r>
      <w:r w:rsidR="00833D44" w:rsidRPr="00C528FA">
        <w:t xml:space="preserve"> </w:t>
      </w:r>
      <w:r w:rsidR="008E3216" w:rsidRPr="00C528FA">
        <w:t xml:space="preserve">получение гистологического препарата </w:t>
      </w:r>
      <w:r w:rsidR="008D6BCF" w:rsidRPr="00C528FA">
        <w:t>костного мозга (</w:t>
      </w:r>
      <w:r w:rsidR="008E3216" w:rsidRPr="00C528FA">
        <w:t>КМ</w:t>
      </w:r>
      <w:r w:rsidR="008D6BCF" w:rsidRPr="00C528FA">
        <w:t>)</w:t>
      </w:r>
      <w:r w:rsidR="008E3216" w:rsidRPr="00C528FA">
        <w:t xml:space="preserve"> (трепанобиопси</w:t>
      </w:r>
      <w:r w:rsidR="008412D3" w:rsidRPr="00C528FA">
        <w:t>ю</w:t>
      </w:r>
      <w:r w:rsidR="008E3216" w:rsidRPr="00C528FA">
        <w:t xml:space="preserve">) </w:t>
      </w:r>
      <w:r w:rsidR="00C528FA" w:rsidRPr="00C528FA">
        <w:t>и гистологическое исследование биопсийного (операционного) материала костного мозга (при необходимости с применением иммуногистохимических методов) для подтверждения и формулирования диагноза.</w:t>
      </w:r>
      <w:r w:rsidR="008E3216" w:rsidRPr="00F242DD">
        <w:t xml:space="preserve"> </w:t>
      </w:r>
      <w:r w:rsidR="00A96FB6" w:rsidRPr="00F242DD">
        <w:fldChar w:fldCharType="begin" w:fldLock="1"/>
      </w:r>
      <w:r w:rsidR="008E3216" w:rsidRPr="00F242DD">
        <w:instrText>ADDIN CSL_CITATION {"citationItems":[{"id":"ITEM-1","itemData":{"DOI":"10.1016/j.clml.2015.07.301","ISSN":"21522650","author":[{"dropping-particle":"","family":"Julie","given":"D.","non-dropping-particle":"","parse-names":false,"suffix":""},{"dropping-particle":"","family":"Roland","given":"D.W.","non-dropping-particle":"","parse-names":false,"suffix":""},{"dropping-particle":"","family":"Marie-Françoise","given":"D.","non-dropping-particle":"","parse-names":false,"suffix":""},{"dropping-particle":"","family":"Brigitte","given":"C.","non-dropping-particle":"","parse-names":false,"suffix":""},{"dropping-particle":"","family":"Olivier","given":"P.","non-dropping-particle":"","parse-names":false,"suffix":""},{"dropping-particle":"","family":"Jonathan","given":"B.","non-dropping-particle":"","parse-names":false,"suffix":""},{"dropping-particle":"","family":"Marie","given":"M.","non-dropping-particle":"","parse-names":false,"suffix":""},{"dropping-particle":"","family":"Virginie","given":"D.W.","non-dropping-particle":"","parse-names":false,"suffix":""},{"dropping-particle":"","family":"Benjamin","given":"B.","non-dropping-particle":"","parse-names":false,"suffix":""},{"dropping-particle":"","family":"Sarah","given":"B.","non-dropping-particle":"","parse-names":false,"suffix":""},{"dropping-particle":"","family":"Dominique","given":"B.","non-dropping-particle":"","parse-names":false,"suffix":""},{"dropping-particle":"","family":"Nathalie","given":"M.","non-dropping-particle":"","parse-names":false,"suffix":""}],"container-title":"Clinical Lymphoma Myeloma and Leukemia","id":"ITEM-1","issued":{"date-parts":[["2015","9"]]},"page":"e117","publisher":"Elsevier BV","title":"Comparison of Bone marrow Aspirate and Bone marrow Biopsy in the workup of Patients with Multiple Myeloma","type":"article-journal","volume":"15"},"uris":["http://www.mendeley.com/documents/?uuid=32e7873d-8d80-3fd1-96b5-3b37e8d4f0bf"]}],"mendeley":{"formattedCitation":"[22]","plainTextFormattedCitation":"[22]","previouslyFormattedCitation":"[22]"},"properties":{"noteIndex":0},"schema":"https://github.com/citation-style-language/schema/raw/master/csl-citation.json"}</w:instrText>
      </w:r>
      <w:r w:rsidR="00A96FB6" w:rsidRPr="00F242DD">
        <w:fldChar w:fldCharType="separate"/>
      </w:r>
      <w:r w:rsidR="008E3216" w:rsidRPr="00F242DD">
        <w:rPr>
          <w:noProof/>
        </w:rPr>
        <w:t>[22]</w:t>
      </w:r>
      <w:r w:rsidR="00A96FB6" w:rsidRPr="00F242DD">
        <w:fldChar w:fldCharType="end"/>
      </w:r>
      <w:r w:rsidR="008E3216" w:rsidRPr="00F242DD">
        <w:t>.</w:t>
      </w:r>
    </w:p>
    <w:p w14:paraId="24175230" w14:textId="77777777" w:rsidR="004D7374" w:rsidRPr="00F242DD" w:rsidRDefault="004D7374" w:rsidP="00131E36">
      <w:pPr>
        <w:spacing w:before="0" w:after="0"/>
        <w:ind w:left="709"/>
        <w:contextualSpacing/>
        <w:rPr>
          <w:b/>
        </w:rPr>
      </w:pPr>
      <w:r w:rsidRPr="00F242DD">
        <w:rPr>
          <w:b/>
        </w:rPr>
        <w:t xml:space="preserve">Уровень убедительности рекомендаций </w:t>
      </w:r>
      <w:r w:rsidR="008412D3" w:rsidRPr="00F242DD">
        <w:rPr>
          <w:b/>
        </w:rPr>
        <w:t xml:space="preserve">− </w:t>
      </w:r>
      <w:r w:rsidR="006A50CD" w:rsidRPr="00F242DD">
        <w:rPr>
          <w:b/>
        </w:rPr>
        <w:t xml:space="preserve">С </w:t>
      </w:r>
      <w:r w:rsidRPr="00F242DD">
        <w:rPr>
          <w:b/>
        </w:rPr>
        <w:t xml:space="preserve">(уровень достоверности доказательств </w:t>
      </w:r>
      <w:r w:rsidR="008412D3" w:rsidRPr="00F242DD">
        <w:rPr>
          <w:b/>
        </w:rPr>
        <w:t xml:space="preserve">− </w:t>
      </w:r>
      <w:r w:rsidR="006A50CD" w:rsidRPr="00F242DD">
        <w:rPr>
          <w:b/>
        </w:rPr>
        <w:t>4</w:t>
      </w:r>
      <w:r w:rsidRPr="00F242DD">
        <w:rPr>
          <w:b/>
        </w:rPr>
        <w:t>)</w:t>
      </w:r>
    </w:p>
    <w:p w14:paraId="2DB8BFEC" w14:textId="77777777" w:rsidR="00AE5CC8" w:rsidRPr="00F242DD" w:rsidRDefault="00AE5CC8" w:rsidP="00131E36">
      <w:pPr>
        <w:pStyle w:val="a6"/>
        <w:numPr>
          <w:ilvl w:val="0"/>
          <w:numId w:val="3"/>
        </w:numPr>
        <w:spacing w:before="0" w:after="0"/>
        <w:ind w:left="709" w:hanging="709"/>
      </w:pPr>
      <w:r w:rsidRPr="00F242DD">
        <w:t xml:space="preserve">Всем пациентам с </w:t>
      </w:r>
      <w:r w:rsidR="006F0E70" w:rsidRPr="00F242DD">
        <w:t xml:space="preserve">впервые выявленной </w:t>
      </w:r>
      <w:r w:rsidRPr="00F242DD">
        <w:t>ММ</w:t>
      </w:r>
      <w:r w:rsidR="00FA25F5" w:rsidRPr="00F242DD">
        <w:t xml:space="preserve">, а также при </w:t>
      </w:r>
      <w:r w:rsidR="00455673" w:rsidRPr="00F242DD">
        <w:t>1</w:t>
      </w:r>
      <w:r w:rsidR="00FA25F5" w:rsidRPr="00F242DD">
        <w:t xml:space="preserve"> и </w:t>
      </w:r>
      <w:r w:rsidR="00455673" w:rsidRPr="00F242DD">
        <w:t>2-</w:t>
      </w:r>
      <w:r w:rsidR="00FA25F5" w:rsidRPr="00F242DD">
        <w:t>м рецидив</w:t>
      </w:r>
      <w:r w:rsidR="00455673" w:rsidRPr="00F242DD">
        <w:t>ах</w:t>
      </w:r>
      <w:r w:rsidR="00833D44" w:rsidRPr="00F242DD">
        <w:t xml:space="preserve"> </w:t>
      </w:r>
      <w:r w:rsidRPr="00F242DD">
        <w:rPr>
          <w:b/>
        </w:rPr>
        <w:t>рекомендуется</w:t>
      </w:r>
      <w:r w:rsidRPr="00F242DD">
        <w:t xml:space="preserve"> выполнить </w:t>
      </w:r>
      <w:r w:rsidR="006F0E70" w:rsidRPr="00F242DD">
        <w:t>ц</w:t>
      </w:r>
      <w:r w:rsidR="006F0E70" w:rsidRPr="00F242DD">
        <w:rPr>
          <w:rFonts w:eastAsia="Times New Roman"/>
        </w:rPr>
        <w:t xml:space="preserve">итогенетическое исследование </w:t>
      </w:r>
      <w:r w:rsidR="00455673" w:rsidRPr="00F242DD">
        <w:rPr>
          <w:rFonts w:eastAsia="Times New Roman"/>
        </w:rPr>
        <w:t>ПК</w:t>
      </w:r>
      <w:r w:rsidR="006F0E70" w:rsidRPr="00F242DD">
        <w:rPr>
          <w:rFonts w:eastAsia="Times New Roman"/>
        </w:rPr>
        <w:t xml:space="preserve"> (кариотипирование и </w:t>
      </w:r>
      <w:r w:rsidR="006F0E70" w:rsidRPr="00F242DD">
        <w:rPr>
          <w:rFonts w:eastAsia="Times New Roman"/>
          <w:lang w:val="en-US"/>
        </w:rPr>
        <w:t>FISH</w:t>
      </w:r>
      <w:r w:rsidR="006F0E70" w:rsidRPr="00F242DD">
        <w:rPr>
          <w:rFonts w:eastAsia="Times New Roman"/>
        </w:rPr>
        <w:t xml:space="preserve">) для выявления наиболее </w:t>
      </w:r>
      <w:r w:rsidR="0012713C" w:rsidRPr="00F242DD">
        <w:rPr>
          <w:rFonts w:eastAsia="Times New Roman"/>
        </w:rPr>
        <w:t xml:space="preserve">прогностически </w:t>
      </w:r>
      <w:r w:rsidR="006F0E70" w:rsidRPr="00F242DD">
        <w:rPr>
          <w:rFonts w:eastAsia="Times New Roman"/>
        </w:rPr>
        <w:t>важных цитогенетических аномалий:</w:t>
      </w:r>
      <w:r w:rsidR="0012713C" w:rsidRPr="00F242DD">
        <w:rPr>
          <w:rFonts w:eastAsia="Times New Roman"/>
        </w:rPr>
        <w:t xml:space="preserve"> </w:t>
      </w:r>
      <w:r w:rsidR="006F0E70" w:rsidRPr="00F242DD">
        <w:rPr>
          <w:rFonts w:eastAsia="Times New Roman"/>
          <w:lang w:val="en-US"/>
        </w:rPr>
        <w:t>t</w:t>
      </w:r>
      <w:r w:rsidR="006F0E70" w:rsidRPr="00F242DD">
        <w:rPr>
          <w:rFonts w:eastAsia="Times New Roman"/>
        </w:rPr>
        <w:t xml:space="preserve">(4;14), </w:t>
      </w:r>
      <w:r w:rsidR="006F0E70" w:rsidRPr="00F242DD">
        <w:rPr>
          <w:rFonts w:eastAsia="Times New Roman"/>
          <w:lang w:val="en-US"/>
        </w:rPr>
        <w:t>t</w:t>
      </w:r>
      <w:r w:rsidR="006F0E70" w:rsidRPr="00F242DD">
        <w:rPr>
          <w:rFonts w:eastAsia="Times New Roman"/>
        </w:rPr>
        <w:t xml:space="preserve">(14;16), </w:t>
      </w:r>
      <w:r w:rsidR="0012713C" w:rsidRPr="00F242DD">
        <w:rPr>
          <w:rFonts w:eastAsia="Times New Roman"/>
          <w:lang w:val="en-US"/>
        </w:rPr>
        <w:t>t</w:t>
      </w:r>
      <w:r w:rsidR="0012713C" w:rsidRPr="00F242DD">
        <w:rPr>
          <w:rFonts w:eastAsia="Times New Roman"/>
        </w:rPr>
        <w:t xml:space="preserve">(6;14), </w:t>
      </w:r>
      <w:r w:rsidR="006F0E70" w:rsidRPr="00F242DD">
        <w:rPr>
          <w:rFonts w:eastAsia="Times New Roman"/>
          <w:lang w:val="en-US"/>
        </w:rPr>
        <w:t>del</w:t>
      </w:r>
      <w:r w:rsidR="006F0E70" w:rsidRPr="00F242DD">
        <w:rPr>
          <w:rFonts w:eastAsia="Times New Roman"/>
        </w:rPr>
        <w:t> 17</w:t>
      </w:r>
      <w:r w:rsidR="006F0E70" w:rsidRPr="00F242DD">
        <w:rPr>
          <w:rFonts w:eastAsia="Times New Roman"/>
          <w:lang w:val="en-US"/>
        </w:rPr>
        <w:t>p</w:t>
      </w:r>
      <w:r w:rsidR="006F0E70" w:rsidRPr="00F242DD">
        <w:rPr>
          <w:rFonts w:eastAsia="Times New Roman"/>
        </w:rPr>
        <w:t>13</w:t>
      </w:r>
      <w:r w:rsidR="0012713C" w:rsidRPr="00F242DD">
        <w:rPr>
          <w:rFonts w:eastAsia="Times New Roman"/>
        </w:rPr>
        <w:t xml:space="preserve">, </w:t>
      </w:r>
      <w:r w:rsidR="0012713C" w:rsidRPr="00F242DD">
        <w:rPr>
          <w:rFonts w:eastAsia="Times New Roman"/>
          <w:lang w:val="en-US"/>
        </w:rPr>
        <w:t>t</w:t>
      </w:r>
      <w:r w:rsidR="0012713C" w:rsidRPr="00F242DD">
        <w:rPr>
          <w:rFonts w:eastAsia="Times New Roman"/>
        </w:rPr>
        <w:t>(11;14)</w:t>
      </w:r>
      <w:r w:rsidR="00807232" w:rsidRPr="00F242DD">
        <w:rPr>
          <w:rFonts w:eastAsia="Times New Roman"/>
        </w:rPr>
        <w:t xml:space="preserve">, </w:t>
      </w:r>
      <w:r w:rsidR="00807232" w:rsidRPr="00F242DD">
        <w:rPr>
          <w:rFonts w:eastAsia="Times New Roman"/>
          <w:lang w:val="en-US"/>
        </w:rPr>
        <w:t>del</w:t>
      </w:r>
      <w:r w:rsidR="00807232" w:rsidRPr="00F242DD">
        <w:rPr>
          <w:rFonts w:eastAsia="Times New Roman"/>
        </w:rPr>
        <w:t>13, плоидност</w:t>
      </w:r>
      <w:r w:rsidR="00987A29" w:rsidRPr="00F242DD">
        <w:rPr>
          <w:rFonts w:eastAsia="Times New Roman"/>
        </w:rPr>
        <w:t>и</w:t>
      </w:r>
      <w:r w:rsidR="00807232" w:rsidRPr="00F242DD">
        <w:rPr>
          <w:rFonts w:eastAsia="Times New Roman"/>
        </w:rPr>
        <w:t xml:space="preserve"> и изменени</w:t>
      </w:r>
      <w:r w:rsidR="00987A29" w:rsidRPr="00F242DD">
        <w:rPr>
          <w:rFonts w:eastAsia="Times New Roman"/>
        </w:rPr>
        <w:t>й</w:t>
      </w:r>
      <w:r w:rsidR="00807232" w:rsidRPr="00F242DD">
        <w:rPr>
          <w:rFonts w:eastAsia="Times New Roman"/>
        </w:rPr>
        <w:t xml:space="preserve"> хромосомы 1</w:t>
      </w:r>
      <w:r w:rsidR="008E3216" w:rsidRPr="00F242DD">
        <w:rPr>
          <w:rFonts w:eastAsia="Times New Roman"/>
        </w:rPr>
        <w:t xml:space="preserve"> </w:t>
      </w:r>
      <w:r w:rsidR="00A96FB6" w:rsidRPr="00F242DD">
        <w:rPr>
          <w:rFonts w:eastAsia="Times New Roman"/>
        </w:rPr>
        <w:fldChar w:fldCharType="begin" w:fldLock="1"/>
      </w:r>
      <w:r w:rsidR="00344A76" w:rsidRPr="00F242DD">
        <w:rPr>
          <w:rFonts w:eastAsia="Times New Roman"/>
        </w:rPr>
        <w:instrText>ADDIN CSL_CITATION {"citationItems":[{"id":"ITEM-1","itemData":{"DOI":"10.1200/JCO.2015.61.2267","ISSN":"15277755","abstract":"PURPOSE The clinical outcome of multiple myeloma (MM) is heterogeneous. A simple and reliable tool is needed to stratify patients with MM. We combined the International Staging System (ISS) with chromosomal abnormalities (CA) detected by interphase fluorescent in situ hybridization after CD138 plasma cell purification and serum lactate dehydrogenase (LDH) to evaluate their prognostic value in newly diagnosed MM (NDMM). PATIENTS AND METHODS Clinical and laboratory data from 4,445 patients with NDMM enrolled onto 11 international trials were pooled together. The K-adaptive partitioning algorithm was used to define the most appropriate subgroups with homogeneous survival. RESULTS ISS, CA, and LDH data were simultaneously available in 3,060 of 4,445 patients. We defined the following three groups: revised ISS (R-ISS) I (n = 871), including ISS stage I (serum β2-microglobulin level &lt; 3.5 mg/L and serum albumin level ≥ 3.5 g/dL), no high-risk CA [del(17p) and/or t(4;14) and/or t(14;16)], and normal LDH level (less than the upper limit of normal range); R-ISS III (n = 295), including ISS stage III (serum β2-microglobulin level &gt; 5.5 mg/L) and high-risk CA or high LDH level; and R-ISS II (n = 1,894), including all the other possible combinations. At a median follow-up of 46 months, the 5-year OS rate was 82% in the R-ISS I, 62% in the R-ISS II, and 40% in the R-ISS III groups; the 5-year PFS rates were 55%, 36%, and 24%, respectively. CONCLUSION The R-ISS is a simple and powerful prognostic staging system, and we recommend its use in future clinical studies to stratify patients with NDMM effectively with respect to the relative risk to their survival.","author":[{"dropping-particle":"","family":"Palumbo","given":"Antonio","non-dropping-particle":"","parse-names":false,"suffix":""},{"dropping-particle":"","family":"Avet-Loiseau","given":"Hervé","non-dropping-particle":"","parse-names":false,"suffix":""},{"dropping-particle":"","family":"Oliva","given":"Stefania","non-dropping-particle":"","parse-names":false,"suffix":""},{"dropping-particle":"","family":"Lokhorst","given":"Henk M.","non-dropping-particle":"","parse-names":false,"suffix":""},{"dropping-particle":"","family":"Goldschmidt","given":"Hartmut","non-dropping-particle":"","parse-names":false,"suffix":""},{"dropping-particle":"","family":"Rosinol","given":"Laura","non-dropping-particle":"","parse-names":false,"suffix":""},{"dropping-particle":"","family":"Richardson","given":"Paul","non-dropping-particle":"","parse-names":false,"suffix":""},{"dropping-particle":"","family":"Caltagirone","given":"Simona","non-dropping-particle":"","parse-names":false,"suffix":""},{"dropping-particle":"","family":"Lahuerta","given":"Juan José","non-dropping-particle":"","parse-names":false,"suffix":""},{"dropping-particle":"","family":"Facon","given":"Thierry","non-dropping-particle":"","parse-names":false,"suffix":""},{"dropping-particle":"","family":"Bringhen","given":"Sara","non-dropping-particle":"","parse-names":false,"suffix":""},{"dropping-particle":"","family":"Gay","given":"Francesca","non-dropping-particle":"","parse-names":false,"suffix":""},{"dropping-particle":"","family":"Attal","given":"Michel","non-dropping-particle":"","parse-names":false,"suffix":""},{"dropping-particle":"","family":"Passera","given":"Roberto","non-dropping-particle":"","parse-names":false,"suffix":""},{"dropping-particle":"","family":"Spencer","given":"Andrew","non-dropping-particle":"","parse-names":false,"suffix":""},{"dropping-particle":"","family":"Offidani","given":"Massimo","non-dropping-particle":"","parse-names":false,"suffix":""},{"dropping-particle":"","family":"Kumar","given":"Shaji","non-dropping-particle":"","parse-names":false,"suffix":""},{"dropping-particle":"","family":"Musto","given":"Pellegrino","non-dropping-particle":"","parse-names":false,"suffix":""},{"dropping-particle":"","family":"Lonial","given":"Sagar","non-dropping-particle":"","parse-names":false,"suffix":""},{"dropping-particle":"","family":"Petrucci","given":"Maria T.","non-dropping-particle":"","parse-names":false,"suffix":""},{"dropping-particle":"","family":"Orlowski","given":"Robert Z.","non-dropping-particle":"","parse-names":false,"suffix":""},{"dropping-particle":"","family":"Zamagni","given":"Elena","non-dropping-particle":"","parse-names":false,"suffix":""},{"dropping-particle":"","family":"Morgan","given":"Gareth","non-dropping-particle":"","parse-names":false,"suffix":""},{"dropping-particle":"","family":"Dimopoulos","given":"Meletios A.","non-dropping-particle":"","parse-names":false,"suffix":""},{"dropping-particle":"","family":"Durie","given":"Brian G.M.","non-dropping-particle":"","parse-names":false,"suffix":""},{"dropping-particle":"","family":"Anderson","given":"Kenneth C.","non-dropping-particle":"","parse-names":false,"suffix":""},{"dropping-particle":"","family":"Sonneveld","given":"Pieter","non-dropping-particle":"","parse-names":false,"suffix":""},{"dropping-particle":"","family":"Miguel","given":"Jésus San","non-dropping-particle":"","parse-names":false,"suffix":""},{"dropping-particle":"","family":"Cavo","given":"Michele","non-dropping-particle":"","parse-names":false,"suffix":""},{"dropping-particle":"","family":"Rajkumar","given":"S. Vincent","non-dropping-particle":"","parse-names":false,"suffix":""},{"dropping-particle":"","family":"Moreau","given":"Philippe","non-dropping-particle":"","parse-names":false,"suffix":""}],"container-title":"Journal of Clinical Oncology","id":"ITEM-1","issue":"26","issued":{"date-parts":[["2015"]]},"page":"2863-2869","publisher":"American Society of Clinical Oncology","title":"Revised international staging system for multiple myeloma: A report from international myeloma working group","type":"article-journal","volume":"33"},"uris":["http://www.mendeley.com/documents/?uuid=dc5fa189-ca83-351a-8e2c-68a7d7d762af"]}],"mendeley":{"formattedCitation":"[13]","plainTextFormattedCitation":"[13]","previouslyFormattedCitation":"[13]"},"properties":{"noteIndex":0},"schema":"https://github.com/citation-style-language/schema/raw/master/csl-citation.json"}</w:instrText>
      </w:r>
      <w:r w:rsidR="00A96FB6" w:rsidRPr="00F242DD">
        <w:rPr>
          <w:rFonts w:eastAsia="Times New Roman"/>
        </w:rPr>
        <w:fldChar w:fldCharType="separate"/>
      </w:r>
      <w:r w:rsidR="008E3216" w:rsidRPr="00F242DD">
        <w:rPr>
          <w:rFonts w:eastAsia="Times New Roman"/>
          <w:noProof/>
        </w:rPr>
        <w:t>[13]</w:t>
      </w:r>
      <w:r w:rsidR="00A96FB6" w:rsidRPr="00F242DD">
        <w:rPr>
          <w:rFonts w:eastAsia="Times New Roman"/>
        </w:rPr>
        <w:fldChar w:fldCharType="end"/>
      </w:r>
      <w:r w:rsidRPr="00F242DD">
        <w:t>.</w:t>
      </w:r>
    </w:p>
    <w:p w14:paraId="23A79B53" w14:textId="77777777" w:rsidR="00AE5CC8" w:rsidRPr="00F242DD" w:rsidRDefault="00AE5CC8" w:rsidP="00131E36">
      <w:pPr>
        <w:spacing w:before="0" w:after="0"/>
        <w:ind w:left="709"/>
        <w:contextualSpacing/>
        <w:rPr>
          <w:b/>
        </w:rPr>
      </w:pPr>
      <w:r w:rsidRPr="00F242DD">
        <w:rPr>
          <w:b/>
        </w:rPr>
        <w:t xml:space="preserve">Уровень убедительности рекомендаций </w:t>
      </w:r>
      <w:r w:rsidR="00987A29" w:rsidRPr="00F242DD">
        <w:rPr>
          <w:b/>
        </w:rPr>
        <w:t xml:space="preserve">− </w:t>
      </w:r>
      <w:r w:rsidR="006A50CD" w:rsidRPr="00F242DD">
        <w:rPr>
          <w:b/>
        </w:rPr>
        <w:t xml:space="preserve">С </w:t>
      </w:r>
      <w:r w:rsidRPr="00F242DD">
        <w:rPr>
          <w:b/>
        </w:rPr>
        <w:t xml:space="preserve">(уровень достоверности доказательств </w:t>
      </w:r>
      <w:r w:rsidR="00987A29" w:rsidRPr="00F242DD">
        <w:rPr>
          <w:b/>
        </w:rPr>
        <w:t xml:space="preserve">− </w:t>
      </w:r>
      <w:r w:rsidR="006A50CD" w:rsidRPr="00F242DD">
        <w:rPr>
          <w:b/>
        </w:rPr>
        <w:t>4</w:t>
      </w:r>
      <w:r w:rsidRPr="00F242DD">
        <w:rPr>
          <w:b/>
        </w:rPr>
        <w:t>)</w:t>
      </w:r>
    </w:p>
    <w:p w14:paraId="6FFE89C7" w14:textId="77777777" w:rsidR="004D7374" w:rsidRPr="00F242DD" w:rsidRDefault="004D7374" w:rsidP="00131E36">
      <w:pPr>
        <w:spacing w:before="0" w:after="0"/>
        <w:ind w:left="709"/>
        <w:rPr>
          <w:rFonts w:eastAsia="Times New Roman"/>
          <w:i/>
        </w:rPr>
      </w:pPr>
      <w:r w:rsidRPr="00F242DD">
        <w:rPr>
          <w:b/>
        </w:rPr>
        <w:t>Комментари</w:t>
      </w:r>
      <w:r w:rsidR="00987A29" w:rsidRPr="00F242DD">
        <w:rPr>
          <w:b/>
        </w:rPr>
        <w:t>й</w:t>
      </w:r>
      <w:r w:rsidRPr="00F242DD">
        <w:rPr>
          <w:b/>
        </w:rPr>
        <w:t>:</w:t>
      </w:r>
      <w:r w:rsidR="008E3216" w:rsidRPr="00F242DD">
        <w:rPr>
          <w:b/>
        </w:rPr>
        <w:t xml:space="preserve"> </w:t>
      </w:r>
      <w:r w:rsidR="008E3216" w:rsidRPr="00F242DD">
        <w:rPr>
          <w:rFonts w:eastAsia="Times New Roman"/>
          <w:i/>
        </w:rPr>
        <w:t xml:space="preserve">мутации </w:t>
      </w:r>
      <w:r w:rsidR="006F0E70" w:rsidRPr="00F242DD">
        <w:rPr>
          <w:rFonts w:eastAsia="Times New Roman"/>
          <w:i/>
          <w:lang w:val="en-US"/>
        </w:rPr>
        <w:t>t</w:t>
      </w:r>
      <w:r w:rsidR="006F0E70" w:rsidRPr="00F242DD">
        <w:rPr>
          <w:rFonts w:eastAsia="Times New Roman"/>
          <w:i/>
        </w:rPr>
        <w:t xml:space="preserve">(4;14), </w:t>
      </w:r>
      <w:r w:rsidR="006F0E70" w:rsidRPr="00F242DD">
        <w:rPr>
          <w:rFonts w:eastAsia="Times New Roman"/>
          <w:i/>
          <w:lang w:val="en-US"/>
        </w:rPr>
        <w:t>t</w:t>
      </w:r>
      <w:r w:rsidR="006F0E70" w:rsidRPr="00F242DD">
        <w:rPr>
          <w:rFonts w:eastAsia="Times New Roman"/>
          <w:i/>
        </w:rPr>
        <w:t xml:space="preserve">(14;16) и </w:t>
      </w:r>
      <w:r w:rsidR="006F0E70" w:rsidRPr="00F242DD">
        <w:rPr>
          <w:rFonts w:eastAsia="Times New Roman"/>
          <w:i/>
          <w:lang w:val="en-US"/>
        </w:rPr>
        <w:t>del</w:t>
      </w:r>
      <w:r w:rsidR="006F0E70" w:rsidRPr="00F242DD">
        <w:rPr>
          <w:rFonts w:eastAsia="Times New Roman"/>
          <w:i/>
        </w:rPr>
        <w:t>17</w:t>
      </w:r>
      <w:r w:rsidR="006F0E70" w:rsidRPr="00F242DD">
        <w:rPr>
          <w:rFonts w:eastAsia="Times New Roman"/>
          <w:i/>
          <w:lang w:val="en-US"/>
        </w:rPr>
        <w:t>p</w:t>
      </w:r>
      <w:r w:rsidR="006F0E70" w:rsidRPr="00F242DD">
        <w:rPr>
          <w:rFonts w:eastAsia="Times New Roman"/>
          <w:i/>
        </w:rPr>
        <w:t xml:space="preserve"> включены в пересмотренную систему стадирования ММ </w:t>
      </w:r>
      <w:r w:rsidR="006F0E70" w:rsidRPr="00F242DD">
        <w:rPr>
          <w:rFonts w:eastAsia="Times New Roman"/>
          <w:i/>
          <w:lang w:val="en-US"/>
        </w:rPr>
        <w:t>R</w:t>
      </w:r>
      <w:r w:rsidR="006F0E70" w:rsidRPr="00F242DD">
        <w:rPr>
          <w:rFonts w:eastAsia="Times New Roman"/>
          <w:i/>
        </w:rPr>
        <w:t>-</w:t>
      </w:r>
      <w:r w:rsidR="006F0E70" w:rsidRPr="00F242DD">
        <w:rPr>
          <w:rFonts w:eastAsia="Times New Roman"/>
          <w:i/>
          <w:lang w:val="en-US"/>
        </w:rPr>
        <w:t>ISS</w:t>
      </w:r>
      <w:r w:rsidR="006F0E70" w:rsidRPr="00F242DD">
        <w:rPr>
          <w:rFonts w:eastAsia="Times New Roman"/>
          <w:i/>
        </w:rPr>
        <w:t xml:space="preserve"> как относящиеся к высокому риску, поэтому они должны оцениваться у всех </w:t>
      </w:r>
      <w:r w:rsidR="00FB03BB" w:rsidRPr="00F242DD">
        <w:rPr>
          <w:rFonts w:eastAsia="Times New Roman"/>
          <w:i/>
        </w:rPr>
        <w:t>пациентов</w:t>
      </w:r>
      <w:r w:rsidR="006F0E70" w:rsidRPr="00F242DD">
        <w:rPr>
          <w:rFonts w:eastAsia="Times New Roman"/>
          <w:i/>
        </w:rPr>
        <w:t xml:space="preserve"> ММ при установлении диагноза.</w:t>
      </w:r>
    </w:p>
    <w:p w14:paraId="12F89434" w14:textId="77777777" w:rsidR="004D7374" w:rsidRPr="00F242DD" w:rsidRDefault="004D7374" w:rsidP="00E36DFA">
      <w:pPr>
        <w:pStyle w:val="2"/>
      </w:pPr>
      <w:bookmarkStart w:id="20" w:name="_Toc53140893"/>
      <w:r w:rsidRPr="00F242DD">
        <w:t>2.4 Инструментальн</w:t>
      </w:r>
      <w:r w:rsidR="00B255C9" w:rsidRPr="00F242DD">
        <w:t>ые диагностические исследования</w:t>
      </w:r>
      <w:bookmarkEnd w:id="20"/>
    </w:p>
    <w:p w14:paraId="655A3A92" w14:textId="76663211" w:rsidR="004D7374" w:rsidRPr="00F242DD" w:rsidRDefault="004D7374" w:rsidP="00131E36">
      <w:pPr>
        <w:pStyle w:val="a6"/>
        <w:numPr>
          <w:ilvl w:val="0"/>
          <w:numId w:val="3"/>
        </w:numPr>
        <w:spacing w:before="0" w:after="0"/>
        <w:ind w:left="709" w:hanging="709"/>
      </w:pPr>
      <w:r w:rsidRPr="00F242DD">
        <w:t xml:space="preserve">Всем пациентам при установке диагноза </w:t>
      </w:r>
      <w:r w:rsidR="00503339" w:rsidRPr="00F242DD">
        <w:t>ММ</w:t>
      </w:r>
      <w:r w:rsidR="001B7955" w:rsidRPr="00C528FA">
        <w:t>/</w:t>
      </w:r>
      <w:r w:rsidRPr="001B7955">
        <w:t>п</w:t>
      </w:r>
      <w:r w:rsidRPr="00F242DD">
        <w:t xml:space="preserve">еред началом терапии, при оценке </w:t>
      </w:r>
      <w:r w:rsidR="00D426A3" w:rsidRPr="00F242DD">
        <w:t>эффекта терапии,</w:t>
      </w:r>
      <w:r w:rsidR="00833D44" w:rsidRPr="00F242DD">
        <w:t xml:space="preserve"> </w:t>
      </w:r>
      <w:r w:rsidRPr="00F242DD">
        <w:t xml:space="preserve">а также при подозрении на рецидив заболевания </w:t>
      </w:r>
      <w:r w:rsidRPr="00F242DD">
        <w:rPr>
          <w:b/>
        </w:rPr>
        <w:t>рекомендуется</w:t>
      </w:r>
      <w:r w:rsidR="00833D44" w:rsidRPr="00F242DD">
        <w:rPr>
          <w:b/>
        </w:rPr>
        <w:t xml:space="preserve"> </w:t>
      </w:r>
      <w:r w:rsidR="007F557E" w:rsidRPr="00F242DD">
        <w:t xml:space="preserve">выполнить </w:t>
      </w:r>
      <w:r w:rsidR="00987A29" w:rsidRPr="00F242DD">
        <w:t>КТ</w:t>
      </w:r>
      <w:r w:rsidR="000143AC" w:rsidRPr="00F242DD">
        <w:t xml:space="preserve"> всех отделов позвоночника, грудной клетки, таза (предпочтение отдается низкодозной </w:t>
      </w:r>
      <w:r w:rsidR="00987A29" w:rsidRPr="00F242DD">
        <w:t>КТ</w:t>
      </w:r>
      <w:r w:rsidR="000143AC" w:rsidRPr="00F242DD">
        <w:t xml:space="preserve"> всего скелета) </w:t>
      </w:r>
      <w:r w:rsidRPr="00F242DD">
        <w:t xml:space="preserve">для уточнения наличия и распространенности </w:t>
      </w:r>
      <w:r w:rsidR="00CB1D3A" w:rsidRPr="00F242DD">
        <w:t>поражения костей</w:t>
      </w:r>
      <w:r w:rsidR="000143AC" w:rsidRPr="00F242DD">
        <w:t>, выявления костных</w:t>
      </w:r>
      <w:r w:rsidR="00D47D9A">
        <w:t xml:space="preserve"> </w:t>
      </w:r>
      <w:r w:rsidR="00D47D9A" w:rsidRPr="00C528FA">
        <w:t>и экстрамедуллярных</w:t>
      </w:r>
      <w:r w:rsidR="000143AC" w:rsidRPr="00F242DD">
        <w:t xml:space="preserve"> плазмоцитом с определением их размеров</w:t>
      </w:r>
      <w:r w:rsidR="00344A76" w:rsidRPr="00F242DD">
        <w:t xml:space="preserve"> </w:t>
      </w:r>
      <w:r w:rsidR="00A96FB6" w:rsidRPr="00F242DD">
        <w:fldChar w:fldCharType="begin" w:fldLock="1"/>
      </w:r>
      <w:r w:rsidR="00267DE2"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миелома","type":"chapter"},"uris":["http://www.mendeley.com/documents/?uuid=74f72d23-d025-4daa-a02d-40d14fc77cc4"]},{"id":"ITEM-2","itemData":{"DOI":"10.1158/1078-0432.CCR-14-1692","ISSN":"15573265","abstract":"© 2014 AACR. Detection of lytic bone lesions is crucial in the workup for multiple myeloma and very often dictates the decision to start treatment. Conventional radiography, despite decades of use, is often insufficient for detection of bone disease in multiple myeloma. Modern imaging techniques such as MRI, PET, and CT offer superior detection of myeloma bone disease and extramedullary manifestations of plasma cell dyscrasias. Novel whole-body low-dose computed tomography (WBLDCT) protocols allow for collection of superior image detail of the skeleton at doses of radiation similar to those used for conventional planar radiography. Several studies have shown that WBLDCT has a superior detection rate for lytic bone lesions compared with whole-body X-ray (WBXR), potentially leading to restaging and changes in therapy. MRI and PET provide imaging data important for assessing disease activity and prognostication. Because of several advantages over WBXR, WBLDCT is already the standard imaging technique for use in patients with multiple myeloma in many European institutions. However, the radiographic skeletal survey or WBXR is still the initial study of choice used to screen for myeloma bone disease in many institutions. In this review, we aim to explore the changing landscape of imaging for myeloma bone disease through use of modern imaging techniques.","author":[{"dropping-particle":"","family":"Pianko","given":"Matthew J.","non-dropping-particle":"","parse-names":false,"suffix":""},{"dropping-particle":"","family":"Terpos","given":"Evangelos","non-dropping-particle":"","parse-names":false,"suffix":""},{"dropping-particle":"","family":"Roodman","given":"G. David","non-dropping-particle":"","parse-names":false,"suffix":""},{"dropping-particle":"","family":"Divgi","given":"Chaitanya R.","non-dropping-particle":"","parse-names":false,"suffix":""},{"dropping-particle":"","family":"Zweegman","given":"Sonja","non-dropping-particle":"","parse-names":false,"suffix":""},{"dropping-particle":"","family":"Hillengass","given":"Jens","non-dropping-particle":"","parse-names":false,"suffix":""},{"dropping-particle":"","family":"Lentzsch","given":"Suzanne","non-dropping-particle":"","parse-names":false,"suffix":""}],"container-title":"Clinical Cancer Research","id":"ITEM-2","issue":"23","issued":{"date-parts":[["2014","12","1"]]},"page":"5888-5897","publisher":"American Association for Cancer Research Inc.","title":"Whole-body low-dose computed tomography and advanced imaging techniques for multiple myeloma bone disease","type":"article","volume":"20"},"uris":["http://www.mendeley.com/documents/?uuid=4ff9e16f-4fa9-3264-9e0c-e3e7902eb365"]}],"mendeley":{"formattedCitation":"[1,23]","plainTextFormattedCitation":"[1,23]","previouslyFormattedCitation":"[1,23]"},"properties":{"noteIndex":0},"schema":"https://github.com/citation-style-language/schema/raw/master/csl-citation.json"}</w:instrText>
      </w:r>
      <w:r w:rsidR="00A96FB6" w:rsidRPr="00F242DD">
        <w:fldChar w:fldCharType="separate"/>
      </w:r>
      <w:r w:rsidR="000D22CF" w:rsidRPr="00F242DD">
        <w:rPr>
          <w:noProof/>
        </w:rPr>
        <w:t>[1,23]</w:t>
      </w:r>
      <w:r w:rsidR="00A96FB6" w:rsidRPr="00F242DD">
        <w:fldChar w:fldCharType="end"/>
      </w:r>
      <w:r w:rsidR="00741B6B" w:rsidRPr="00F242DD">
        <w:t>.</w:t>
      </w:r>
    </w:p>
    <w:p w14:paraId="5185EF45" w14:textId="77777777" w:rsidR="004D7374" w:rsidRPr="00F242DD" w:rsidRDefault="004D7374" w:rsidP="00131E36">
      <w:pPr>
        <w:spacing w:before="0" w:after="0"/>
        <w:ind w:left="709"/>
        <w:contextualSpacing/>
        <w:rPr>
          <w:b/>
        </w:rPr>
      </w:pPr>
      <w:r w:rsidRPr="00F242DD">
        <w:rPr>
          <w:b/>
        </w:rPr>
        <w:t xml:space="preserve">Уровень убедительности рекомендаций </w:t>
      </w:r>
      <w:r w:rsidR="00E62084" w:rsidRPr="00F242DD">
        <w:rPr>
          <w:b/>
        </w:rPr>
        <w:t xml:space="preserve">− </w:t>
      </w:r>
      <w:r w:rsidR="003C65DB" w:rsidRPr="00F242DD">
        <w:rPr>
          <w:b/>
        </w:rPr>
        <w:t>С</w:t>
      </w:r>
      <w:r w:rsidRPr="00F242DD">
        <w:rPr>
          <w:b/>
        </w:rPr>
        <w:t xml:space="preserve"> (уровень достоверности доказательств </w:t>
      </w:r>
      <w:r w:rsidR="00E62084" w:rsidRPr="00F242DD">
        <w:rPr>
          <w:b/>
        </w:rPr>
        <w:t xml:space="preserve">− </w:t>
      </w:r>
      <w:r w:rsidR="003C65DB" w:rsidRPr="00F242DD">
        <w:rPr>
          <w:b/>
        </w:rPr>
        <w:t>5</w:t>
      </w:r>
      <w:r w:rsidRPr="00F242DD">
        <w:rPr>
          <w:b/>
        </w:rPr>
        <w:t>)</w:t>
      </w:r>
    </w:p>
    <w:p w14:paraId="1A390A0D" w14:textId="3F7D3FF0" w:rsidR="007F557E" w:rsidRPr="00F242DD" w:rsidRDefault="007F557E" w:rsidP="00131E36">
      <w:pPr>
        <w:pStyle w:val="a6"/>
        <w:numPr>
          <w:ilvl w:val="0"/>
          <w:numId w:val="3"/>
        </w:numPr>
        <w:spacing w:before="0" w:after="0"/>
        <w:ind w:left="709" w:hanging="709"/>
      </w:pPr>
      <w:r w:rsidRPr="00F242DD">
        <w:t xml:space="preserve">Всем пациентам при установке диагноза ММ </w:t>
      </w:r>
      <w:r w:rsidR="00031CDE">
        <w:t xml:space="preserve">или непосредственно </w:t>
      </w:r>
      <w:r w:rsidRPr="00F242DD">
        <w:t xml:space="preserve">перед началом терапии, а также при подозрении на рецидив заболевания при невозможности выполнить </w:t>
      </w:r>
      <w:r w:rsidR="00E62084" w:rsidRPr="00F242DD">
        <w:t>КТ</w:t>
      </w:r>
      <w:r w:rsidR="00031CDE">
        <w:t>/низкодозную КТ костей скелета</w:t>
      </w:r>
      <w:r w:rsidR="0075099C" w:rsidRPr="00F242DD">
        <w:t xml:space="preserve"> </w:t>
      </w:r>
      <w:r w:rsidRPr="00F242DD">
        <w:rPr>
          <w:b/>
        </w:rPr>
        <w:t>рекомендуется</w:t>
      </w:r>
      <w:r w:rsidRPr="00F242DD">
        <w:t xml:space="preserve"> выполнить </w:t>
      </w:r>
      <w:r w:rsidRPr="00F242DD">
        <w:lastRenderedPageBreak/>
        <w:t>рентгенологическое исследование костей: рентгенографию (включая череп, грудную клетку, все отделы позвоночника, таз, плечевые и бедренные кости) для уточнения наличия и распространенности поражения костей</w:t>
      </w:r>
      <w:r w:rsidR="00344A76" w:rsidRPr="00F242DD">
        <w:t xml:space="preserve"> </w:t>
      </w:r>
      <w:r w:rsidR="00A96FB6" w:rsidRPr="00F242DD">
        <w:fldChar w:fldCharType="begin" w:fldLock="1"/>
      </w:r>
      <w:r w:rsidR="00344A76"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rsidRPr="00F242DD">
        <w:fldChar w:fldCharType="separate"/>
      </w:r>
      <w:r w:rsidR="00344A76" w:rsidRPr="00F242DD">
        <w:rPr>
          <w:noProof/>
        </w:rPr>
        <w:t>[1]</w:t>
      </w:r>
      <w:r w:rsidR="00A96FB6" w:rsidRPr="00F242DD">
        <w:fldChar w:fldCharType="end"/>
      </w:r>
      <w:r w:rsidRPr="00F242DD">
        <w:t>.</w:t>
      </w:r>
    </w:p>
    <w:p w14:paraId="1943625A" w14:textId="77777777" w:rsidR="00344A76" w:rsidRPr="00F242DD" w:rsidRDefault="00344A76" w:rsidP="00344A76">
      <w:pPr>
        <w:pStyle w:val="a6"/>
        <w:spacing w:before="0" w:after="0"/>
        <w:ind w:left="709"/>
        <w:rPr>
          <w:b/>
        </w:rPr>
      </w:pPr>
      <w:r w:rsidRPr="00F242DD">
        <w:rPr>
          <w:b/>
        </w:rPr>
        <w:t xml:space="preserve">Уровень убедительности рекомендаций </w:t>
      </w:r>
      <w:r w:rsidR="00E62084" w:rsidRPr="00F242DD">
        <w:rPr>
          <w:b/>
        </w:rPr>
        <w:t xml:space="preserve">− </w:t>
      </w:r>
      <w:r w:rsidRPr="00F242DD">
        <w:rPr>
          <w:b/>
        </w:rPr>
        <w:t xml:space="preserve">С (уровень достоверности доказательств </w:t>
      </w:r>
      <w:r w:rsidR="00E62084" w:rsidRPr="00F242DD">
        <w:rPr>
          <w:b/>
        </w:rPr>
        <w:t xml:space="preserve">− </w:t>
      </w:r>
      <w:r w:rsidRPr="00F242DD">
        <w:rPr>
          <w:b/>
        </w:rPr>
        <w:t>5)</w:t>
      </w:r>
    </w:p>
    <w:p w14:paraId="4920D110" w14:textId="67970F3C" w:rsidR="0075099C" w:rsidRPr="00F242DD" w:rsidRDefault="0075099C" w:rsidP="00344A76">
      <w:pPr>
        <w:pStyle w:val="a6"/>
        <w:numPr>
          <w:ilvl w:val="0"/>
          <w:numId w:val="3"/>
        </w:numPr>
        <w:spacing w:before="0" w:after="0"/>
        <w:ind w:left="709"/>
      </w:pPr>
      <w:r w:rsidRPr="00F242DD">
        <w:t xml:space="preserve">Всем пациентам при установке диагноза ММ перед началом терапии, при оценке эффекта терапии, а также при подозрении на рецидив заболевания </w:t>
      </w:r>
      <w:r w:rsidR="00411E0C" w:rsidRPr="00F242DD">
        <w:t>в качестве</w:t>
      </w:r>
      <w:r w:rsidRPr="00F242DD">
        <w:t xml:space="preserve"> альтернатив</w:t>
      </w:r>
      <w:r w:rsidR="00411E0C" w:rsidRPr="00F242DD">
        <w:t>ы</w:t>
      </w:r>
      <w:r w:rsidRPr="00F242DD">
        <w:t xml:space="preserve"> </w:t>
      </w:r>
      <w:r w:rsidR="00411E0C" w:rsidRPr="00F242DD">
        <w:t>КТ</w:t>
      </w:r>
      <w:r w:rsidR="00031CDE">
        <w:t xml:space="preserve"> </w:t>
      </w:r>
      <w:r w:rsidRPr="00F242DD">
        <w:t xml:space="preserve">всего скелета для уточнения наличия и распространенности поражения костей, выявления костных </w:t>
      </w:r>
      <w:r w:rsidR="00D47D9A" w:rsidRPr="00C528FA">
        <w:t>и экстрамедуллярных</w:t>
      </w:r>
      <w:r w:rsidR="00D47D9A">
        <w:t xml:space="preserve"> </w:t>
      </w:r>
      <w:r w:rsidRPr="00F242DD">
        <w:t>плазмоцитом с определением их размеров рекомендуется выполнить ПЭТ/КТ</w:t>
      </w:r>
      <w:r w:rsidR="00344A76" w:rsidRPr="00F242DD">
        <w:t xml:space="preserve"> </w:t>
      </w:r>
      <w:r w:rsidR="00A96FB6" w:rsidRPr="00F242DD">
        <w:fldChar w:fldCharType="begin" w:fldLock="1"/>
      </w:r>
      <w:r w:rsidR="008C5285" w:rsidRPr="00F242DD">
        <w:instrText>ADDIN CSL_CITATION {"citationItems":[{"id":"ITEM-1","itemData":{"DOI":"10.1016/S1470-2045(17)30189-4","ISSN":"14745488","abstract":"The International Myeloma Working Group consensus aimed to provide recommendations for the optimal use of 18fluorodeoxyglucose (18F-FDG) PET/CT in patients with multiple myeloma and other plasma cell disorders, including smouldering multiple myeloma and solitary plasmacytoma. 18F-FDG PET/CT can be considered a valuable tool for the work-up of patients with both newly diagnosed and relapsed or refractory multiple myeloma because it assesses bone damage with relatively high sensitivity and specificity, and detects extramedullary sites of proliferating clonal plasma cells while providing important prognostic information. The use of 18F-FDG PET/CT is mandatory to confirm a suspected diagnosis of solitary plasmacytoma, provided that whole-body MRI is unable to be performed, and to distinguish between smouldering and active multiple myeloma, if whole-body X-ray (WBXR) is negative and whole-body MRI is unavailable. Based on the ability of 18F-FDG PET/CT to distinguish between metabolically active and inactive disease, this technique is now the preferred functional imaging modality to evaluate and to monitor the effect of therapy on myeloma-cell metabolism. Changes in FDG avidity can provide an earlier evaluation of response to therapy compared to MRI scans, and can predict outcomes, particularly for patients who are eligible to receive autologous stem-cell transplantation. 18F-FDG PET/CT can be coupled with sensitive bone marrow-based techniques to detect minimal residual disease (MRD) inside and outside the bone marrow, helping to identify those patients who are defined as having imaging MRD negativity.","author":[{"dropping-particle":"","family":"Cavo","given":"Michele","non-dropping-particle":"","parse-names":false,"suffix":""},{"dropping-particle":"","family":"Terpos","given":"Evangelos","non-dropping-particle":"","parse-names":false,"suffix":""},{"dropping-particle":"","family":"Nanni","given":"Cristina","non-dropping-particle":"","parse-names":false,"suffix":""},{"dropping-particle":"","family":"Moreau","given":"Philippe","non-dropping-particle":"","parse-names":false,"suffix":""},{"dropping-particle":"","family":"Lentzsch","given":"Suzanne","non-dropping-particle":"","parse-names":false,"suffix":""},{"dropping-particle":"","family":"Zweegman","given":"Sonja","non-dropping-particle":"","parse-names":false,"suffix":""},{"dropping-particle":"","family":"Hillengass","given":"Jens","non-dropping-particle":"","parse-names":false,"suffix":""},{"dropping-particle":"","family":"Engelhardt","given":"Monika","non-dropping-particle":"","parse-names":false,"suffix":""},{"dropping-particle":"","family":"Usmani","given":"Saad Z.","non-dropping-particle":"","parse-names":false,"suffix":""},{"dropping-particle":"","family":"Vesole","given":"David H.","non-dropping-particle":"","parse-names":false,"suffix":""},{"dropping-particle":"","family":"San-Miguel","given":"Jesus","non-dropping-particle":"","parse-names":false,"suffix":""},{"dropping-particle":"","family":"Kumar","given":"Shaji K.","non-dropping-particle":"","parse-names":false,"suffix":""},{"dropping-particle":"","family":"Richardson","given":"Paul G.","non-dropping-particle":"","parse-names":false,"suffix":""},{"dropping-particle":"","family":"Mikhael","given":"Joseph R.","non-dropping-particle":"","parse-names":false,"suffix":""},{"dropping-particle":"","family":"Costa","given":"Fernando Leal","non-dropping-particle":"da","parse-names":false,"suffix":""},{"dropping-particle":"","family":"Dimopoulos","given":"Meletios Athanassios","non-dropping-particle":"","parse-names":false,"suffix":""},{"dropping-particle":"","family":"Zingaretti","given":"Chiara","non-dropping-particle":"","parse-names":false,"suffix":""},{"dropping-particle":"","family":"Abildgaard","given":"Niels","non-dropping-particle":"","parse-names":false,"suffix":""},{"dropping-particle":"","family":"Goldschmidt","given":"Hartmut","non-dropping-particle":"","parse-names":false,"suffix":""},{"dropping-particle":"","family":"Orlowski","given":"Robert Z.","non-dropping-particle":"","parse-names":false,"suffix":""},{"dropping-particle":"","family":"Chng","given":"Wee Joo","non-dropping-particle":"","parse-names":false,"suffix":""},{"dropping-particle":"","family":"Einsele","given":"Hermann","non-dropping-particle":"","parse-names":false,"suffix":""},{"dropping-particle":"","family":"Lonial","given":"Sagar","non-dropping-particle":"","parse-names":false,"suffix":""},{"dropping-particle":"","family":"Barlogie","given":"Bart","non-dropping-particle":"","parse-names":false,"suffix":""},{"dropping-particle":"","family":"Anderson","given":"Kenneth C.","non-dropping-particle":"","parse-names":false,"suffix":""},{"dropping-particle":"","family":"Rajkumar","given":"S. Vincent","non-dropping-particle":"","parse-names":false,"suffix":""},{"dropping-particle":"","family":"Durie","given":"Brian G.M.","non-dropping-particle":"","parse-names":false,"suffix":""},{"dropping-particle":"","family":"Zamagni","given":"Elena","non-dropping-particle":"","parse-names":false,"suffix":""}],"container-title":"The Lancet Oncology","id":"ITEM-1","issue":"4","issued":{"date-parts":[["2017","4","1"]]},"page":"e206-e217","publisher":"Lancet Publishing Group","title":"Role of 18F-FDG PET/CT in the diagnosis and management of multiple myeloma and other plasma cell disorders: a consensus statement by the International Myeloma Working Group","type":"article","volume":"18"},"uris":["http://www.mendeley.com/documents/?uuid=dac9c8c9-a485-3d92-bc6b-3cf43e0d4f6b"]}],"mendeley":{"formattedCitation":"[24]","plainTextFormattedCitation":"[24]","previouslyFormattedCitation":"[24]"},"properties":{"noteIndex":0},"schema":"https://github.com/citation-style-language/schema/raw/master/csl-citation.json"}</w:instrText>
      </w:r>
      <w:r w:rsidR="00A96FB6" w:rsidRPr="00F242DD">
        <w:fldChar w:fldCharType="separate"/>
      </w:r>
      <w:r w:rsidR="00A936BF" w:rsidRPr="00F242DD">
        <w:rPr>
          <w:noProof/>
        </w:rPr>
        <w:t>[24]</w:t>
      </w:r>
      <w:r w:rsidR="00A96FB6" w:rsidRPr="00F242DD">
        <w:fldChar w:fldCharType="end"/>
      </w:r>
      <w:r w:rsidR="00A936BF" w:rsidRPr="00F242DD">
        <w:rPr>
          <w:lang w:val="en-US"/>
        </w:rPr>
        <w:t>.</w:t>
      </w:r>
    </w:p>
    <w:p w14:paraId="0B013FC3" w14:textId="77777777" w:rsidR="00A936BF" w:rsidRPr="00F242DD" w:rsidRDefault="00A936BF" w:rsidP="00A936BF">
      <w:pPr>
        <w:pStyle w:val="a6"/>
        <w:spacing w:before="0" w:after="0"/>
        <w:ind w:left="709"/>
        <w:rPr>
          <w:b/>
        </w:rPr>
      </w:pPr>
      <w:r w:rsidRPr="00F242DD">
        <w:rPr>
          <w:b/>
        </w:rPr>
        <w:t xml:space="preserve">Уровень убедительности рекомендаций </w:t>
      </w:r>
      <w:r w:rsidR="001F332B" w:rsidRPr="00F242DD">
        <w:rPr>
          <w:b/>
        </w:rPr>
        <w:t xml:space="preserve">− </w:t>
      </w:r>
      <w:r w:rsidRPr="00F242DD">
        <w:rPr>
          <w:b/>
        </w:rPr>
        <w:t xml:space="preserve">С (уровень достоверности доказательств </w:t>
      </w:r>
      <w:r w:rsidR="001F332B" w:rsidRPr="00F242DD">
        <w:rPr>
          <w:b/>
        </w:rPr>
        <w:t xml:space="preserve">− </w:t>
      </w:r>
      <w:r w:rsidRPr="00F242DD">
        <w:rPr>
          <w:b/>
        </w:rPr>
        <w:t>5)</w:t>
      </w:r>
    </w:p>
    <w:p w14:paraId="49F7D35D" w14:textId="77777777" w:rsidR="0075099C" w:rsidRPr="00F242DD" w:rsidRDefault="0075099C" w:rsidP="00A936BF">
      <w:pPr>
        <w:pStyle w:val="a6"/>
        <w:spacing w:before="0" w:after="0"/>
        <w:ind w:left="709"/>
      </w:pPr>
      <w:r w:rsidRPr="00F242DD">
        <w:rPr>
          <w:b/>
          <w:bCs/>
          <w:iCs/>
        </w:rPr>
        <w:t>Комментари</w:t>
      </w:r>
      <w:r w:rsidR="001F332B" w:rsidRPr="00F242DD">
        <w:rPr>
          <w:b/>
          <w:bCs/>
          <w:iCs/>
        </w:rPr>
        <w:t>й</w:t>
      </w:r>
      <w:r w:rsidRPr="00F242DD">
        <w:rPr>
          <w:b/>
          <w:bCs/>
          <w:iCs/>
        </w:rPr>
        <w:t>:</w:t>
      </w:r>
      <w:r w:rsidRPr="00F242DD">
        <w:rPr>
          <w:i/>
        </w:rPr>
        <w:t xml:space="preserve"> </w:t>
      </w:r>
      <w:r w:rsidR="00A936BF" w:rsidRPr="00F242DD">
        <w:rPr>
          <w:i/>
        </w:rPr>
        <w:t xml:space="preserve">при </w:t>
      </w:r>
      <w:r w:rsidR="00D15602" w:rsidRPr="00F242DD">
        <w:rPr>
          <w:i/>
        </w:rPr>
        <w:t xml:space="preserve">планировании этапа высокодозного лечения с поддержкой аутологичными </w:t>
      </w:r>
      <w:r w:rsidR="001F332B" w:rsidRPr="00F242DD">
        <w:rPr>
          <w:i/>
        </w:rPr>
        <w:t>гемопоэтическими стволовыми клетками (</w:t>
      </w:r>
      <w:r w:rsidR="00746015" w:rsidRPr="00F242DD">
        <w:rPr>
          <w:i/>
        </w:rPr>
        <w:t>ауто-Т</w:t>
      </w:r>
      <w:r w:rsidR="00D15602" w:rsidRPr="00F242DD">
        <w:rPr>
          <w:i/>
        </w:rPr>
        <w:t>ГСК</w:t>
      </w:r>
      <w:r w:rsidR="001F332B" w:rsidRPr="00F242DD">
        <w:rPr>
          <w:i/>
        </w:rPr>
        <w:t>)</w:t>
      </w:r>
      <w:r w:rsidR="00D15602" w:rsidRPr="00F242DD">
        <w:rPr>
          <w:i/>
        </w:rPr>
        <w:t xml:space="preserve"> динамика опухолевого процесса по данным ПЭТ/КТ имеет прогностическое значение.</w:t>
      </w:r>
    </w:p>
    <w:p w14:paraId="4374611D" w14:textId="77777777" w:rsidR="00CB1D3A" w:rsidRPr="00F242DD" w:rsidRDefault="00CB1D3A" w:rsidP="00131E36">
      <w:pPr>
        <w:pStyle w:val="a6"/>
        <w:numPr>
          <w:ilvl w:val="0"/>
          <w:numId w:val="3"/>
        </w:numPr>
        <w:spacing w:before="0" w:after="0"/>
        <w:ind w:left="709" w:hanging="709"/>
      </w:pPr>
      <w:r w:rsidRPr="00F242DD">
        <w:t>Всем пациентам</w:t>
      </w:r>
      <w:r w:rsidR="00A057F1" w:rsidRPr="00F242DD">
        <w:t xml:space="preserve"> с подозрением на тлеющую миелому или на солитарную</w:t>
      </w:r>
      <w:r w:rsidR="0075099C" w:rsidRPr="00F242DD">
        <w:t xml:space="preserve"> </w:t>
      </w:r>
      <w:r w:rsidR="00A057F1" w:rsidRPr="00F242DD">
        <w:t>плазмоцитому, а также при подозрении</w:t>
      </w:r>
      <w:r w:rsidR="000143AC" w:rsidRPr="00F242DD">
        <w:t xml:space="preserve"> на</w:t>
      </w:r>
      <w:r w:rsidR="00A057F1" w:rsidRPr="00F242DD">
        <w:t xml:space="preserve"> компрессию спинного мозга (для визуализации оболочек спинного мозга) </w:t>
      </w:r>
      <w:r w:rsidR="00A057F1" w:rsidRPr="00F242DD">
        <w:rPr>
          <w:b/>
        </w:rPr>
        <w:t>рекомендуется</w:t>
      </w:r>
      <w:r w:rsidR="00A057F1" w:rsidRPr="00F242DD">
        <w:t xml:space="preserve"> выполнение </w:t>
      </w:r>
      <w:r w:rsidR="00D067B4" w:rsidRPr="00F242DD">
        <w:t>магнитно-резонансной томографии всех отделов</w:t>
      </w:r>
      <w:r w:rsidR="00A057F1" w:rsidRPr="00F242DD">
        <w:t xml:space="preserve"> позвоночника</w:t>
      </w:r>
      <w:r w:rsidR="000143AC" w:rsidRPr="00F242DD">
        <w:t xml:space="preserve"> и таза</w:t>
      </w:r>
      <w:r w:rsidR="00A936BF" w:rsidRPr="00F242DD">
        <w:t xml:space="preserve"> </w:t>
      </w:r>
      <w:r w:rsidR="00A96FB6" w:rsidRPr="00F242DD">
        <w:fldChar w:fldCharType="begin" w:fldLock="1"/>
      </w:r>
      <w:r w:rsidR="00A936BF"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rsidRPr="00F242DD">
        <w:fldChar w:fldCharType="separate"/>
      </w:r>
      <w:r w:rsidR="00A936BF" w:rsidRPr="00F242DD">
        <w:rPr>
          <w:noProof/>
        </w:rPr>
        <w:t>[1]</w:t>
      </w:r>
      <w:r w:rsidR="00A96FB6" w:rsidRPr="00F242DD">
        <w:fldChar w:fldCharType="end"/>
      </w:r>
      <w:r w:rsidRPr="00F242DD">
        <w:t>.</w:t>
      </w:r>
    </w:p>
    <w:p w14:paraId="62BE7691" w14:textId="77777777" w:rsidR="00CB1D3A" w:rsidRPr="00F242DD" w:rsidRDefault="00CB1D3A" w:rsidP="00131E36">
      <w:pPr>
        <w:spacing w:before="0" w:after="0"/>
        <w:ind w:left="709"/>
        <w:contextualSpacing/>
        <w:rPr>
          <w:b/>
        </w:rPr>
      </w:pPr>
      <w:r w:rsidRPr="00F242DD">
        <w:rPr>
          <w:b/>
        </w:rPr>
        <w:t xml:space="preserve">Уровень убедительности рекомендаций </w:t>
      </w:r>
      <w:r w:rsidR="00D25832" w:rsidRPr="00F242DD">
        <w:rPr>
          <w:b/>
        </w:rPr>
        <w:t xml:space="preserve">− </w:t>
      </w:r>
      <w:r w:rsidR="003C65DB" w:rsidRPr="00F242DD">
        <w:rPr>
          <w:b/>
        </w:rPr>
        <w:t>С</w:t>
      </w:r>
      <w:r w:rsidRPr="00F242DD">
        <w:rPr>
          <w:b/>
        </w:rPr>
        <w:t xml:space="preserve"> (уровень достоверности доказательств </w:t>
      </w:r>
      <w:r w:rsidR="00D25832" w:rsidRPr="00F242DD">
        <w:rPr>
          <w:b/>
        </w:rPr>
        <w:t xml:space="preserve">− </w:t>
      </w:r>
      <w:r w:rsidR="003C65DB" w:rsidRPr="00F242DD">
        <w:rPr>
          <w:b/>
        </w:rPr>
        <w:t>5</w:t>
      </w:r>
      <w:r w:rsidRPr="00F242DD">
        <w:rPr>
          <w:b/>
        </w:rPr>
        <w:t>)</w:t>
      </w:r>
    </w:p>
    <w:p w14:paraId="3FD77B22" w14:textId="77777777" w:rsidR="00213F0A" w:rsidRPr="00F242DD" w:rsidRDefault="00213F0A" w:rsidP="00213F0A">
      <w:pPr>
        <w:pStyle w:val="a6"/>
        <w:numPr>
          <w:ilvl w:val="0"/>
          <w:numId w:val="3"/>
        </w:numPr>
        <w:spacing w:before="0" w:after="0"/>
        <w:ind w:left="709" w:hanging="709"/>
      </w:pPr>
      <w:r w:rsidRPr="00F242DD">
        <w:t xml:space="preserve">Всем пациентам с верифицированной ММ перед началом терапии </w:t>
      </w:r>
      <w:r w:rsidRPr="00F242DD">
        <w:rPr>
          <w:b/>
          <w:bCs/>
        </w:rPr>
        <w:t xml:space="preserve">рекомендуется </w:t>
      </w:r>
      <w:r w:rsidRPr="00F242DD">
        <w:t xml:space="preserve">для своевременного выявления сопутствующей патологии со стороны сердечно-сосудистой, дыхательной и пищеварительной систем, определения необходимости профилактики или лечения соответствующей коморбидности выполнить следующие исследования </w:t>
      </w:r>
      <w:r w:rsidR="00A96FB6" w:rsidRPr="00F242DD">
        <w:fldChar w:fldCharType="begin" w:fldLock="1"/>
      </w:r>
      <w:r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rsidRPr="00F242DD">
        <w:fldChar w:fldCharType="separate"/>
      </w:r>
      <w:r w:rsidRPr="00F242DD">
        <w:rPr>
          <w:noProof/>
        </w:rPr>
        <w:t>[1]</w:t>
      </w:r>
      <w:r w:rsidR="00A96FB6" w:rsidRPr="00F242DD">
        <w:fldChar w:fldCharType="end"/>
      </w:r>
      <w:r w:rsidRPr="00F242DD">
        <w:t>:</w:t>
      </w:r>
    </w:p>
    <w:p w14:paraId="489B94C1" w14:textId="77777777" w:rsidR="00213F0A" w:rsidRPr="00F242DD" w:rsidRDefault="00213F0A" w:rsidP="008033EF">
      <w:pPr>
        <w:pStyle w:val="a6"/>
        <w:numPr>
          <w:ilvl w:val="1"/>
          <w:numId w:val="3"/>
        </w:numPr>
        <w:spacing w:before="0" w:after="0"/>
        <w:ind w:left="709" w:firstLine="0"/>
      </w:pPr>
      <w:r w:rsidRPr="00F242DD">
        <w:t>электрокардиографию;</w:t>
      </w:r>
    </w:p>
    <w:p w14:paraId="13A67BF2" w14:textId="47DB3D11" w:rsidR="00213F0A" w:rsidRPr="00C528FA" w:rsidRDefault="00213F0A" w:rsidP="008033EF">
      <w:pPr>
        <w:pStyle w:val="a6"/>
        <w:numPr>
          <w:ilvl w:val="1"/>
          <w:numId w:val="3"/>
        </w:numPr>
        <w:spacing w:before="0" w:after="0"/>
        <w:ind w:left="709" w:firstLine="0"/>
      </w:pPr>
      <w:r w:rsidRPr="00C528FA">
        <w:t>эхокардиографию</w:t>
      </w:r>
      <w:r w:rsidR="0001340B" w:rsidRPr="00C528FA">
        <w:t xml:space="preserve"> (по показаниям)</w:t>
      </w:r>
      <w:r w:rsidRPr="00C528FA">
        <w:t>;</w:t>
      </w:r>
    </w:p>
    <w:p w14:paraId="74ED9F7E" w14:textId="2D8B0AFA" w:rsidR="00213F0A" w:rsidRPr="00C528FA" w:rsidRDefault="00213F0A" w:rsidP="008033EF">
      <w:pPr>
        <w:pStyle w:val="a6"/>
        <w:numPr>
          <w:ilvl w:val="1"/>
          <w:numId w:val="3"/>
        </w:numPr>
        <w:spacing w:before="0" w:after="0"/>
        <w:ind w:left="709" w:firstLine="0"/>
      </w:pPr>
      <w:r w:rsidRPr="00C528FA">
        <w:t xml:space="preserve">ультразвуковую допплерографию сосудов (артерий и вен) </w:t>
      </w:r>
      <w:r w:rsidR="00C04CB9" w:rsidRPr="00C528FA">
        <w:t>нижних</w:t>
      </w:r>
      <w:r w:rsidRPr="00C528FA">
        <w:t xml:space="preserve"> конечностей</w:t>
      </w:r>
      <w:r w:rsidR="0001340B" w:rsidRPr="00C528FA">
        <w:t xml:space="preserve"> (по показаниям)</w:t>
      </w:r>
      <w:r w:rsidRPr="00C528FA">
        <w:t>;</w:t>
      </w:r>
    </w:p>
    <w:p w14:paraId="5B0CA7E6" w14:textId="77777777" w:rsidR="00213F0A" w:rsidRPr="00C528FA" w:rsidRDefault="00213F0A" w:rsidP="008033EF">
      <w:pPr>
        <w:pStyle w:val="a6"/>
        <w:numPr>
          <w:ilvl w:val="1"/>
          <w:numId w:val="3"/>
        </w:numPr>
        <w:spacing w:before="0" w:after="0"/>
        <w:ind w:left="709" w:firstLine="0"/>
      </w:pPr>
      <w:r w:rsidRPr="00C528FA">
        <w:t xml:space="preserve">рентгенографию или </w:t>
      </w:r>
      <w:r w:rsidR="00D25832" w:rsidRPr="00C528FA">
        <w:t>КТ</w:t>
      </w:r>
      <w:r w:rsidRPr="00C528FA">
        <w:t xml:space="preserve"> органов грудной клетки;</w:t>
      </w:r>
    </w:p>
    <w:p w14:paraId="0F91F79A" w14:textId="04CFA8CA" w:rsidR="00213F0A" w:rsidRPr="00C528FA" w:rsidRDefault="00213F0A" w:rsidP="008033EF">
      <w:pPr>
        <w:pStyle w:val="a6"/>
        <w:numPr>
          <w:ilvl w:val="1"/>
          <w:numId w:val="3"/>
        </w:numPr>
        <w:spacing w:before="0" w:after="0"/>
        <w:ind w:left="709" w:firstLine="0"/>
      </w:pPr>
      <w:r w:rsidRPr="00C528FA">
        <w:t>эзофагогастродуоденоскопию</w:t>
      </w:r>
      <w:r w:rsidR="0001340B" w:rsidRPr="00C528FA">
        <w:t xml:space="preserve"> (по показаниям)</w:t>
      </w:r>
      <w:r w:rsidR="00D25832" w:rsidRPr="00C528FA">
        <w:t>.</w:t>
      </w:r>
    </w:p>
    <w:p w14:paraId="6DD488A3" w14:textId="77777777" w:rsidR="00213F0A" w:rsidRPr="00F242DD" w:rsidRDefault="00213F0A" w:rsidP="00213F0A">
      <w:pPr>
        <w:spacing w:before="0" w:after="0"/>
        <w:ind w:left="709"/>
        <w:rPr>
          <w:b/>
        </w:rPr>
      </w:pPr>
      <w:r w:rsidRPr="00F242DD">
        <w:rPr>
          <w:b/>
        </w:rPr>
        <w:t xml:space="preserve">Уровень убедительности рекомендаций </w:t>
      </w:r>
      <w:r w:rsidR="00D25832" w:rsidRPr="00F242DD">
        <w:rPr>
          <w:b/>
        </w:rPr>
        <w:t xml:space="preserve">− </w:t>
      </w:r>
      <w:r w:rsidRPr="00F242DD">
        <w:rPr>
          <w:b/>
        </w:rPr>
        <w:t xml:space="preserve">С (уровень достоверности доказательств </w:t>
      </w:r>
      <w:r w:rsidR="00D25832" w:rsidRPr="00F242DD">
        <w:rPr>
          <w:b/>
        </w:rPr>
        <w:t>− 5)</w:t>
      </w:r>
    </w:p>
    <w:p w14:paraId="0D8AD02D" w14:textId="77777777" w:rsidR="00213F0A" w:rsidRPr="00F242DD" w:rsidRDefault="00213F0A" w:rsidP="00213F0A">
      <w:pPr>
        <w:pStyle w:val="a6"/>
        <w:numPr>
          <w:ilvl w:val="0"/>
          <w:numId w:val="3"/>
        </w:numPr>
        <w:spacing w:before="0" w:after="0"/>
        <w:ind w:left="709"/>
        <w:rPr>
          <w:b/>
        </w:rPr>
      </w:pPr>
      <w:r w:rsidRPr="00F242DD">
        <w:lastRenderedPageBreak/>
        <w:t xml:space="preserve">Всем пациентам с верифицированной ММ с коморбидностью, которая может повлиять на выбор программы противоопухолевого лечения, перед началом терапии </w:t>
      </w:r>
      <w:r w:rsidRPr="00F242DD">
        <w:rPr>
          <w:b/>
          <w:bCs/>
        </w:rPr>
        <w:t xml:space="preserve">рекомендуется </w:t>
      </w:r>
      <w:r w:rsidRPr="00F242DD">
        <w:t xml:space="preserve">консультация соответствующего врача-специалиста (кардиолога, невропатолога, оториноларинолога и др.) </w:t>
      </w:r>
      <w:r w:rsidR="00A96FB6" w:rsidRPr="00F242DD">
        <w:fldChar w:fldCharType="begin" w:fldLock="1"/>
      </w:r>
      <w:r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rsidRPr="00F242DD">
        <w:fldChar w:fldCharType="separate"/>
      </w:r>
      <w:r w:rsidRPr="00F242DD">
        <w:rPr>
          <w:noProof/>
        </w:rPr>
        <w:t>[1]</w:t>
      </w:r>
      <w:r w:rsidR="00A96FB6" w:rsidRPr="00F242DD">
        <w:fldChar w:fldCharType="end"/>
      </w:r>
      <w:r w:rsidRPr="00F242DD">
        <w:t>.</w:t>
      </w:r>
    </w:p>
    <w:p w14:paraId="216104AC" w14:textId="4A30D822" w:rsidR="00213F0A" w:rsidRPr="00F242DD" w:rsidRDefault="00213F0A" w:rsidP="00213F0A">
      <w:pPr>
        <w:pStyle w:val="a6"/>
        <w:spacing w:before="0" w:after="0"/>
        <w:ind w:left="709"/>
        <w:rPr>
          <w:b/>
        </w:rPr>
      </w:pPr>
      <w:r w:rsidRPr="00F242DD">
        <w:rPr>
          <w:b/>
        </w:rPr>
        <w:t xml:space="preserve">Уровень убедительности рекомендаций </w:t>
      </w:r>
      <w:r w:rsidR="00594CCD" w:rsidRPr="00F242DD">
        <w:rPr>
          <w:b/>
        </w:rPr>
        <w:t xml:space="preserve">− </w:t>
      </w:r>
      <w:r w:rsidRPr="00F242DD">
        <w:rPr>
          <w:b/>
        </w:rPr>
        <w:t xml:space="preserve">С (уровень достоверности доказательств </w:t>
      </w:r>
      <w:r w:rsidR="00594CCD" w:rsidRPr="00F242DD">
        <w:rPr>
          <w:b/>
        </w:rPr>
        <w:t>− 5)</w:t>
      </w:r>
    </w:p>
    <w:p w14:paraId="21FD0869" w14:textId="77777777" w:rsidR="005E3E79" w:rsidRPr="00F242DD" w:rsidRDefault="005E3E79" w:rsidP="00971A8A">
      <w:pPr>
        <w:pStyle w:val="2"/>
      </w:pPr>
      <w:bookmarkStart w:id="21" w:name="_Toc53140894"/>
      <w:r w:rsidRPr="00F242DD">
        <w:t>2.5 Иные диагностические исследования</w:t>
      </w:r>
      <w:bookmarkEnd w:id="21"/>
    </w:p>
    <w:p w14:paraId="03387A64" w14:textId="77777777" w:rsidR="005E3E79" w:rsidRPr="00F242DD" w:rsidRDefault="005E3E79" w:rsidP="00213F0A">
      <w:pPr>
        <w:pStyle w:val="a6"/>
        <w:spacing w:before="0" w:after="0"/>
        <w:ind w:left="709"/>
        <w:rPr>
          <w:bCs/>
          <w:i/>
          <w:iCs/>
        </w:rPr>
      </w:pPr>
      <w:r w:rsidRPr="00F242DD">
        <w:rPr>
          <w:bCs/>
          <w:i/>
          <w:iCs/>
        </w:rPr>
        <w:t>Не применяются.</w:t>
      </w:r>
    </w:p>
    <w:p w14:paraId="28BC046E" w14:textId="77777777" w:rsidR="005E3E79" w:rsidRPr="00F242DD" w:rsidRDefault="005E3E79" w:rsidP="00213F0A">
      <w:pPr>
        <w:pStyle w:val="a6"/>
        <w:spacing w:before="0" w:after="0"/>
        <w:ind w:left="709"/>
        <w:rPr>
          <w:b/>
        </w:rPr>
      </w:pPr>
    </w:p>
    <w:p w14:paraId="5002A8FC" w14:textId="77777777" w:rsidR="004D7374" w:rsidRPr="00F242DD" w:rsidRDefault="004D7374" w:rsidP="00E36DFA">
      <w:pPr>
        <w:pStyle w:val="1"/>
      </w:pPr>
      <w:bookmarkStart w:id="22" w:name="_Toc520213125"/>
      <w:bookmarkStart w:id="23" w:name="_Toc53140895"/>
      <w:r w:rsidRPr="00F242DD">
        <w:lastRenderedPageBreak/>
        <w:t xml:space="preserve">3. </w:t>
      </w:r>
      <w:bookmarkEnd w:id="22"/>
      <w:r w:rsidR="00BF3C4A" w:rsidRPr="00F242DD">
        <w:t>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23"/>
      <w:r w:rsidR="00BF3C4A" w:rsidRPr="00F242DD">
        <w:t xml:space="preserve"> </w:t>
      </w:r>
    </w:p>
    <w:p w14:paraId="3FEC34D9" w14:textId="529CCE45" w:rsidR="000C56A0" w:rsidRPr="00F242DD" w:rsidRDefault="000C56A0" w:rsidP="008928E0">
      <w:pPr>
        <w:spacing w:before="240" w:after="0"/>
        <w:ind w:firstLine="708"/>
        <w:rPr>
          <w:rFonts w:eastAsia="MS Mincho"/>
          <w:szCs w:val="24"/>
          <w:shd w:val="clear" w:color="auto" w:fill="FFFFFF"/>
          <w:lang w:eastAsia="ru-RU"/>
        </w:rPr>
      </w:pPr>
      <w:r w:rsidRPr="00F242DD">
        <w:rPr>
          <w:rFonts w:eastAsia="MS Mincho"/>
          <w:szCs w:val="24"/>
          <w:shd w:val="clear" w:color="auto" w:fill="FFFFFF"/>
          <w:lang w:eastAsia="ru-RU"/>
        </w:rPr>
        <w:t xml:space="preserve">Назначение и применение лекарственных препаратов, указанных в клинических рекомендаций, направлено на обеспечение пациента клинически эффективной и без-опасной медицинской </w:t>
      </w:r>
      <w:r w:rsidRPr="00C528FA">
        <w:rPr>
          <w:rFonts w:eastAsia="MS Mincho"/>
          <w:szCs w:val="24"/>
          <w:shd w:val="clear" w:color="auto" w:fill="FFFFFF"/>
          <w:lang w:eastAsia="ru-RU"/>
        </w:rPr>
        <w:t>помощ</w:t>
      </w:r>
      <w:r w:rsidR="00DE402D" w:rsidRPr="00C528FA">
        <w:rPr>
          <w:rFonts w:eastAsia="MS Mincho"/>
          <w:szCs w:val="24"/>
          <w:shd w:val="clear" w:color="auto" w:fill="FFFFFF"/>
          <w:lang w:eastAsia="ru-RU"/>
        </w:rPr>
        <w:t>ью</w:t>
      </w:r>
      <w:r w:rsidRPr="00C528FA">
        <w:rPr>
          <w:rFonts w:eastAsia="MS Mincho"/>
          <w:szCs w:val="24"/>
          <w:shd w:val="clear" w:color="auto" w:fill="FFFFFF"/>
          <w:lang w:eastAsia="ru-RU"/>
        </w:rPr>
        <w:t>,</w:t>
      </w:r>
      <w:r w:rsidRPr="00F242DD">
        <w:rPr>
          <w:rFonts w:eastAsia="MS Mincho"/>
          <w:szCs w:val="24"/>
          <w:shd w:val="clear" w:color="auto" w:fill="FFFFFF"/>
          <w:lang w:eastAsia="ru-RU"/>
        </w:rPr>
        <w:t xml:space="preserve"> в связи с чем их назначение и применение в конкретной клинической ситуации определяется в соответствии с инструкциями по применению конкретных лекарственных препаратов с реализацией представленных в инструкции мер предосторожности при их применении, также возможна коррекция доз с учетом состояния пациента.</w:t>
      </w:r>
    </w:p>
    <w:p w14:paraId="11199ECC" w14:textId="0A6C2B53" w:rsidR="004D7374" w:rsidRPr="00F242DD" w:rsidRDefault="00594CCD" w:rsidP="00E36DFA">
      <w:pPr>
        <w:pStyle w:val="2"/>
      </w:pPr>
      <w:bookmarkStart w:id="24" w:name="_Toc53140896"/>
      <w:r w:rsidRPr="00F242DD">
        <w:t xml:space="preserve">3.1 </w:t>
      </w:r>
      <w:r w:rsidR="004D7374" w:rsidRPr="00F242DD">
        <w:t xml:space="preserve">Показания к началу терапии </w:t>
      </w:r>
      <w:r w:rsidR="006E198F" w:rsidRPr="00F242DD">
        <w:t>и определение стратегии лечения</w:t>
      </w:r>
      <w:bookmarkEnd w:id="24"/>
      <w:r w:rsidR="006E198F" w:rsidRPr="00F242DD">
        <w:t xml:space="preserve"> </w:t>
      </w:r>
    </w:p>
    <w:p w14:paraId="1EEDA405" w14:textId="77777777" w:rsidR="00BE169C" w:rsidRPr="00F242DD" w:rsidRDefault="002E2383" w:rsidP="00131E36">
      <w:pPr>
        <w:pStyle w:val="a6"/>
        <w:numPr>
          <w:ilvl w:val="0"/>
          <w:numId w:val="4"/>
        </w:numPr>
        <w:spacing w:before="0" w:after="0"/>
        <w:ind w:left="709" w:hanging="709"/>
      </w:pPr>
      <w:r w:rsidRPr="00F242DD">
        <w:t xml:space="preserve">Пациентам с тлеющей (бессимптомной) миеломой специфическая терапия </w:t>
      </w:r>
      <w:r w:rsidRPr="00F242DD">
        <w:rPr>
          <w:b/>
        </w:rPr>
        <w:t>не</w:t>
      </w:r>
      <w:r w:rsidR="00146DC8" w:rsidRPr="00F242DD">
        <w:rPr>
          <w:b/>
        </w:rPr>
        <w:t> </w:t>
      </w:r>
      <w:r w:rsidRPr="00F242DD">
        <w:rPr>
          <w:b/>
        </w:rPr>
        <w:t>рекомендуется</w:t>
      </w:r>
      <w:r w:rsidR="008C5285" w:rsidRPr="00F242DD">
        <w:rPr>
          <w:b/>
        </w:rPr>
        <w:t xml:space="preserve"> </w:t>
      </w:r>
      <w:r w:rsidR="00A96FB6" w:rsidRPr="00F242DD">
        <w:rPr>
          <w:b/>
        </w:rPr>
        <w:fldChar w:fldCharType="begin" w:fldLock="1"/>
      </w:r>
      <w:r w:rsidR="00F024AA" w:rsidRPr="00F242DD">
        <w:rPr>
          <w:b/>
        </w:rPr>
        <w:instrText>ADDIN CSL_CITATION {"citationItems":[{"id":"ITEM-1","itemData":{"DOI":"10.1002/hon.2213","ISSN":"02780232","author":[{"dropping-particle":"","family":"Mateos","given":"María-Victoria","non-dropping-particle":"","parse-names":false,"suffix":""},{"dropping-particle":"","family":"San Miguel","given":"Jesús","non-dropping-particle":"","parse-names":false,"suffix":""}],"container-title":"Hematological Oncology","id":"ITEM-1","issued":{"date-parts":[["2015","6"]]},"page":"33-37","title":"V. Smoldering multiple myeloma","type":"article-journal","volume":"33"},"uris":["http://www.mendeley.com/documents/?uuid=ab66d6eb-bf67-3985-8eab-4a764be7d992"]}],"mendeley":{"formattedCitation":"[25]","plainTextFormattedCitation":"[25]","previouslyFormattedCitation":"[25]"},"properties":{"noteIndex":0},"schema":"https://github.com/citation-style-language/schema/raw/master/csl-citation.json"}</w:instrText>
      </w:r>
      <w:r w:rsidR="00A96FB6" w:rsidRPr="00F242DD">
        <w:rPr>
          <w:b/>
        </w:rPr>
        <w:fldChar w:fldCharType="separate"/>
      </w:r>
      <w:r w:rsidR="008C5285" w:rsidRPr="00F242DD">
        <w:rPr>
          <w:noProof/>
        </w:rPr>
        <w:t>[25]</w:t>
      </w:r>
      <w:r w:rsidR="00A96FB6" w:rsidRPr="00F242DD">
        <w:rPr>
          <w:b/>
        </w:rPr>
        <w:fldChar w:fldCharType="end"/>
      </w:r>
      <w:r w:rsidRPr="00F242DD">
        <w:t>.</w:t>
      </w:r>
    </w:p>
    <w:p w14:paraId="1DBA183A" w14:textId="77777777" w:rsidR="00BE169C" w:rsidRPr="00F242DD" w:rsidRDefault="00BE169C" w:rsidP="00131E36">
      <w:pPr>
        <w:pStyle w:val="a6"/>
        <w:spacing w:before="0" w:after="0"/>
        <w:ind w:left="709"/>
      </w:pPr>
      <w:r w:rsidRPr="00F242DD">
        <w:rPr>
          <w:b/>
        </w:rPr>
        <w:t>Уровень убедительности рекоме</w:t>
      </w:r>
      <w:r w:rsidR="007A3F11" w:rsidRPr="00F242DD">
        <w:rPr>
          <w:b/>
        </w:rPr>
        <w:t xml:space="preserve">ндаций </w:t>
      </w:r>
      <w:r w:rsidR="00594CCD" w:rsidRPr="00F242DD">
        <w:rPr>
          <w:b/>
        </w:rPr>
        <w:t xml:space="preserve">− </w:t>
      </w:r>
      <w:r w:rsidR="007A3F11" w:rsidRPr="00F242DD">
        <w:rPr>
          <w:b/>
        </w:rPr>
        <w:t>С</w:t>
      </w:r>
      <w:r w:rsidRPr="00F242DD">
        <w:rPr>
          <w:b/>
        </w:rPr>
        <w:t xml:space="preserve"> (уровень достоверности доказательств </w:t>
      </w:r>
      <w:r w:rsidR="00594CCD" w:rsidRPr="00F242DD">
        <w:rPr>
          <w:b/>
        </w:rPr>
        <w:t xml:space="preserve">− </w:t>
      </w:r>
      <w:r w:rsidR="007A3F11" w:rsidRPr="00F242DD">
        <w:rPr>
          <w:b/>
        </w:rPr>
        <w:t>5</w:t>
      </w:r>
      <w:r w:rsidRPr="00F242DD">
        <w:rPr>
          <w:b/>
        </w:rPr>
        <w:t>)</w:t>
      </w:r>
    </w:p>
    <w:p w14:paraId="07403CB2" w14:textId="77777777" w:rsidR="004D7374" w:rsidRPr="00F242DD" w:rsidRDefault="00BE169C" w:rsidP="00131E36">
      <w:pPr>
        <w:pStyle w:val="a6"/>
        <w:numPr>
          <w:ilvl w:val="0"/>
          <w:numId w:val="4"/>
        </w:numPr>
        <w:spacing w:before="0" w:after="0"/>
        <w:ind w:left="709" w:hanging="709"/>
      </w:pPr>
      <w:r w:rsidRPr="00F242DD">
        <w:t xml:space="preserve">Пациентам с симптоматической </w:t>
      </w:r>
      <w:r w:rsidR="00594CCD" w:rsidRPr="00F242DD">
        <w:t>ММ</w:t>
      </w:r>
      <w:r w:rsidRPr="00F242DD">
        <w:t xml:space="preserve"> </w:t>
      </w:r>
      <w:r w:rsidRPr="00F242DD">
        <w:rPr>
          <w:b/>
        </w:rPr>
        <w:t>рекомендуется</w:t>
      </w:r>
      <w:r w:rsidRPr="00F242DD">
        <w:t xml:space="preserve"> начало специфической </w:t>
      </w:r>
      <w:r w:rsidR="00D15602" w:rsidRPr="00F242DD">
        <w:t xml:space="preserve">противоопухолевой </w:t>
      </w:r>
      <w:r w:rsidRPr="00F242DD">
        <w:t>терапии</w:t>
      </w:r>
      <w:r w:rsidR="008C5285" w:rsidRPr="00F242DD">
        <w:t xml:space="preserve"> </w:t>
      </w:r>
      <w:r w:rsidR="00A96FB6" w:rsidRPr="00F242DD">
        <w:rPr>
          <w:b/>
        </w:rPr>
        <w:fldChar w:fldCharType="begin" w:fldLock="1"/>
      </w:r>
      <w:r w:rsidR="00F024AA" w:rsidRPr="00F242DD">
        <w:rPr>
          <w:b/>
        </w:rPr>
        <w:instrText>ADDIN CSL_CITATION {"citationItems":[{"id":"ITEM-1","itemData":{"DOI":"10.1002/hon.2213","ISSN":"02780232","author":[{"dropping-particle":"","family":"Mateos","given":"María-Victoria","non-dropping-particle":"","parse-names":false,"suffix":""},{"dropping-particle":"","family":"San Miguel","given":"Jesús","non-dropping-particle":"","parse-names":false,"suffix":""}],"container-title":"Hematological Oncology","id":"ITEM-1","issued":{"date-parts":[["2015","6"]]},"page":"33-37","title":"V. Smoldering multiple myeloma","type":"article-journal","volume":"33"},"uris":["http://www.mendeley.com/documents/?uuid=ab66d6eb-bf67-3985-8eab-4a764be7d992"]}],"mendeley":{"formattedCitation":"[25]","plainTextFormattedCitation":"[25]","previouslyFormattedCitation":"[25]"},"properties":{"noteIndex":0},"schema":"https://github.com/citation-style-language/schema/raw/master/csl-citation.json"}</w:instrText>
      </w:r>
      <w:r w:rsidR="00A96FB6" w:rsidRPr="00F242DD">
        <w:rPr>
          <w:b/>
        </w:rPr>
        <w:fldChar w:fldCharType="separate"/>
      </w:r>
      <w:r w:rsidR="008C5285" w:rsidRPr="00F242DD">
        <w:rPr>
          <w:noProof/>
        </w:rPr>
        <w:t>[25]</w:t>
      </w:r>
      <w:r w:rsidR="00A96FB6" w:rsidRPr="00F242DD">
        <w:rPr>
          <w:b/>
        </w:rPr>
        <w:fldChar w:fldCharType="end"/>
      </w:r>
      <w:r w:rsidRPr="00F242DD">
        <w:t>.</w:t>
      </w:r>
    </w:p>
    <w:p w14:paraId="4665210D" w14:textId="77777777" w:rsidR="004D7374" w:rsidRPr="00F242DD" w:rsidRDefault="004D7374" w:rsidP="00131E36">
      <w:pPr>
        <w:spacing w:before="0" w:after="0"/>
        <w:ind w:left="709"/>
        <w:contextualSpacing/>
        <w:rPr>
          <w:b/>
        </w:rPr>
      </w:pPr>
      <w:r w:rsidRPr="00F242DD">
        <w:rPr>
          <w:b/>
        </w:rPr>
        <w:t xml:space="preserve">Уровень убедительности рекомендаций </w:t>
      </w:r>
      <w:r w:rsidR="00594CCD" w:rsidRPr="00F242DD">
        <w:rPr>
          <w:b/>
        </w:rPr>
        <w:t xml:space="preserve">− </w:t>
      </w:r>
      <w:r w:rsidR="007A3F11" w:rsidRPr="00F242DD">
        <w:rPr>
          <w:b/>
        </w:rPr>
        <w:t>С</w:t>
      </w:r>
      <w:r w:rsidRPr="00F242DD">
        <w:rPr>
          <w:b/>
        </w:rPr>
        <w:t xml:space="preserve"> (уровень достоверности доказательств </w:t>
      </w:r>
      <w:r w:rsidR="00594CCD" w:rsidRPr="00F242DD">
        <w:rPr>
          <w:b/>
        </w:rPr>
        <w:t xml:space="preserve">− </w:t>
      </w:r>
      <w:r w:rsidR="007A3F11" w:rsidRPr="00F242DD">
        <w:rPr>
          <w:b/>
        </w:rPr>
        <w:t>5</w:t>
      </w:r>
      <w:r w:rsidRPr="00F242DD">
        <w:rPr>
          <w:b/>
        </w:rPr>
        <w:t>)</w:t>
      </w:r>
    </w:p>
    <w:p w14:paraId="30B1C5E4" w14:textId="77777777" w:rsidR="002E2383" w:rsidRPr="00F242DD" w:rsidRDefault="004D7374" w:rsidP="00131E36">
      <w:pPr>
        <w:spacing w:before="0" w:after="0"/>
        <w:ind w:left="709"/>
        <w:contextualSpacing/>
        <w:rPr>
          <w:i/>
        </w:rPr>
      </w:pPr>
      <w:r w:rsidRPr="00F242DD">
        <w:rPr>
          <w:b/>
        </w:rPr>
        <w:t>Комментарий:</w:t>
      </w:r>
      <w:r w:rsidR="00D15602" w:rsidRPr="00F242DD">
        <w:rPr>
          <w:b/>
        </w:rPr>
        <w:t xml:space="preserve"> </w:t>
      </w:r>
      <w:r w:rsidR="00594CCD" w:rsidRPr="00F242DD">
        <w:rPr>
          <w:i/>
        </w:rPr>
        <w:t>т</w:t>
      </w:r>
      <w:r w:rsidR="002E2383" w:rsidRPr="00F242DD">
        <w:rPr>
          <w:i/>
        </w:rPr>
        <w:t xml:space="preserve">актика ведения </w:t>
      </w:r>
      <w:r w:rsidR="00FB03BB" w:rsidRPr="00F242DD">
        <w:rPr>
          <w:i/>
        </w:rPr>
        <w:t>пациентов</w:t>
      </w:r>
      <w:r w:rsidR="002E2383" w:rsidRPr="00F242DD">
        <w:rPr>
          <w:i/>
        </w:rPr>
        <w:t xml:space="preserve"> моложе 65 лет и пожилых </w:t>
      </w:r>
      <w:r w:rsidR="00FB03BB" w:rsidRPr="00F242DD">
        <w:rPr>
          <w:i/>
        </w:rPr>
        <w:t>пациентов</w:t>
      </w:r>
      <w:r w:rsidR="00D15602" w:rsidRPr="00F242DD">
        <w:rPr>
          <w:i/>
        </w:rPr>
        <w:t xml:space="preserve"> </w:t>
      </w:r>
      <w:r w:rsidR="002E2383" w:rsidRPr="00F242DD">
        <w:rPr>
          <w:i/>
        </w:rPr>
        <w:t xml:space="preserve">отличается. Для лечения </w:t>
      </w:r>
      <w:r w:rsidR="00594CCD" w:rsidRPr="00F242DD">
        <w:rPr>
          <w:i/>
        </w:rPr>
        <w:t>«</w:t>
      </w:r>
      <w:r w:rsidR="002E2383" w:rsidRPr="00F242DD">
        <w:rPr>
          <w:i/>
        </w:rPr>
        <w:t>первичных</w:t>
      </w:r>
      <w:r w:rsidR="00594CCD" w:rsidRPr="00F242DD">
        <w:rPr>
          <w:i/>
        </w:rPr>
        <w:t>»</w:t>
      </w:r>
      <w:r w:rsidR="002E2383" w:rsidRPr="00F242DD">
        <w:rPr>
          <w:i/>
        </w:rPr>
        <w:t xml:space="preserve"> </w:t>
      </w:r>
      <w:r w:rsidR="00534E54" w:rsidRPr="00F242DD">
        <w:rPr>
          <w:i/>
        </w:rPr>
        <w:t xml:space="preserve">пациентов </w:t>
      </w:r>
      <w:r w:rsidR="00E06761" w:rsidRPr="00F242DD">
        <w:rPr>
          <w:i/>
        </w:rPr>
        <w:t>моложе 65 лет с</w:t>
      </w:r>
      <w:r w:rsidR="002E2383" w:rsidRPr="00F242DD">
        <w:rPr>
          <w:i/>
        </w:rPr>
        <w:t xml:space="preserve"> ММ без серьезной сопутствующей патоло</w:t>
      </w:r>
      <w:r w:rsidR="003C4738" w:rsidRPr="00F242DD">
        <w:rPr>
          <w:i/>
        </w:rPr>
        <w:t xml:space="preserve">гии </w:t>
      </w:r>
      <w:r w:rsidR="00D15602" w:rsidRPr="00F242DD">
        <w:rPr>
          <w:i/>
        </w:rPr>
        <w:t xml:space="preserve">в программу лечения </w:t>
      </w:r>
      <w:r w:rsidR="003C4738" w:rsidRPr="00F242DD">
        <w:rPr>
          <w:i/>
        </w:rPr>
        <w:t>включают</w:t>
      </w:r>
      <w:r w:rsidR="002E2383" w:rsidRPr="00F242DD">
        <w:rPr>
          <w:i/>
        </w:rPr>
        <w:t xml:space="preserve"> высокодозную химиотерапию (ВДХТ) с трансплантацией ауто</w:t>
      </w:r>
      <w:r w:rsidR="00267DE2" w:rsidRPr="00F242DD">
        <w:rPr>
          <w:i/>
        </w:rPr>
        <w:t>-</w:t>
      </w:r>
      <w:r w:rsidR="002E2383" w:rsidRPr="00F242DD">
        <w:rPr>
          <w:i/>
        </w:rPr>
        <w:t xml:space="preserve">ТГСК. </w:t>
      </w:r>
      <w:r w:rsidR="00FB03BB" w:rsidRPr="00F242DD">
        <w:rPr>
          <w:i/>
        </w:rPr>
        <w:t>Пациентам</w:t>
      </w:r>
      <w:r w:rsidR="002E2383" w:rsidRPr="00F242DD">
        <w:rPr>
          <w:i/>
        </w:rPr>
        <w:t xml:space="preserve"> старше 65 лет или молодым </w:t>
      </w:r>
      <w:r w:rsidR="00EC5D1A" w:rsidRPr="00F242DD">
        <w:rPr>
          <w:i/>
        </w:rPr>
        <w:t>лицам</w:t>
      </w:r>
      <w:r w:rsidR="002E2383" w:rsidRPr="00F242DD">
        <w:rPr>
          <w:i/>
        </w:rPr>
        <w:t xml:space="preserve"> с </w:t>
      </w:r>
      <w:r w:rsidR="00D15602" w:rsidRPr="00F242DD">
        <w:rPr>
          <w:i/>
        </w:rPr>
        <w:t xml:space="preserve">клинически значимыми </w:t>
      </w:r>
      <w:r w:rsidR="002E2383" w:rsidRPr="00F242DD">
        <w:rPr>
          <w:i/>
        </w:rPr>
        <w:t xml:space="preserve">сопутствующими заболеваниями следует рекомендовать комбинации на основе новых лекарственных препаратов без </w:t>
      </w:r>
      <w:r w:rsidR="00D15602" w:rsidRPr="00F242DD">
        <w:rPr>
          <w:i/>
        </w:rPr>
        <w:t xml:space="preserve">этапа </w:t>
      </w:r>
      <w:r w:rsidR="002E2383" w:rsidRPr="00F242DD">
        <w:rPr>
          <w:i/>
        </w:rPr>
        <w:t>ВДХТ с ауто</w:t>
      </w:r>
      <w:r w:rsidR="00267DE2" w:rsidRPr="00F242DD">
        <w:rPr>
          <w:i/>
        </w:rPr>
        <w:t>-</w:t>
      </w:r>
      <w:r w:rsidR="002E2383" w:rsidRPr="00F242DD">
        <w:rPr>
          <w:i/>
        </w:rPr>
        <w:t>ТГСК.</w:t>
      </w:r>
    </w:p>
    <w:p w14:paraId="2F019153" w14:textId="77777777" w:rsidR="0025009A" w:rsidRPr="00F242DD" w:rsidRDefault="002E2383" w:rsidP="00457DBC">
      <w:pPr>
        <w:spacing w:before="0" w:after="0"/>
        <w:ind w:left="709" w:firstLine="709"/>
        <w:contextualSpacing/>
        <w:rPr>
          <w:i/>
        </w:rPr>
      </w:pPr>
      <w:r w:rsidRPr="00F242DD">
        <w:rPr>
          <w:i/>
        </w:rPr>
        <w:t xml:space="preserve">При выборе схемы индукционной терапии необходимо </w:t>
      </w:r>
      <w:r w:rsidR="00D15602" w:rsidRPr="00F242DD">
        <w:rPr>
          <w:i/>
        </w:rPr>
        <w:t xml:space="preserve">также </w:t>
      </w:r>
      <w:r w:rsidRPr="00F242DD">
        <w:rPr>
          <w:i/>
        </w:rPr>
        <w:t>учитывать соп</w:t>
      </w:r>
      <w:r w:rsidR="006E7B15" w:rsidRPr="00F242DD">
        <w:rPr>
          <w:i/>
        </w:rPr>
        <w:t>утствующие заболевания пациента</w:t>
      </w:r>
      <w:r w:rsidRPr="00F242DD">
        <w:rPr>
          <w:i/>
        </w:rPr>
        <w:t xml:space="preserve"> и осложнения ММ. При </w:t>
      </w:r>
      <w:r w:rsidR="00D15602" w:rsidRPr="00F242DD">
        <w:rPr>
          <w:i/>
        </w:rPr>
        <w:t xml:space="preserve">наличии клинически значимой </w:t>
      </w:r>
      <w:r w:rsidRPr="00F242DD">
        <w:rPr>
          <w:i/>
        </w:rPr>
        <w:t>кардиальной патологии целесообразно исключить из терапии</w:t>
      </w:r>
      <w:r w:rsidR="000D22CF" w:rsidRPr="00F242DD">
        <w:rPr>
          <w:i/>
        </w:rPr>
        <w:t xml:space="preserve"> антрациклины</w:t>
      </w:r>
      <w:r w:rsidRPr="00F242DD">
        <w:rPr>
          <w:i/>
        </w:rPr>
        <w:t xml:space="preserve">. Для лечения </w:t>
      </w:r>
      <w:r w:rsidR="00FB03BB" w:rsidRPr="00F242DD">
        <w:rPr>
          <w:i/>
        </w:rPr>
        <w:t>пациентов</w:t>
      </w:r>
      <w:r w:rsidR="00DE0BC0" w:rsidRPr="00F242DD">
        <w:rPr>
          <w:i/>
        </w:rPr>
        <w:t xml:space="preserve"> </w:t>
      </w:r>
      <w:r w:rsidRPr="00F242DD">
        <w:rPr>
          <w:i/>
        </w:rPr>
        <w:t>с почечной недостаточностью терапией выбора являются бортезомибсодержащие режимы с высокими дозами дексаметазона</w:t>
      </w:r>
      <w:r w:rsidR="00637D26" w:rsidRPr="00F242DD">
        <w:rPr>
          <w:i/>
        </w:rPr>
        <w:t>**</w:t>
      </w:r>
      <w:r w:rsidRPr="00F242DD">
        <w:rPr>
          <w:i/>
        </w:rPr>
        <w:t>.</w:t>
      </w:r>
      <w:r w:rsidR="006E7B15" w:rsidRPr="00F242DD">
        <w:rPr>
          <w:i/>
        </w:rPr>
        <w:t xml:space="preserve"> </w:t>
      </w:r>
      <w:r w:rsidR="00DE0BC0" w:rsidRPr="00F242DD">
        <w:rPr>
          <w:i/>
        </w:rPr>
        <w:t>При наличии жизнеугрожающих состояний</w:t>
      </w:r>
      <w:r w:rsidR="00F024AA" w:rsidRPr="00F242DD">
        <w:rPr>
          <w:i/>
        </w:rPr>
        <w:t xml:space="preserve"> (</w:t>
      </w:r>
      <w:r w:rsidR="00DE0BC0" w:rsidRPr="00F242DD">
        <w:rPr>
          <w:i/>
        </w:rPr>
        <w:t xml:space="preserve">клинически </w:t>
      </w:r>
      <w:r w:rsidR="00DE0BC0" w:rsidRPr="00F242DD">
        <w:rPr>
          <w:i/>
        </w:rPr>
        <w:lastRenderedPageBreak/>
        <w:t xml:space="preserve">значимое </w:t>
      </w:r>
      <w:r w:rsidRPr="00F242DD">
        <w:rPr>
          <w:i/>
        </w:rPr>
        <w:t xml:space="preserve">кровотечение, </w:t>
      </w:r>
      <w:r w:rsidR="00DE0BC0" w:rsidRPr="00F242DD">
        <w:rPr>
          <w:i/>
        </w:rPr>
        <w:t>некомпенсированный сахарный диабет тяжелого течения</w:t>
      </w:r>
      <w:r w:rsidR="00F024AA" w:rsidRPr="00F242DD">
        <w:rPr>
          <w:i/>
        </w:rPr>
        <w:t>)</w:t>
      </w:r>
      <w:r w:rsidR="00DE0BC0" w:rsidRPr="00F242DD">
        <w:rPr>
          <w:i/>
        </w:rPr>
        <w:t xml:space="preserve"> </w:t>
      </w:r>
      <w:r w:rsidRPr="00F242DD">
        <w:rPr>
          <w:i/>
        </w:rPr>
        <w:t>противоопухолевая терапия проводится сразу после купирования указанных осложнений.</w:t>
      </w:r>
      <w:r w:rsidR="00DE0BC0" w:rsidRPr="00F242DD">
        <w:rPr>
          <w:i/>
        </w:rPr>
        <w:t xml:space="preserve"> </w:t>
      </w:r>
    </w:p>
    <w:p w14:paraId="6A30DA4B" w14:textId="77777777" w:rsidR="004D7374" w:rsidRPr="00F242DD" w:rsidRDefault="004D7374" w:rsidP="00E36DFA">
      <w:pPr>
        <w:pStyle w:val="2"/>
      </w:pPr>
      <w:bookmarkStart w:id="25" w:name="_Toc53140897"/>
      <w:r w:rsidRPr="00F242DD">
        <w:t xml:space="preserve">3.2 </w:t>
      </w:r>
      <w:r w:rsidR="002E2383" w:rsidRPr="00F242DD">
        <w:t xml:space="preserve">Лечение </w:t>
      </w:r>
      <w:r w:rsidR="00FB03BB" w:rsidRPr="00F242DD">
        <w:t>пациентов</w:t>
      </w:r>
      <w:r w:rsidR="00DE0BC0" w:rsidRPr="00F242DD">
        <w:t xml:space="preserve"> </w:t>
      </w:r>
      <w:r w:rsidR="002E2383" w:rsidRPr="00F242DD">
        <w:t>с впервые диагностированной ММ</w:t>
      </w:r>
      <w:r w:rsidR="00993B1B" w:rsidRPr="00F242DD">
        <w:t xml:space="preserve"> −</w:t>
      </w:r>
      <w:r w:rsidR="002E2383" w:rsidRPr="00F242DD">
        <w:t xml:space="preserve"> не кандидатов на ВДХТ с ауто</w:t>
      </w:r>
      <w:r w:rsidR="00267DE2" w:rsidRPr="00F242DD">
        <w:t>-</w:t>
      </w:r>
      <w:r w:rsidR="002E2383" w:rsidRPr="00F242DD">
        <w:t>ТГСК (</w:t>
      </w:r>
      <w:r w:rsidR="00580EA1" w:rsidRPr="00F242DD">
        <w:t>старше 65 лет</w:t>
      </w:r>
      <w:r w:rsidR="002E2383" w:rsidRPr="00F242DD">
        <w:t>)</w:t>
      </w:r>
      <w:bookmarkEnd w:id="25"/>
    </w:p>
    <w:p w14:paraId="6F335179" w14:textId="77777777" w:rsidR="004D7374" w:rsidRPr="00F242DD" w:rsidRDefault="002E2383" w:rsidP="00131E36">
      <w:pPr>
        <w:pStyle w:val="a6"/>
        <w:numPr>
          <w:ilvl w:val="0"/>
          <w:numId w:val="5"/>
        </w:numPr>
        <w:spacing w:before="0" w:after="0"/>
        <w:ind w:left="709" w:hanging="709"/>
      </w:pPr>
      <w:r w:rsidRPr="00F242DD">
        <w:t xml:space="preserve">Пациентам с впервые диагностированной ММ – не кандидатам на </w:t>
      </w:r>
      <w:r w:rsidR="00156B40" w:rsidRPr="00F242DD">
        <w:t>ВДХТ с ауто</w:t>
      </w:r>
      <w:r w:rsidR="00267DE2" w:rsidRPr="00F242DD">
        <w:t>-</w:t>
      </w:r>
      <w:r w:rsidR="00156B40" w:rsidRPr="00F242DD">
        <w:t>ТГСК</w:t>
      </w:r>
      <w:r w:rsidR="00BF576C" w:rsidRPr="00F242DD">
        <w:t xml:space="preserve"> − </w:t>
      </w:r>
      <w:r w:rsidR="003703A8" w:rsidRPr="00F242DD">
        <w:rPr>
          <w:b/>
        </w:rPr>
        <w:t>рекомендуется</w:t>
      </w:r>
      <w:r w:rsidR="00156B40" w:rsidRPr="00F242DD">
        <w:t xml:space="preserve"> лечение одной из программ с включением бортезомиба</w:t>
      </w:r>
      <w:r w:rsidR="00506677" w:rsidRPr="00F242DD">
        <w:t>**</w:t>
      </w:r>
      <w:r w:rsidR="00156B40" w:rsidRPr="00F242DD">
        <w:t xml:space="preserve"> – </w:t>
      </w:r>
      <w:r w:rsidR="00156B40" w:rsidRPr="00F242DD">
        <w:rPr>
          <w:lang w:val="en-US"/>
        </w:rPr>
        <w:t>VMP</w:t>
      </w:r>
      <w:r w:rsidR="00156B40" w:rsidRPr="00F242DD">
        <w:t xml:space="preserve"> или </w:t>
      </w:r>
      <w:r w:rsidR="00156B40" w:rsidRPr="00F242DD">
        <w:rPr>
          <w:lang w:val="en-US"/>
        </w:rPr>
        <w:t>VD</w:t>
      </w:r>
      <w:r w:rsidR="00DE0BC0" w:rsidRPr="00F242DD">
        <w:t xml:space="preserve"> </w:t>
      </w:r>
      <w:r w:rsidR="001105A2" w:rsidRPr="00F242DD">
        <w:t xml:space="preserve">(описание режимов – см. приложение </w:t>
      </w:r>
      <w:r w:rsidR="00C812D6" w:rsidRPr="00F242DD">
        <w:t>А3.1</w:t>
      </w:r>
      <w:r w:rsidR="00BF576C" w:rsidRPr="00F242DD">
        <w:t>.</w:t>
      </w:r>
      <w:r w:rsidR="001105A2" w:rsidRPr="00F242DD">
        <w:t>)</w:t>
      </w:r>
      <w:r w:rsidR="00F024AA" w:rsidRPr="00F242DD">
        <w:t xml:space="preserve"> </w:t>
      </w:r>
      <w:r w:rsidR="00A96FB6" w:rsidRPr="00F242DD">
        <w:fldChar w:fldCharType="begin" w:fldLock="1"/>
      </w:r>
      <w:r w:rsidR="00267DE2" w:rsidRPr="00F242DD">
        <w:instrText>ADDIN CSL_CITATION {"citationItems":[{"id":"ITEM-1","itemData":{"DOI":"10.3109/10428194.2013.847935","ISSN":"1029-2403","PMID":"24067138","abstract":"The objective of the study was to investigate the effects and safety of novel agents such as bortezomib and lenalidomide in the treatment of newly diagnosed patients with multiple myeloma. We performed a comprehensive meta-analysis of randomized controlled trials (RCTs). An initial search yielded 627 citations, of which 10 RCTs enrolling 4534 patients met the inclusion criteria. The addition of bortezomib to first-line therapy significantly prolonged overall survival (OS) (hazard ratio [HR], 0.75 [0.65, 0.87], p &lt; 0.001). On the other hand, the addition of lenalidomide had no impact on survival (HR, 0.88 [0.65, 1.20], p = 0.42). Both lenalidomide and bortezomib consistently improved progression-free survival (PFS) compared with conventional therapy alone. The corresponding HRs were 0.65, 95% confidence interval (CI) [0.55, 0.77] (p &lt; 0.001) for bortezomib and 0.48, 95% CI [0.42, 0.55]; (p &lt; 0.001) for lenalidomide, respectively. Some of the increased adverse events reported were herpes zoster (relative risk [RR], 3.64 [2.23, 5.94], p &lt; 0.001), peripheral neuropathy (RR, 3.59 [1.89, 6.83], p &lt; 0.001) and gastrointestinal effects (RR, 2.19 [1.37, 3.50], p = 0.001) among patients receiving bortezomib, and gastrointestinal effects (RR, 2.36 [1.33, 4.17], p = 0.003) and thromboembolic events (RR, 2.55 [1.48, 4.38], p &lt; 0.001) among patients receiving lenalidomide. Interestingly, treatment with bortezomib seemed to be associated with a lower rate of treatment related mortality (RR, 0.39 [0.18, 0.85], p = 0.02). An increased incidence of second primary cancers was observed in the lenalidomide group (RR 2.61 [1.60, 4.27], p &lt; 0.001). In summary, bortezomib improved OS, and both lenalidomide and bortezomib consistently improved PFS of patients with newly diagnosed myeloma when it was added to standard therapy.","author":[{"dropping-particle":"","family":"Zou","given":"Yandun","non-dropping-particle":"","parse-names":false,"suffix":""},{"dropping-particle":"","family":"Lin","given":"Mingzhen","non-dropping-particle":"","parse-names":false,"suffix":""},{"dropping-particle":"","family":"Sheng","given":"Zhixin","non-dropping-particle":"","parse-names":false,"suffix":""},{"dropping-particle":"","family":"Niu","given":"Shaona","non-dropping-particle":"","parse-names":false,"suffix":""}],"container-title":"Leukemia &amp; lymphoma","id":"ITEM-1","issue":"9","issued":{"date-parts":[["2014","9"]]},"page":"2024-31","title":"Bortezomib and lenalidomide as front-line therapy for multiple myeloma.","type":"article-journal","volume":"55"},"uris":["http://www.mendeley.com/documents/?uuid=9439b288-0a59-314a-9744-9aedc4d3acdf"]}],"mendeley":{"formattedCitation":"[26]","plainTextFormattedCitation":"[26]","previouslyFormattedCitation":"[26]"},"properties":{"noteIndex":0},"schema":"https://github.com/citation-style-language/schema/raw/master/csl-citation.json"}</w:instrText>
      </w:r>
      <w:r w:rsidR="00A96FB6" w:rsidRPr="00F242DD">
        <w:fldChar w:fldCharType="separate"/>
      </w:r>
      <w:r w:rsidR="000D22CF" w:rsidRPr="00F242DD">
        <w:rPr>
          <w:noProof/>
        </w:rPr>
        <w:t>[26]</w:t>
      </w:r>
      <w:r w:rsidR="00A96FB6" w:rsidRPr="00F242DD">
        <w:fldChar w:fldCharType="end"/>
      </w:r>
      <w:r w:rsidR="002A14A3" w:rsidRPr="00F242DD">
        <w:t>.</w:t>
      </w:r>
    </w:p>
    <w:p w14:paraId="1EC9942F" w14:textId="77777777" w:rsidR="004D7374" w:rsidRPr="00F242DD" w:rsidRDefault="004D7374" w:rsidP="00131E36">
      <w:pPr>
        <w:spacing w:before="0" w:after="0"/>
        <w:ind w:left="709"/>
        <w:contextualSpacing/>
        <w:rPr>
          <w:b/>
        </w:rPr>
      </w:pPr>
      <w:r w:rsidRPr="00F242DD">
        <w:rPr>
          <w:b/>
        </w:rPr>
        <w:t xml:space="preserve">Уровень убедительности рекомендаций </w:t>
      </w:r>
      <w:r w:rsidR="00083A71" w:rsidRPr="00F242DD">
        <w:rPr>
          <w:b/>
        </w:rPr>
        <w:t xml:space="preserve">− </w:t>
      </w:r>
      <w:r w:rsidR="00637D26" w:rsidRPr="00F242DD">
        <w:rPr>
          <w:b/>
        </w:rPr>
        <w:t>A</w:t>
      </w:r>
      <w:r w:rsidRPr="00F242DD">
        <w:rPr>
          <w:b/>
        </w:rPr>
        <w:t xml:space="preserve"> (уровень достоверности доказательств</w:t>
      </w:r>
      <w:r w:rsidR="00083A71" w:rsidRPr="00F242DD">
        <w:rPr>
          <w:b/>
        </w:rPr>
        <w:t xml:space="preserve"> −</w:t>
      </w:r>
      <w:r w:rsidRPr="00F242DD">
        <w:rPr>
          <w:b/>
        </w:rPr>
        <w:t xml:space="preserve"> </w:t>
      </w:r>
      <w:r w:rsidR="00637D26" w:rsidRPr="00F242DD">
        <w:rPr>
          <w:b/>
        </w:rPr>
        <w:t>1</w:t>
      </w:r>
      <w:r w:rsidRPr="00F242DD">
        <w:rPr>
          <w:b/>
        </w:rPr>
        <w:t>)</w:t>
      </w:r>
    </w:p>
    <w:p w14:paraId="3646810D" w14:textId="77777777" w:rsidR="00412809" w:rsidRPr="00F242DD" w:rsidRDefault="004D7374" w:rsidP="00131E36">
      <w:pPr>
        <w:spacing w:before="0" w:after="0"/>
        <w:ind w:left="709"/>
        <w:contextualSpacing/>
        <w:rPr>
          <w:i/>
        </w:rPr>
      </w:pPr>
      <w:r w:rsidRPr="00F242DD">
        <w:rPr>
          <w:b/>
        </w:rPr>
        <w:t xml:space="preserve">Комментарий: </w:t>
      </w:r>
      <w:r w:rsidR="00083A71" w:rsidRPr="00F242DD">
        <w:rPr>
          <w:i/>
        </w:rPr>
        <w:t>в</w:t>
      </w:r>
      <w:r w:rsidR="00412809" w:rsidRPr="00F242DD">
        <w:rPr>
          <w:i/>
        </w:rPr>
        <w:t xml:space="preserve"> рандомизированном исследовании VISTA проведено сравнение </w:t>
      </w:r>
      <w:r w:rsidR="000F1774" w:rsidRPr="00F242DD">
        <w:rPr>
          <w:i/>
        </w:rPr>
        <w:t>эффективности</w:t>
      </w:r>
      <w:r w:rsidR="00412809" w:rsidRPr="00F242DD">
        <w:rPr>
          <w:i/>
        </w:rPr>
        <w:t xml:space="preserve"> комбинации мелфалана</w:t>
      </w:r>
      <w:r w:rsidR="007E7259" w:rsidRPr="00F242DD">
        <w:rPr>
          <w:i/>
        </w:rPr>
        <w:t>**</w:t>
      </w:r>
      <w:r w:rsidR="00412809" w:rsidRPr="00F242DD">
        <w:rPr>
          <w:i/>
        </w:rPr>
        <w:t xml:space="preserve"> и преднизолона</w:t>
      </w:r>
      <w:r w:rsidR="007E7259" w:rsidRPr="00F242DD">
        <w:rPr>
          <w:i/>
        </w:rPr>
        <w:t>**</w:t>
      </w:r>
      <w:r w:rsidR="00412809" w:rsidRPr="00F242DD">
        <w:rPr>
          <w:i/>
        </w:rPr>
        <w:t xml:space="preserve"> (MP) и комбинации бортезомиба</w:t>
      </w:r>
      <w:r w:rsidR="0004377D" w:rsidRPr="00F242DD">
        <w:rPr>
          <w:i/>
        </w:rPr>
        <w:t>**</w:t>
      </w:r>
      <w:r w:rsidR="00412809" w:rsidRPr="00F242DD">
        <w:rPr>
          <w:i/>
        </w:rPr>
        <w:t xml:space="preserve"> с мелфаланом</w:t>
      </w:r>
      <w:r w:rsidR="00DE0D23" w:rsidRPr="00F242DD">
        <w:rPr>
          <w:i/>
        </w:rPr>
        <w:t>**</w:t>
      </w:r>
      <w:r w:rsidR="00412809" w:rsidRPr="00F242DD">
        <w:rPr>
          <w:i/>
        </w:rPr>
        <w:t xml:space="preserve"> и преднизолоном</w:t>
      </w:r>
      <w:r w:rsidR="007E7259" w:rsidRPr="00F242DD">
        <w:rPr>
          <w:i/>
        </w:rPr>
        <w:t>**</w:t>
      </w:r>
      <w:r w:rsidR="00412809" w:rsidRPr="00F242DD">
        <w:rPr>
          <w:i/>
        </w:rPr>
        <w:t xml:space="preserve"> (VMP) у пациентов с впервые диагностированной ММ</w:t>
      </w:r>
      <w:r w:rsidR="00F024AA" w:rsidRPr="00F242DD">
        <w:rPr>
          <w:i/>
        </w:rPr>
        <w:t xml:space="preserve"> </w:t>
      </w:r>
      <w:r w:rsidR="00A96FB6" w:rsidRPr="00F242DD">
        <w:rPr>
          <w:i/>
        </w:rPr>
        <w:fldChar w:fldCharType="begin" w:fldLock="1"/>
      </w:r>
      <w:r w:rsidR="00267DE2" w:rsidRPr="00F242DD">
        <w:rPr>
          <w:i/>
        </w:rPr>
        <w:instrText>ADDIN CSL_CITATION {"citationItems":[{"id":"ITEM-1","itemData":{"DOI":"10.1200/JCO.2009.26.0638","ISSN":"0732183X","abstract":"PURPOSE: The purpose of this study was to confirm overall survival (OS) and other clinical benefits with bortezomib, melphalan, and prednisone (VMP) versus melphalan and prednisone (MP) in the phase III VISTA (Velcade as Initial Standard Therapy in Multiple Myeloma) trial after prolonged follow-up, and evaluate the impact of subsequent therapies.\\n\\nPATIENTS AND METHODS: Previously untreated symptomatic patients with myeloma ineligible for high-dose therapy received up to nine 6-week cycles of VMP (n = 344) or MP (n = 338).\\n\\nRESULTS: With a median follow-up of 36.7 months, there was a 35% reduced risk of death with VMP versus MP (hazard ratio, 0.653; P &lt; .001); median OS was not reached with VMP versus 43 months with MP; 3-year OS rates were 68.5% versus 54.0%. Response rates to subsequent thalidomide- (41% v 53%) and lenalidomide-based therapies (59% v 52%) appeared similar after VMP or MP; response rates to subsequent bortezomib-based therapy were 47% versus 59%. Among patients treated with VMP (n = 178) and MP (n = 233), median survival from start of subsequent therapy was 30.2 and 21.9 months, respectively, and there was no difference in survival from salvage among patients who received subsequent bortezomib, thalidomide, or lenalidomide. Rates of adverse events were higher with VMP versus MP during cycles 1 to 4, but similar during cycles 5 to 9. With VMP, 79% of peripheral neuropathy events improved within a median of 1.9 months; 60% completely resolved within a median of 5.7 months.\\n\\nCONCLUSION: VMP significantly prolongs OS versus MP after lengthy follow-up and extensive subsequent antimyeloma therapy. First-line bortezomib use does not induce more resistant relapse. VMP used upfront appears more beneficial than first treating with conventional agents and saving bortezomib- and other novel agent-based treatment until relapse.","author":[{"dropping-particle":"","family":"Mateos","given":"Maria Victoria","non-dropping-particle":"","parse-names":false,"suffix":""},{"dropping-particle":"","family":"Richardson","given":"Paul G.","non-dropping-particle":"","parse-names":false,"suffix":""},{"dropping-particle":"","family":"Schlag","given":"Rudolf","non-dropping-particle":"","parse-names":false,"suffix":""},{"dropping-particle":"","family":"Khuageva","given":"Nuriet K.","non-dropping-particle":"","parse-names":false,"suffix":""},{"dropping-particle":"","family":"Dimopoulos","given":"Meletios A.","non-dropping-particle":"","parse-names":false,"suffix":""},{"dropping-particle":"","family":"Shpilberg","given":"Ofer","non-dropping-particle":"","parse-names":false,"suffix":""},{"dropping-particle":"","family":"Kropff","given":"Martin","non-dropping-particle":"","parse-names":false,"suffix":""},{"dropping-particle":"","family":"Spicka","given":"Ivan","non-dropping-particle":"","parse-names":false,"suffix":""},{"dropping-particle":"","family":"Petrucci","given":"Maria T.","non-dropping-particle":"","parse-names":false,"suffix":""},{"dropping-particle":"","family":"Palumbo","given":"Antonio","non-dropping-particle":"","parse-names":false,"suffix":""},{"dropping-particle":"","family":"Samoilova","given":"Olga S.","non-dropping-particle":"","parse-names":false,"suffix":""},{"dropping-particle":"","family":"Dmoszynska","given":"Anna","non-dropping-particle":"","parse-names":false,"suffix":""},{"dropping-particle":"","family":"Abdulkadyrov","given":"Kudrat M.","non-dropping-particle":"","parse-names":false,"suffix":""},{"dropping-particle":"","family":"Schots","given":"Rik","non-dropping-particle":"","parse-names":false,"suffix":""},{"dropping-particle":"","family":"Jiang","given":"Bin","non-dropping-particle":"","parse-names":false,"suffix":""},{"dropping-particle":"","family":"Esseltine","given":"Dixie L.","non-dropping-particle":"","parse-names":false,"suffix":""},{"dropping-particle":"","family":"Liu","given":"Kevin","non-dropping-particle":"","parse-names":false,"suffix":""},{"dropping-particle":"","family":"Cakana","given":"Andrew","non-dropping-particle":"","parse-names":false,"suffix":""},{"dropping-particle":"","family":"Velde","given":"Helgi","non-dropping-particle":"Van De","parse-names":false,"suffix":""},{"dropping-particle":"","family":"San Miguel","given":"Jesús F.","non-dropping-particle":"","parse-names":false,"suffix":""}],"container-title":"Journal of Clinical Oncology","id":"ITEM-1","issue":"13","issued":{"date-parts":[["2010","5","1"]]},"page":"2259-2266","title":"Bortezomib plus melphalan and prednisone compared with melphalan and prednisone in previously untreated multiple myeloma: Updated follow-up and impact of subsequent therapy in the phase III VISTA trial","type":"article-journal","volume":"28"},"uris":["http://www.mendeley.com/documents/?uuid=5e3665b1-01e8-3ade-b0e4-ea55ab8ea8bf"]}],"mendeley":{"formattedCitation":"[27]","plainTextFormattedCitation":"[27]","previouslyFormattedCitation":"[27]"},"properties":{"noteIndex":0},"schema":"https://github.com/citation-style-language/schema/raw/master/csl-citation.json"}</w:instrText>
      </w:r>
      <w:r w:rsidR="00A96FB6" w:rsidRPr="00F242DD">
        <w:rPr>
          <w:i/>
        </w:rPr>
        <w:fldChar w:fldCharType="separate"/>
      </w:r>
      <w:r w:rsidR="000D22CF" w:rsidRPr="00F242DD">
        <w:rPr>
          <w:noProof/>
        </w:rPr>
        <w:t>[27]</w:t>
      </w:r>
      <w:r w:rsidR="00A96FB6" w:rsidRPr="00F242DD">
        <w:rPr>
          <w:i/>
        </w:rPr>
        <w:fldChar w:fldCharType="end"/>
      </w:r>
      <w:r w:rsidR="00412809" w:rsidRPr="00F242DD">
        <w:rPr>
          <w:i/>
        </w:rPr>
        <w:t xml:space="preserve">. Значительное преимущество </w:t>
      </w:r>
      <w:r w:rsidR="000F1774" w:rsidRPr="00F242DD">
        <w:rPr>
          <w:i/>
        </w:rPr>
        <w:t xml:space="preserve">схемы </w:t>
      </w:r>
      <w:r w:rsidR="00412809" w:rsidRPr="00F242DD">
        <w:rPr>
          <w:i/>
        </w:rPr>
        <w:t>VMP по сравнению с МР, включая общую эффективность, частоту полных ремиссий (ПР), время до прогрессирования (ВДП), общую выживаемость (ОВ)</w:t>
      </w:r>
      <w:r w:rsidR="004D7759" w:rsidRPr="00F242DD">
        <w:rPr>
          <w:i/>
        </w:rPr>
        <w:t>,</w:t>
      </w:r>
      <w:r w:rsidR="00F024AA" w:rsidRPr="00F242DD">
        <w:rPr>
          <w:i/>
        </w:rPr>
        <w:t xml:space="preserve"> </w:t>
      </w:r>
      <w:r w:rsidR="000F1774" w:rsidRPr="00F242DD">
        <w:rPr>
          <w:i/>
        </w:rPr>
        <w:t xml:space="preserve">позволило рассматривать схему </w:t>
      </w:r>
      <w:r w:rsidR="00412809" w:rsidRPr="00F242DD">
        <w:rPr>
          <w:i/>
        </w:rPr>
        <w:t xml:space="preserve">VMP в качестве современной стандартной терапии </w:t>
      </w:r>
      <w:r w:rsidR="004D7759" w:rsidRPr="00F242DD">
        <w:rPr>
          <w:i/>
        </w:rPr>
        <w:t>1-</w:t>
      </w:r>
      <w:r w:rsidR="00412809" w:rsidRPr="00F242DD">
        <w:rPr>
          <w:i/>
        </w:rPr>
        <w:t xml:space="preserve">й линии </w:t>
      </w:r>
      <w:r w:rsidR="00FB03BB" w:rsidRPr="00F242DD">
        <w:rPr>
          <w:i/>
        </w:rPr>
        <w:t>пациентов</w:t>
      </w:r>
      <w:r w:rsidR="000F1774" w:rsidRPr="00F242DD">
        <w:rPr>
          <w:i/>
        </w:rPr>
        <w:t xml:space="preserve"> с </w:t>
      </w:r>
      <w:r w:rsidR="00412809" w:rsidRPr="00F242DD">
        <w:rPr>
          <w:i/>
        </w:rPr>
        <w:t>ММ, которым не планируется проведение ВДХТ с ауто</w:t>
      </w:r>
      <w:r w:rsidR="00267DE2" w:rsidRPr="00F242DD">
        <w:rPr>
          <w:i/>
        </w:rPr>
        <w:t>-</w:t>
      </w:r>
      <w:r w:rsidR="00412809" w:rsidRPr="00F242DD">
        <w:rPr>
          <w:i/>
        </w:rPr>
        <w:t>ТГСК. Продолжительность лечения по схеме VMP должна составлять не менее 9 циклов.</w:t>
      </w:r>
    </w:p>
    <w:p w14:paraId="49D1AF7B" w14:textId="77777777" w:rsidR="00412809" w:rsidRPr="00F242DD" w:rsidRDefault="00412809" w:rsidP="00131E36">
      <w:pPr>
        <w:spacing w:before="0" w:after="0"/>
        <w:ind w:left="709"/>
        <w:contextualSpacing/>
        <w:rPr>
          <w:i/>
        </w:rPr>
      </w:pPr>
      <w:r w:rsidRPr="00F242DD">
        <w:rPr>
          <w:i/>
        </w:rPr>
        <w:t xml:space="preserve">В двух рандомизированных исследованиях </w:t>
      </w:r>
      <w:r w:rsidR="004D7759" w:rsidRPr="00F242DD">
        <w:rPr>
          <w:i/>
          <w:lang w:val="en-US"/>
        </w:rPr>
        <w:t>III</w:t>
      </w:r>
      <w:r w:rsidRPr="00F242DD">
        <w:rPr>
          <w:i/>
        </w:rPr>
        <w:t xml:space="preserve"> фазы было показано, что еженедельное введение бортезомиба</w:t>
      </w:r>
      <w:r w:rsidR="007E7259" w:rsidRPr="00F242DD">
        <w:rPr>
          <w:i/>
        </w:rPr>
        <w:t>**</w:t>
      </w:r>
      <w:r w:rsidRPr="00F242DD">
        <w:rPr>
          <w:i/>
        </w:rPr>
        <w:t xml:space="preserve"> вместо введения препарата </w:t>
      </w:r>
      <w:r w:rsidR="004D7759" w:rsidRPr="00F242DD">
        <w:rPr>
          <w:i/>
        </w:rPr>
        <w:t>2 раза</w:t>
      </w:r>
      <w:r w:rsidRPr="00F242DD">
        <w:rPr>
          <w:i/>
        </w:rPr>
        <w:t xml:space="preserve"> в неделю не снижает эффективности лечения, но позволяет значительно уменьшить частоту развития периферической полинейропатии</w:t>
      </w:r>
      <w:r w:rsidR="00F024AA" w:rsidRPr="00F242DD">
        <w:rPr>
          <w:i/>
        </w:rPr>
        <w:t xml:space="preserve"> </w:t>
      </w:r>
      <w:r w:rsidR="00A96FB6" w:rsidRPr="00F242DD">
        <w:rPr>
          <w:i/>
        </w:rPr>
        <w:fldChar w:fldCharType="begin" w:fldLock="1"/>
      </w:r>
      <w:r w:rsidR="00267DE2" w:rsidRPr="00F242DD">
        <w:rPr>
          <w:i/>
        </w:rPr>
        <w:instrText>ADDIN CSL_CITATION {"citationItems":[{"id":"ITEM-1","itemData":{"DOI":"10.1182/blood-2010-07-294983","ISSN":"1528-0020","PMID":"20807892","abstract":"In a recent phase 3 trial, bortezomib-melphalan-prednisone-thalidomide followed by maintenance treatment with bortezomib-thalidomide demonstrated superior efficacy compared with bortezomib-melphalan-prednisone. To decrease neurologic toxicities, the protocol was amended and patients in both arms received once-weekly instead of the initial twice-weekly bortezomib infusions: 372 patients received once-weekly and 139 twice-weekly bortezomib. In this post-hoc analysis we assessed the impact of the schedule change on clinical outcomes and safety. Long-term outcomes appeared similar: 3-year progression-free survival rate was 50% in the once-weekly and 47% in the twice-weekly group (P &gt; .999), and 3-year overall survival rate was 88% and 89%, respectively (P = .54). The complete response rate was 30% in the once-weekly and 35% in the twice-weekly group (P = .27). Nonhematologic grade 3/4 adverse events were reported in 35% of once-weekly patients and 51% of twice-weekly patients (P = .003). The incidence of grade 3/4 peripheral neuropathy was 8% in the once-weekly and 28% in the twice-weekly group (P &lt; .001); 5% of patients in the once-weekly and 15% in the twice-weekly group discontinued therapy because of peripheral neuropathy (P &lt; .001). This improvement in safety did not appear to affect efficacy. This study is registered at http://www.clinicaltrials.gov as NCT01063179.","author":[{"dropping-particle":"","family":"Bringhen","given":"Sara","non-dropping-particle":"","parse-names":false,"suffix":""},{"dropping-particle":"","family":"Larocca","given":"Alessandra","non-dropping-particle":"","parse-names":false,"suffix":""},{"dropping-particle":"","family":"Rossi","given":"Davide","non-dropping-particle":"","parse-names":false,"suffix":""},{"dropping-particle":"","family":"Cavalli","given":"Maide","non-dropping-particle":"","parse-names":false,"suffix":""},{"dropping-particle":"","family":"Genuardi","given":"Mariella","non-dropping-particle":"","parse-names":false,"suffix":""},{"dropping-particle":"","family":"Ria","given":"Roberto","non-dropping-particle":"","parse-names":false,"suffix":""},{"dropping-particle":"","family":"Gentili","given":"Silvia","non-dropping-particle":"","parse-names":false,"suffix":""},{"dropping-particle":"","family":"Patriarca","given":"Francesca","non-dropping-particle":"","parse-names":false,"suffix":""},{"dropping-particle":"","family":"Nozzoli","given":"Chiara","non-dropping-particle":"","parse-names":false,"suffix":""},{"dropping-particle":"","family":"Levi","given":"Anna","non-dropping-particle":"","parse-names":false,"suffix":""},{"dropping-particle":"","family":"Guglielmelli","given":"Tommasina","non-dropping-particle":"","parse-names":false,"suffix":""},{"dropping-particle":"","family":"Benevolo","given":"Giulia","non-dropping-particle":"","parse-names":false,"suffix":""},{"dropping-particle":"","family":"Callea","given":"Vincenzo","non-dropping-particle":"","parse-names":false,"suffix":""},{"dropping-particle":"","family":"Rizzo","given":"Vincenzo","non-dropping-particle":"","parse-names":false,"suffix":""},{"dropping-particle":"","family":"Cangialosi","given":"Clotilde","non-dropping-particle":"","parse-names":false,"suffix":""},{"dropping-particle":"","family":"Musto","given":"Pellegrino","non-dropping-particle":"","parse-names":false,"suffix":""},{"dropping-particle":"","family":"Rosa","given":"Luca","non-dropping-particle":"De","parse-names":false,"suffix":""},{"dropping-particle":"","family":"Liberati","given":"Anna Marina","non-dropping-particle":"","parse-names":false,"suffix":""},{"dropping-particle":"","family":"Grasso","given":"Mariella","non-dropping-particle":"","parse-names":false,"suffix":""},{"dropping-particle":"","family":"Falcone","given":"Antonietta P","non-dropping-particle":"","parse-names":false,"suffix":""},{"dropping-particle":"","family":"Evangelista","given":"Andrea","non-dropping-particle":"","parse-names":false,"suffix":""},{"dropping-particle":"","family":"Cavo","given":"Michele","non-dropping-particle":"","parse-names":false,"suffix":""},{"dropping-particle":"","family":"Gaidano","given":"Gianluca","non-dropping-particle":"","parse-names":false,"suffix":""},{"dropping-particle":"","family":"Boccadoro","given":"Mario","non-dropping-particle":"","parse-names":false,"suffix":""},{"dropping-particle":"","family":"Palumbo","given":"Antonio","non-dropping-particle":"","parse-names":false,"suffix":""}],"container-title":"Blood","id":"ITEM-1","issue":"23","issued":{"date-parts":[["2010","12","2"]]},"page":"4745-53","title":"Efficacy and safety of once-weekly bortezomib in multiple myeloma patients.","type":"article-journal","volume":"116"},"uris":["http://www.mendeley.com/documents/?uuid=e6a9d271-f103-3d6b-8205-fac656246f9e"]},{"id":"ITEM-2","itemData":{"author":[{"dropping-particle":"","family":"Takezako","given":"Naoki","non-dropping-particle":"","parse-names":false,"suffix":""},{"dropping-particle":"","family":"Tokuhira","given":"Michihide","non-dropping-particle":"","parse-names":false,"suffix":""},{"dropping-particle":"","family":"Sekiguchi","given":"Naohiro","non-dropping-particle":"","parse-names":false,"suffix":""},{"dropping-particle":"","family":"Kurihara","given":"Yuya","non-dropping-particle":"","parse-names":false,"suffix":""},{"dropping-particle":"","family":"Ito","given":"Kenichi","non-dropping-particle":"","parse-names":false,"suffix":""},{"dropping-particle":"","family":"Kurimoto","given":"Miwa","non-dropping-particle":"","parse-names":false,"suffix":""},{"dropping-particle":"","family":"Suzuki","given":"Kenshi","non-dropping-particle":"","parse-names":false,"suffix":""},{"dropping-particle":"","family":"Kizaki","given":"Masahiro","non-dropping-particle":"","parse-names":false,"suffix":""}],"container-title":"Blood","id":"ITEM-2","issue":"22","issued":{"date-parts":[["2016"]]},"title":"The Efficacy and Safety of Weekly Bortezomib Containing VMP Followed By Bortezomib Maintenance Therapy in Unfit or Frail Multiple Myeloma Patients","type":"article-journal","volume":"128"},"uris":["http://www.mendeley.com/documents/?uuid=54874430-49bc-3eca-818e-5fd25d8a1181"]}],"mendeley":{"formattedCitation":"[28,29]","plainTextFormattedCitation":"[28,29]","previouslyFormattedCitation":"[28,29]"},"properties":{"noteIndex":0},"schema":"https://github.com/citation-style-language/schema/raw/master/csl-citation.json"}</w:instrText>
      </w:r>
      <w:r w:rsidR="00A96FB6" w:rsidRPr="00F242DD">
        <w:rPr>
          <w:i/>
        </w:rPr>
        <w:fldChar w:fldCharType="separate"/>
      </w:r>
      <w:r w:rsidR="000D22CF" w:rsidRPr="00F242DD">
        <w:rPr>
          <w:noProof/>
        </w:rPr>
        <w:t>[28,29]</w:t>
      </w:r>
      <w:r w:rsidR="00A96FB6" w:rsidRPr="00F242DD">
        <w:rPr>
          <w:i/>
        </w:rPr>
        <w:fldChar w:fldCharType="end"/>
      </w:r>
      <w:r w:rsidRPr="00F242DD">
        <w:rPr>
          <w:i/>
        </w:rPr>
        <w:t>. Программу VMP с введением бортезомиба</w:t>
      </w:r>
      <w:r w:rsidR="007E7259" w:rsidRPr="00F242DD">
        <w:rPr>
          <w:i/>
        </w:rPr>
        <w:t>**</w:t>
      </w:r>
      <w:r w:rsidRPr="00F242DD">
        <w:rPr>
          <w:i/>
        </w:rPr>
        <w:t xml:space="preserve"> 1 раз </w:t>
      </w:r>
      <w:r w:rsidR="004D7759" w:rsidRPr="00F242DD">
        <w:rPr>
          <w:i/>
        </w:rPr>
        <w:t xml:space="preserve">в </w:t>
      </w:r>
      <w:r w:rsidRPr="00F242DD">
        <w:rPr>
          <w:i/>
        </w:rPr>
        <w:t xml:space="preserve">неделю рекомендуется использовать у пожилых пациентов ММ как предпочтительную. </w:t>
      </w:r>
    </w:p>
    <w:p w14:paraId="0C45E0C5" w14:textId="77777777" w:rsidR="00412809" w:rsidRPr="00F242DD" w:rsidRDefault="00412809" w:rsidP="00131E36">
      <w:pPr>
        <w:spacing w:before="0" w:after="0"/>
        <w:ind w:left="709"/>
        <w:contextualSpacing/>
        <w:rPr>
          <w:i/>
        </w:rPr>
      </w:pPr>
      <w:r w:rsidRPr="00F242DD">
        <w:rPr>
          <w:i/>
        </w:rPr>
        <w:t>С целью уменьшения побочных эффектов бортезомиба</w:t>
      </w:r>
      <w:r w:rsidR="007E7259" w:rsidRPr="00F242DD">
        <w:rPr>
          <w:i/>
        </w:rPr>
        <w:t>**</w:t>
      </w:r>
      <w:r w:rsidRPr="00F242DD">
        <w:rPr>
          <w:i/>
        </w:rPr>
        <w:t xml:space="preserve"> при появлении признаков токсичности необходима своевременная редукция дозы препарата. Кроме того, подкожное введение бортезомиба</w:t>
      </w:r>
      <w:r w:rsidR="007E7259" w:rsidRPr="00F242DD">
        <w:rPr>
          <w:i/>
        </w:rPr>
        <w:t>**</w:t>
      </w:r>
      <w:r w:rsidRPr="00F242DD">
        <w:rPr>
          <w:i/>
        </w:rPr>
        <w:t xml:space="preserve"> вместо внутривенного существенно снижает частоту развития нежелательных явлений.</w:t>
      </w:r>
    </w:p>
    <w:p w14:paraId="6FCCAC4C" w14:textId="77777777" w:rsidR="00412809" w:rsidRPr="00F242DD" w:rsidRDefault="00412809" w:rsidP="00131E36">
      <w:pPr>
        <w:spacing w:before="0" w:after="0"/>
        <w:ind w:left="709"/>
        <w:contextualSpacing/>
        <w:rPr>
          <w:i/>
          <w:strike/>
        </w:rPr>
      </w:pPr>
      <w:r w:rsidRPr="00F242DD">
        <w:rPr>
          <w:i/>
        </w:rPr>
        <w:t xml:space="preserve">Высокоэффективным методом ведения </w:t>
      </w:r>
      <w:r w:rsidR="006714D9" w:rsidRPr="00F242DD">
        <w:rPr>
          <w:i/>
        </w:rPr>
        <w:t>«</w:t>
      </w:r>
      <w:r w:rsidRPr="00F242DD">
        <w:rPr>
          <w:i/>
        </w:rPr>
        <w:t>первичных</w:t>
      </w:r>
      <w:r w:rsidR="006714D9" w:rsidRPr="00F242DD">
        <w:rPr>
          <w:i/>
        </w:rPr>
        <w:t>»</w:t>
      </w:r>
      <w:r w:rsidRPr="00F242DD">
        <w:rPr>
          <w:i/>
        </w:rPr>
        <w:t xml:space="preserve"> </w:t>
      </w:r>
      <w:r w:rsidR="00FB03BB" w:rsidRPr="00F242DD">
        <w:rPr>
          <w:i/>
        </w:rPr>
        <w:t>пациентов</w:t>
      </w:r>
      <w:r w:rsidR="00DE0BC0" w:rsidRPr="00F242DD">
        <w:rPr>
          <w:i/>
        </w:rPr>
        <w:t xml:space="preserve"> </w:t>
      </w:r>
      <w:r w:rsidRPr="00F242DD">
        <w:rPr>
          <w:i/>
        </w:rPr>
        <w:t>ММ является сочетание бортезомиба</w:t>
      </w:r>
      <w:r w:rsidR="007E7259" w:rsidRPr="00F242DD">
        <w:rPr>
          <w:i/>
        </w:rPr>
        <w:t>**</w:t>
      </w:r>
      <w:r w:rsidRPr="00F242DD">
        <w:rPr>
          <w:i/>
        </w:rPr>
        <w:t xml:space="preserve"> с дексаметазоном</w:t>
      </w:r>
      <w:r w:rsidR="007E7259" w:rsidRPr="00F242DD">
        <w:rPr>
          <w:i/>
        </w:rPr>
        <w:t>**</w:t>
      </w:r>
      <w:r w:rsidRPr="00F242DD">
        <w:rPr>
          <w:i/>
        </w:rPr>
        <w:t xml:space="preserve"> (VD)</w:t>
      </w:r>
      <w:r w:rsidR="00463342" w:rsidRPr="00F242DD">
        <w:rPr>
          <w:i/>
        </w:rPr>
        <w:t xml:space="preserve"> </w:t>
      </w:r>
      <w:r w:rsidR="00A96FB6" w:rsidRPr="00F242DD">
        <w:rPr>
          <w:i/>
        </w:rPr>
        <w:fldChar w:fldCharType="begin" w:fldLock="1"/>
      </w:r>
      <w:r w:rsidR="00267DE2" w:rsidRPr="00F242DD">
        <w:rPr>
          <w:i/>
        </w:rPr>
        <w:instrText>ADDIN CSL_CITATION {"citationItems":[{"id":"ITEM-1","itemData":{"DOI":"10.1111/j.1365-2141.2009.07803.x","ISSN":"1365-2141","PMID":"19622094","abstract":"High-quality response to multiple myeloma (MM) therapy can be predictive for improved outcomes. Novel agents may improve the depth of responses and therefore prolong survival. We report on the extended follow-up of a phase II study in frontline MM of bortezomib alone and in combination with dexamethasone. Forty-nine previously untreated, symptomatic MM patients received bortezomib 1.3 mg/m(2), days 1, 4, 8, 11, for up to six 3-week cycles. High-dose dexamethasone was added for patients not reaching either a partial response after cycle 2 or a complete response (CR) after cycle 4. The overall response rate in 48 evaluable patients was 90%, with 42% achieving at least a very good partial response, of which 19% were CR/near CR. Thirty-six patients received high-dose dexamethasone with 28 (77%) showing improved response. Twenty-seven patients have undergone successful stem-cell transplantation (SCT). After median follow-up of 49 months, 15 patients have died; median overall survival has still not been reached, with an estimated survival at 4 years of 67%. Overall survival with and without SCT was not different (P = 0.54). Grade 3/4 adverse events included neutropenia (10%), sensory neuropathy (6% grade 3), neuropathic pain (4% grade 3), and diarrhoea (4% grade 3). Bortezomib +/- dexamethasone is an effective and well-tolerated induction regimen for the frontline treatment of MM.","author":[{"dropping-particle":"","family":"Jagannath","given":"Sundar","non-dropping-particle":"","parse-names":false,"suffix":""},{"dropping-particle":"","family":"Durie","given":"Brian G M","non-dropping-particle":"","parse-names":false,"suffix":""},{"dropping-particle":"","family":"Wolf","given":"Jeffrey Lee","non-dropping-particle":"","parse-names":false,"suffix":""},{"dropping-particle":"","family":"Camacho","given":"Elber S","non-dropping-particle":"","parse-names":false,"suffix":""},{"dropping-particle":"","family":"Irwin","given":"David","non-dropping-particle":"","parse-names":false,"suffix":""},{"dropping-particle":"","family":"Lutzky","given":"Jose","non-dropping-particle":"","parse-names":false,"suffix":""},{"dropping-particle":"","family":"McKinley","given":"Marti","non-dropping-particle":"","parse-names":false,"suffix":""},{"dropping-particle":"","family":"Potts","given":"Phyllis","non-dropping-particle":"","parse-names":false,"suffix":""},{"dropping-particle":"","family":"Gabayan","given":"Afshin Eli","non-dropping-particle":"","parse-names":false,"suffix":""},{"dropping-particle":"","family":"Mazumder","given":"Amitabha","non-dropping-particle":"","parse-names":false,"suffix":""},{"dropping-particle":"","family":"Crowley","given":"John","non-dropping-particle":"","parse-names":false,"suffix":""},{"dropping-particle":"","family":"Vescio","given":"Robert","non-dropping-particle":"","parse-names":false,"suffix":""}],"container-title":"British journal of haematology","id":"ITEM-1","issue":"6","issued":{"date-parts":[["2009","9"]]},"page":"619-26","title":"Extended follow-up of a phase 2 trial of bortezomib alone and in combination with dexamethasone for the frontline treatment of multiple myeloma.","type":"article-journal","volume":"146"},"uris":["http://www.mendeley.com/documents/?uuid=55a5816c-f84d-3cc7-a018-411236af8b9b"]}],"mendeley":{"formattedCitation":"[30]","plainTextFormattedCitation":"[30]","previouslyFormattedCitation":"[30]"},"properties":{"noteIndex":0},"schema":"https://github.com/citation-style-language/schema/raw/master/csl-citation.json"}</w:instrText>
      </w:r>
      <w:r w:rsidR="00A96FB6" w:rsidRPr="00F242DD">
        <w:rPr>
          <w:i/>
        </w:rPr>
        <w:fldChar w:fldCharType="separate"/>
      </w:r>
      <w:r w:rsidR="000D22CF" w:rsidRPr="00F242DD">
        <w:rPr>
          <w:noProof/>
        </w:rPr>
        <w:t>[30]</w:t>
      </w:r>
      <w:r w:rsidR="00A96FB6" w:rsidRPr="00F242DD">
        <w:rPr>
          <w:i/>
        </w:rPr>
        <w:fldChar w:fldCharType="end"/>
      </w:r>
      <w:r w:rsidRPr="00F242DD">
        <w:rPr>
          <w:i/>
        </w:rPr>
        <w:t xml:space="preserve">. </w:t>
      </w:r>
    </w:p>
    <w:p w14:paraId="19FACB6F" w14:textId="77777777" w:rsidR="004D7374" w:rsidRPr="00F242DD" w:rsidRDefault="00412809" w:rsidP="00131E36">
      <w:pPr>
        <w:spacing w:before="0" w:after="0"/>
        <w:ind w:left="709"/>
        <w:contextualSpacing/>
      </w:pPr>
      <w:r w:rsidRPr="00F242DD">
        <w:rPr>
          <w:i/>
        </w:rPr>
        <w:t>Поддерживающая терапия бортезомибом</w:t>
      </w:r>
      <w:r w:rsidR="007E7259" w:rsidRPr="00F242DD">
        <w:rPr>
          <w:i/>
        </w:rPr>
        <w:t>**</w:t>
      </w:r>
      <w:r w:rsidRPr="00F242DD">
        <w:rPr>
          <w:i/>
        </w:rPr>
        <w:t xml:space="preserve"> увеличивает частоту ПР, выживаемость без прогрессирования (ВБП) и ВДП. Поскольку убедительных </w:t>
      </w:r>
      <w:r w:rsidRPr="00F242DD">
        <w:rPr>
          <w:i/>
        </w:rPr>
        <w:lastRenderedPageBreak/>
        <w:t>данных об увеличении ОВ нет, согласно рекомендациям ESMO поддержи</w:t>
      </w:r>
      <w:r w:rsidR="009421BC" w:rsidRPr="00F242DD">
        <w:rPr>
          <w:i/>
        </w:rPr>
        <w:t xml:space="preserve">вающая терапия у пожилых пациентов </w:t>
      </w:r>
      <w:r w:rsidRPr="00F242DD">
        <w:rPr>
          <w:i/>
        </w:rPr>
        <w:t>не рекомендуется</w:t>
      </w:r>
      <w:r w:rsidR="00463342" w:rsidRPr="00F242DD">
        <w:rPr>
          <w:i/>
        </w:rPr>
        <w:t xml:space="preserve"> </w:t>
      </w:r>
      <w:r w:rsidR="00A96FB6" w:rsidRPr="00F242DD">
        <w:rPr>
          <w:i/>
        </w:rPr>
        <w:fldChar w:fldCharType="begin" w:fldLock="1"/>
      </w:r>
      <w:r w:rsidR="00463342" w:rsidRPr="00F242DD">
        <w:rPr>
          <w:i/>
        </w:rPr>
        <w:instrText>ADDIN CSL_CITATION {"citationItems":[{"id":"ITEM-1","itemData":{"DOI":"10.1093/annonc/mdx096","ISSN":"1569-8041","PMID":"28453614","author":[{"dropping-particle":"","family":"Moreau","given":"P","non-dropping-particle":"","parse-names":false,"suffix":""},{"dropping-particle":"","family":"San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Oncology","id":"ITEM-1","issue":"suppl_4","issued":{"date-parts":[["2017","7","1"]]},"page":"iv52-iv61","title":"Multiple myeloma: ESMO Clinical Practice Guidelines for diagnosis, treatment and follow-up.","type":"article-journal","volume":"28"},"uris":["http://www.mendeley.com/documents/?uuid=e710540c-71bd-39f6-a6ad-aa95562089c3"]}],"mendeley":{"formattedCitation":"[15]","plainTextFormattedCitation":"[15]","previouslyFormattedCitation":"[15]"},"properties":{"noteIndex":0},"schema":"https://github.com/citation-style-language/schema/raw/master/csl-citation.json"}</w:instrText>
      </w:r>
      <w:r w:rsidR="00A96FB6" w:rsidRPr="00F242DD">
        <w:rPr>
          <w:i/>
        </w:rPr>
        <w:fldChar w:fldCharType="separate"/>
      </w:r>
      <w:r w:rsidR="00463342" w:rsidRPr="00F242DD">
        <w:rPr>
          <w:noProof/>
        </w:rPr>
        <w:t>[15]</w:t>
      </w:r>
      <w:r w:rsidR="00A96FB6" w:rsidRPr="00F242DD">
        <w:rPr>
          <w:i/>
        </w:rPr>
        <w:fldChar w:fldCharType="end"/>
      </w:r>
      <w:r w:rsidRPr="00F242DD">
        <w:rPr>
          <w:i/>
        </w:rPr>
        <w:t>.</w:t>
      </w:r>
      <w:r w:rsidR="004D7374" w:rsidRPr="00F242DD">
        <w:tab/>
      </w:r>
    </w:p>
    <w:p w14:paraId="455B237C" w14:textId="77777777" w:rsidR="004D7374" w:rsidRPr="00F242DD" w:rsidRDefault="00235423" w:rsidP="00131E36">
      <w:pPr>
        <w:pStyle w:val="a6"/>
        <w:numPr>
          <w:ilvl w:val="0"/>
          <w:numId w:val="5"/>
        </w:numPr>
        <w:spacing w:before="0" w:after="0"/>
        <w:ind w:left="709" w:hanging="709"/>
      </w:pPr>
      <w:r w:rsidRPr="00F242DD">
        <w:t>Пациентам с впервые диагностированной ММ – не кандидатам на ВДХТ с ауто</w:t>
      </w:r>
      <w:r w:rsidR="00267DE2" w:rsidRPr="00F242DD">
        <w:t>-</w:t>
      </w:r>
      <w:r w:rsidRPr="00F242DD">
        <w:t>ТГСК</w:t>
      </w:r>
      <w:r w:rsidR="004A1BD3" w:rsidRPr="00F242DD">
        <w:t xml:space="preserve"> −</w:t>
      </w:r>
      <w:r w:rsidR="00BE70BE" w:rsidRPr="00F242DD">
        <w:t xml:space="preserve"> </w:t>
      </w:r>
      <w:r w:rsidR="00E05D8E" w:rsidRPr="00F242DD">
        <w:t xml:space="preserve">в качестве альтернативной опции, </w:t>
      </w:r>
      <w:r w:rsidR="00E05D8E" w:rsidRPr="00F242DD">
        <w:rPr>
          <w:color w:val="000000"/>
        </w:rPr>
        <w:t xml:space="preserve">а также при наличии противопоказаний к применению </w:t>
      </w:r>
      <w:r w:rsidRPr="00F242DD">
        <w:rPr>
          <w:color w:val="000000"/>
        </w:rPr>
        <w:t>бортезомиб</w:t>
      </w:r>
      <w:r w:rsidR="00E05D8E" w:rsidRPr="00F242DD">
        <w:rPr>
          <w:color w:val="000000"/>
        </w:rPr>
        <w:t>а</w:t>
      </w:r>
      <w:r w:rsidR="00EA795A" w:rsidRPr="00F242DD">
        <w:rPr>
          <w:color w:val="000000"/>
        </w:rPr>
        <w:t>**</w:t>
      </w:r>
      <w:r w:rsidR="003369B4" w:rsidRPr="00F242DD">
        <w:t xml:space="preserve"> </w:t>
      </w:r>
      <w:r w:rsidR="003703A8" w:rsidRPr="00F242DD">
        <w:rPr>
          <w:b/>
        </w:rPr>
        <w:t>рекомендуется</w:t>
      </w:r>
      <w:r w:rsidR="004D7374" w:rsidRPr="00F242DD">
        <w:t xml:space="preserve"> проведение </w:t>
      </w:r>
      <w:r w:rsidRPr="00F242DD">
        <w:t xml:space="preserve">терапии </w:t>
      </w:r>
      <w:r w:rsidR="009B7849" w:rsidRPr="00F242DD">
        <w:t>к</w:t>
      </w:r>
      <w:r w:rsidRPr="00F242DD">
        <w:t>омбинациями с включением леналидомида</w:t>
      </w:r>
      <w:r w:rsidR="00EA795A" w:rsidRPr="00F242DD">
        <w:t>**</w:t>
      </w:r>
      <w:r w:rsidR="00E54555" w:rsidRPr="00F242DD">
        <w:t xml:space="preserve"> (</w:t>
      </w:r>
      <w:r w:rsidR="00E54555" w:rsidRPr="00F242DD">
        <w:rPr>
          <w:lang w:val="en-US"/>
        </w:rPr>
        <w:t>Rd</w:t>
      </w:r>
      <w:r w:rsidR="00E54555" w:rsidRPr="00F242DD">
        <w:t xml:space="preserve">, </w:t>
      </w:r>
      <w:r w:rsidR="00E54555" w:rsidRPr="00F242DD">
        <w:rPr>
          <w:lang w:val="en-US"/>
        </w:rPr>
        <w:t>MPR</w:t>
      </w:r>
      <w:r w:rsidR="00E54555" w:rsidRPr="00F242DD">
        <w:t>)</w:t>
      </w:r>
      <w:r w:rsidR="00DA70E3" w:rsidRPr="00F242DD">
        <w:t xml:space="preserve"> (описание режимов – см. приложение </w:t>
      </w:r>
      <w:r w:rsidR="00C812D6" w:rsidRPr="00F242DD">
        <w:t>А3.1</w:t>
      </w:r>
      <w:r w:rsidR="004A1BD3" w:rsidRPr="00F242DD">
        <w:t>.</w:t>
      </w:r>
      <w:r w:rsidR="00DA70E3" w:rsidRPr="00F242DD">
        <w:t>)</w:t>
      </w:r>
      <w:r w:rsidR="00463342" w:rsidRPr="00F242DD">
        <w:t xml:space="preserve"> </w:t>
      </w:r>
      <w:r w:rsidR="00A96FB6" w:rsidRPr="00F242DD">
        <w:fldChar w:fldCharType="begin" w:fldLock="1"/>
      </w:r>
      <w:r w:rsidR="00267DE2" w:rsidRPr="00F242DD">
        <w:instrText>ADDIN CSL_CITATION {"citationItems":[{"id":"ITEM-1","itemData":{"DOI":"10.3109/10428194.2013.847935","ISSN":"1029-2403","PMID":"24067138","abstract":"The objective of the study was to investigate the effects and safety of novel agents such as bortezomib and lenalidomide in the treatment of newly diagnosed patients with multiple myeloma. We performed a comprehensive meta-analysis of randomized controlled trials (RCTs). An initial search yielded 627 citations, of which 10 RCTs enrolling 4534 patients met the inclusion criteria. The addition of bortezomib to first-line therapy significantly prolonged overall survival (OS) (hazard ratio [HR], 0.75 [0.65, 0.87], p &lt; 0.001). On the other hand, the addition of lenalidomide had no impact on survival (HR, 0.88 [0.65, 1.20], p = 0.42). Both lenalidomide and bortezomib consistently improved progression-free survival (PFS) compared with conventional therapy alone. The corresponding HRs were 0.65, 95% confidence interval (CI) [0.55, 0.77] (p &lt; 0.001) for bortezomib and 0.48, 95% CI [0.42, 0.55]; (p &lt; 0.001) for lenalidomide, respectively. Some of the increased adverse events reported were herpes zoster (relative risk [RR], 3.64 [2.23, 5.94], p &lt; 0.001), peripheral neuropathy (RR, 3.59 [1.89, 6.83], p &lt; 0.001) and gastrointestinal effects (RR, 2.19 [1.37, 3.50], p = 0.001) among patients receiving bortezomib, and gastrointestinal effects (RR, 2.36 [1.33, 4.17], p = 0.003) and thromboembolic events (RR, 2.55 [1.48, 4.38], p &lt; 0.001) among patients receiving lenalidomide. Interestingly, treatment with bortezomib seemed to be associated with a lower rate of treatment related mortality (RR, 0.39 [0.18, 0.85], p = 0.02). An increased incidence of second primary cancers was observed in the lenalidomide group (RR 2.61 [1.60, 4.27], p &lt; 0.001). In summary, bortezomib improved OS, and both lenalidomide and bortezomib consistently improved PFS of patients with newly diagnosed myeloma when it was added to standard therapy.","author":[{"dropping-particle":"","family":"Zou","given":"Yandun","non-dropping-particle":"","parse-names":false,"suffix":""},{"dropping-particle":"","family":"Lin","given":"Mingzhen","non-dropping-particle":"","parse-names":false,"suffix":""},{"dropping-particle":"","family":"Sheng","given":"Zhixin","non-dropping-particle":"","parse-names":false,"suffix":""},{"dropping-particle":"","family":"Niu","given":"Shaona","non-dropping-particle":"","parse-names":false,"suffix":""}],"container-title":"Leukemia &amp; lymphoma","id":"ITEM-1","issue":"9","issued":{"date-parts":[["2014","9"]]},"page":"2024-31","title":"Bortezomib and lenalidomide as front-line therapy for multiple myeloma.","type":"article-journal","volume":"55"},"uris":["http://www.mendeley.com/documents/?uuid=9439b288-0a59-314a-9744-9aedc4d3acdf"]},{"id":"ITEM-2","itemData":{"DOI":"10.1080/10428194.2016.1177772","ISSN":"1029-2403","PMID":"27124703","abstract":"In newly diagnosed multiple myeloma (MM), patients ineligible for front-line autologous stem cell transplantation (ASCT), melphalan and prednisone (MP) with thalidomide (MPT) or bortezomib (VMP) are standard first-line therapeutic options. Despite new treatment regimens incorporating bortezomib or lenalidomide, MM remains incurable. The FIRST study demonstrated significant improvement in progression-free survival (PFS) and overall survival (OS) for the combination of lenalidomide and low-dose dexamethasone (Rd) until progression vs. MPT in transplant-ineligible ndMM patients. However, to date no head-to-head randomized controlled trials (RCTs) have compared Rd or MPT versus VMP. We conducted a network meta-analysis using RCTs identified through a systematic literature review to evaluate the relative efficacy of Rd versus other regimens on survival endpoints in previously untreated MM patients ineligible for ASCT. In this analysis, Rd was associated with a significant PFS and survival advantage versus other first-line treatments (VMP, MPT, MP), challenging the role of alkylators in this setting.","author":[{"dropping-particle":"","family":"Weisel","given":"Katja","non-dropping-particle":"","parse-names":false,"suffix":""},{"dropping-particle":"","family":"Doyen","given":"Chantal","non-dropping-particle":"","parse-names":false,"suffix":""},{"dropping-particle":"","family":"Dimopoulos","given":"Meletios","non-dropping-particle":"","parse-names":false,"suffix":""},{"dropping-particle":"","family":"Yee","given":"Adrian","non-dropping-particle":"","parse-names":false,"suffix":""},{"dropping-particle":"","family":"Lahuerta","given":"Juan José","non-dropping-particle":"","parse-names":false,"suffix":""},{"dropping-particle":"","family":"Martin","given":"Amber","non-dropping-particle":"","parse-names":false,"suffix":""},{"dropping-particle":"","family":"Travers","given":"Karin","non-dropping-particle":"","parse-names":false,"suffix":""},{"dropping-particle":"","family":"Druyts","given":"Eric","non-dropping-particle":"","parse-names":false,"suffix":""},{"dropping-particle":"","family":"Toor","given":"Kabirraaj","non-dropping-particle":"","parse-names":false,"suffix":""},{"dropping-particle":"","family":"Abildgaard","given":"Niels","non-dropping-particle":"","parse-names":false,"suffix":""},{"dropping-particle":"","family":"Lu","given":"Jin","non-dropping-particle":"","parse-names":false,"suffix":""},{"dropping-particle":"","family":"Droogenbroeck","given":"Jan","non-dropping-particle":"Van","parse-names":false,"suffix":""},{"dropping-particle":"","family":"Geraldes","given":"Catarina","non-dropping-particle":"","parse-names":false,"suffix":""},{"dropping-particle":"","family":"Petrini","given":"Mario","non-dropping-particle":"","parse-names":false,"suffix":""},{"dropping-particle":"","family":"Voillat","given":"Laurent","non-dropping-particle":"","parse-names":false,"suffix":""},{"dropping-particle":"","family":"Voog","given":"Eric","non-dropping-particle":"","parse-names":false,"suffix":""},{"dropping-particle":"","family":"Facon","given":"Thierry","non-dropping-particle":"","parse-names":false,"suffix":""}],"container-title":"Leukemia &amp; lymphoma","id":"ITEM-2","issue":"1","issued":{"date-parts":[["2017"]]},"page":"153-161","title":"A systematic literature review and network meta-analysis of treatments for patients with untreated multiple myeloma not eligible for stem cell transplantation.","type":"article-journal","volume":"58"},"uris":["http://www.mendeley.com/documents/?uuid=3e454a3e-7cea-314f-bbe4-01929d0542d4"]}],"mendeley":{"formattedCitation":"[26,31]","plainTextFormattedCitation":"[26,31]","previouslyFormattedCitation":"[26,31]"},"properties":{"noteIndex":0},"schema":"https://github.com/citation-style-language/schema/raw/master/csl-citation.json"}</w:instrText>
      </w:r>
      <w:r w:rsidR="00A96FB6" w:rsidRPr="00F242DD">
        <w:fldChar w:fldCharType="separate"/>
      </w:r>
      <w:r w:rsidR="000D22CF" w:rsidRPr="00F242DD">
        <w:rPr>
          <w:noProof/>
        </w:rPr>
        <w:t>[26,31]</w:t>
      </w:r>
      <w:r w:rsidR="00A96FB6" w:rsidRPr="00F242DD">
        <w:fldChar w:fldCharType="end"/>
      </w:r>
      <w:r w:rsidR="00D25605" w:rsidRPr="00F242DD">
        <w:t>.</w:t>
      </w:r>
      <w:r w:rsidR="00BE70BE" w:rsidRPr="00F242DD">
        <w:t xml:space="preserve"> </w:t>
      </w:r>
    </w:p>
    <w:p w14:paraId="546D34CC" w14:textId="77777777" w:rsidR="004D7374" w:rsidRPr="00F242DD" w:rsidRDefault="004D7374" w:rsidP="00131E36">
      <w:pPr>
        <w:spacing w:before="0" w:after="0"/>
        <w:ind w:left="709"/>
        <w:rPr>
          <w:b/>
        </w:rPr>
      </w:pPr>
      <w:r w:rsidRPr="00F242DD">
        <w:rPr>
          <w:b/>
        </w:rPr>
        <w:t xml:space="preserve">Уровень убедительности рекомендаций </w:t>
      </w:r>
      <w:r w:rsidR="004A1BD3" w:rsidRPr="00F242DD">
        <w:rPr>
          <w:b/>
        </w:rPr>
        <w:t xml:space="preserve">− </w:t>
      </w:r>
      <w:r w:rsidR="00637D26" w:rsidRPr="00F242DD">
        <w:rPr>
          <w:b/>
        </w:rPr>
        <w:t>A</w:t>
      </w:r>
      <w:r w:rsidR="003369B4" w:rsidRPr="00F242DD">
        <w:rPr>
          <w:b/>
        </w:rPr>
        <w:t xml:space="preserve"> </w:t>
      </w:r>
      <w:r w:rsidRPr="00F242DD">
        <w:rPr>
          <w:b/>
        </w:rPr>
        <w:t>(уровень достоверности доказательств</w:t>
      </w:r>
      <w:r w:rsidR="004A1BD3" w:rsidRPr="00F242DD">
        <w:rPr>
          <w:b/>
        </w:rPr>
        <w:t xml:space="preserve"> − </w:t>
      </w:r>
      <w:r w:rsidR="00637D26" w:rsidRPr="00F242DD">
        <w:rPr>
          <w:b/>
        </w:rPr>
        <w:t>1</w:t>
      </w:r>
      <w:r w:rsidRPr="00F242DD">
        <w:rPr>
          <w:b/>
        </w:rPr>
        <w:t>)</w:t>
      </w:r>
    </w:p>
    <w:p w14:paraId="7C8F4D66" w14:textId="77777777" w:rsidR="00E54555" w:rsidRPr="00F242DD" w:rsidRDefault="00D25605" w:rsidP="00131E36">
      <w:pPr>
        <w:spacing w:before="0" w:after="0"/>
        <w:ind w:left="709"/>
        <w:contextualSpacing/>
        <w:rPr>
          <w:i/>
        </w:rPr>
      </w:pPr>
      <w:r w:rsidRPr="00F242DD">
        <w:rPr>
          <w:b/>
        </w:rPr>
        <w:t>Комментарий:</w:t>
      </w:r>
      <w:r w:rsidR="00463342" w:rsidRPr="00F242DD">
        <w:rPr>
          <w:b/>
        </w:rPr>
        <w:t xml:space="preserve"> </w:t>
      </w:r>
      <w:r w:rsidR="00463342" w:rsidRPr="00F242DD">
        <w:rPr>
          <w:i/>
        </w:rPr>
        <w:t xml:space="preserve">в </w:t>
      </w:r>
      <w:r w:rsidR="00E54555" w:rsidRPr="00F242DD">
        <w:rPr>
          <w:i/>
        </w:rPr>
        <w:t xml:space="preserve">рандомизированном исследовании </w:t>
      </w:r>
      <w:r w:rsidR="004B3AF6" w:rsidRPr="00F242DD">
        <w:rPr>
          <w:i/>
          <w:lang w:val="en-US"/>
        </w:rPr>
        <w:t>FIRST</w:t>
      </w:r>
      <w:r w:rsidR="00463342" w:rsidRPr="00F242DD">
        <w:rPr>
          <w:i/>
        </w:rPr>
        <w:t xml:space="preserve"> </w:t>
      </w:r>
      <w:r w:rsidR="00A96FB6" w:rsidRPr="00F242DD">
        <w:rPr>
          <w:i/>
        </w:rPr>
        <w:fldChar w:fldCharType="begin" w:fldLock="1"/>
      </w:r>
      <w:r w:rsidR="00267DE2" w:rsidRPr="00F242DD">
        <w:rPr>
          <w:i/>
        </w:rPr>
        <w:instrText>ADDIN CSL_CITATION {"citationItems":[{"id":"ITEM-1","itemData":{"DOI":"10.1056/NEJMoa1402551","ISSN":"15334406","abstract":"Copyright © 2014 Massachusetts Medical Society. Background: The combination melphalan-prednisone-thalidomide (MPT) is considered a standard therapy for patients with myeloma who are ineligible for stem-cell transplantation. However, emerging data on the use of lenalidomide and low-dose dexamethasone warrant a prospective comparison of the two approaches. Methods: We randomly assigned 1623 patients to lenalidomide and dexamethasone in 28-day cycles until disease progression (535 patients), to the same combination for 72 weeks (18 cycles; 541 patients), or to MPT for 72 weeks (547 patients). The primary end point was progression-free survival with continuous lenalidomide-dexamethasone versus MPT. Results: The median progression-free survival was 25.5 months with continuous lenalidomide-dexamethasone, 20.7 months with 18 cycles of lenalidomide-dexamethasone, and 21.2 months with MPT (hazard ratio for the risk of progression or death, 0.72 for continuous lenalidomide-dexamethasone vs. MPT and 0.70 for continuous lenalidomide-dexamethasone vs. 18 cycles of lenalidomide-dexamethasone; P &lt; 0.001 for both comparisons). Continuous lenalidomide-dexamethasone  was superior to MPT for all secondary efficacy end points, including overall survival (at the interim analysis). Overall survival at 4 years was 59% with continuous lenalidomide-dexamethasone, 56% with 18 cycles of lenalidomide-dexamethasone, and 51% with MPT. Grade 3 or 4 adverse events were somewhat less frequent with continuous lenalidomide-dexamethasone than with MPT (70% vs. 78%). As compared with MPT, continuous lenalidomide-dexamethasone was associated with fewer hematologic and neurologic toxic events, a moderate increase in infections, and fewer second primary hematologic cancers. Conclusions: As compared with MPT, continuous lenalidomide-dexamethasone given until disease progression was associated with a significant improvement in progression-free survival, with an overall survival benefit at the interim analysis, among patients with newly diagnosed multiple myeloma who were ineligible for stem-cell transplantation.","author":[{"dropping-particle":"","family":"Benboubker","given":"Lotfi","non-dropping-particle":"","parse-names":false,"suffix":""},{"dropping-particle":"","family":"Dimopoulos","given":"Meletios A.","non-dropping-particle":"","parse-names":false,"suffix":""},{"dropping-particle":"","family":"Dispenzieri","given":"Angela","non-dropping-particle":"","parse-names":false,"suffix":""},{"dropping-particle":"","family":"Catalano","given":"John","non-dropping-particle":"","parse-names":false,"suffix":""},{"dropping-particle":"","family":"Belch","given":"Andrew R.","non-dropping-particle":"","parse-names":false,"suffix":""},{"dropping-particle":"","family":"Cavo","given":"Michele","non-dropping-particle":"","parse-names":false,"suffix":""},{"dropping-particle":"","family":"Pinto","given":"Antonello","non-dropping-particle":"","parse-names":false,"suffix":""},{"dropping-particle":"","family":"Weisel","given":"Katja","non-dropping-particle":"","parse-names":false,"suffix":""},{"dropping-particle":"","family":"Ludwig","given":"Heinz","non-dropping-particle":"","parse-names":false,"suffix":""},{"dropping-particle":"","family":"Bahlis","given":"Nizar","non-dropping-particle":"","parse-names":false,"suffix":""},{"dropping-particle":"","family":"Banos","given":"Anne","non-dropping-particle":"","parse-names":false,"suffix":""},{"dropping-particle":"","family":"Tiab","given":"Mourad","non-dropping-particle":"","parse-names":false,"suffix":""},{"dropping-particle":"","family":"Delforge","given":"Michel","non-dropping-particle":"","parse-names":false,"suffix":""},{"dropping-particle":"","family":"Cavenagh","given":"Jamie","non-dropping-particle":"","parse-names":false,"suffix":""},{"dropping-particle":"","family":"Geraldes","given":"Catarina","non-dropping-particle":"","parse-names":false,"suffix":""},{"dropping-particle":"","family":"Lee","given":"Je Jung","non-dropping-particle":"","parse-names":false,"suffix":""},{"dropping-particle":"","family":"Chen","given":"Christine","non-dropping-particle":"","parse-names":false,"suffix":""},{"dropping-particle":"","family":"Oriol","given":"Albert","non-dropping-particle":"","parse-names":false,"suffix":""},{"dropping-particle":"","family":"La Rubia","given":"Javier","non-dropping-particle":"De","parse-names":false,"suffix":""},{"dropping-particle":"","family":"Qiu","given":"Lugui","non-dropping-particle":"","parse-names":false,"suffix":""},{"dropping-particle":"","family":"White","given":"Darrell J.","non-dropping-particle":"","parse-names":false,"suffix":""},{"dropping-particle":"","family":"Binder","given":"Daniel","non-dropping-particle":"","parse-names":false,"suffix":""},{"dropping-particle":"","family":"Anderson","given":"Kenneth","non-dropping-particle":"","parse-names":false,"suffix":""},{"dropping-particle":"","family":"Fermand","given":"Jean Paul","non-dropping-particle":"","parse-names":false,"suffix":""},{"dropping-particle":"","family":"Moreau","given":"Philippe","non-dropping-particle":"","parse-names":false,"suffix":""},{"dropping-particle":"","family":"Attal","given":"Michel","non-dropping-particle":"","parse-names":false,"suffix":""},{"dropping-particle":"","family":"Knight","given":"Robert","non-dropping-particle":"","parse-names":false,"suffix":""},{"dropping-particle":"","family":"Chen","given":"Guang","non-dropping-particle":"","parse-names":false,"suffix":""},{"dropping-particle":"","family":"Oostendorp","given":"Jason","non-dropping-particle":"Van","parse-names":false,"suffix":""},{"dropping-particle":"","family":"Jacques","given":"Christian","non-dropping-particle":"","parse-names":false,"suffix":""},{"dropping-particle":"","family":"Ervin-Haynes","given":"Annette","non-dropping-particle":"","parse-names":false,"suffix":""},{"dropping-particle":"","family":"Avet-Loiseau","given":"Hervé","non-dropping-particle":"","parse-names":false,"suffix":""},{"dropping-particle":"","family":"Hulin","given":"Cyrille","non-dropping-particle":"","parse-names":false,"suffix":""},{"dropping-particle":"","family":"Facon","given":"Thierry","non-dropping-particle":"","parse-names":false,"suffix":""}],"container-title":"New England Journal of Medicine","id":"ITEM-1","issue":"10","issued":{"date-parts":[["2014","9","4"]]},"page":"906-917","publisher":"Massachussetts Medical Society","title":"Lenalidomide and dexamethasone in transplant-ineligible patients with myeloma","type":"article-journal","volume":"371"},"uris":["http://www.mendeley.com/documents/?uuid=1aef8361-5ffc-3a29-81bc-8edf363798d5"]},{"id":"ITEM-2","itemData":{"DOI":"10.1016/j.clml.2015.07.330","ISSN":"21522650","abstract":"Background: MPT is a standard treatment (Tx) option in many countries for pts with NDMM who are ineligible for stem cell transplant (SCT). The FIRST trial is the largest prospective phase 3 trial conducted in patients with NDMM who are ineligible for SCT. It compares Tx with Rd until disease progression or unacceptable toxicity (Rd continuous), Rd for 18 cycles (Rd18), and MPT for 12 cycles. At the time of the original planned analysis, Rd continuous was associated with improved OS and progression-free survival (PFS) vs MPT (Benboubker, N Engl J Med, 2014). This is an updated analysis conducted at the request of the regulatory authorities. Methods: Pts were randomized 1:1:1 to 3 Tx arms: 28- day cycles of Rd continuous or Rd18, or MPT for twelve 42-day cycles. Adult pts were SCT-ineligible with symptomatic NDMM and an Eastern Cooperative Oncology Group performance status of 0-2. Pts with prior anti-myeloma Tx, specified laboratory abnormalities, or a history of malignancy other than MM were excluded. The primary endpoint was PFS (Rd continuous vs MPT; primary comparison). Secondary endpoints included OS, overall response rate, and safety. Results: 1623 pts were randomized; 535 pts received Rd continuous, 541 received Rd18, and 547 received MPT. At data cutoff (March 3, 2014), 91 pts remained on Rd continuous Tx. Across all arms, 697 pts (42.9%) died: 38.9% of pts on Rd continuous, 42.1% of pts on Rd18, and 47.7% of pts onMPT. The median follow-up was 45.5 mos. There was a 25% reduction in the risk of death with Rd continuous vsMPT (hazard ratio [HR], 0.75; 95% CI, 0.62-0.90). The median OS was 58.9 mos (95% CI, 56.0 mos-not evaluable [NE]) with Rd continuous, 56.7 mos (95% CI, 50.1 mos- NE) with Rd18, and 48.5 mos (95% CI, 44.2-52.0 mos) with MPT. There was a 31% reduction in the risk of progression or death with Rd continuous vs MPT (HR, 0.69; 95% CI, 0.59-0.80). Mean durations of Tx were 22.5 (Rd continuous), 12.6 (Rd18), and 11.9 (MPT) mos. Updated safety data will be presented. Conclusion: OS and PFS benefits observed in the original analysis were maintained with Rd continuous, which was better tolerated than MPT. The safety profile remained consistent with the interim analysis. These findings confirm Rd continuous as a new standard of care for pts with NDMM who are ineligible for SCT.","author":[{"dropping-particle":"","family":"Facon","given":"T.","non-dropping-particle":"","parse-names":false,"suffix":""},{"dropping-particle":"","family":"Dimopoulos","given":"M.A.","non-dropping-particle":"","parse-names":false,"suffix":""},{"dropping-particle":"","family":"Hulin","given":"C.","non-dropping-particle":"","parse-names":false,"suffix":""},{"dropping-particle":"","family":"Benboubker","given":"L.","non-dropping-particle":"","parse-names":false,"suffix":""},{"dropping-particle":"","family":"Belch","given":"A.","non-dropping-particle":"","parse-names":false,"suffix":""},{"dropping-particle":"","family":"Ludwig","given":"H.","non-dropping-particle":"","parse-names":false,"suffix":""},{"dropping-particle":"","family":"Pinto","given":"A.","non-dropping-particle":"","parse-names":false,"suffix":""},{"dropping-particle":"","family":"Attal","given":"M.","non-dropping-particle":"","parse-names":false,"suffix":""},{"dropping-particle":"","family":"Cavo","given":"M.","non-dropping-particle":"","parse-names":false,"suffix":""},{"dropping-particle":"","family":"Moreau","given":"P.","non-dropping-particle":"","parse-names":false,"suffix":""},{"dropping-particle":"","family":"Schots","given":"R.","non-dropping-particle":"","parse-names":false,"suffix":""},{"dropping-particle":"","family":"Meuleman","given":"N.","non-dropping-particle":"","parse-names":false,"suffix":""},{"dropping-particle":"","family":"Weisel","given":"K.","non-dropping-particle":"","parse-names":false,"suffix":""},{"dropping-particle":"","family":"Tiab","given":"M.","non-dropping-particle":"","parse-names":false,"suffix":""},{"dropping-particle":"","family":"Lee","given":"J.-J.","non-dropping-particle":"","parse-names":false,"suffix":""},{"dropping-particle":"","family":"Butler","given":"A.","non-dropping-particle":"","parse-names":false,"suffix":""},{"dropping-particle":"","family":"Marek","given":"J.","non-dropping-particle":"","parse-names":false,"suffix":""},{"dropping-particle":"","family":"Chen","given":"G.","non-dropping-particle":"","parse-names":false,"suffix":""},{"dropping-particle":"","family":"Ervin-Haynes","given":"A.","non-dropping-particle":"","parse-names":false,"suffix":""},{"dropping-particle":"","family":"Fermand","given":"J.P.","non-dropping-particle":"","parse-names":false,"suffix":""}],"container-title":"Clinical Lymphoma Myeloma and Leukemia","id":"ITEM-2","issued":{"date-parts":[["2015","9"]]},"page":"e134","publisher":"Elsevier BV","title":"Updated Overall Survival (OS) Analysis of the FIRST Study: Lenalidomide Plus Low-Dose Dexamethasone (Rd) Continuous vs Melphalan, Prednisone, and Thalidomide (MPT) in Patients (Pts) With Newly Diagnosed Multiple Myeloma (NDMM)","type":"article-journal","volume":"15"},"uris":["http://www.mendeley.com/documents/?uuid=86ac7d33-9ba9-3777-a8e7-495bf889e69e"]}],"mendeley":{"formattedCitation":"[32,33]","plainTextFormattedCitation":"[32,33]","previouslyFormattedCitation":"[32,33]"},"properties":{"noteIndex":0},"schema":"https://github.com/citation-style-language/schema/raw/master/csl-citation.json"}</w:instrText>
      </w:r>
      <w:r w:rsidR="00A96FB6" w:rsidRPr="00F242DD">
        <w:rPr>
          <w:i/>
        </w:rPr>
        <w:fldChar w:fldCharType="separate"/>
      </w:r>
      <w:r w:rsidR="000D22CF" w:rsidRPr="00F242DD">
        <w:rPr>
          <w:noProof/>
        </w:rPr>
        <w:t>[32,33]</w:t>
      </w:r>
      <w:r w:rsidR="00A96FB6" w:rsidRPr="00F242DD">
        <w:rPr>
          <w:i/>
        </w:rPr>
        <w:fldChar w:fldCharType="end"/>
      </w:r>
      <w:r w:rsidR="00463342" w:rsidRPr="00F242DD">
        <w:rPr>
          <w:i/>
        </w:rPr>
        <w:t xml:space="preserve"> </w:t>
      </w:r>
      <w:r w:rsidR="00E54555" w:rsidRPr="00F242DD">
        <w:rPr>
          <w:i/>
        </w:rPr>
        <w:t xml:space="preserve">показано, что длительная </w:t>
      </w:r>
      <w:r w:rsidR="004B3AF6" w:rsidRPr="00F242DD">
        <w:rPr>
          <w:i/>
        </w:rPr>
        <w:t xml:space="preserve">непрерывная </w:t>
      </w:r>
      <w:r w:rsidR="00E54555" w:rsidRPr="00F242DD">
        <w:rPr>
          <w:i/>
        </w:rPr>
        <w:t>терапия по схеме Rd улучшает ВБП по сравнению с фиксированным числом курсов Rd</w:t>
      </w:r>
      <w:r w:rsidR="004B3AF6" w:rsidRPr="00F242DD">
        <w:rPr>
          <w:i/>
        </w:rPr>
        <w:t xml:space="preserve"> длительностью 18 мес. Так, в группе </w:t>
      </w:r>
      <w:r w:rsidR="00FB03BB" w:rsidRPr="00F242DD">
        <w:rPr>
          <w:i/>
        </w:rPr>
        <w:t>пациентов</w:t>
      </w:r>
      <w:r w:rsidR="004B3AF6" w:rsidRPr="00F242DD">
        <w:rPr>
          <w:i/>
        </w:rPr>
        <w:t xml:space="preserve">, получавших терапию Rd непрерывно, медиана ВБП составила 26 мес, а показатель 4-летней ВБП </w:t>
      </w:r>
      <w:r w:rsidR="00517AB2" w:rsidRPr="00F242DD">
        <w:rPr>
          <w:i/>
        </w:rPr>
        <w:t>–</w:t>
      </w:r>
      <w:r w:rsidR="004B3AF6" w:rsidRPr="00F242DD">
        <w:rPr>
          <w:i/>
        </w:rPr>
        <w:t xml:space="preserve"> 33</w:t>
      </w:r>
      <w:r w:rsidR="00517AB2" w:rsidRPr="00F242DD">
        <w:rPr>
          <w:i/>
        </w:rPr>
        <w:t> </w:t>
      </w:r>
      <w:r w:rsidR="004B3AF6" w:rsidRPr="00F242DD">
        <w:rPr>
          <w:i/>
        </w:rPr>
        <w:t>%, в то время как при лечении Rd</w:t>
      </w:r>
      <w:r w:rsidR="00517AB2" w:rsidRPr="00F242DD">
        <w:rPr>
          <w:i/>
        </w:rPr>
        <w:t>-</w:t>
      </w:r>
      <w:r w:rsidR="004B3AF6" w:rsidRPr="00F242DD">
        <w:rPr>
          <w:i/>
        </w:rPr>
        <w:t>18 эти показатели равнялись 21 мес</w:t>
      </w:r>
      <w:r w:rsidR="00E778E9" w:rsidRPr="00F242DD">
        <w:rPr>
          <w:i/>
        </w:rPr>
        <w:t>.</w:t>
      </w:r>
      <w:r w:rsidR="00A94BEE" w:rsidRPr="00F242DD">
        <w:rPr>
          <w:i/>
        </w:rPr>
        <w:t xml:space="preserve"> </w:t>
      </w:r>
      <w:r w:rsidR="004B3AF6" w:rsidRPr="00F242DD">
        <w:rPr>
          <w:i/>
        </w:rPr>
        <w:t>и 1</w:t>
      </w:r>
      <w:r w:rsidR="00BF339C" w:rsidRPr="00F242DD">
        <w:rPr>
          <w:i/>
        </w:rPr>
        <w:t>4</w:t>
      </w:r>
      <w:r w:rsidR="00A94BEE" w:rsidRPr="00F242DD">
        <w:rPr>
          <w:i/>
        </w:rPr>
        <w:t> </w:t>
      </w:r>
      <w:r w:rsidR="00BF339C" w:rsidRPr="00F242DD">
        <w:rPr>
          <w:i/>
        </w:rPr>
        <w:t>% соответственно. При этом в группе</w:t>
      </w:r>
      <w:r w:rsidR="00A94BEE" w:rsidRPr="00F242DD">
        <w:rPr>
          <w:i/>
        </w:rPr>
        <w:t xml:space="preserve"> </w:t>
      </w:r>
      <w:r w:rsidR="00FB03BB" w:rsidRPr="00F242DD">
        <w:rPr>
          <w:i/>
        </w:rPr>
        <w:t>пациентов</w:t>
      </w:r>
      <w:r w:rsidR="004B3AF6" w:rsidRPr="00F242DD">
        <w:rPr>
          <w:i/>
        </w:rPr>
        <w:t xml:space="preserve">, </w:t>
      </w:r>
      <w:r w:rsidR="00BF339C" w:rsidRPr="00F242DD">
        <w:rPr>
          <w:i/>
        </w:rPr>
        <w:t xml:space="preserve">получавших длительно схему Rd и </w:t>
      </w:r>
      <w:r w:rsidR="004B3AF6" w:rsidRPr="00F242DD">
        <w:rPr>
          <w:i/>
        </w:rPr>
        <w:t xml:space="preserve">достигших </w:t>
      </w:r>
      <w:r w:rsidR="00856A79" w:rsidRPr="00F242DD">
        <w:rPr>
          <w:i/>
        </w:rPr>
        <w:t>ПР</w:t>
      </w:r>
      <w:r w:rsidR="004B3AF6" w:rsidRPr="00F242DD">
        <w:rPr>
          <w:i/>
        </w:rPr>
        <w:t xml:space="preserve"> или </w:t>
      </w:r>
      <w:r w:rsidR="00BF339C" w:rsidRPr="00F242DD">
        <w:rPr>
          <w:i/>
        </w:rPr>
        <w:t>очень хорошей частичной ремиссии</w:t>
      </w:r>
      <w:r w:rsidR="00A94BEE" w:rsidRPr="00F242DD">
        <w:rPr>
          <w:i/>
        </w:rPr>
        <w:t xml:space="preserve"> (</w:t>
      </w:r>
      <w:r w:rsidR="002A40D8" w:rsidRPr="00F242DD">
        <w:rPr>
          <w:i/>
        </w:rPr>
        <w:t>ОХ</w:t>
      </w:r>
      <w:r w:rsidR="00A94BEE" w:rsidRPr="00F242DD">
        <w:rPr>
          <w:i/>
        </w:rPr>
        <w:t>ЧР)</w:t>
      </w:r>
      <w:r w:rsidR="00BF339C" w:rsidRPr="00F242DD">
        <w:rPr>
          <w:i/>
        </w:rPr>
        <w:t xml:space="preserve">, 4-летняя ВБП </w:t>
      </w:r>
      <w:r w:rsidR="00A5418C" w:rsidRPr="00F242DD">
        <w:rPr>
          <w:i/>
        </w:rPr>
        <w:t>состави</w:t>
      </w:r>
      <w:r w:rsidR="00BF339C" w:rsidRPr="00F242DD">
        <w:rPr>
          <w:i/>
        </w:rPr>
        <w:t>ла 75</w:t>
      </w:r>
      <w:r w:rsidR="00A94BEE" w:rsidRPr="00F242DD">
        <w:rPr>
          <w:i/>
        </w:rPr>
        <w:t> </w:t>
      </w:r>
      <w:r w:rsidR="00BF339C" w:rsidRPr="00F242DD">
        <w:rPr>
          <w:i/>
        </w:rPr>
        <w:t xml:space="preserve">%. </w:t>
      </w:r>
    </w:p>
    <w:p w14:paraId="20993359" w14:textId="77777777" w:rsidR="004D7374" w:rsidRPr="00F242DD" w:rsidRDefault="00E54555" w:rsidP="00131E36">
      <w:pPr>
        <w:spacing w:before="0" w:after="0"/>
        <w:ind w:left="709"/>
        <w:contextualSpacing/>
        <w:rPr>
          <w:i/>
        </w:rPr>
      </w:pPr>
      <w:r w:rsidRPr="00F242DD">
        <w:rPr>
          <w:i/>
        </w:rPr>
        <w:t>В двух проспективных рандомизированных исследованиях изучал</w:t>
      </w:r>
      <w:r w:rsidR="002A40D8" w:rsidRPr="00F242DD">
        <w:rPr>
          <w:i/>
        </w:rPr>
        <w:t>и</w:t>
      </w:r>
      <w:r w:rsidRPr="00F242DD">
        <w:rPr>
          <w:i/>
        </w:rPr>
        <w:t xml:space="preserve"> эффективность </w:t>
      </w:r>
      <w:r w:rsidR="002A40D8" w:rsidRPr="00F242DD">
        <w:rPr>
          <w:i/>
        </w:rPr>
        <w:t>трех</w:t>
      </w:r>
      <w:r w:rsidRPr="00F242DD">
        <w:rPr>
          <w:i/>
        </w:rPr>
        <w:t>препаратной схемы мелфалан</w:t>
      </w:r>
      <w:r w:rsidR="007E7259" w:rsidRPr="00F242DD">
        <w:rPr>
          <w:i/>
        </w:rPr>
        <w:t>**</w:t>
      </w:r>
      <w:r w:rsidRPr="00F242DD">
        <w:rPr>
          <w:i/>
        </w:rPr>
        <w:t>/преднизолон</w:t>
      </w:r>
      <w:r w:rsidR="007E7259" w:rsidRPr="00F242DD">
        <w:rPr>
          <w:i/>
        </w:rPr>
        <w:t>**</w:t>
      </w:r>
      <w:r w:rsidRPr="00F242DD">
        <w:rPr>
          <w:i/>
        </w:rPr>
        <w:t>/леналидомид</w:t>
      </w:r>
      <w:r w:rsidR="007E7259" w:rsidRPr="00F242DD">
        <w:rPr>
          <w:i/>
        </w:rPr>
        <w:t>**</w:t>
      </w:r>
      <w:r w:rsidRPr="00F242DD">
        <w:rPr>
          <w:i/>
        </w:rPr>
        <w:t xml:space="preserve"> (MPR) по сравнению с</w:t>
      </w:r>
      <w:r w:rsidR="002A40D8" w:rsidRPr="00F242DD">
        <w:rPr>
          <w:i/>
        </w:rPr>
        <w:t>о схемой</w:t>
      </w:r>
      <w:r w:rsidRPr="00F242DD">
        <w:rPr>
          <w:i/>
        </w:rPr>
        <w:t xml:space="preserve"> мелфалан</w:t>
      </w:r>
      <w:r w:rsidR="007E7259" w:rsidRPr="00F242DD">
        <w:rPr>
          <w:i/>
        </w:rPr>
        <w:t>**</w:t>
      </w:r>
      <w:r w:rsidRPr="00F242DD">
        <w:rPr>
          <w:i/>
        </w:rPr>
        <w:t>/преднизолон</w:t>
      </w:r>
      <w:r w:rsidR="007E7259" w:rsidRPr="00F242DD">
        <w:rPr>
          <w:i/>
        </w:rPr>
        <w:t>**</w:t>
      </w:r>
      <w:r w:rsidRPr="00F242DD">
        <w:rPr>
          <w:i/>
        </w:rPr>
        <w:t xml:space="preserve"> (МР)</w:t>
      </w:r>
      <w:r w:rsidR="00463342" w:rsidRPr="00F242DD">
        <w:rPr>
          <w:i/>
        </w:rPr>
        <w:t xml:space="preserve"> </w:t>
      </w:r>
      <w:r w:rsidR="00A96FB6" w:rsidRPr="00F242DD">
        <w:rPr>
          <w:i/>
        </w:rPr>
        <w:fldChar w:fldCharType="begin" w:fldLock="1"/>
      </w:r>
      <w:r w:rsidR="00463342" w:rsidRPr="00F242DD">
        <w:rPr>
          <w:i/>
        </w:rPr>
        <w:instrText>ADDIN CSL_CITATION {"citationItems":[{"id":"ITEM-1","itemData":{"DOI":"10.1056/NEJMoa1112704","ISSN":"1533-4406","PMID":"22571200","abstract":"BACKGROUND Lenalidomide has tumoricidal and immunomodulatory activity against multiple myeloma. This double-blind, multicenter, randomized study compared melphalan-prednisone-lenalidomide induction followed by lenalidomide maintenance (MPR-R) with melphalan-prednisone-lenalidomide (MPR) or melphalan-prednisone (MP) followed by placebo in patients 65 years of age or older with newly diagnosed multiple myeloma. METHODS We randomly assigned patients who were ineligible for transplantation to receive MPR-R (nine 4-week cycles of MPR followed by lenalidomide maintenance therapy until a relapse or disease progression occurred [152 patients]) or to receive MPR (153 patients) or MP (154 patients) without maintenance therapy. The primary end point was progression-free survival. RESULTS The median follow-up period was 30 months. The median progression-free survival was significantly longer with MPR-R (31 months) than with MPR (14 months; hazard ratio, 0.49; P&lt;0.001) or MP (13 months; hazard ratio, 0.40; P&lt;0.001). Response rates were superior with MPR-R and MPR (77% and 68%, respectively, vs. 50% with MP; P&lt;0.001 and P=0.002, respectively, for the comparison with MP). The progression-free survival benefit associated with MPR-R was noted in patients 65 to 75 years of age but not in those older than 75 years of age (P=0.001 for treatment-by-age interaction). After induction therapy, a landmark analysis showed a 66% reduction in the rate of progression with MPR-R (hazard ratio for the comparison with MPR, 0.34; P&lt;0.001) that was age-independent. During induction therapy, the most frequent adverse events were hematologic; grade 4 neutropenia was reported in 35%, 32%, and 8% of the patients in the MPR-R, MPR, and MP groups, respectively. The 3-year rate of second primary tumors was 7% with MPR-R, 7% with MPR, and 3% with MP. CONCLUSIONS MPR-R significantly prolonged progression-free survival in patients with newly diagnosed multiple myeloma who were ineligible for transplantation, with the greatest benefit observed in patients 65 to 75 years of age. (Funded by Celgene; MM-015 ClinicalTrials.gov number, NCT00405756.).","author":[{"dropping-particle":"","family":"Palumbo","given":"Antonio","non-dropping-particle":"","parse-names":false,"suffix":""},{"dropping-particle":"","family":"Hajek","given":"Roman","non-dropping-particle":"","parse-names":false,"suffix":""},{"dropping-particle":"","family":"Delforge","given":"Michel","non-dropping-particle":"","parse-names":false,"suffix":""},{"dropping-particle":"","family":"Kropff","given":"Martin","non-dropping-particle":"","parse-names":false,"suffix":""},{"dropping-particle":"","family":"Petrucci","given":"Maria Teresa","non-dropping-particle":"","parse-names":false,"suffix":""},{"dropping-particle":"","family":"Catalano","given":"John","non-dropping-particle":"","parse-names":false,"suffix":""},{"dropping-particle":"","family":"Gisslinger","given":"Heinz","non-dropping-particle":"","parse-names":false,"suffix":""},{"dropping-particle":"","family":"Wiktor-Jędrzejczak","given":"Wiesław","non-dropping-particle":"","parse-names":false,"suffix":""},{"dropping-particle":"","family":"Zodelava","given":"Mamia","non-dropping-particle":"","parse-names":false,"suffix":""},{"dropping-particle":"","family":"Weisel","given":"Katja","non-dropping-particle":"","parse-names":false,"suffix":""},{"dropping-particle":"","family":"Cascavilla","given":"Nicola","non-dropping-particle":"","parse-names":false,"suffix":""},{"dropping-particle":"","family":"Iosava","given":"Genadi","non-dropping-particle":"","parse-names":false,"suffix":""},{"dropping-particle":"","family":"Cavo","given":"Michele","non-dropping-particle":"","parse-names":false,"suffix":""},{"dropping-particle":"","family":"Kloczko","given":"Janusz","non-dropping-particle":"","parse-names":false,"suffix":""},{"dropping-particle":"","family":"Bladé","given":"Joan","non-dropping-particle":"","parse-names":false,"suffix":""},{"dropping-particle":"","family":"Beksac","given":"Meral","non-dropping-particle":"","parse-names":false,"suffix":""},{"dropping-particle":"","family":"Spicka","given":"Ivan","non-dropping-particle":"","parse-names":false,"suffix":""},{"dropping-particle":"","family":"Plesner","given":"Torben","non-dropping-particle":"","parse-names":false,"suffix":""},{"dropping-particle":"","family":"Radke","given":"Joergen","non-dropping-particle":"","parse-names":false,"suffix":""},{"dropping-particle":"","family":"Langer","given":"Christian","non-dropping-particle":"","parse-names":false,"suffix":""},{"dropping-particle":"","family":"Yehuda","given":"Dina","non-dropping-particle":"Ben","parse-names":false,"suffix":""},{"dropping-particle":"","family":"Corso","given":"Alessandro","non-dropping-particle":"","parse-names":false,"suffix":""},{"dropping-particle":"","family":"Herbein","given":"Lindsay","non-dropping-particle":"","parse-names":false,"suffix":""},{"dropping-particle":"","family":"Yu","given":"Zhinuan","non-dropping-particle":"","parse-names":false,"suffix":""},{"dropping-particle":"","family":"Mei","given":"Jay","non-dropping-particle":"","parse-names":false,"suffix":""},{"dropping-particle":"","family":"Jacques","given":"Christian","non-dropping-particle":"","parse-names":false,"suffix":""},{"dropping-particle":"","family":"Dimopoulos","given":"Meletios A","non-dropping-particle":"","parse-names":false,"suffix":""},{"dropping-particle":"","family":"MM-015 Investigators","given":"","non-dropping-particle":"","parse-names":false,"suffix":""}],"container-title":"The New England journal of medicine","id":"ITEM-1","issue":"19","issued":{"date-parts":[["2012","5","10"]]},"page":"1759-69","title":"Continuous lenalidomide treatment for newly diagnosed multiple myeloma.","type":"article-journal","volume":"366"},"uris":["http://www.mendeley.com/documents/?uuid=42289568-cfbb-34c6-a862-05b95a00609e"]}],"mendeley":{"formattedCitation":"[34]","plainTextFormattedCitation":"[34]","previouslyFormattedCitation":"[34]"},"properties":{"noteIndex":0},"schema":"https://github.com/citation-style-language/schema/raw/master/csl-citation.json"}</w:instrText>
      </w:r>
      <w:r w:rsidR="00A96FB6" w:rsidRPr="00F242DD">
        <w:rPr>
          <w:i/>
        </w:rPr>
        <w:fldChar w:fldCharType="separate"/>
      </w:r>
      <w:r w:rsidR="00463342" w:rsidRPr="00F242DD">
        <w:rPr>
          <w:noProof/>
        </w:rPr>
        <w:t>[34]</w:t>
      </w:r>
      <w:r w:rsidR="00A96FB6" w:rsidRPr="00F242DD">
        <w:rPr>
          <w:i/>
        </w:rPr>
        <w:fldChar w:fldCharType="end"/>
      </w:r>
      <w:r w:rsidRPr="00F242DD">
        <w:rPr>
          <w:i/>
        </w:rPr>
        <w:t>. Преимущество ВБП было отмечено в случае применения MPR с последующим длительным назначением леналидомида</w:t>
      </w:r>
      <w:r w:rsidR="007E7259" w:rsidRPr="00F242DD">
        <w:rPr>
          <w:i/>
        </w:rPr>
        <w:t>**</w:t>
      </w:r>
      <w:r w:rsidRPr="00F242DD">
        <w:rPr>
          <w:i/>
        </w:rPr>
        <w:t xml:space="preserve"> (схема MPR-R). Однако различий в показателях ОВ достигнуто не было. </w:t>
      </w:r>
    </w:p>
    <w:p w14:paraId="3053A963" w14:textId="77777777" w:rsidR="001978D9" w:rsidRPr="00F242DD" w:rsidRDefault="001978D9" w:rsidP="00131E36">
      <w:pPr>
        <w:pStyle w:val="a6"/>
        <w:numPr>
          <w:ilvl w:val="0"/>
          <w:numId w:val="5"/>
        </w:numPr>
        <w:spacing w:before="0" w:after="0"/>
        <w:ind w:left="709" w:hanging="709"/>
      </w:pPr>
      <w:r w:rsidRPr="00F242DD">
        <w:t>Пациентам с впервые диагностированной ММ – не кандидатам на ВДХТ с ауто</w:t>
      </w:r>
      <w:r w:rsidR="00267DE2" w:rsidRPr="00F242DD">
        <w:t>-</w:t>
      </w:r>
      <w:r w:rsidRPr="00F242DD">
        <w:t xml:space="preserve">ТГСК </w:t>
      </w:r>
      <w:r w:rsidR="00F352FE" w:rsidRPr="00F242DD">
        <w:t xml:space="preserve">− </w:t>
      </w:r>
      <w:r w:rsidRPr="00F242DD">
        <w:t xml:space="preserve">в качестве альтернативной опции </w:t>
      </w:r>
      <w:r w:rsidR="003703A8" w:rsidRPr="00F242DD">
        <w:rPr>
          <w:b/>
        </w:rPr>
        <w:t>рекомендуется</w:t>
      </w:r>
      <w:r w:rsidRPr="00F242DD">
        <w:t xml:space="preserve"> добавление даратумумаба** к программе </w:t>
      </w:r>
      <w:r w:rsidRPr="00F242DD">
        <w:rPr>
          <w:lang w:val="en-US"/>
        </w:rPr>
        <w:t>VMP</w:t>
      </w:r>
      <w:r w:rsidR="00DA70E3" w:rsidRPr="00F242DD">
        <w:t xml:space="preserve"> (описание режимов – см. приложение </w:t>
      </w:r>
      <w:r w:rsidR="00C812D6" w:rsidRPr="00F242DD">
        <w:t>А3.1</w:t>
      </w:r>
      <w:r w:rsidR="00F352FE" w:rsidRPr="00F242DD">
        <w:t>.</w:t>
      </w:r>
      <w:r w:rsidR="00DA70E3" w:rsidRPr="00F242DD">
        <w:t>)</w:t>
      </w:r>
      <w:r w:rsidRPr="00F242DD">
        <w:t xml:space="preserve"> </w:t>
      </w:r>
      <w:r w:rsidR="00A96FB6" w:rsidRPr="00F242DD">
        <w:fldChar w:fldCharType="begin" w:fldLock="1"/>
      </w:r>
      <w:r w:rsidR="00D95A58" w:rsidRPr="00F242DD">
        <w:instrText>ADDIN CSL_CITATION {"citationItems":[{"id":"ITEM-1","itemData":{"DOI":"10.1056/NEJMoa1714678","ISSN":"15334406","abstract":"BACKGROUND   The combination of bortezomib, melphalan, and prednisone is a standard treatment for patients with newly diagnosed multiple myeloma who are ineligible for autologous stem-cell transplantation. Daratumumab has shown efficacy in combination with standard-of-care regimens in patients with relapsed or refractory multiple myeloma.  METHODS  In this phase 3 trial, we randomly assigned 706 patients with newly diagnosed multiple myeloma who were ineligible for stem-cell transplantation to receive nine cycles of bortezomib, melphalan, and prednisone either alone (control group) or with daratumumab (daratumumab group) until disease progression. The primary end point was progression-free survival.  RESULTS  At a median follow-up of 16.5 months in a prespecified interim analysis, the 18-month progression-free survival rate was 71.6% (95% confidence interval [CI], 65.5 to 76.8) in the daratumumab group and 50.2% (95% CI, 43.2 to 56.7) in the control group (hazard ratio for disease progression or death, 0.50; 95% CI, 0.38 to 0.65; P&lt;0.001). The overall response rate was 90.9% in the daratumumab group, as compared with 73.9% in the control group (P&lt;0.001), and the rate of complete response or better (including stringent complete response) was 42.6%, versus 24.4% (P&lt;0.001). In the daratumumab group, 22.3% of the patients were negative for minimal residual disease (at a threshold of 1 tumor cell per 105 white cells), as compared with 6.2% of those in the control group (P&lt;0.001). The most common adverse events of grade 3 or 4 were hematologic: neutropenia (in 39.9% of the patients in the daratumumab group and in 38.7% of those in the control group), thrombocytopenia (in 34.4% and 37.6%, respectively), and anemia (in 15.9% and 19.8%, respectively). The rate of grade 3 or 4 infections was 23.1% in the daratumumab group and 14.7% in the control group; the rate of treatment discontinuation due to infections was 0.9% and 1.4%, respectively. Daratumumab-associated infusion-related reactions occurred in 27.7% of the patients.  CONCLUSIONS  Among patients with newly diagnosed multiple myeloma who were ineligible for stem-cell transplantation, daratumumab combined with bortezomib, melphalan, and prednisone resulted in a lower risk of disease progression or death than the same regimen without daratumumab. The daratumumab-containing regimen was associated with more grade 3 or 4 infections.","author":[{"dropping-particle":"V.","family":"Mateos","given":"M.","non-dropping-particle":"","parse-names":false,"suffix":""},{"dropping-particle":"","family":"Dimopoulos","given":"M. A.","non-dropping-particle":"","parse-names":false,"suffix":""},{"dropping-particle":"","family":"Cavo","given":"M.","non-dropping-particle":"","parse-names":false,"suffix":""},{"dropping-particle":"","family":"Suzuki","given":"K.","non-dropping-particle":"","parse-names":false,"suffix":""},{"dropping-particle":"","family":"Jakubowiak","given":"A.","non-dropping-particle":"","parse-names":false,"suffix":""},{"dropping-particle":"","family":"Knop","given":"S.","non-dropping-particle":"","parse-names":false,"suffix":""},{"dropping-particle":"","family":"Doyen","given":"C.","non-dropping-particle":"","parse-names":false,"suffix":""},{"dropping-particle":"","family":"Lucio","given":"P.","non-dropping-particle":"","parse-names":false,"suffix":""},{"dropping-particle":"","family":"Nagy","given":"Z.","non-dropping-particle":"","parse-names":false,"suffix":""},{"dropping-particle":"","family":"Kaplan","given":"P.","non-dropping-particle":"","parse-names":false,"suffix":""},{"dropping-particle":"","family":"Pour","given":"L.","non-dropping-particle":"","parse-names":false,"suffix":""},{"dropping-particle":"","family":"Cook","given":"M.","non-dropping-particle":"","parse-names":false,"suffix":""},{"dropping-particle":"","family":"Grosicki","given":"S.","non-dropping-particle":"","parse-names":false,"suffix":""},{"dropping-particle":"","family":"Crepaldi","given":"A.","non-dropping-particle":"","parse-names":false,"suffix":""},{"dropping-particle":"","family":"Liberati","given":"A. M.","non-dropping-particle":"","parse-names":false,"suffix":""},{"dropping-particle":"","family":"Campbell","given":"P.","non-dropping-particle":"","parse-names":false,"suffix":""},{"dropping-particle":"","family":"Shelekhova","given":"T.","non-dropping-particle":"","parse-names":false,"suffix":""},{"dropping-particle":"","family":"Yoon","given":"S. S.","non-dropping-particle":"","parse-names":false,"suffix":""},{"dropping-particle":"","family":"Iosava","given":"G.","non-dropping-particle":"","parse-names":false,"suffix":""},{"dropping-particle":"","family":"Fujisaki","given":"T.","non-dropping-particle":"","parse-names":false,"suffix":""},{"dropping-particle":"","family":"Garg","given":"M.","non-dropping-particle":"","parse-names":false,"suffix":""},{"dropping-particle":"","family":"Chiu","given":"C.","non-dropping-particle":"","parse-names":false,"suffix":""},{"dropping-particle":"","family":"Wang","given":"J.","non-dropping-particle":"","parse-names":false,"suffix":""},{"dropping-particle":"","family":"Carson","given":"R.","non-dropping-particle":"","parse-names":false,"suffix":""},{"dropping-particle":"","family":"Crist","given":"W.","non-dropping-particle":"","parse-names":false,"suffix":""},{"dropping-particle":"","family":"Deraedt","given":"W.","non-dropping-particle":"","parse-names":false,"suffix":""},{"dropping-particle":"","family":"Nguyen","given":"H.","non-dropping-particle":"","parse-names":false,"suffix":""},{"dropping-particle":"","family":"Qi","given":"M.","non-dropping-particle":"","parse-names":false,"suffix":""},{"dropping-particle":"","family":"San-Miguel","given":"J.","non-dropping-particle":"","parse-names":false,"suffix":""}],"container-title":"New England Journal of Medicine","id":"ITEM-1","issue":"6","issued":{"date-parts":[["2018","2","8"]]},"page":"518-528","publisher":"Massachussetts Medical Society","title":"Daratumumab plus bortezomib, melphalan, and prednisone for untreated myeloma","type":"article-journal","volume":"378"},"uris":["http://www.mendeley.com/documents/?uuid=c8a58915-6267-3659-85da-643538f98aac"]}],"mendeley":{"formattedCitation":"[35]","plainTextFormattedCitation":"[35]","previouslyFormattedCitation":"[35]"},"properties":{"noteIndex":0},"schema":"https://github.com/citation-style-language/schema/raw/master/csl-citation.json"}</w:instrText>
      </w:r>
      <w:r w:rsidR="00A96FB6" w:rsidRPr="00F242DD">
        <w:fldChar w:fldCharType="separate"/>
      </w:r>
      <w:r w:rsidR="00267DE2" w:rsidRPr="00F242DD">
        <w:rPr>
          <w:noProof/>
        </w:rPr>
        <w:t>[35]</w:t>
      </w:r>
      <w:r w:rsidR="00A96FB6" w:rsidRPr="00F242DD">
        <w:fldChar w:fldCharType="end"/>
      </w:r>
      <w:r w:rsidR="008B32D3" w:rsidRPr="00F242DD">
        <w:t>.</w:t>
      </w:r>
      <w:r w:rsidR="00BE70BE" w:rsidRPr="00F242DD">
        <w:rPr>
          <w:color w:val="000000"/>
          <w:sz w:val="23"/>
          <w:szCs w:val="23"/>
        </w:rPr>
        <w:t xml:space="preserve"> </w:t>
      </w:r>
    </w:p>
    <w:p w14:paraId="1495FC75" w14:textId="77777777" w:rsidR="001978D9" w:rsidRPr="00F242DD" w:rsidRDefault="001978D9" w:rsidP="00131E36">
      <w:pPr>
        <w:spacing w:before="0" w:after="0"/>
        <w:ind w:left="709"/>
        <w:contextualSpacing/>
        <w:rPr>
          <w:b/>
        </w:rPr>
      </w:pPr>
      <w:r w:rsidRPr="00F242DD">
        <w:rPr>
          <w:b/>
        </w:rPr>
        <w:t xml:space="preserve">Уровень убедительности рекомендаций </w:t>
      </w:r>
      <w:r w:rsidR="00F352FE" w:rsidRPr="00F242DD">
        <w:rPr>
          <w:b/>
        </w:rPr>
        <w:t xml:space="preserve">− </w:t>
      </w:r>
      <w:r w:rsidR="000558B2" w:rsidRPr="00F242DD">
        <w:rPr>
          <w:b/>
        </w:rPr>
        <w:t xml:space="preserve">A </w:t>
      </w:r>
      <w:r w:rsidRPr="00F242DD">
        <w:rPr>
          <w:b/>
        </w:rPr>
        <w:t>(уровень достоверности доказательств</w:t>
      </w:r>
      <w:r w:rsidR="00946AD8" w:rsidRPr="00F242DD">
        <w:rPr>
          <w:b/>
        </w:rPr>
        <w:t xml:space="preserve"> </w:t>
      </w:r>
      <w:r w:rsidR="00F352FE" w:rsidRPr="00F242DD">
        <w:rPr>
          <w:b/>
        </w:rPr>
        <w:t xml:space="preserve">− </w:t>
      </w:r>
      <w:r w:rsidR="000558B2" w:rsidRPr="00F242DD">
        <w:rPr>
          <w:b/>
        </w:rPr>
        <w:t>2</w:t>
      </w:r>
      <w:r w:rsidRPr="00F242DD">
        <w:rPr>
          <w:b/>
        </w:rPr>
        <w:t>)</w:t>
      </w:r>
    </w:p>
    <w:p w14:paraId="5902BE8A" w14:textId="77777777" w:rsidR="00CF7A54" w:rsidRPr="00F242DD" w:rsidRDefault="001978D9" w:rsidP="00E36DFA">
      <w:pPr>
        <w:ind w:left="709"/>
        <w:rPr>
          <w:i/>
        </w:rPr>
      </w:pPr>
      <w:r w:rsidRPr="00F242DD">
        <w:rPr>
          <w:b/>
        </w:rPr>
        <w:t xml:space="preserve">Комментарий: </w:t>
      </w:r>
      <w:r w:rsidR="00F352FE" w:rsidRPr="00F242DD">
        <w:rPr>
          <w:i/>
        </w:rPr>
        <w:t>в</w:t>
      </w:r>
      <w:r w:rsidR="00CF7A54" w:rsidRPr="00F242DD">
        <w:rPr>
          <w:i/>
        </w:rPr>
        <w:t xml:space="preserve"> крупном рандомизированном исследовании III фазы изучал</w:t>
      </w:r>
      <w:r w:rsidR="00F352FE" w:rsidRPr="00F242DD">
        <w:rPr>
          <w:i/>
        </w:rPr>
        <w:t>и</w:t>
      </w:r>
      <w:r w:rsidR="00CF7A54" w:rsidRPr="00F242DD">
        <w:rPr>
          <w:i/>
        </w:rPr>
        <w:t xml:space="preserve"> эффективность добавления анти-CD38 моноклонального антитела даратумумаба</w:t>
      </w:r>
      <w:r w:rsidR="003703A8" w:rsidRPr="00F242DD">
        <w:rPr>
          <w:i/>
        </w:rPr>
        <w:t>**</w:t>
      </w:r>
      <w:r w:rsidR="00CF7A54" w:rsidRPr="00F242DD">
        <w:rPr>
          <w:i/>
        </w:rPr>
        <w:t xml:space="preserve"> к комбинации бортезомиба</w:t>
      </w:r>
      <w:r w:rsidR="003703A8" w:rsidRPr="00F242DD">
        <w:rPr>
          <w:i/>
        </w:rPr>
        <w:t>**</w:t>
      </w:r>
      <w:r w:rsidR="00CF7A54" w:rsidRPr="00F242DD">
        <w:rPr>
          <w:i/>
        </w:rPr>
        <w:t>, мелфалана</w:t>
      </w:r>
      <w:r w:rsidR="003703A8" w:rsidRPr="00F242DD">
        <w:rPr>
          <w:i/>
        </w:rPr>
        <w:t>**</w:t>
      </w:r>
      <w:r w:rsidR="00CF7A54" w:rsidRPr="00F242DD">
        <w:rPr>
          <w:i/>
        </w:rPr>
        <w:t xml:space="preserve"> и преднизолона</w:t>
      </w:r>
      <w:r w:rsidR="003703A8" w:rsidRPr="00F242DD">
        <w:rPr>
          <w:i/>
        </w:rPr>
        <w:t>**</w:t>
      </w:r>
      <w:r w:rsidR="00CF7A54" w:rsidRPr="00F242DD">
        <w:rPr>
          <w:i/>
        </w:rPr>
        <w:t xml:space="preserve"> (VMP) у пациентов с впервые диагностированной ММ</w:t>
      </w:r>
      <w:r w:rsidR="00CF3917" w:rsidRPr="00F242DD">
        <w:rPr>
          <w:i/>
        </w:rPr>
        <w:t xml:space="preserve"> −</w:t>
      </w:r>
      <w:r w:rsidR="00CF7A54" w:rsidRPr="00F242DD">
        <w:rPr>
          <w:i/>
        </w:rPr>
        <w:t xml:space="preserve"> не кандидатов на </w:t>
      </w:r>
      <w:r w:rsidR="00CF7A54" w:rsidRPr="00F242DD">
        <w:rPr>
          <w:i/>
          <w:iCs/>
        </w:rPr>
        <w:t>ауто</w:t>
      </w:r>
      <w:r w:rsidR="00267DE2" w:rsidRPr="00F242DD">
        <w:rPr>
          <w:i/>
          <w:iCs/>
        </w:rPr>
        <w:t>-</w:t>
      </w:r>
      <w:r w:rsidR="00CF7A54" w:rsidRPr="00F242DD">
        <w:rPr>
          <w:i/>
          <w:iCs/>
        </w:rPr>
        <w:t>ТГСК</w:t>
      </w:r>
      <w:r w:rsidR="00CF7A54" w:rsidRPr="00F242DD">
        <w:rPr>
          <w:i/>
        </w:rPr>
        <w:t>. При медиане наблюдения 27,8 мес</w:t>
      </w:r>
      <w:r w:rsidR="00E778E9" w:rsidRPr="00F242DD">
        <w:rPr>
          <w:i/>
          <w:iCs/>
        </w:rPr>
        <w:t>.</w:t>
      </w:r>
      <w:r w:rsidR="00CF7A54" w:rsidRPr="00F242DD">
        <w:rPr>
          <w:i/>
        </w:rPr>
        <w:t xml:space="preserve"> 30-месячная ВБП в группе DVMP </w:t>
      </w:r>
      <w:r w:rsidR="00CF7A54" w:rsidRPr="00F242DD">
        <w:rPr>
          <w:i/>
        </w:rPr>
        <w:lastRenderedPageBreak/>
        <w:t>составила 60</w:t>
      </w:r>
      <w:r w:rsidR="00BE406F" w:rsidRPr="00F242DD">
        <w:rPr>
          <w:i/>
        </w:rPr>
        <w:t> </w:t>
      </w:r>
      <w:r w:rsidR="00CF7A54" w:rsidRPr="00F242DD">
        <w:rPr>
          <w:i/>
        </w:rPr>
        <w:t>%, а в группе VMP медиана ВБП была достигнута и составила 19,1</w:t>
      </w:r>
      <w:r w:rsidR="00BE406F" w:rsidRPr="00F242DD">
        <w:rPr>
          <w:i/>
        </w:rPr>
        <w:t> </w:t>
      </w:r>
      <w:r w:rsidR="00CF7A54" w:rsidRPr="00F242DD">
        <w:rPr>
          <w:i/>
        </w:rPr>
        <w:t>мес</w:t>
      </w:r>
      <w:r w:rsidR="00E778E9" w:rsidRPr="00F242DD">
        <w:rPr>
          <w:i/>
          <w:iCs/>
        </w:rPr>
        <w:t>.</w:t>
      </w:r>
      <w:r w:rsidR="00CF7A54" w:rsidRPr="00F242DD">
        <w:rPr>
          <w:i/>
        </w:rPr>
        <w:t xml:space="preserve"> (различия были статистически достоверны, </w:t>
      </w:r>
      <w:r w:rsidR="00CF7A54" w:rsidRPr="00F242DD">
        <w:rPr>
          <w:i/>
          <w:iCs/>
        </w:rPr>
        <w:t>p</w:t>
      </w:r>
      <w:r w:rsidR="00BE406F" w:rsidRPr="00F242DD">
        <w:rPr>
          <w:i/>
        </w:rPr>
        <w:t xml:space="preserve"> </w:t>
      </w:r>
      <w:r w:rsidR="00CF7A54" w:rsidRPr="00F242DD">
        <w:rPr>
          <w:i/>
        </w:rPr>
        <w:t>&lt;0,0001). Общий ответ в группе DVMP составил 91</w:t>
      </w:r>
      <w:r w:rsidR="00BE406F" w:rsidRPr="00F242DD">
        <w:rPr>
          <w:i/>
        </w:rPr>
        <w:t> </w:t>
      </w:r>
      <w:r w:rsidR="00CF7A54" w:rsidRPr="00F242DD">
        <w:rPr>
          <w:i/>
        </w:rPr>
        <w:t xml:space="preserve">%, а в контрольной группе </w:t>
      </w:r>
      <w:r w:rsidR="00BE406F" w:rsidRPr="00F242DD">
        <w:rPr>
          <w:i/>
        </w:rPr>
        <w:t>–</w:t>
      </w:r>
      <w:r w:rsidR="00CF7A54" w:rsidRPr="00F242DD">
        <w:rPr>
          <w:i/>
        </w:rPr>
        <w:t xml:space="preserve"> 74</w:t>
      </w:r>
      <w:r w:rsidR="00A619B9" w:rsidRPr="00F242DD">
        <w:rPr>
          <w:i/>
        </w:rPr>
        <w:t> </w:t>
      </w:r>
      <w:r w:rsidR="00CF7A54" w:rsidRPr="00F242DD">
        <w:rPr>
          <w:i/>
        </w:rPr>
        <w:t>%, при этом полный и более глубокий ответ на терапию достигался значительно чаще в группе даратумумаба</w:t>
      </w:r>
      <w:r w:rsidR="003703A8" w:rsidRPr="00F242DD">
        <w:rPr>
          <w:i/>
        </w:rPr>
        <w:t>**</w:t>
      </w:r>
      <w:r w:rsidR="00CF7A54" w:rsidRPr="00F242DD">
        <w:rPr>
          <w:i/>
        </w:rPr>
        <w:t xml:space="preserve"> (45 и 25</w:t>
      </w:r>
      <w:r w:rsidR="00BE406F" w:rsidRPr="00F242DD">
        <w:rPr>
          <w:i/>
        </w:rPr>
        <w:t> </w:t>
      </w:r>
      <w:r w:rsidR="00CF7A54" w:rsidRPr="00F242DD">
        <w:rPr>
          <w:i/>
        </w:rPr>
        <w:t>% соответственно), а также частота достижения МОБ-негативности при пороге чувствительности 10</w:t>
      </w:r>
      <w:r w:rsidR="00BE406F" w:rsidRPr="00F242DD">
        <w:rPr>
          <w:i/>
        </w:rPr>
        <w:t>−</w:t>
      </w:r>
      <w:r w:rsidR="00CF7A54" w:rsidRPr="00F242DD">
        <w:rPr>
          <w:i/>
        </w:rPr>
        <w:t>5 была более чем в 3 раза выше в группе DVMP (27 и 7</w:t>
      </w:r>
      <w:r w:rsidR="00A619B9" w:rsidRPr="00F242DD">
        <w:rPr>
          <w:i/>
        </w:rPr>
        <w:t> </w:t>
      </w:r>
      <w:r w:rsidR="00CF7A54" w:rsidRPr="00F242DD">
        <w:rPr>
          <w:i/>
        </w:rPr>
        <w:t>% соответс</w:t>
      </w:r>
      <w:r w:rsidR="003703A8" w:rsidRPr="00F242DD">
        <w:rPr>
          <w:i/>
        </w:rPr>
        <w:t>т</w:t>
      </w:r>
      <w:r w:rsidR="00CF7A54" w:rsidRPr="00F242DD">
        <w:rPr>
          <w:i/>
        </w:rPr>
        <w:t>венно).</w:t>
      </w:r>
    </w:p>
    <w:p w14:paraId="59548A26" w14:textId="77777777" w:rsidR="001978D9" w:rsidRPr="00F242DD" w:rsidRDefault="00CF7A54" w:rsidP="00131E36">
      <w:pPr>
        <w:spacing w:before="0" w:after="0"/>
        <w:ind w:left="709"/>
        <w:contextualSpacing/>
      </w:pPr>
      <w:r w:rsidRPr="00F242DD">
        <w:rPr>
          <w:i/>
        </w:rPr>
        <w:t>Добавление даратумумаба</w:t>
      </w:r>
      <w:r w:rsidR="003703A8" w:rsidRPr="00F242DD">
        <w:rPr>
          <w:i/>
        </w:rPr>
        <w:t>**</w:t>
      </w:r>
      <w:r w:rsidRPr="00F242DD">
        <w:rPr>
          <w:i/>
        </w:rPr>
        <w:t xml:space="preserve"> к режиму VMP не приводило к повышению токсичности: частота отмены терапии была в 2 раза ниже в группе даратумумаба</w:t>
      </w:r>
      <w:r w:rsidR="00DC74A8" w:rsidRPr="00F242DD">
        <w:rPr>
          <w:i/>
        </w:rPr>
        <w:t>**</w:t>
      </w:r>
      <w:r w:rsidRPr="00F242DD">
        <w:rPr>
          <w:i/>
        </w:rPr>
        <w:t xml:space="preserve"> (5</w:t>
      </w:r>
      <w:r w:rsidR="00A619B9" w:rsidRPr="00F242DD">
        <w:rPr>
          <w:i/>
        </w:rPr>
        <w:t> </w:t>
      </w:r>
      <w:r w:rsidRPr="00F242DD">
        <w:rPr>
          <w:i/>
        </w:rPr>
        <w:t>% при применении DVMP и 10</w:t>
      </w:r>
      <w:r w:rsidR="00A619B9" w:rsidRPr="00F242DD">
        <w:rPr>
          <w:i/>
        </w:rPr>
        <w:t> </w:t>
      </w:r>
      <w:r w:rsidRPr="00F242DD">
        <w:rPr>
          <w:i/>
        </w:rPr>
        <w:t>% при применении VMP). Инфузионные реакции, обусловленные введением даратумумаба</w:t>
      </w:r>
      <w:r w:rsidR="003703A8" w:rsidRPr="00F242DD">
        <w:rPr>
          <w:i/>
        </w:rPr>
        <w:t>**</w:t>
      </w:r>
      <w:r w:rsidRPr="00F242DD">
        <w:rPr>
          <w:i/>
        </w:rPr>
        <w:t>, отмечались у 27,7</w:t>
      </w:r>
      <w:r w:rsidR="00A619B9" w:rsidRPr="00F242DD">
        <w:rPr>
          <w:i/>
        </w:rPr>
        <w:t> </w:t>
      </w:r>
      <w:r w:rsidRPr="00F242DD">
        <w:rPr>
          <w:i/>
        </w:rPr>
        <w:t xml:space="preserve">% пациентов и развивались в основном во время </w:t>
      </w:r>
      <w:r w:rsidR="00A619B9" w:rsidRPr="00F242DD">
        <w:rPr>
          <w:i/>
        </w:rPr>
        <w:t>1-</w:t>
      </w:r>
      <w:r w:rsidRPr="00F242DD">
        <w:rPr>
          <w:i/>
        </w:rPr>
        <w:t>го введения препарата.</w:t>
      </w:r>
    </w:p>
    <w:p w14:paraId="1B44C1BA" w14:textId="77777777" w:rsidR="00354AD4" w:rsidRPr="00F242DD" w:rsidRDefault="00354AD4" w:rsidP="00131E36">
      <w:pPr>
        <w:pStyle w:val="a6"/>
        <w:numPr>
          <w:ilvl w:val="0"/>
          <w:numId w:val="5"/>
        </w:numPr>
        <w:spacing w:before="0" w:after="0"/>
        <w:ind w:left="709" w:hanging="709"/>
      </w:pPr>
      <w:r w:rsidRPr="00F242DD">
        <w:t>Пациентам старше 65 лет с впервые диагностированной ММ – не кандидатам на ВДХТ с ауто</w:t>
      </w:r>
      <w:r w:rsidR="00267DE2" w:rsidRPr="00F242DD">
        <w:t>-</w:t>
      </w:r>
      <w:r w:rsidRPr="00F242DD">
        <w:t>ТГСК, которым не могут быть назначены бортезомиб</w:t>
      </w:r>
      <w:r w:rsidR="007E7259" w:rsidRPr="00F242DD">
        <w:t>**</w:t>
      </w:r>
      <w:r w:rsidR="00A5418C" w:rsidRPr="00F242DD">
        <w:t xml:space="preserve"> и леналидо</w:t>
      </w:r>
      <w:r w:rsidRPr="00F242DD">
        <w:t>мид</w:t>
      </w:r>
      <w:r w:rsidR="007E7259" w:rsidRPr="00F242DD">
        <w:t>**</w:t>
      </w:r>
      <w:r w:rsidRPr="00F242DD">
        <w:t>,</w:t>
      </w:r>
      <w:r w:rsidR="00B2686F" w:rsidRPr="00F242DD">
        <w:t xml:space="preserve"> </w:t>
      </w:r>
      <w:r w:rsidR="00FF0C02" w:rsidRPr="00F242DD">
        <w:rPr>
          <w:b/>
        </w:rPr>
        <w:t>рекомендуется</w:t>
      </w:r>
      <w:r w:rsidRPr="00F242DD">
        <w:t xml:space="preserve"> проведение терапии комбинацией бендамустина</w:t>
      </w:r>
      <w:r w:rsidR="007E7259" w:rsidRPr="00F242DD">
        <w:t>**</w:t>
      </w:r>
      <w:r w:rsidRPr="00F242DD">
        <w:t xml:space="preserve"> и преднизолона</w:t>
      </w:r>
      <w:r w:rsidR="007E7259" w:rsidRPr="00F242DD">
        <w:t>**</w:t>
      </w:r>
      <w:r w:rsidRPr="00F242DD">
        <w:t xml:space="preserve"> (</w:t>
      </w:r>
      <w:r w:rsidRPr="00F242DD">
        <w:rPr>
          <w:lang w:val="en-US"/>
        </w:rPr>
        <w:t>BP</w:t>
      </w:r>
      <w:r w:rsidRPr="00F242DD">
        <w:t>)</w:t>
      </w:r>
      <w:r w:rsidR="00DA70E3" w:rsidRPr="00F242DD">
        <w:t xml:space="preserve"> (описание режимов – см. приложение </w:t>
      </w:r>
      <w:r w:rsidR="00C812D6" w:rsidRPr="00F242DD">
        <w:t>А3.1</w:t>
      </w:r>
      <w:r w:rsidR="0081738F" w:rsidRPr="00F242DD">
        <w:t>.</w:t>
      </w:r>
      <w:r w:rsidR="00DA70E3" w:rsidRPr="00F242DD">
        <w:t>)</w:t>
      </w:r>
      <w:r w:rsidRPr="00F242DD">
        <w:t xml:space="preserve"> [</w:t>
      </w:r>
      <w:r w:rsidR="00424F28" w:rsidRPr="00F242DD">
        <w:t>1</w:t>
      </w:r>
      <w:r w:rsidR="00941B7E" w:rsidRPr="00F242DD">
        <w:t>5</w:t>
      </w:r>
      <w:r w:rsidRPr="00F242DD">
        <w:t>].</w:t>
      </w:r>
    </w:p>
    <w:p w14:paraId="37C8C1F4" w14:textId="77777777" w:rsidR="00354AD4" w:rsidRPr="00F242DD" w:rsidRDefault="00354AD4" w:rsidP="00131E36">
      <w:pPr>
        <w:spacing w:before="0" w:after="0"/>
        <w:ind w:left="709"/>
        <w:contextualSpacing/>
        <w:rPr>
          <w:b/>
        </w:rPr>
      </w:pPr>
      <w:r w:rsidRPr="00F242DD">
        <w:rPr>
          <w:b/>
        </w:rPr>
        <w:t xml:space="preserve">Уровень убедительности рекомендаций </w:t>
      </w:r>
      <w:r w:rsidR="0081738F" w:rsidRPr="00F242DD">
        <w:rPr>
          <w:b/>
        </w:rPr>
        <w:t xml:space="preserve">– </w:t>
      </w:r>
      <w:r w:rsidR="006A50CD" w:rsidRPr="00F242DD">
        <w:rPr>
          <w:b/>
        </w:rPr>
        <w:t xml:space="preserve">С </w:t>
      </w:r>
      <w:r w:rsidRPr="00F242DD">
        <w:rPr>
          <w:b/>
        </w:rPr>
        <w:t>(уровень достоверности доказательств</w:t>
      </w:r>
      <w:r w:rsidR="0081738F" w:rsidRPr="00F242DD">
        <w:rPr>
          <w:b/>
        </w:rPr>
        <w:t xml:space="preserve"> − </w:t>
      </w:r>
      <w:r w:rsidR="006A50CD" w:rsidRPr="00F242DD">
        <w:rPr>
          <w:b/>
        </w:rPr>
        <w:t>5</w:t>
      </w:r>
      <w:r w:rsidRPr="00F242DD">
        <w:rPr>
          <w:b/>
        </w:rPr>
        <w:t>)</w:t>
      </w:r>
    </w:p>
    <w:p w14:paraId="2BC58F20" w14:textId="77777777" w:rsidR="00354AD4" w:rsidRPr="00F242DD" w:rsidRDefault="00354AD4" w:rsidP="00131E36">
      <w:pPr>
        <w:spacing w:before="0" w:after="0"/>
        <w:ind w:left="709"/>
        <w:contextualSpacing/>
        <w:rPr>
          <w:i/>
        </w:rPr>
      </w:pPr>
      <w:r w:rsidRPr="00F242DD">
        <w:rPr>
          <w:b/>
        </w:rPr>
        <w:t>Комментарий:</w:t>
      </w:r>
      <w:r w:rsidR="003369B4" w:rsidRPr="00F242DD">
        <w:rPr>
          <w:b/>
        </w:rPr>
        <w:t xml:space="preserve"> </w:t>
      </w:r>
      <w:r w:rsidR="0081738F" w:rsidRPr="00F242DD">
        <w:rPr>
          <w:i/>
        </w:rPr>
        <w:t>о</w:t>
      </w:r>
      <w:r w:rsidRPr="00F242DD">
        <w:rPr>
          <w:i/>
        </w:rPr>
        <w:t>снованием для использования этой программы стали результаты рандомизированного исследования по сравнению ее эффективности с традиционной ранее терапией по схеме МР. В исследовании показан</w:t>
      </w:r>
      <w:r w:rsidR="00D5457E" w:rsidRPr="00F242DD">
        <w:rPr>
          <w:i/>
        </w:rPr>
        <w:t>ы</w:t>
      </w:r>
      <w:r w:rsidRPr="00F242DD">
        <w:rPr>
          <w:i/>
        </w:rPr>
        <w:t xml:space="preserve"> более высокая частота ПР и более длительная медиана времени до неудач лечения при использовании BP, но при этом не выявлено улучшения ОВ.</w:t>
      </w:r>
    </w:p>
    <w:p w14:paraId="55107E2A" w14:textId="4A164616" w:rsidR="00354AD4" w:rsidRPr="00F242DD" w:rsidRDefault="00354AD4" w:rsidP="00131E36">
      <w:pPr>
        <w:pStyle w:val="a6"/>
        <w:numPr>
          <w:ilvl w:val="0"/>
          <w:numId w:val="5"/>
        </w:numPr>
        <w:spacing w:before="0" w:after="0"/>
        <w:ind w:left="709" w:hanging="709"/>
      </w:pPr>
      <w:r w:rsidRPr="00F242DD">
        <w:t xml:space="preserve">Пациентам, имеющим по крайней мере </w:t>
      </w:r>
      <w:r w:rsidR="0014089B" w:rsidRPr="00F242DD">
        <w:t>1</w:t>
      </w:r>
      <w:r w:rsidRPr="00F242DD">
        <w:t xml:space="preserve"> неблагоприятный фактор (возраст ≥75 лет, сопутствующие заболевания c нарушением функции органов</w:t>
      </w:r>
      <w:r w:rsidR="00946AD8" w:rsidRPr="00F242DD">
        <w:t>)</w:t>
      </w:r>
      <w:r w:rsidR="0014089B" w:rsidRPr="00F242DD">
        <w:t>,</w:t>
      </w:r>
      <w:r w:rsidR="00946AD8" w:rsidRPr="00F242DD">
        <w:t xml:space="preserve"> </w:t>
      </w:r>
      <w:r w:rsidRPr="00F242DD">
        <w:rPr>
          <w:b/>
        </w:rPr>
        <w:t>рекомендуется</w:t>
      </w:r>
      <w:r w:rsidRPr="00F242DD">
        <w:t xml:space="preserve"> соответствующая редукция доз препаратов</w:t>
      </w:r>
      <w:r w:rsidR="00FC3E67" w:rsidRPr="00F242DD">
        <w:t xml:space="preserve"> (табл.</w:t>
      </w:r>
      <w:r w:rsidR="00993359">
        <w:t xml:space="preserve"> 6</w:t>
      </w:r>
      <w:r w:rsidR="00FC3E67" w:rsidRPr="00F242DD">
        <w:t>)</w:t>
      </w:r>
      <w:r w:rsidR="00946AD8" w:rsidRPr="00F242DD">
        <w:t xml:space="preserve"> </w:t>
      </w:r>
      <w:r w:rsidR="00A96FB6" w:rsidRPr="00F242DD">
        <w:rPr>
          <w:lang w:val="en-US"/>
        </w:rPr>
        <w:fldChar w:fldCharType="begin" w:fldLock="1"/>
      </w:r>
      <w:r w:rsidR="00946AD8" w:rsidRPr="00F242DD">
        <w:rPr>
          <w:lang w:val="en-US"/>
        </w:rPr>
        <w:instrText>ADDIN</w:instrText>
      </w:r>
      <w:r w:rsidR="00946AD8" w:rsidRPr="00F242DD">
        <w:instrText xml:space="preserve"> </w:instrText>
      </w:r>
      <w:r w:rsidR="00946AD8" w:rsidRPr="00F242DD">
        <w:rPr>
          <w:lang w:val="en-US"/>
        </w:rPr>
        <w:instrText>CSL</w:instrText>
      </w:r>
      <w:r w:rsidR="00946AD8" w:rsidRPr="00F242DD">
        <w:instrText>_</w:instrText>
      </w:r>
      <w:r w:rsidR="00946AD8" w:rsidRPr="00F242DD">
        <w:rPr>
          <w:lang w:val="en-US"/>
        </w:rPr>
        <w:instrText>CITATION</w:instrText>
      </w:r>
      <w:r w:rsidR="00946AD8" w:rsidRPr="00F242DD">
        <w:instrText xml:space="preserve"> {"</w:instrText>
      </w:r>
      <w:r w:rsidR="00946AD8" w:rsidRPr="00F242DD">
        <w:rPr>
          <w:lang w:val="en-US"/>
        </w:rPr>
        <w:instrText>citationItems</w:instrText>
      </w:r>
      <w:r w:rsidR="00946AD8" w:rsidRPr="00F242DD">
        <w:instrText>":[{"</w:instrText>
      </w:r>
      <w:r w:rsidR="00946AD8" w:rsidRPr="00F242DD">
        <w:rPr>
          <w:lang w:val="en-US"/>
        </w:rPr>
        <w:instrText>id</w:instrText>
      </w:r>
      <w:r w:rsidR="00946AD8" w:rsidRPr="00F242DD">
        <w:instrText>":"</w:instrText>
      </w:r>
      <w:r w:rsidR="00946AD8" w:rsidRPr="00F242DD">
        <w:rPr>
          <w:lang w:val="en-US"/>
        </w:rPr>
        <w:instrText>ITEM</w:instrText>
      </w:r>
      <w:r w:rsidR="00946AD8" w:rsidRPr="00F242DD">
        <w:instrText>-1","</w:instrText>
      </w:r>
      <w:r w:rsidR="00946AD8" w:rsidRPr="00F242DD">
        <w:rPr>
          <w:lang w:val="en-US"/>
        </w:rPr>
        <w:instrText>itemData</w:instrText>
      </w:r>
      <w:r w:rsidR="00946AD8" w:rsidRPr="00F242DD">
        <w:instrText>":{"</w:instrText>
      </w:r>
      <w:r w:rsidR="00946AD8" w:rsidRPr="00F242DD">
        <w:rPr>
          <w:lang w:val="en-US"/>
        </w:rPr>
        <w:instrText>author</w:instrText>
      </w:r>
      <w:r w:rsidR="00946AD8" w:rsidRPr="00F242DD">
        <w:instrText>":[{"</w:instrText>
      </w:r>
      <w:r w:rsidR="00946AD8" w:rsidRPr="00F242DD">
        <w:rPr>
          <w:lang w:val="en-US"/>
        </w:rPr>
        <w:instrText>dropping</w:instrText>
      </w:r>
      <w:r w:rsidR="00946AD8" w:rsidRPr="00F242DD">
        <w:instrText>-</w:instrText>
      </w:r>
      <w:r w:rsidR="00946AD8" w:rsidRPr="00F242DD">
        <w:rPr>
          <w:lang w:val="en-US"/>
        </w:rPr>
        <w:instrText>particle</w:instrText>
      </w:r>
      <w:r w:rsidR="00946AD8" w:rsidRPr="00F242DD">
        <w:instrText>":"","</w:instrText>
      </w:r>
      <w:r w:rsidR="00946AD8" w:rsidRPr="00F242DD">
        <w:rPr>
          <w:lang w:val="en-US"/>
        </w:rPr>
        <w:instrText>family</w:instrText>
      </w:r>
      <w:r w:rsidR="00946AD8" w:rsidRPr="00F242DD">
        <w:instrText>":"Менделеева","</w:instrText>
      </w:r>
      <w:r w:rsidR="00946AD8" w:rsidRPr="00F242DD">
        <w:rPr>
          <w:lang w:val="en-US"/>
        </w:rPr>
        <w:instrText>given</w:instrText>
      </w:r>
      <w:r w:rsidR="00946AD8" w:rsidRPr="00F242DD">
        <w:instrText>":"Л.П.","</w:instrText>
      </w:r>
      <w:r w:rsidR="00946AD8" w:rsidRPr="00F242DD">
        <w:rPr>
          <w:lang w:val="en-US"/>
        </w:rPr>
        <w:instrText>non</w:instrText>
      </w:r>
      <w:r w:rsidR="00946AD8" w:rsidRPr="00F242DD">
        <w:instrText>-</w:instrText>
      </w:r>
      <w:r w:rsidR="00946AD8" w:rsidRPr="00F242DD">
        <w:rPr>
          <w:lang w:val="en-US"/>
        </w:rPr>
        <w:instrText>dropping</w:instrText>
      </w:r>
      <w:r w:rsidR="00946AD8" w:rsidRPr="00F242DD">
        <w:instrText>-</w:instrText>
      </w:r>
      <w:r w:rsidR="00946AD8" w:rsidRPr="00F242DD">
        <w:rPr>
          <w:lang w:val="en-US"/>
        </w:rPr>
        <w:instrText>particle</w:instrText>
      </w:r>
      <w:r w:rsidR="00946AD8" w:rsidRPr="00F242DD">
        <w:instrText>":"","</w:instrText>
      </w:r>
      <w:r w:rsidR="00946AD8" w:rsidRPr="00F242DD">
        <w:rPr>
          <w:lang w:val="en-US"/>
        </w:rPr>
        <w:instrText>parse</w:instrText>
      </w:r>
      <w:r w:rsidR="00946AD8" w:rsidRPr="00F242DD">
        <w:instrText>-</w:instrText>
      </w:r>
      <w:r w:rsidR="00946AD8" w:rsidRPr="00F242DD">
        <w:rPr>
          <w:lang w:val="en-US"/>
        </w:rPr>
        <w:instrText>names</w:instrText>
      </w:r>
      <w:r w:rsidR="00946AD8" w:rsidRPr="00F242DD">
        <w:instrText>":</w:instrText>
      </w:r>
      <w:r w:rsidR="00946AD8" w:rsidRPr="00F242DD">
        <w:rPr>
          <w:lang w:val="en-US"/>
        </w:rPr>
        <w:instrText>false</w:instrText>
      </w:r>
      <w:r w:rsidR="00946AD8" w:rsidRPr="00F242DD">
        <w:instrText>,"</w:instrText>
      </w:r>
      <w:r w:rsidR="00946AD8" w:rsidRPr="00F242DD">
        <w:rPr>
          <w:lang w:val="en-US"/>
        </w:rPr>
        <w:instrText>suffix</w:instrText>
      </w:r>
      <w:r w:rsidR="00946AD8" w:rsidRPr="00F242DD">
        <w:instrText>":""},{"</w:instrText>
      </w:r>
      <w:r w:rsidR="00946AD8" w:rsidRPr="00F242DD">
        <w:rPr>
          <w:lang w:val="en-US"/>
        </w:rPr>
        <w:instrText>dropping</w:instrText>
      </w:r>
      <w:r w:rsidR="00946AD8" w:rsidRPr="00F242DD">
        <w:instrText>-</w:instrText>
      </w:r>
      <w:r w:rsidR="00946AD8" w:rsidRPr="00F242DD">
        <w:rPr>
          <w:lang w:val="en-US"/>
        </w:rPr>
        <w:instrText>particle</w:instrText>
      </w:r>
      <w:r w:rsidR="00946AD8" w:rsidRPr="00F242DD">
        <w:instrText>":"","</w:instrText>
      </w:r>
      <w:r w:rsidR="00946AD8" w:rsidRPr="00F242DD">
        <w:rPr>
          <w:lang w:val="en-US"/>
        </w:rPr>
        <w:instrText>family</w:instrText>
      </w:r>
      <w:r w:rsidR="00946AD8" w:rsidRPr="00F242DD">
        <w:instrText>":"Вотякова","</w:instrText>
      </w:r>
      <w:r w:rsidR="00946AD8" w:rsidRPr="00F242DD">
        <w:rPr>
          <w:lang w:val="en-US"/>
        </w:rPr>
        <w:instrText>given</w:instrText>
      </w:r>
      <w:r w:rsidR="00946AD8" w:rsidRPr="00F242DD">
        <w:instrText>":"О.М.","</w:instrText>
      </w:r>
      <w:r w:rsidR="00946AD8" w:rsidRPr="00F242DD">
        <w:rPr>
          <w:lang w:val="en-US"/>
        </w:rPr>
        <w:instrText>non</w:instrText>
      </w:r>
      <w:r w:rsidR="00946AD8" w:rsidRPr="00F242DD">
        <w:instrText>-</w:instrText>
      </w:r>
      <w:r w:rsidR="00946AD8" w:rsidRPr="00F242DD">
        <w:rPr>
          <w:lang w:val="en-US"/>
        </w:rPr>
        <w:instrText>dropping</w:instrText>
      </w:r>
      <w:r w:rsidR="00946AD8" w:rsidRPr="00F242DD">
        <w:instrText>-</w:instrText>
      </w:r>
      <w:r w:rsidR="00946AD8" w:rsidRPr="00F242DD">
        <w:rPr>
          <w:lang w:val="en-US"/>
        </w:rPr>
        <w:instrText>particle</w:instrText>
      </w:r>
      <w:r w:rsidR="00946AD8" w:rsidRPr="00F242DD">
        <w:instrText>":"","</w:instrText>
      </w:r>
      <w:r w:rsidR="00946AD8" w:rsidRPr="00F242DD">
        <w:rPr>
          <w:lang w:val="en-US"/>
        </w:rPr>
        <w:instrText>parse</w:instrText>
      </w:r>
      <w:r w:rsidR="00946AD8" w:rsidRPr="00F242DD">
        <w:instrText>-</w:instrText>
      </w:r>
      <w:r w:rsidR="00946AD8" w:rsidRPr="00F242DD">
        <w:rPr>
          <w:lang w:val="en-US"/>
        </w:rPr>
        <w:instrText>names</w:instrText>
      </w:r>
      <w:r w:rsidR="00946AD8" w:rsidRPr="00F242DD">
        <w:instrText>":</w:instrText>
      </w:r>
      <w:r w:rsidR="00946AD8" w:rsidRPr="00F242DD">
        <w:rPr>
          <w:lang w:val="en-US"/>
        </w:rPr>
        <w:instrText>false</w:instrText>
      </w:r>
      <w:r w:rsidR="00946AD8" w:rsidRPr="00F242DD">
        <w:instrText>,"</w:instrText>
      </w:r>
      <w:r w:rsidR="00946AD8" w:rsidRPr="00F242DD">
        <w:rPr>
          <w:lang w:val="en-US"/>
        </w:rPr>
        <w:instrText>suffix</w:instrText>
      </w:r>
      <w:r w:rsidR="00946AD8" w:rsidRPr="00F242DD">
        <w:instrText>":""},{"</w:instrText>
      </w:r>
      <w:r w:rsidR="00946AD8" w:rsidRPr="00F242DD">
        <w:rPr>
          <w:lang w:val="en-US"/>
        </w:rPr>
        <w:instrText>dropping</w:instrText>
      </w:r>
      <w:r w:rsidR="00946AD8" w:rsidRPr="00F242DD">
        <w:instrText>-</w:instrText>
      </w:r>
      <w:r w:rsidR="00946AD8" w:rsidRPr="00F242DD">
        <w:rPr>
          <w:lang w:val="en-US"/>
        </w:rPr>
        <w:instrText>particle</w:instrText>
      </w:r>
      <w:r w:rsidR="00946AD8" w:rsidRPr="00F242DD">
        <w:instrText>":"","</w:instrText>
      </w:r>
      <w:r w:rsidR="00946AD8" w:rsidRPr="00F242DD">
        <w:rPr>
          <w:lang w:val="en-US"/>
        </w:rPr>
        <w:instrText>family</w:instrText>
      </w:r>
      <w:r w:rsidR="00946AD8" w:rsidRPr="00F242DD">
        <w:instrText>":"Рехтина","</w:instrText>
      </w:r>
      <w:r w:rsidR="00946AD8" w:rsidRPr="00F242DD">
        <w:rPr>
          <w:lang w:val="en-US"/>
        </w:rPr>
        <w:instrText>given</w:instrText>
      </w:r>
      <w:r w:rsidR="00946AD8" w:rsidRPr="00F242DD">
        <w:instrText>":"И.Г.","</w:instrText>
      </w:r>
      <w:r w:rsidR="00946AD8" w:rsidRPr="00F242DD">
        <w:rPr>
          <w:lang w:val="en-US"/>
        </w:rPr>
        <w:instrText>non</w:instrText>
      </w:r>
      <w:r w:rsidR="00946AD8" w:rsidRPr="00F242DD">
        <w:instrText>-</w:instrText>
      </w:r>
      <w:r w:rsidR="00946AD8" w:rsidRPr="00F242DD">
        <w:rPr>
          <w:lang w:val="en-US"/>
        </w:rPr>
        <w:instrText>dropping</w:instrText>
      </w:r>
      <w:r w:rsidR="00946AD8" w:rsidRPr="00F242DD">
        <w:instrText>-</w:instrText>
      </w:r>
      <w:r w:rsidR="00946AD8" w:rsidRPr="00F242DD">
        <w:rPr>
          <w:lang w:val="en-US"/>
        </w:rPr>
        <w:instrText>particle</w:instrText>
      </w:r>
      <w:r w:rsidR="00946AD8" w:rsidRPr="00F242DD">
        <w:instrText>":"","</w:instrText>
      </w:r>
      <w:r w:rsidR="00946AD8" w:rsidRPr="00F242DD">
        <w:rPr>
          <w:lang w:val="en-US"/>
        </w:rPr>
        <w:instrText>parse</w:instrText>
      </w:r>
      <w:r w:rsidR="00946AD8" w:rsidRPr="00F242DD">
        <w:instrText>-</w:instrText>
      </w:r>
      <w:r w:rsidR="00946AD8" w:rsidRPr="00F242DD">
        <w:rPr>
          <w:lang w:val="en-US"/>
        </w:rPr>
        <w:instrText>names</w:instrText>
      </w:r>
      <w:r w:rsidR="00946AD8" w:rsidRPr="00F242DD">
        <w:instrText>":</w:instrText>
      </w:r>
      <w:r w:rsidR="00946AD8" w:rsidRPr="00F242DD">
        <w:rPr>
          <w:lang w:val="en-US"/>
        </w:rPr>
        <w:instrText>false</w:instrText>
      </w:r>
      <w:r w:rsidR="00946AD8" w:rsidRPr="00F242DD">
        <w:instrText>,"</w:instrText>
      </w:r>
      <w:r w:rsidR="00946AD8" w:rsidRPr="00F242DD">
        <w:rPr>
          <w:lang w:val="en-US"/>
        </w:rPr>
        <w:instrText>suffix</w:instrText>
      </w:r>
      <w:r w:rsidR="00946AD8" w:rsidRPr="00F242DD">
        <w:instrText>":""}],"</w:instrText>
      </w:r>
      <w:r w:rsidR="00946AD8" w:rsidRPr="00F242DD">
        <w:rPr>
          <w:lang w:val="en-US"/>
        </w:rPr>
        <w:instrText>container</w:instrText>
      </w:r>
      <w:r w:rsidR="00946AD8" w:rsidRPr="00F242DD">
        <w:instrText>-</w:instrText>
      </w:r>
      <w:r w:rsidR="00946AD8" w:rsidRPr="00F242DD">
        <w:rPr>
          <w:lang w:val="en-US"/>
        </w:rPr>
        <w:instrText>title</w:instrText>
      </w:r>
      <w:r w:rsidR="00946AD8" w:rsidRPr="00F242DD">
        <w:instrText>":"Российские клинические рекомендации по диагностике и лечению злокачественных лимфопролиферативных заболеваний; под ред. И.В. Поддубной, В.Г. Савченко.","</w:instrText>
      </w:r>
      <w:r w:rsidR="00946AD8" w:rsidRPr="00F242DD">
        <w:rPr>
          <w:lang w:val="en-US"/>
        </w:rPr>
        <w:instrText>id</w:instrText>
      </w:r>
      <w:r w:rsidR="00946AD8" w:rsidRPr="00F242DD">
        <w:instrText>":"</w:instrText>
      </w:r>
      <w:r w:rsidR="00946AD8" w:rsidRPr="00F242DD">
        <w:rPr>
          <w:lang w:val="en-US"/>
        </w:rPr>
        <w:instrText>ITEM</w:instrText>
      </w:r>
      <w:r w:rsidR="00946AD8" w:rsidRPr="00F242DD">
        <w:instrText>-1","</w:instrText>
      </w:r>
      <w:r w:rsidR="00946AD8" w:rsidRPr="00F242DD">
        <w:rPr>
          <w:lang w:val="en-US"/>
        </w:rPr>
        <w:instrText>issued</w:instrText>
      </w:r>
      <w:r w:rsidR="00946AD8" w:rsidRPr="00F242DD">
        <w:instrText>":{"</w:instrText>
      </w:r>
      <w:r w:rsidR="00946AD8" w:rsidRPr="00F242DD">
        <w:rPr>
          <w:lang w:val="en-US"/>
        </w:rPr>
        <w:instrText>date</w:instrText>
      </w:r>
      <w:r w:rsidR="00946AD8" w:rsidRPr="00F242DD">
        <w:instrText>-</w:instrText>
      </w:r>
      <w:r w:rsidR="00946AD8" w:rsidRPr="00F242DD">
        <w:rPr>
          <w:lang w:val="en-US"/>
        </w:rPr>
        <w:instrText>parts</w:instrText>
      </w:r>
      <w:r w:rsidR="00946AD8" w:rsidRPr="00F242DD">
        <w:instrText>":[["2018"]]},"</w:instrText>
      </w:r>
      <w:r w:rsidR="00946AD8" w:rsidRPr="00F242DD">
        <w:rPr>
          <w:lang w:val="en-US"/>
        </w:rPr>
        <w:instrText>page</w:instrText>
      </w:r>
      <w:r w:rsidR="00946AD8" w:rsidRPr="00F242DD">
        <w:instrText>":"213-241","</w:instrText>
      </w:r>
      <w:r w:rsidR="00946AD8" w:rsidRPr="00F242DD">
        <w:rPr>
          <w:lang w:val="en-US"/>
        </w:rPr>
        <w:instrText>publisher</w:instrText>
      </w:r>
      <w:r w:rsidR="00946AD8" w:rsidRPr="00F242DD">
        <w:instrText>":"Москва","</w:instrText>
      </w:r>
      <w:r w:rsidR="00946AD8" w:rsidRPr="00F242DD">
        <w:rPr>
          <w:lang w:val="en-US"/>
        </w:rPr>
        <w:instrText>title</w:instrText>
      </w:r>
      <w:r w:rsidR="00946AD8" w:rsidRPr="00F242DD">
        <w:instrText>":"Множественная миелома","</w:instrText>
      </w:r>
      <w:r w:rsidR="00946AD8" w:rsidRPr="00F242DD">
        <w:rPr>
          <w:lang w:val="en-US"/>
        </w:rPr>
        <w:instrText>type</w:instrText>
      </w:r>
      <w:r w:rsidR="00946AD8" w:rsidRPr="00F242DD">
        <w:instrText>":"</w:instrText>
      </w:r>
      <w:r w:rsidR="00946AD8" w:rsidRPr="00F242DD">
        <w:rPr>
          <w:lang w:val="en-US"/>
        </w:rPr>
        <w:instrText>chapter</w:instrText>
      </w:r>
      <w:r w:rsidR="00946AD8" w:rsidRPr="00F242DD">
        <w:instrText>"},"</w:instrText>
      </w:r>
      <w:r w:rsidR="00946AD8" w:rsidRPr="00F242DD">
        <w:rPr>
          <w:lang w:val="en-US"/>
        </w:rPr>
        <w:instrText>uris</w:instrText>
      </w:r>
      <w:r w:rsidR="00946AD8" w:rsidRPr="00F242DD">
        <w:instrText>":["</w:instrText>
      </w:r>
      <w:r w:rsidR="00946AD8" w:rsidRPr="00F242DD">
        <w:rPr>
          <w:lang w:val="en-US"/>
        </w:rPr>
        <w:instrText>http</w:instrText>
      </w:r>
      <w:r w:rsidR="00946AD8" w:rsidRPr="00F242DD">
        <w:instrText>://</w:instrText>
      </w:r>
      <w:r w:rsidR="00946AD8" w:rsidRPr="00F242DD">
        <w:rPr>
          <w:lang w:val="en-US"/>
        </w:rPr>
        <w:instrText>www</w:instrText>
      </w:r>
      <w:r w:rsidR="00946AD8" w:rsidRPr="00F242DD">
        <w:instrText>.</w:instrText>
      </w:r>
      <w:r w:rsidR="00946AD8" w:rsidRPr="00F242DD">
        <w:rPr>
          <w:lang w:val="en-US"/>
        </w:rPr>
        <w:instrText>mendeley</w:instrText>
      </w:r>
      <w:r w:rsidR="00946AD8" w:rsidRPr="00F242DD">
        <w:instrText>.</w:instrText>
      </w:r>
      <w:r w:rsidR="00946AD8" w:rsidRPr="00F242DD">
        <w:rPr>
          <w:lang w:val="en-US"/>
        </w:rPr>
        <w:instrText>com</w:instrText>
      </w:r>
      <w:r w:rsidR="00946AD8" w:rsidRPr="00F242DD">
        <w:instrText>/</w:instrText>
      </w:r>
      <w:r w:rsidR="00946AD8" w:rsidRPr="00F242DD">
        <w:rPr>
          <w:lang w:val="en-US"/>
        </w:rPr>
        <w:instrText>documents</w:instrText>
      </w:r>
      <w:r w:rsidR="00946AD8" w:rsidRPr="00F242DD">
        <w:instrText>/?</w:instrText>
      </w:r>
      <w:r w:rsidR="00946AD8" w:rsidRPr="00F242DD">
        <w:rPr>
          <w:lang w:val="en-US"/>
        </w:rPr>
        <w:instrText>uuid</w:instrText>
      </w:r>
      <w:r w:rsidR="00946AD8" w:rsidRPr="00F242DD">
        <w:instrText>=74</w:instrText>
      </w:r>
      <w:r w:rsidR="00946AD8" w:rsidRPr="00F242DD">
        <w:rPr>
          <w:lang w:val="en-US"/>
        </w:rPr>
        <w:instrText>f</w:instrText>
      </w:r>
      <w:r w:rsidR="00946AD8" w:rsidRPr="00F242DD">
        <w:instrText>72</w:instrText>
      </w:r>
      <w:r w:rsidR="00946AD8" w:rsidRPr="00F242DD">
        <w:rPr>
          <w:lang w:val="en-US"/>
        </w:rPr>
        <w:instrText>d</w:instrText>
      </w:r>
      <w:r w:rsidR="00946AD8" w:rsidRPr="00F242DD">
        <w:instrText>23-</w:instrText>
      </w:r>
      <w:r w:rsidR="00946AD8" w:rsidRPr="00F242DD">
        <w:rPr>
          <w:lang w:val="en-US"/>
        </w:rPr>
        <w:instrText>d</w:instrText>
      </w:r>
      <w:r w:rsidR="00946AD8" w:rsidRPr="00F242DD">
        <w:instrText>025-4</w:instrText>
      </w:r>
      <w:r w:rsidR="00946AD8" w:rsidRPr="00F242DD">
        <w:rPr>
          <w:lang w:val="en-US"/>
        </w:rPr>
        <w:instrText>daa</w:instrText>
      </w:r>
      <w:r w:rsidR="00946AD8" w:rsidRPr="00F242DD">
        <w:instrText>-</w:instrText>
      </w:r>
      <w:r w:rsidR="00946AD8" w:rsidRPr="00F242DD">
        <w:rPr>
          <w:lang w:val="en-US"/>
        </w:rPr>
        <w:instrText>a</w:instrText>
      </w:r>
      <w:r w:rsidR="00946AD8" w:rsidRPr="00F242DD">
        <w:instrText>02</w:instrText>
      </w:r>
      <w:r w:rsidR="00946AD8" w:rsidRPr="00F242DD">
        <w:rPr>
          <w:lang w:val="en-US"/>
        </w:rPr>
        <w:instrText>d</w:instrText>
      </w:r>
      <w:r w:rsidR="00946AD8" w:rsidRPr="00F242DD">
        <w:instrText>-40</w:instrText>
      </w:r>
      <w:r w:rsidR="00946AD8" w:rsidRPr="00F242DD">
        <w:rPr>
          <w:lang w:val="en-US"/>
        </w:rPr>
        <w:instrText>d</w:instrText>
      </w:r>
      <w:r w:rsidR="00946AD8" w:rsidRPr="00F242DD">
        <w:instrText>14</w:instrText>
      </w:r>
      <w:r w:rsidR="00946AD8" w:rsidRPr="00F242DD">
        <w:rPr>
          <w:lang w:val="en-US"/>
        </w:rPr>
        <w:instrText>fc</w:instrText>
      </w:r>
      <w:r w:rsidR="00946AD8" w:rsidRPr="00F242DD">
        <w:instrText>77</w:instrText>
      </w:r>
      <w:r w:rsidR="00946AD8" w:rsidRPr="00F242DD">
        <w:rPr>
          <w:lang w:val="en-US"/>
        </w:rPr>
        <w:instrText>cc</w:instrText>
      </w:r>
      <w:r w:rsidR="00946AD8" w:rsidRPr="00F242DD">
        <w:instrText>4"]}],"</w:instrText>
      </w:r>
      <w:r w:rsidR="00946AD8" w:rsidRPr="00F242DD">
        <w:rPr>
          <w:lang w:val="en-US"/>
        </w:rPr>
        <w:instrText>mendeley</w:instrText>
      </w:r>
      <w:r w:rsidR="00946AD8" w:rsidRPr="00F242DD">
        <w:instrText>":{"</w:instrText>
      </w:r>
      <w:r w:rsidR="00946AD8" w:rsidRPr="00F242DD">
        <w:rPr>
          <w:lang w:val="en-US"/>
        </w:rPr>
        <w:instrText>formattedCitation</w:instrText>
      </w:r>
      <w:r w:rsidR="00946AD8" w:rsidRPr="00F242DD">
        <w:instrText>":"[1]","</w:instrText>
      </w:r>
      <w:r w:rsidR="00946AD8" w:rsidRPr="00F242DD">
        <w:rPr>
          <w:lang w:val="en-US"/>
        </w:rPr>
        <w:instrText>plainTextFormattedCitation</w:instrText>
      </w:r>
      <w:r w:rsidR="00946AD8" w:rsidRPr="00F242DD">
        <w:instrText>":"[1]","</w:instrText>
      </w:r>
      <w:r w:rsidR="00946AD8" w:rsidRPr="00F242DD">
        <w:rPr>
          <w:lang w:val="en-US"/>
        </w:rPr>
        <w:instrText>previouslyFormattedCitation</w:instrText>
      </w:r>
      <w:r w:rsidR="00946AD8" w:rsidRPr="00F242DD">
        <w:instrText>":"[1]"},"</w:instrText>
      </w:r>
      <w:r w:rsidR="00946AD8" w:rsidRPr="00F242DD">
        <w:rPr>
          <w:lang w:val="en-US"/>
        </w:rPr>
        <w:instrText>properties</w:instrText>
      </w:r>
      <w:r w:rsidR="00946AD8" w:rsidRPr="00F242DD">
        <w:instrText>":{"</w:instrText>
      </w:r>
      <w:r w:rsidR="00946AD8" w:rsidRPr="00F242DD">
        <w:rPr>
          <w:lang w:val="en-US"/>
        </w:rPr>
        <w:instrText>noteIndex</w:instrText>
      </w:r>
      <w:r w:rsidR="00946AD8" w:rsidRPr="00F242DD">
        <w:instrText>":0},"</w:instrText>
      </w:r>
      <w:r w:rsidR="00946AD8" w:rsidRPr="00F242DD">
        <w:rPr>
          <w:lang w:val="en-US"/>
        </w:rPr>
        <w:instrText>schema</w:instrText>
      </w:r>
      <w:r w:rsidR="00946AD8" w:rsidRPr="00F242DD">
        <w:instrText>":"</w:instrText>
      </w:r>
      <w:r w:rsidR="00946AD8" w:rsidRPr="00F242DD">
        <w:rPr>
          <w:lang w:val="en-US"/>
        </w:rPr>
        <w:instrText>https</w:instrText>
      </w:r>
      <w:r w:rsidR="00946AD8" w:rsidRPr="00F242DD">
        <w:instrText>://</w:instrText>
      </w:r>
      <w:r w:rsidR="00946AD8" w:rsidRPr="00F242DD">
        <w:rPr>
          <w:lang w:val="en-US"/>
        </w:rPr>
        <w:instrText>github</w:instrText>
      </w:r>
      <w:r w:rsidR="00946AD8" w:rsidRPr="00F242DD">
        <w:instrText>.</w:instrText>
      </w:r>
      <w:r w:rsidR="00946AD8" w:rsidRPr="00F242DD">
        <w:rPr>
          <w:lang w:val="en-US"/>
        </w:rPr>
        <w:instrText>com</w:instrText>
      </w:r>
      <w:r w:rsidR="00946AD8" w:rsidRPr="00F242DD">
        <w:instrText>/</w:instrText>
      </w:r>
      <w:r w:rsidR="00946AD8" w:rsidRPr="00F242DD">
        <w:rPr>
          <w:lang w:val="en-US"/>
        </w:rPr>
        <w:instrText>citation</w:instrText>
      </w:r>
      <w:r w:rsidR="00946AD8" w:rsidRPr="00F242DD">
        <w:instrText>-</w:instrText>
      </w:r>
      <w:r w:rsidR="00946AD8" w:rsidRPr="00F242DD">
        <w:rPr>
          <w:lang w:val="en-US"/>
        </w:rPr>
        <w:instrText>style</w:instrText>
      </w:r>
      <w:r w:rsidR="00946AD8" w:rsidRPr="00F242DD">
        <w:instrText>-</w:instrText>
      </w:r>
      <w:r w:rsidR="00946AD8" w:rsidRPr="00F242DD">
        <w:rPr>
          <w:lang w:val="en-US"/>
        </w:rPr>
        <w:instrText>language</w:instrText>
      </w:r>
      <w:r w:rsidR="00946AD8" w:rsidRPr="00F242DD">
        <w:instrText>/</w:instrText>
      </w:r>
      <w:r w:rsidR="00946AD8" w:rsidRPr="00F242DD">
        <w:rPr>
          <w:lang w:val="en-US"/>
        </w:rPr>
        <w:instrText>schema</w:instrText>
      </w:r>
      <w:r w:rsidR="00946AD8" w:rsidRPr="00F242DD">
        <w:instrText>/</w:instrText>
      </w:r>
      <w:r w:rsidR="00946AD8" w:rsidRPr="00F242DD">
        <w:rPr>
          <w:lang w:val="en-US"/>
        </w:rPr>
        <w:instrText>raw</w:instrText>
      </w:r>
      <w:r w:rsidR="00946AD8" w:rsidRPr="00F242DD">
        <w:instrText>/</w:instrText>
      </w:r>
      <w:r w:rsidR="00946AD8" w:rsidRPr="00F242DD">
        <w:rPr>
          <w:lang w:val="en-US"/>
        </w:rPr>
        <w:instrText>master</w:instrText>
      </w:r>
      <w:r w:rsidR="00946AD8" w:rsidRPr="00F242DD">
        <w:instrText>/</w:instrText>
      </w:r>
      <w:r w:rsidR="00946AD8" w:rsidRPr="00F242DD">
        <w:rPr>
          <w:lang w:val="en-US"/>
        </w:rPr>
        <w:instrText>csl</w:instrText>
      </w:r>
      <w:r w:rsidR="00946AD8" w:rsidRPr="00F242DD">
        <w:instrText>-</w:instrText>
      </w:r>
      <w:r w:rsidR="00946AD8" w:rsidRPr="00F242DD">
        <w:rPr>
          <w:lang w:val="en-US"/>
        </w:rPr>
        <w:instrText>citation</w:instrText>
      </w:r>
      <w:r w:rsidR="00946AD8" w:rsidRPr="00F242DD">
        <w:instrText>.</w:instrText>
      </w:r>
      <w:r w:rsidR="00946AD8" w:rsidRPr="00F242DD">
        <w:rPr>
          <w:lang w:val="en-US"/>
        </w:rPr>
        <w:instrText>json</w:instrText>
      </w:r>
      <w:r w:rsidR="00946AD8" w:rsidRPr="00F242DD">
        <w:instrText>"}</w:instrText>
      </w:r>
      <w:r w:rsidR="00A96FB6" w:rsidRPr="00F242DD">
        <w:rPr>
          <w:lang w:val="en-US"/>
        </w:rPr>
        <w:fldChar w:fldCharType="separate"/>
      </w:r>
      <w:r w:rsidR="00946AD8" w:rsidRPr="00F242DD">
        <w:rPr>
          <w:noProof/>
        </w:rPr>
        <w:t>[1]</w:t>
      </w:r>
      <w:r w:rsidR="00A96FB6" w:rsidRPr="00F242DD">
        <w:rPr>
          <w:lang w:val="en-US"/>
        </w:rPr>
        <w:fldChar w:fldCharType="end"/>
      </w:r>
      <w:r w:rsidRPr="00F242DD">
        <w:t>.</w:t>
      </w:r>
    </w:p>
    <w:p w14:paraId="74C4EC4B" w14:textId="77777777" w:rsidR="00FC3E67" w:rsidRPr="00F242DD" w:rsidRDefault="00FC3E67" w:rsidP="00131E36">
      <w:pPr>
        <w:spacing w:before="0" w:after="0"/>
        <w:ind w:left="709"/>
        <w:contextualSpacing/>
        <w:rPr>
          <w:b/>
        </w:rPr>
      </w:pPr>
      <w:r w:rsidRPr="00F242DD">
        <w:rPr>
          <w:b/>
        </w:rPr>
        <w:t xml:space="preserve">Уровень убедительности рекомендаций </w:t>
      </w:r>
      <w:r w:rsidR="0014089B" w:rsidRPr="00F242DD">
        <w:rPr>
          <w:b/>
        </w:rPr>
        <w:t xml:space="preserve">− </w:t>
      </w:r>
      <w:r w:rsidR="000558B2" w:rsidRPr="00F242DD">
        <w:rPr>
          <w:b/>
          <w:lang w:val="en-US"/>
        </w:rPr>
        <w:t>C</w:t>
      </w:r>
      <w:r w:rsidR="003369B4" w:rsidRPr="00F242DD">
        <w:rPr>
          <w:b/>
        </w:rPr>
        <w:t xml:space="preserve"> </w:t>
      </w:r>
      <w:r w:rsidRPr="00F242DD">
        <w:rPr>
          <w:b/>
        </w:rPr>
        <w:t>(уровень достоверности доказательств</w:t>
      </w:r>
      <w:r w:rsidR="000558B2" w:rsidRPr="00F242DD">
        <w:rPr>
          <w:b/>
        </w:rPr>
        <w:t xml:space="preserve"> </w:t>
      </w:r>
      <w:r w:rsidR="0014089B" w:rsidRPr="00F242DD">
        <w:rPr>
          <w:b/>
        </w:rPr>
        <w:t xml:space="preserve">− </w:t>
      </w:r>
      <w:r w:rsidR="000558B2" w:rsidRPr="00F242DD">
        <w:rPr>
          <w:b/>
        </w:rPr>
        <w:t>5</w:t>
      </w:r>
      <w:r w:rsidRPr="00F242DD">
        <w:rPr>
          <w:b/>
        </w:rPr>
        <w:t>)</w:t>
      </w:r>
    </w:p>
    <w:p w14:paraId="41A9EDAF" w14:textId="7E40F172" w:rsidR="00FC3E67" w:rsidRPr="00F242DD" w:rsidRDefault="00FC3E67" w:rsidP="00131E36">
      <w:pPr>
        <w:spacing w:before="0" w:after="0"/>
        <w:ind w:firstLine="708"/>
        <w:rPr>
          <w:rFonts w:eastAsia="Times New Roman"/>
          <w:i/>
        </w:rPr>
      </w:pPr>
      <w:r w:rsidRPr="00F242DD">
        <w:rPr>
          <w:rFonts w:eastAsia="Times New Roman"/>
          <w:b/>
          <w:i/>
        </w:rPr>
        <w:t xml:space="preserve">Таблица </w:t>
      </w:r>
      <w:r w:rsidR="00993359">
        <w:rPr>
          <w:rFonts w:eastAsia="Times New Roman"/>
          <w:b/>
          <w:i/>
        </w:rPr>
        <w:t>6</w:t>
      </w:r>
      <w:r w:rsidRPr="00F242DD">
        <w:rPr>
          <w:rFonts w:eastAsia="Times New Roman"/>
          <w:b/>
          <w:i/>
        </w:rPr>
        <w:t>.</w:t>
      </w:r>
      <w:r w:rsidR="00463342" w:rsidRPr="00F242DD">
        <w:rPr>
          <w:rFonts w:eastAsia="Times New Roman"/>
          <w:b/>
          <w:i/>
        </w:rPr>
        <w:t xml:space="preserve"> </w:t>
      </w:r>
      <w:r w:rsidRPr="00F242DD">
        <w:rPr>
          <w:rFonts w:eastAsia="Times New Roman"/>
          <w:bCs/>
          <w:i/>
        </w:rPr>
        <w:t xml:space="preserve">Рекомендации по снижению доз препаратов у пожилых </w:t>
      </w:r>
      <w:r w:rsidR="00FB03BB" w:rsidRPr="00F242DD">
        <w:rPr>
          <w:rFonts w:eastAsia="Times New Roman"/>
          <w:bCs/>
          <w:i/>
        </w:rPr>
        <w:t>пациентов</w:t>
      </w:r>
      <w:r w:rsidRPr="00F242DD">
        <w:rPr>
          <w:rFonts w:eastAsia="Times New Roman"/>
          <w:bCs/>
          <w:i/>
        </w:rPr>
        <w:t xml:space="preserve"> ММ</w:t>
      </w:r>
    </w:p>
    <w:tbl>
      <w:tblPr>
        <w:tblW w:w="0" w:type="auto"/>
        <w:tblInd w:w="392" w:type="dxa"/>
        <w:tblLayout w:type="fixed"/>
        <w:tblLook w:val="0000" w:firstRow="0" w:lastRow="0" w:firstColumn="0" w:lastColumn="0" w:noHBand="0" w:noVBand="0"/>
      </w:tblPr>
      <w:tblGrid>
        <w:gridCol w:w="1902"/>
        <w:gridCol w:w="2186"/>
        <w:gridCol w:w="2186"/>
        <w:gridCol w:w="2326"/>
      </w:tblGrid>
      <w:tr w:rsidR="00FC3E67" w:rsidRPr="00F242DD" w14:paraId="3DE996CB" w14:textId="77777777" w:rsidTr="00E36DFA">
        <w:tc>
          <w:tcPr>
            <w:tcW w:w="1902" w:type="dxa"/>
            <w:tcBorders>
              <w:top w:val="single" w:sz="4" w:space="0" w:color="auto"/>
              <w:left w:val="single" w:sz="4" w:space="0" w:color="auto"/>
            </w:tcBorders>
            <w:shd w:val="clear" w:color="auto" w:fill="auto"/>
          </w:tcPr>
          <w:p w14:paraId="2F1036E8" w14:textId="77777777" w:rsidR="00FC3E67" w:rsidRPr="00F242DD" w:rsidRDefault="00FC3E67" w:rsidP="00131E36">
            <w:pPr>
              <w:snapToGrid w:val="0"/>
              <w:spacing w:before="0" w:after="0"/>
              <w:jc w:val="center"/>
              <w:rPr>
                <w:rFonts w:eastAsia="Times New Roman"/>
              </w:rPr>
            </w:pPr>
          </w:p>
        </w:tc>
        <w:tc>
          <w:tcPr>
            <w:tcW w:w="6698" w:type="dxa"/>
            <w:gridSpan w:val="3"/>
            <w:tcBorders>
              <w:top w:val="single" w:sz="4" w:space="0" w:color="000000"/>
              <w:left w:val="single" w:sz="4" w:space="0" w:color="000000"/>
              <w:bottom w:val="single" w:sz="4" w:space="0" w:color="000000"/>
              <w:right w:val="single" w:sz="4" w:space="0" w:color="000000"/>
            </w:tcBorders>
            <w:shd w:val="clear" w:color="auto" w:fill="auto"/>
          </w:tcPr>
          <w:p w14:paraId="1C171E14" w14:textId="77777777" w:rsidR="00FC3E67" w:rsidRPr="00F242DD" w:rsidRDefault="00FC3E67" w:rsidP="00131E36">
            <w:pPr>
              <w:snapToGrid w:val="0"/>
              <w:spacing w:before="0" w:after="0"/>
              <w:jc w:val="center"/>
              <w:rPr>
                <w:rFonts w:eastAsia="Times New Roman"/>
                <w:lang w:val="en-US"/>
              </w:rPr>
            </w:pPr>
            <w:r w:rsidRPr="00F242DD">
              <w:rPr>
                <w:rFonts w:eastAsia="Times New Roman"/>
              </w:rPr>
              <w:t>Уровень дозы</w:t>
            </w:r>
          </w:p>
        </w:tc>
      </w:tr>
      <w:tr w:rsidR="00FC3E67" w:rsidRPr="00F242DD" w14:paraId="6F8B1956" w14:textId="77777777" w:rsidTr="00E36DFA">
        <w:tc>
          <w:tcPr>
            <w:tcW w:w="1902" w:type="dxa"/>
            <w:tcBorders>
              <w:left w:val="single" w:sz="4" w:space="0" w:color="auto"/>
              <w:bottom w:val="single" w:sz="4" w:space="0" w:color="auto"/>
            </w:tcBorders>
            <w:shd w:val="clear" w:color="auto" w:fill="auto"/>
          </w:tcPr>
          <w:p w14:paraId="454AC60F" w14:textId="77777777" w:rsidR="00FC3E67" w:rsidRPr="00F242DD" w:rsidRDefault="00FC3E67" w:rsidP="00131E36">
            <w:pPr>
              <w:snapToGrid w:val="0"/>
              <w:spacing w:before="0" w:after="0"/>
              <w:rPr>
                <w:rFonts w:eastAsia="Times New Roman"/>
                <w:lang w:val="en-US"/>
              </w:rPr>
            </w:pPr>
            <w:r w:rsidRPr="00F242DD">
              <w:rPr>
                <w:rFonts w:eastAsia="Times New Roman"/>
                <w:lang w:val="en-US"/>
              </w:rPr>
              <w:t>Лекарственныйпрепарат</w:t>
            </w:r>
          </w:p>
        </w:tc>
        <w:tc>
          <w:tcPr>
            <w:tcW w:w="2186" w:type="dxa"/>
            <w:tcBorders>
              <w:left w:val="single" w:sz="4" w:space="0" w:color="000000"/>
              <w:bottom w:val="single" w:sz="4" w:space="0" w:color="000000"/>
            </w:tcBorders>
            <w:shd w:val="clear" w:color="auto" w:fill="auto"/>
          </w:tcPr>
          <w:p w14:paraId="609CFEE5" w14:textId="77777777" w:rsidR="00FC3E67" w:rsidRPr="00F242DD" w:rsidRDefault="00FC3E67" w:rsidP="00131E36">
            <w:pPr>
              <w:snapToGrid w:val="0"/>
              <w:spacing w:before="0" w:after="0"/>
              <w:jc w:val="center"/>
              <w:rPr>
                <w:rFonts w:eastAsia="Times New Roman"/>
                <w:lang w:val="en-US"/>
              </w:rPr>
            </w:pPr>
            <w:r w:rsidRPr="00F242DD">
              <w:rPr>
                <w:rFonts w:eastAsia="Times New Roman"/>
                <w:lang w:val="en-US"/>
              </w:rPr>
              <w:t>0</w:t>
            </w:r>
          </w:p>
        </w:tc>
        <w:tc>
          <w:tcPr>
            <w:tcW w:w="2186" w:type="dxa"/>
            <w:tcBorders>
              <w:left w:val="single" w:sz="4" w:space="0" w:color="000000"/>
              <w:bottom w:val="single" w:sz="4" w:space="0" w:color="000000"/>
            </w:tcBorders>
            <w:shd w:val="clear" w:color="auto" w:fill="auto"/>
          </w:tcPr>
          <w:p w14:paraId="01EB820B" w14:textId="77777777" w:rsidR="00FC3E67" w:rsidRPr="00F242DD" w:rsidRDefault="00FC3E67" w:rsidP="00131E36">
            <w:pPr>
              <w:snapToGrid w:val="0"/>
              <w:spacing w:before="0" w:after="0"/>
              <w:jc w:val="center"/>
              <w:rPr>
                <w:rFonts w:eastAsia="Times New Roman"/>
                <w:lang w:val="en-US"/>
              </w:rPr>
            </w:pPr>
            <w:r w:rsidRPr="00F242DD">
              <w:rPr>
                <w:rFonts w:eastAsia="Times New Roman"/>
                <w:lang w:val="en-US"/>
              </w:rPr>
              <w:t>1</w:t>
            </w:r>
          </w:p>
        </w:tc>
        <w:tc>
          <w:tcPr>
            <w:tcW w:w="2326" w:type="dxa"/>
            <w:tcBorders>
              <w:left w:val="single" w:sz="4" w:space="0" w:color="000000"/>
              <w:bottom w:val="single" w:sz="4" w:space="0" w:color="000000"/>
              <w:right w:val="single" w:sz="4" w:space="0" w:color="000000"/>
            </w:tcBorders>
            <w:shd w:val="clear" w:color="auto" w:fill="auto"/>
          </w:tcPr>
          <w:p w14:paraId="42E89439" w14:textId="77777777" w:rsidR="00FC3E67" w:rsidRPr="00F242DD" w:rsidRDefault="00FC3E67" w:rsidP="00131E36">
            <w:pPr>
              <w:snapToGrid w:val="0"/>
              <w:spacing w:before="0" w:after="0"/>
              <w:jc w:val="center"/>
              <w:rPr>
                <w:rFonts w:eastAsia="Times New Roman"/>
                <w:lang w:val="en-US"/>
              </w:rPr>
            </w:pPr>
            <w:r w:rsidRPr="00F242DD">
              <w:rPr>
                <w:rFonts w:eastAsia="Times New Roman"/>
                <w:lang w:val="en-US"/>
              </w:rPr>
              <w:t>2</w:t>
            </w:r>
          </w:p>
        </w:tc>
      </w:tr>
      <w:tr w:rsidR="00FC3E67" w:rsidRPr="00F242DD" w14:paraId="64AA7432" w14:textId="77777777" w:rsidTr="00E36DFA">
        <w:tc>
          <w:tcPr>
            <w:tcW w:w="1902" w:type="dxa"/>
            <w:tcBorders>
              <w:top w:val="single" w:sz="4" w:space="0" w:color="auto"/>
              <w:left w:val="single" w:sz="4" w:space="0" w:color="000000"/>
              <w:bottom w:val="single" w:sz="4" w:space="0" w:color="000000"/>
            </w:tcBorders>
            <w:shd w:val="clear" w:color="auto" w:fill="auto"/>
          </w:tcPr>
          <w:p w14:paraId="4657E5CA" w14:textId="77777777" w:rsidR="00FC3E67" w:rsidRPr="00F242DD" w:rsidRDefault="00FC3E67" w:rsidP="00131E36">
            <w:pPr>
              <w:snapToGrid w:val="0"/>
              <w:spacing w:before="0" w:after="0"/>
              <w:rPr>
                <w:rFonts w:eastAsia="Times New Roman"/>
                <w:iCs/>
              </w:rPr>
            </w:pPr>
            <w:r w:rsidRPr="00F242DD">
              <w:rPr>
                <w:rFonts w:eastAsia="Times New Roman"/>
                <w:lang w:val="en-US"/>
              </w:rPr>
              <w:t>Бортезомиб</w:t>
            </w:r>
            <w:r w:rsidR="007E7259" w:rsidRPr="00F242DD">
              <w:rPr>
                <w:rFonts w:eastAsia="Times New Roman"/>
              </w:rPr>
              <w:t>**</w:t>
            </w:r>
          </w:p>
        </w:tc>
        <w:tc>
          <w:tcPr>
            <w:tcW w:w="2186" w:type="dxa"/>
            <w:tcBorders>
              <w:left w:val="single" w:sz="4" w:space="0" w:color="000000"/>
              <w:bottom w:val="single" w:sz="4" w:space="0" w:color="000000"/>
            </w:tcBorders>
            <w:shd w:val="clear" w:color="auto" w:fill="auto"/>
          </w:tcPr>
          <w:p w14:paraId="35173F70" w14:textId="77777777" w:rsidR="00FC3E67" w:rsidRPr="00F242DD" w:rsidRDefault="00FC3E67" w:rsidP="00131E36">
            <w:pPr>
              <w:snapToGrid w:val="0"/>
              <w:spacing w:before="0" w:after="0"/>
              <w:jc w:val="left"/>
              <w:rPr>
                <w:rFonts w:eastAsia="Times New Roman"/>
                <w:iCs/>
              </w:rPr>
            </w:pPr>
            <w:r w:rsidRPr="00F242DD">
              <w:rPr>
                <w:rFonts w:eastAsia="Times New Roman"/>
                <w:iCs/>
              </w:rPr>
              <w:t>1,3 мг/м</w:t>
            </w:r>
            <w:r w:rsidRPr="00F242DD">
              <w:rPr>
                <w:rFonts w:eastAsia="Times New Roman"/>
                <w:iCs/>
                <w:vertAlign w:val="superscript"/>
              </w:rPr>
              <w:t xml:space="preserve">2 </w:t>
            </w:r>
          </w:p>
          <w:p w14:paraId="57E98959" w14:textId="77777777" w:rsidR="00FC3E67" w:rsidRPr="00F242DD" w:rsidRDefault="00FC3E67" w:rsidP="00131E36">
            <w:pPr>
              <w:spacing w:before="0" w:after="0"/>
              <w:jc w:val="left"/>
              <w:rPr>
                <w:rFonts w:eastAsia="Times New Roman"/>
                <w:iCs/>
              </w:rPr>
            </w:pPr>
            <w:r w:rsidRPr="00F242DD">
              <w:rPr>
                <w:rFonts w:eastAsia="Times New Roman"/>
                <w:iCs/>
              </w:rPr>
              <w:lastRenderedPageBreak/>
              <w:t>дни: 1,</w:t>
            </w:r>
            <w:r w:rsidR="00655135" w:rsidRPr="00F242DD">
              <w:rPr>
                <w:rFonts w:eastAsia="Times New Roman"/>
                <w:iCs/>
              </w:rPr>
              <w:t xml:space="preserve"> </w:t>
            </w:r>
            <w:r w:rsidRPr="00F242DD">
              <w:rPr>
                <w:rFonts w:eastAsia="Times New Roman"/>
                <w:iCs/>
              </w:rPr>
              <w:t>4,</w:t>
            </w:r>
            <w:r w:rsidR="00655135" w:rsidRPr="00F242DD">
              <w:rPr>
                <w:rFonts w:eastAsia="Times New Roman"/>
                <w:iCs/>
              </w:rPr>
              <w:t xml:space="preserve"> </w:t>
            </w:r>
            <w:r w:rsidRPr="00F242DD">
              <w:rPr>
                <w:rFonts w:eastAsia="Times New Roman"/>
                <w:iCs/>
              </w:rPr>
              <w:t>8,</w:t>
            </w:r>
            <w:r w:rsidR="00655135" w:rsidRPr="00F242DD">
              <w:rPr>
                <w:rFonts w:eastAsia="Times New Roman"/>
                <w:iCs/>
              </w:rPr>
              <w:t xml:space="preserve"> </w:t>
            </w:r>
            <w:r w:rsidRPr="00F242DD">
              <w:rPr>
                <w:rFonts w:eastAsia="Times New Roman"/>
                <w:iCs/>
              </w:rPr>
              <w:t>11</w:t>
            </w:r>
            <w:r w:rsidR="00655135" w:rsidRPr="00F242DD">
              <w:rPr>
                <w:rFonts w:eastAsia="Times New Roman"/>
                <w:iCs/>
              </w:rPr>
              <w:t>-й</w:t>
            </w:r>
            <w:r w:rsidRPr="00F242DD">
              <w:rPr>
                <w:rFonts w:eastAsia="Times New Roman"/>
                <w:iCs/>
              </w:rPr>
              <w:t xml:space="preserve"> </w:t>
            </w:r>
          </w:p>
          <w:p w14:paraId="3546F71F" w14:textId="77777777" w:rsidR="00FC3E67" w:rsidRPr="00F242DD" w:rsidRDefault="00FC3E67" w:rsidP="00655135">
            <w:pPr>
              <w:spacing w:before="0" w:after="0"/>
              <w:jc w:val="left"/>
              <w:rPr>
                <w:rFonts w:eastAsia="Times New Roman"/>
                <w:iCs/>
              </w:rPr>
            </w:pPr>
            <w:r w:rsidRPr="00F242DD">
              <w:rPr>
                <w:rFonts w:eastAsia="Times New Roman"/>
                <w:iCs/>
              </w:rPr>
              <w:t>каждые 3 нед</w:t>
            </w:r>
          </w:p>
        </w:tc>
        <w:tc>
          <w:tcPr>
            <w:tcW w:w="2186" w:type="dxa"/>
            <w:tcBorders>
              <w:left w:val="single" w:sz="4" w:space="0" w:color="000000"/>
              <w:bottom w:val="single" w:sz="4" w:space="0" w:color="000000"/>
            </w:tcBorders>
            <w:shd w:val="clear" w:color="auto" w:fill="auto"/>
          </w:tcPr>
          <w:p w14:paraId="7E83274A" w14:textId="77777777" w:rsidR="00FC3E67" w:rsidRPr="00F242DD" w:rsidRDefault="00FC3E67" w:rsidP="00131E36">
            <w:pPr>
              <w:snapToGrid w:val="0"/>
              <w:spacing w:before="0" w:after="0"/>
              <w:jc w:val="left"/>
              <w:rPr>
                <w:rFonts w:eastAsia="Times New Roman"/>
                <w:iCs/>
              </w:rPr>
            </w:pPr>
            <w:r w:rsidRPr="00F242DD">
              <w:rPr>
                <w:rFonts w:eastAsia="Times New Roman"/>
                <w:iCs/>
              </w:rPr>
              <w:lastRenderedPageBreak/>
              <w:t>1,3 мг/м</w:t>
            </w:r>
            <w:r w:rsidRPr="00F242DD">
              <w:rPr>
                <w:rFonts w:eastAsia="Times New Roman"/>
                <w:iCs/>
                <w:vertAlign w:val="superscript"/>
              </w:rPr>
              <w:t>2</w:t>
            </w:r>
            <w:r w:rsidRPr="00F242DD">
              <w:rPr>
                <w:rFonts w:eastAsia="Times New Roman"/>
                <w:iCs/>
              </w:rPr>
              <w:t xml:space="preserve"> 1 раз в </w:t>
            </w:r>
            <w:r w:rsidRPr="00F242DD">
              <w:rPr>
                <w:rFonts w:eastAsia="Times New Roman"/>
                <w:iCs/>
              </w:rPr>
              <w:lastRenderedPageBreak/>
              <w:t>неделю</w:t>
            </w:r>
          </w:p>
          <w:p w14:paraId="08874995" w14:textId="77777777" w:rsidR="00FC3E67" w:rsidRPr="00F242DD" w:rsidRDefault="00FC3E67" w:rsidP="00655135">
            <w:pPr>
              <w:spacing w:before="0" w:after="0"/>
              <w:jc w:val="left"/>
              <w:rPr>
                <w:rFonts w:eastAsia="Times New Roman"/>
                <w:iCs/>
              </w:rPr>
            </w:pPr>
            <w:r w:rsidRPr="00F242DD">
              <w:rPr>
                <w:rFonts w:eastAsia="Times New Roman"/>
                <w:iCs/>
              </w:rPr>
              <w:t>дни: 1,</w:t>
            </w:r>
            <w:r w:rsidR="00655135" w:rsidRPr="00F242DD">
              <w:rPr>
                <w:rFonts w:eastAsia="Times New Roman"/>
                <w:iCs/>
              </w:rPr>
              <w:t xml:space="preserve"> </w:t>
            </w:r>
            <w:r w:rsidRPr="00F242DD">
              <w:rPr>
                <w:rFonts w:eastAsia="Times New Roman"/>
                <w:iCs/>
              </w:rPr>
              <w:t>8,</w:t>
            </w:r>
            <w:r w:rsidR="00655135" w:rsidRPr="00F242DD">
              <w:rPr>
                <w:rFonts w:eastAsia="Times New Roman"/>
                <w:iCs/>
              </w:rPr>
              <w:t xml:space="preserve"> </w:t>
            </w:r>
            <w:r w:rsidRPr="00F242DD">
              <w:rPr>
                <w:rFonts w:eastAsia="Times New Roman"/>
                <w:iCs/>
              </w:rPr>
              <w:t>15,</w:t>
            </w:r>
            <w:r w:rsidR="00655135" w:rsidRPr="00F242DD">
              <w:rPr>
                <w:rFonts w:eastAsia="Times New Roman"/>
                <w:iCs/>
              </w:rPr>
              <w:t xml:space="preserve"> </w:t>
            </w:r>
            <w:r w:rsidRPr="00F242DD">
              <w:rPr>
                <w:rFonts w:eastAsia="Times New Roman"/>
                <w:iCs/>
              </w:rPr>
              <w:t>22</w:t>
            </w:r>
            <w:r w:rsidR="00655135" w:rsidRPr="00F242DD">
              <w:rPr>
                <w:rFonts w:eastAsia="Times New Roman"/>
                <w:iCs/>
              </w:rPr>
              <w:t>-й</w:t>
            </w:r>
            <w:r w:rsidRPr="00F242DD">
              <w:rPr>
                <w:rFonts w:eastAsia="Times New Roman"/>
                <w:iCs/>
              </w:rPr>
              <w:t xml:space="preserve"> каждые 5 нед</w:t>
            </w:r>
          </w:p>
        </w:tc>
        <w:tc>
          <w:tcPr>
            <w:tcW w:w="2326" w:type="dxa"/>
            <w:tcBorders>
              <w:left w:val="single" w:sz="4" w:space="0" w:color="000000"/>
              <w:bottom w:val="single" w:sz="4" w:space="0" w:color="000000"/>
              <w:right w:val="single" w:sz="4" w:space="0" w:color="000000"/>
            </w:tcBorders>
            <w:shd w:val="clear" w:color="auto" w:fill="auto"/>
          </w:tcPr>
          <w:p w14:paraId="491E8ACE" w14:textId="77777777" w:rsidR="00FC3E67" w:rsidRPr="00F242DD" w:rsidRDefault="00FC3E67" w:rsidP="00131E36">
            <w:pPr>
              <w:snapToGrid w:val="0"/>
              <w:spacing w:before="0" w:after="0"/>
              <w:jc w:val="left"/>
              <w:rPr>
                <w:rFonts w:eastAsia="Times New Roman"/>
                <w:iCs/>
              </w:rPr>
            </w:pPr>
            <w:r w:rsidRPr="00F242DD">
              <w:rPr>
                <w:rFonts w:eastAsia="Times New Roman"/>
                <w:iCs/>
              </w:rPr>
              <w:lastRenderedPageBreak/>
              <w:t>1,0 мг/м</w:t>
            </w:r>
            <w:r w:rsidRPr="00F242DD">
              <w:rPr>
                <w:rFonts w:eastAsia="Times New Roman"/>
                <w:iCs/>
                <w:vertAlign w:val="superscript"/>
              </w:rPr>
              <w:t>2</w:t>
            </w:r>
            <w:r w:rsidRPr="00F242DD">
              <w:rPr>
                <w:rFonts w:eastAsia="Times New Roman"/>
                <w:iCs/>
              </w:rPr>
              <w:t xml:space="preserve"> 1 раз в </w:t>
            </w:r>
            <w:r w:rsidRPr="00F242DD">
              <w:rPr>
                <w:rFonts w:eastAsia="Times New Roman"/>
                <w:iCs/>
              </w:rPr>
              <w:lastRenderedPageBreak/>
              <w:t xml:space="preserve">неделю </w:t>
            </w:r>
          </w:p>
          <w:p w14:paraId="33BFEB16" w14:textId="77777777" w:rsidR="00FC3E67" w:rsidRPr="00F242DD" w:rsidRDefault="00FC3E67" w:rsidP="00655135">
            <w:pPr>
              <w:spacing w:before="0" w:after="0"/>
              <w:jc w:val="left"/>
              <w:rPr>
                <w:rFonts w:eastAsia="Times New Roman"/>
              </w:rPr>
            </w:pPr>
            <w:r w:rsidRPr="00F242DD">
              <w:rPr>
                <w:rFonts w:eastAsia="Times New Roman"/>
                <w:iCs/>
              </w:rPr>
              <w:t>дни: 1,</w:t>
            </w:r>
            <w:r w:rsidR="00655135" w:rsidRPr="00F242DD">
              <w:rPr>
                <w:rFonts w:eastAsia="Times New Roman"/>
                <w:iCs/>
              </w:rPr>
              <w:t xml:space="preserve"> </w:t>
            </w:r>
            <w:r w:rsidRPr="00F242DD">
              <w:rPr>
                <w:rFonts w:eastAsia="Times New Roman"/>
                <w:iCs/>
              </w:rPr>
              <w:t>8,</w:t>
            </w:r>
            <w:r w:rsidR="00655135" w:rsidRPr="00F242DD">
              <w:rPr>
                <w:rFonts w:eastAsia="Times New Roman"/>
                <w:iCs/>
              </w:rPr>
              <w:t xml:space="preserve"> </w:t>
            </w:r>
            <w:r w:rsidRPr="00F242DD">
              <w:rPr>
                <w:rFonts w:eastAsia="Times New Roman"/>
                <w:iCs/>
              </w:rPr>
              <w:t>15,</w:t>
            </w:r>
            <w:r w:rsidR="00655135" w:rsidRPr="00F242DD">
              <w:rPr>
                <w:rFonts w:eastAsia="Times New Roman"/>
                <w:iCs/>
              </w:rPr>
              <w:t xml:space="preserve"> </w:t>
            </w:r>
            <w:r w:rsidRPr="00F242DD">
              <w:rPr>
                <w:rFonts w:eastAsia="Times New Roman"/>
                <w:iCs/>
              </w:rPr>
              <w:t>22</w:t>
            </w:r>
            <w:r w:rsidR="00655135" w:rsidRPr="00F242DD">
              <w:rPr>
                <w:rFonts w:eastAsia="Times New Roman"/>
                <w:iCs/>
              </w:rPr>
              <w:t>-й</w:t>
            </w:r>
            <w:r w:rsidRPr="00F242DD">
              <w:rPr>
                <w:rFonts w:eastAsia="Times New Roman"/>
                <w:iCs/>
              </w:rPr>
              <w:t xml:space="preserve"> каждые 5 нед</w:t>
            </w:r>
          </w:p>
        </w:tc>
      </w:tr>
      <w:tr w:rsidR="00FC3E67" w:rsidRPr="00F242DD" w14:paraId="56016680" w14:textId="77777777" w:rsidTr="00E36DFA">
        <w:tc>
          <w:tcPr>
            <w:tcW w:w="1902" w:type="dxa"/>
            <w:tcBorders>
              <w:left w:val="single" w:sz="4" w:space="0" w:color="000000"/>
              <w:bottom w:val="single" w:sz="4" w:space="0" w:color="000000"/>
            </w:tcBorders>
            <w:shd w:val="clear" w:color="auto" w:fill="auto"/>
          </w:tcPr>
          <w:p w14:paraId="7A388DC2" w14:textId="77777777" w:rsidR="00FC3E67" w:rsidRPr="00F242DD" w:rsidRDefault="00FC3E67" w:rsidP="00131E36">
            <w:pPr>
              <w:snapToGrid w:val="0"/>
              <w:spacing w:before="0" w:after="0"/>
              <w:rPr>
                <w:rFonts w:eastAsia="Times New Roman"/>
              </w:rPr>
            </w:pPr>
            <w:r w:rsidRPr="00F242DD">
              <w:rPr>
                <w:rFonts w:eastAsia="Times New Roman"/>
              </w:rPr>
              <w:lastRenderedPageBreak/>
              <w:t>Л</w:t>
            </w:r>
            <w:r w:rsidRPr="00F242DD">
              <w:rPr>
                <w:rFonts w:eastAsia="Times New Roman"/>
                <w:lang w:val="en-US"/>
              </w:rPr>
              <w:t>еналидомид</w:t>
            </w:r>
            <w:r w:rsidR="007E7259" w:rsidRPr="00F242DD">
              <w:rPr>
                <w:rFonts w:eastAsia="Times New Roman"/>
              </w:rPr>
              <w:t xml:space="preserve">** </w:t>
            </w:r>
            <w:r w:rsidRPr="00F242DD">
              <w:rPr>
                <w:rFonts w:eastAsia="Times New Roman"/>
              </w:rPr>
              <w:t xml:space="preserve"> (с дексаметазоном</w:t>
            </w:r>
            <w:r w:rsidR="007E7259" w:rsidRPr="00F242DD">
              <w:rPr>
                <w:rFonts w:eastAsia="Times New Roman"/>
              </w:rPr>
              <w:t>**</w:t>
            </w:r>
            <w:r w:rsidRPr="00F242DD">
              <w:rPr>
                <w:rFonts w:eastAsia="Times New Roman"/>
              </w:rPr>
              <w:t>)</w:t>
            </w:r>
          </w:p>
        </w:tc>
        <w:tc>
          <w:tcPr>
            <w:tcW w:w="2186" w:type="dxa"/>
            <w:tcBorders>
              <w:left w:val="single" w:sz="4" w:space="0" w:color="000000"/>
              <w:bottom w:val="single" w:sz="4" w:space="0" w:color="000000"/>
            </w:tcBorders>
            <w:shd w:val="clear" w:color="auto" w:fill="auto"/>
          </w:tcPr>
          <w:p w14:paraId="66A34562" w14:textId="77777777" w:rsidR="00FC3E67" w:rsidRPr="00F242DD" w:rsidRDefault="00FC3E67" w:rsidP="00131E36">
            <w:pPr>
              <w:snapToGrid w:val="0"/>
              <w:spacing w:before="0" w:after="0"/>
              <w:jc w:val="left"/>
              <w:rPr>
                <w:rFonts w:eastAsia="Times New Roman"/>
              </w:rPr>
            </w:pPr>
            <w:r w:rsidRPr="00F242DD">
              <w:rPr>
                <w:rFonts w:eastAsia="Times New Roman"/>
              </w:rPr>
              <w:t>25 мг</w:t>
            </w:r>
            <w:r w:rsidR="0094530A" w:rsidRPr="00F242DD">
              <w:rPr>
                <w:rFonts w:eastAsia="Times New Roman"/>
              </w:rPr>
              <w:t xml:space="preserve"> в день</w:t>
            </w:r>
          </w:p>
          <w:p w14:paraId="20A9AED3" w14:textId="77777777" w:rsidR="00FC3E67" w:rsidRPr="00F242DD" w:rsidRDefault="00FC3E67" w:rsidP="00131E36">
            <w:pPr>
              <w:spacing w:before="0" w:after="0"/>
              <w:jc w:val="left"/>
              <w:rPr>
                <w:rFonts w:eastAsia="Times New Roman"/>
              </w:rPr>
            </w:pPr>
            <w:r w:rsidRPr="00F242DD">
              <w:rPr>
                <w:rFonts w:eastAsia="Times New Roman"/>
              </w:rPr>
              <w:t>дни: 1</w:t>
            </w:r>
            <w:r w:rsidR="00655135" w:rsidRPr="00F242DD">
              <w:rPr>
                <w:rFonts w:eastAsia="Times New Roman"/>
              </w:rPr>
              <w:t>−</w:t>
            </w:r>
            <w:r w:rsidRPr="00F242DD">
              <w:rPr>
                <w:rFonts w:eastAsia="Times New Roman"/>
              </w:rPr>
              <w:t>21</w:t>
            </w:r>
            <w:r w:rsidR="00655135" w:rsidRPr="00F242DD">
              <w:rPr>
                <w:rFonts w:eastAsia="Times New Roman"/>
              </w:rPr>
              <w:t>-й</w:t>
            </w:r>
            <w:r w:rsidRPr="00F242DD">
              <w:rPr>
                <w:rFonts w:eastAsia="Times New Roman"/>
              </w:rPr>
              <w:t xml:space="preserve"> </w:t>
            </w:r>
          </w:p>
          <w:p w14:paraId="28A48F8C" w14:textId="77777777" w:rsidR="00FC3E67" w:rsidRPr="00F242DD" w:rsidRDefault="00FC3E67" w:rsidP="00655135">
            <w:pPr>
              <w:spacing w:before="0" w:after="0"/>
              <w:jc w:val="left"/>
              <w:rPr>
                <w:rFonts w:eastAsia="Times New Roman"/>
              </w:rPr>
            </w:pPr>
            <w:r w:rsidRPr="00F242DD">
              <w:rPr>
                <w:rFonts w:eastAsia="Times New Roman"/>
              </w:rPr>
              <w:t>каждые 4 нед</w:t>
            </w:r>
          </w:p>
        </w:tc>
        <w:tc>
          <w:tcPr>
            <w:tcW w:w="2186" w:type="dxa"/>
            <w:tcBorders>
              <w:left w:val="single" w:sz="4" w:space="0" w:color="000000"/>
              <w:bottom w:val="single" w:sz="4" w:space="0" w:color="000000"/>
            </w:tcBorders>
            <w:shd w:val="clear" w:color="auto" w:fill="auto"/>
          </w:tcPr>
          <w:p w14:paraId="4C23BEDB" w14:textId="77777777" w:rsidR="00FC3E67" w:rsidRPr="00F242DD" w:rsidRDefault="00FC3E67" w:rsidP="00131E36">
            <w:pPr>
              <w:snapToGrid w:val="0"/>
              <w:spacing w:before="0" w:after="0"/>
              <w:jc w:val="left"/>
              <w:rPr>
                <w:rFonts w:eastAsia="Times New Roman"/>
              </w:rPr>
            </w:pPr>
            <w:r w:rsidRPr="00F242DD">
              <w:rPr>
                <w:rFonts w:eastAsia="Times New Roman"/>
              </w:rPr>
              <w:t>15 мг</w:t>
            </w:r>
            <w:r w:rsidR="0094530A" w:rsidRPr="00F242DD">
              <w:rPr>
                <w:rFonts w:eastAsia="Times New Roman"/>
              </w:rPr>
              <w:t xml:space="preserve"> в день</w:t>
            </w:r>
          </w:p>
          <w:p w14:paraId="125DBEF6" w14:textId="77777777" w:rsidR="00FC3E67" w:rsidRPr="00F242DD" w:rsidRDefault="00FC3E67" w:rsidP="00131E36">
            <w:pPr>
              <w:spacing w:before="0" w:after="0"/>
              <w:jc w:val="left"/>
              <w:rPr>
                <w:rFonts w:eastAsia="Times New Roman"/>
              </w:rPr>
            </w:pPr>
            <w:r w:rsidRPr="00F242DD">
              <w:rPr>
                <w:rFonts w:eastAsia="Times New Roman"/>
              </w:rPr>
              <w:t>дни: 1</w:t>
            </w:r>
            <w:r w:rsidR="00655135" w:rsidRPr="00F242DD">
              <w:rPr>
                <w:rFonts w:eastAsia="Times New Roman"/>
              </w:rPr>
              <w:t>−</w:t>
            </w:r>
            <w:r w:rsidRPr="00F242DD">
              <w:rPr>
                <w:rFonts w:eastAsia="Times New Roman"/>
              </w:rPr>
              <w:t>21</w:t>
            </w:r>
            <w:r w:rsidR="00655135" w:rsidRPr="00F242DD">
              <w:rPr>
                <w:rFonts w:eastAsia="Times New Roman"/>
              </w:rPr>
              <w:t>-й</w:t>
            </w:r>
            <w:r w:rsidRPr="00F242DD">
              <w:rPr>
                <w:rFonts w:eastAsia="Times New Roman"/>
              </w:rPr>
              <w:t xml:space="preserve"> </w:t>
            </w:r>
          </w:p>
          <w:p w14:paraId="3173B052" w14:textId="77777777" w:rsidR="00FC3E67" w:rsidRPr="00F242DD" w:rsidRDefault="00FC3E67" w:rsidP="00655135">
            <w:pPr>
              <w:spacing w:before="0" w:after="0"/>
              <w:jc w:val="left"/>
              <w:rPr>
                <w:rFonts w:eastAsia="Times New Roman"/>
              </w:rPr>
            </w:pPr>
            <w:r w:rsidRPr="00F242DD">
              <w:rPr>
                <w:rFonts w:eastAsia="Times New Roman"/>
              </w:rPr>
              <w:t>каждые 4 нед</w:t>
            </w:r>
          </w:p>
        </w:tc>
        <w:tc>
          <w:tcPr>
            <w:tcW w:w="2326" w:type="dxa"/>
            <w:tcBorders>
              <w:left w:val="single" w:sz="4" w:space="0" w:color="000000"/>
              <w:bottom w:val="single" w:sz="4" w:space="0" w:color="000000"/>
              <w:right w:val="single" w:sz="4" w:space="0" w:color="000000"/>
            </w:tcBorders>
            <w:shd w:val="clear" w:color="auto" w:fill="auto"/>
          </w:tcPr>
          <w:p w14:paraId="3E40022C" w14:textId="77777777" w:rsidR="00FC3E67" w:rsidRPr="00F242DD" w:rsidRDefault="00FC3E67" w:rsidP="00131E36">
            <w:pPr>
              <w:snapToGrid w:val="0"/>
              <w:spacing w:before="0" w:after="0"/>
              <w:jc w:val="left"/>
              <w:rPr>
                <w:rFonts w:eastAsia="Times New Roman"/>
              </w:rPr>
            </w:pPr>
            <w:r w:rsidRPr="00F242DD">
              <w:rPr>
                <w:rFonts w:eastAsia="Times New Roman"/>
              </w:rPr>
              <w:t>10 мг</w:t>
            </w:r>
            <w:r w:rsidR="0094530A" w:rsidRPr="00F242DD">
              <w:rPr>
                <w:rFonts w:eastAsia="Times New Roman"/>
              </w:rPr>
              <w:t xml:space="preserve"> в день</w:t>
            </w:r>
          </w:p>
          <w:p w14:paraId="38A0174B" w14:textId="77777777" w:rsidR="00FC3E67" w:rsidRPr="00F242DD" w:rsidRDefault="00FC3E67" w:rsidP="00131E36">
            <w:pPr>
              <w:spacing w:before="0" w:after="0"/>
              <w:jc w:val="left"/>
              <w:rPr>
                <w:rFonts w:eastAsia="Times New Roman"/>
              </w:rPr>
            </w:pPr>
            <w:r w:rsidRPr="00F242DD">
              <w:rPr>
                <w:rFonts w:eastAsia="Times New Roman"/>
              </w:rPr>
              <w:t>дни: 1</w:t>
            </w:r>
            <w:r w:rsidR="00655135" w:rsidRPr="00F242DD">
              <w:rPr>
                <w:rFonts w:eastAsia="Times New Roman"/>
              </w:rPr>
              <w:t>−21-й</w:t>
            </w:r>
          </w:p>
          <w:p w14:paraId="70AA72C2" w14:textId="77777777" w:rsidR="00FC3E67" w:rsidRPr="00F242DD" w:rsidRDefault="00FC3E67" w:rsidP="00655135">
            <w:pPr>
              <w:spacing w:before="0" w:after="0"/>
              <w:jc w:val="left"/>
              <w:rPr>
                <w:rFonts w:eastAsia="Times New Roman"/>
              </w:rPr>
            </w:pPr>
            <w:r w:rsidRPr="00F242DD">
              <w:rPr>
                <w:rFonts w:eastAsia="Times New Roman"/>
              </w:rPr>
              <w:t>каждые 4 нед</w:t>
            </w:r>
          </w:p>
        </w:tc>
      </w:tr>
      <w:tr w:rsidR="00FC3E67" w:rsidRPr="00F242DD" w14:paraId="5050F69E" w14:textId="77777777" w:rsidTr="00E36DFA">
        <w:tc>
          <w:tcPr>
            <w:tcW w:w="1902" w:type="dxa"/>
            <w:tcBorders>
              <w:top w:val="single" w:sz="4" w:space="0" w:color="000000"/>
              <w:left w:val="single" w:sz="4" w:space="0" w:color="000000"/>
              <w:bottom w:val="single" w:sz="4" w:space="0" w:color="000000"/>
            </w:tcBorders>
            <w:shd w:val="clear" w:color="auto" w:fill="auto"/>
          </w:tcPr>
          <w:p w14:paraId="0EC6173E" w14:textId="77777777" w:rsidR="00FC3E67" w:rsidRPr="00F242DD" w:rsidRDefault="00FC3E67" w:rsidP="00131E36">
            <w:pPr>
              <w:snapToGrid w:val="0"/>
              <w:spacing w:before="0" w:after="0"/>
              <w:rPr>
                <w:rFonts w:eastAsia="Times New Roman"/>
              </w:rPr>
            </w:pPr>
            <w:r w:rsidRPr="00F242DD">
              <w:rPr>
                <w:rFonts w:eastAsia="Times New Roman"/>
                <w:lang w:val="en-US"/>
              </w:rPr>
              <w:t>Дексаметазон</w:t>
            </w:r>
            <w:r w:rsidR="007E7259" w:rsidRPr="00F242DD">
              <w:rPr>
                <w:rFonts w:eastAsia="Times New Roman"/>
              </w:rPr>
              <w:t>**</w:t>
            </w:r>
          </w:p>
        </w:tc>
        <w:tc>
          <w:tcPr>
            <w:tcW w:w="2186" w:type="dxa"/>
            <w:tcBorders>
              <w:top w:val="single" w:sz="4" w:space="0" w:color="000000"/>
              <w:left w:val="single" w:sz="4" w:space="0" w:color="000000"/>
              <w:bottom w:val="single" w:sz="4" w:space="0" w:color="000000"/>
            </w:tcBorders>
            <w:shd w:val="clear" w:color="auto" w:fill="auto"/>
          </w:tcPr>
          <w:p w14:paraId="607657B9" w14:textId="77777777" w:rsidR="00FC3E67" w:rsidRPr="00F242DD" w:rsidRDefault="00FC3E67" w:rsidP="00131E36">
            <w:pPr>
              <w:snapToGrid w:val="0"/>
              <w:spacing w:before="0" w:after="0"/>
              <w:jc w:val="left"/>
              <w:rPr>
                <w:rFonts w:eastAsia="Times New Roman"/>
              </w:rPr>
            </w:pPr>
            <w:r w:rsidRPr="00F242DD">
              <w:rPr>
                <w:rFonts w:eastAsia="Times New Roman"/>
              </w:rPr>
              <w:t>40 мг</w:t>
            </w:r>
            <w:r w:rsidR="0094530A" w:rsidRPr="00F242DD">
              <w:rPr>
                <w:rFonts w:eastAsia="Times New Roman"/>
              </w:rPr>
              <w:t xml:space="preserve"> в день</w:t>
            </w:r>
          </w:p>
          <w:p w14:paraId="371048DF" w14:textId="77777777" w:rsidR="00FC3E67" w:rsidRPr="00F242DD" w:rsidRDefault="00FC3E67" w:rsidP="00655135">
            <w:pPr>
              <w:spacing w:before="0" w:after="0"/>
              <w:jc w:val="left"/>
              <w:rPr>
                <w:rFonts w:eastAsia="Times New Roman"/>
              </w:rPr>
            </w:pPr>
            <w:r w:rsidRPr="00F242DD">
              <w:rPr>
                <w:rFonts w:eastAsia="Times New Roman"/>
              </w:rPr>
              <w:t>дни: 1,</w:t>
            </w:r>
            <w:r w:rsidR="00655135" w:rsidRPr="00F242DD">
              <w:rPr>
                <w:rFonts w:eastAsia="Times New Roman"/>
              </w:rPr>
              <w:t xml:space="preserve"> </w:t>
            </w:r>
            <w:r w:rsidRPr="00F242DD">
              <w:rPr>
                <w:rFonts w:eastAsia="Times New Roman"/>
              </w:rPr>
              <w:t>8,</w:t>
            </w:r>
            <w:r w:rsidR="00655135" w:rsidRPr="00F242DD">
              <w:rPr>
                <w:rFonts w:eastAsia="Times New Roman"/>
              </w:rPr>
              <w:t xml:space="preserve"> </w:t>
            </w:r>
            <w:r w:rsidRPr="00F242DD">
              <w:rPr>
                <w:rFonts w:eastAsia="Times New Roman"/>
              </w:rPr>
              <w:t>15,</w:t>
            </w:r>
            <w:r w:rsidR="00655135" w:rsidRPr="00F242DD">
              <w:rPr>
                <w:rFonts w:eastAsia="Times New Roman"/>
              </w:rPr>
              <w:t xml:space="preserve"> </w:t>
            </w:r>
            <w:r w:rsidRPr="00F242DD">
              <w:rPr>
                <w:rFonts w:eastAsia="Times New Roman"/>
              </w:rPr>
              <w:t>22</w:t>
            </w:r>
            <w:r w:rsidR="00655135" w:rsidRPr="00F242DD">
              <w:rPr>
                <w:rFonts w:eastAsia="Times New Roman"/>
              </w:rPr>
              <w:t>-й</w:t>
            </w:r>
            <w:r w:rsidRPr="00F242DD">
              <w:rPr>
                <w:rFonts w:eastAsia="Times New Roman"/>
              </w:rPr>
              <w:t xml:space="preserve"> каждые 4 нед </w:t>
            </w:r>
          </w:p>
        </w:tc>
        <w:tc>
          <w:tcPr>
            <w:tcW w:w="2186" w:type="dxa"/>
            <w:tcBorders>
              <w:top w:val="single" w:sz="4" w:space="0" w:color="000000"/>
              <w:left w:val="single" w:sz="4" w:space="0" w:color="000000"/>
              <w:bottom w:val="single" w:sz="4" w:space="0" w:color="000000"/>
            </w:tcBorders>
            <w:shd w:val="clear" w:color="auto" w:fill="auto"/>
          </w:tcPr>
          <w:p w14:paraId="06C865BD" w14:textId="77777777" w:rsidR="00FC3E67" w:rsidRPr="00F242DD" w:rsidRDefault="00FC3E67" w:rsidP="00131E36">
            <w:pPr>
              <w:snapToGrid w:val="0"/>
              <w:spacing w:before="0" w:after="0"/>
              <w:jc w:val="left"/>
              <w:rPr>
                <w:rFonts w:eastAsia="Times New Roman"/>
              </w:rPr>
            </w:pPr>
            <w:r w:rsidRPr="00F242DD">
              <w:rPr>
                <w:rFonts w:eastAsia="Times New Roman"/>
              </w:rPr>
              <w:t>20 мг</w:t>
            </w:r>
            <w:r w:rsidR="0094530A" w:rsidRPr="00F242DD">
              <w:rPr>
                <w:rFonts w:eastAsia="Times New Roman"/>
              </w:rPr>
              <w:t xml:space="preserve"> в день</w:t>
            </w:r>
          </w:p>
          <w:p w14:paraId="50F3A527" w14:textId="77777777" w:rsidR="00FC3E67" w:rsidRPr="00F242DD" w:rsidRDefault="00FC3E67" w:rsidP="00EC0B58">
            <w:pPr>
              <w:spacing w:before="0" w:after="0"/>
              <w:jc w:val="left"/>
              <w:rPr>
                <w:rFonts w:eastAsia="Times New Roman"/>
              </w:rPr>
            </w:pPr>
            <w:r w:rsidRPr="00F242DD">
              <w:rPr>
                <w:rFonts w:eastAsia="Times New Roman"/>
              </w:rPr>
              <w:t>дни: 1,</w:t>
            </w:r>
            <w:r w:rsidR="00EC0B58" w:rsidRPr="00F242DD">
              <w:rPr>
                <w:rFonts w:eastAsia="Times New Roman"/>
              </w:rPr>
              <w:t xml:space="preserve"> </w:t>
            </w:r>
            <w:r w:rsidRPr="00F242DD">
              <w:rPr>
                <w:rFonts w:eastAsia="Times New Roman"/>
              </w:rPr>
              <w:t>8,</w:t>
            </w:r>
            <w:r w:rsidR="00EC0B58" w:rsidRPr="00F242DD">
              <w:rPr>
                <w:rFonts w:eastAsia="Times New Roman"/>
              </w:rPr>
              <w:t xml:space="preserve"> </w:t>
            </w:r>
            <w:r w:rsidRPr="00F242DD">
              <w:rPr>
                <w:rFonts w:eastAsia="Times New Roman"/>
              </w:rPr>
              <w:t>15,</w:t>
            </w:r>
            <w:r w:rsidR="00EC0B58" w:rsidRPr="00F242DD">
              <w:rPr>
                <w:rFonts w:eastAsia="Times New Roman"/>
              </w:rPr>
              <w:t xml:space="preserve"> 22-й </w:t>
            </w:r>
            <w:r w:rsidRPr="00F242DD">
              <w:rPr>
                <w:rFonts w:eastAsia="Times New Roman"/>
              </w:rPr>
              <w:t>каждые 4 нед</w:t>
            </w:r>
          </w:p>
        </w:tc>
        <w:tc>
          <w:tcPr>
            <w:tcW w:w="2326" w:type="dxa"/>
            <w:tcBorders>
              <w:top w:val="single" w:sz="4" w:space="0" w:color="000000"/>
              <w:left w:val="single" w:sz="4" w:space="0" w:color="000000"/>
              <w:bottom w:val="single" w:sz="4" w:space="0" w:color="000000"/>
              <w:right w:val="single" w:sz="4" w:space="0" w:color="000000"/>
            </w:tcBorders>
            <w:shd w:val="clear" w:color="auto" w:fill="auto"/>
          </w:tcPr>
          <w:p w14:paraId="2E13AA6D" w14:textId="77777777" w:rsidR="00FC3E67" w:rsidRPr="00F242DD" w:rsidRDefault="00FC3E67" w:rsidP="00131E36">
            <w:pPr>
              <w:snapToGrid w:val="0"/>
              <w:spacing w:before="0" w:after="0"/>
              <w:jc w:val="left"/>
              <w:rPr>
                <w:rFonts w:eastAsia="Times New Roman"/>
              </w:rPr>
            </w:pPr>
            <w:r w:rsidRPr="00F242DD">
              <w:rPr>
                <w:rFonts w:eastAsia="Times New Roman"/>
              </w:rPr>
              <w:t>10 мг</w:t>
            </w:r>
            <w:r w:rsidR="0094530A" w:rsidRPr="00F242DD">
              <w:rPr>
                <w:rFonts w:eastAsia="Times New Roman"/>
              </w:rPr>
              <w:t xml:space="preserve"> в день</w:t>
            </w:r>
          </w:p>
          <w:p w14:paraId="437DE898" w14:textId="77777777" w:rsidR="00FC3E67" w:rsidRPr="00F242DD" w:rsidRDefault="00FC3E67" w:rsidP="00EC0B58">
            <w:pPr>
              <w:spacing w:before="0" w:after="0"/>
              <w:jc w:val="left"/>
              <w:rPr>
                <w:rFonts w:eastAsia="Times New Roman"/>
              </w:rPr>
            </w:pPr>
            <w:r w:rsidRPr="00F242DD">
              <w:rPr>
                <w:rFonts w:eastAsia="Times New Roman"/>
              </w:rPr>
              <w:t>дни: 1,</w:t>
            </w:r>
            <w:r w:rsidR="00EC0B58" w:rsidRPr="00F242DD">
              <w:rPr>
                <w:rFonts w:eastAsia="Times New Roman"/>
              </w:rPr>
              <w:t xml:space="preserve"> </w:t>
            </w:r>
            <w:r w:rsidRPr="00F242DD">
              <w:rPr>
                <w:rFonts w:eastAsia="Times New Roman"/>
              </w:rPr>
              <w:t>8,</w:t>
            </w:r>
            <w:r w:rsidR="00EC0B58" w:rsidRPr="00F242DD">
              <w:rPr>
                <w:rFonts w:eastAsia="Times New Roman"/>
              </w:rPr>
              <w:t xml:space="preserve"> </w:t>
            </w:r>
            <w:r w:rsidRPr="00F242DD">
              <w:rPr>
                <w:rFonts w:eastAsia="Times New Roman"/>
              </w:rPr>
              <w:t>15,</w:t>
            </w:r>
            <w:r w:rsidR="00EC0B58" w:rsidRPr="00F242DD">
              <w:rPr>
                <w:rFonts w:eastAsia="Times New Roman"/>
              </w:rPr>
              <w:t xml:space="preserve"> </w:t>
            </w:r>
            <w:r w:rsidRPr="00F242DD">
              <w:rPr>
                <w:rFonts w:eastAsia="Times New Roman"/>
              </w:rPr>
              <w:t>22</w:t>
            </w:r>
            <w:r w:rsidR="00EC0B58" w:rsidRPr="00F242DD">
              <w:rPr>
                <w:rFonts w:eastAsia="Times New Roman"/>
              </w:rPr>
              <w:t>-й</w:t>
            </w:r>
            <w:r w:rsidRPr="00F242DD">
              <w:rPr>
                <w:rFonts w:eastAsia="Times New Roman"/>
              </w:rPr>
              <w:t xml:space="preserve"> каждые 4 нед</w:t>
            </w:r>
          </w:p>
        </w:tc>
      </w:tr>
      <w:tr w:rsidR="00FC3E67" w:rsidRPr="00F242DD" w14:paraId="7814B92F" w14:textId="77777777" w:rsidTr="00E36DFA">
        <w:tc>
          <w:tcPr>
            <w:tcW w:w="1902" w:type="dxa"/>
            <w:tcBorders>
              <w:top w:val="single" w:sz="4" w:space="0" w:color="000000"/>
              <w:left w:val="single" w:sz="4" w:space="0" w:color="000000"/>
              <w:bottom w:val="single" w:sz="4" w:space="0" w:color="000000"/>
            </w:tcBorders>
            <w:shd w:val="clear" w:color="auto" w:fill="auto"/>
          </w:tcPr>
          <w:p w14:paraId="4D11FEB6" w14:textId="77777777" w:rsidR="00FC3E67" w:rsidRPr="00F242DD" w:rsidRDefault="00FC3E67" w:rsidP="00131E36">
            <w:pPr>
              <w:snapToGrid w:val="0"/>
              <w:spacing w:before="0" w:after="0"/>
              <w:rPr>
                <w:rFonts w:eastAsia="Times New Roman"/>
                <w:iCs/>
              </w:rPr>
            </w:pPr>
            <w:r w:rsidRPr="00F242DD">
              <w:rPr>
                <w:rFonts w:eastAsia="Times New Roman"/>
                <w:lang w:val="en-US"/>
              </w:rPr>
              <w:t>Мелфалан</w:t>
            </w:r>
            <w:r w:rsidR="007E7259" w:rsidRPr="00F242DD">
              <w:rPr>
                <w:rFonts w:eastAsia="Times New Roman"/>
              </w:rPr>
              <w:t>**</w:t>
            </w:r>
          </w:p>
        </w:tc>
        <w:tc>
          <w:tcPr>
            <w:tcW w:w="2186" w:type="dxa"/>
            <w:tcBorders>
              <w:top w:val="single" w:sz="4" w:space="0" w:color="000000"/>
              <w:left w:val="single" w:sz="4" w:space="0" w:color="000000"/>
              <w:bottom w:val="single" w:sz="4" w:space="0" w:color="000000"/>
            </w:tcBorders>
            <w:shd w:val="clear" w:color="auto" w:fill="auto"/>
          </w:tcPr>
          <w:p w14:paraId="46657ADC" w14:textId="77777777" w:rsidR="00FC3E67" w:rsidRPr="00F242DD" w:rsidRDefault="00FC3E67" w:rsidP="00131E36">
            <w:pPr>
              <w:shd w:val="clear" w:color="auto" w:fill="FFFFFF"/>
              <w:snapToGrid w:val="0"/>
              <w:spacing w:before="0" w:after="0"/>
              <w:jc w:val="left"/>
              <w:rPr>
                <w:rFonts w:eastAsia="Times New Roman"/>
                <w:iCs/>
              </w:rPr>
            </w:pPr>
            <w:r w:rsidRPr="00F242DD">
              <w:rPr>
                <w:rFonts w:eastAsia="Times New Roman"/>
                <w:iCs/>
              </w:rPr>
              <w:t xml:space="preserve"> 0,25 мг/кг или 9 мг/м</w:t>
            </w:r>
            <w:r w:rsidRPr="00F242DD">
              <w:rPr>
                <w:rFonts w:eastAsia="Times New Roman"/>
                <w:iCs/>
                <w:vertAlign w:val="superscript"/>
              </w:rPr>
              <w:t>2</w:t>
            </w:r>
          </w:p>
          <w:p w14:paraId="3E273598" w14:textId="77777777" w:rsidR="00FC3E67" w:rsidRPr="00F242DD" w:rsidRDefault="00FC3E67" w:rsidP="00131E36">
            <w:pPr>
              <w:shd w:val="clear" w:color="auto" w:fill="FFFFFF"/>
              <w:snapToGrid w:val="0"/>
              <w:spacing w:before="0" w:after="0"/>
              <w:jc w:val="left"/>
              <w:rPr>
                <w:rFonts w:eastAsia="Times New Roman"/>
                <w:iCs/>
              </w:rPr>
            </w:pPr>
            <w:r w:rsidRPr="00F242DD">
              <w:rPr>
                <w:rFonts w:eastAsia="Times New Roman"/>
                <w:iCs/>
              </w:rPr>
              <w:t>дни: 1</w:t>
            </w:r>
            <w:r w:rsidR="00EC0B58" w:rsidRPr="00F242DD">
              <w:rPr>
                <w:rFonts w:eastAsia="Times New Roman"/>
                <w:iCs/>
              </w:rPr>
              <w:t>−</w:t>
            </w:r>
            <w:r w:rsidRPr="00F242DD">
              <w:rPr>
                <w:rFonts w:eastAsia="Times New Roman"/>
                <w:iCs/>
              </w:rPr>
              <w:t>4</w:t>
            </w:r>
            <w:r w:rsidR="00EC0B58" w:rsidRPr="00F242DD">
              <w:rPr>
                <w:rFonts w:eastAsia="Times New Roman"/>
                <w:iCs/>
              </w:rPr>
              <w:t>-й</w:t>
            </w:r>
            <w:r w:rsidRPr="00F242DD">
              <w:rPr>
                <w:rFonts w:eastAsia="Times New Roman"/>
                <w:iCs/>
              </w:rPr>
              <w:t xml:space="preserve"> </w:t>
            </w:r>
          </w:p>
          <w:p w14:paraId="013FE2BC" w14:textId="77777777" w:rsidR="00FC3E67" w:rsidRPr="00F242DD" w:rsidRDefault="00FC3E67" w:rsidP="00EC0B58">
            <w:pPr>
              <w:shd w:val="clear" w:color="auto" w:fill="FFFFFF"/>
              <w:snapToGrid w:val="0"/>
              <w:spacing w:before="0" w:after="0"/>
              <w:jc w:val="left"/>
              <w:rPr>
                <w:rFonts w:eastAsia="Times New Roman"/>
              </w:rPr>
            </w:pPr>
            <w:r w:rsidRPr="00F242DD">
              <w:rPr>
                <w:rFonts w:eastAsia="Times New Roman"/>
                <w:iCs/>
              </w:rPr>
              <w:t>каждые 4</w:t>
            </w:r>
            <w:r w:rsidR="00EC0B58" w:rsidRPr="00F242DD">
              <w:rPr>
                <w:rFonts w:eastAsia="Times New Roman"/>
                <w:iCs/>
              </w:rPr>
              <w:t>−</w:t>
            </w:r>
            <w:r w:rsidRPr="00F242DD">
              <w:rPr>
                <w:rFonts w:eastAsia="Times New Roman"/>
                <w:iCs/>
              </w:rPr>
              <w:t>6 нед</w:t>
            </w:r>
          </w:p>
        </w:tc>
        <w:tc>
          <w:tcPr>
            <w:tcW w:w="2186" w:type="dxa"/>
            <w:tcBorders>
              <w:top w:val="single" w:sz="4" w:space="0" w:color="000000"/>
              <w:left w:val="single" w:sz="4" w:space="0" w:color="000000"/>
              <w:bottom w:val="single" w:sz="4" w:space="0" w:color="000000"/>
            </w:tcBorders>
            <w:shd w:val="clear" w:color="auto" w:fill="auto"/>
          </w:tcPr>
          <w:p w14:paraId="0AEA09F6" w14:textId="77777777" w:rsidR="00FC3E67" w:rsidRPr="00F242DD" w:rsidRDefault="00FC3E67" w:rsidP="00131E36">
            <w:pPr>
              <w:snapToGrid w:val="0"/>
              <w:spacing w:before="0" w:after="0"/>
              <w:jc w:val="left"/>
              <w:rPr>
                <w:rFonts w:eastAsia="Times New Roman"/>
              </w:rPr>
            </w:pPr>
            <w:r w:rsidRPr="00F242DD">
              <w:rPr>
                <w:rFonts w:eastAsia="Times New Roman"/>
              </w:rPr>
              <w:t>0,18 мг/кг или 7,5 мг/м</w:t>
            </w:r>
            <w:r w:rsidRPr="00F242DD">
              <w:rPr>
                <w:rFonts w:eastAsia="Times New Roman"/>
                <w:vertAlign w:val="superscript"/>
              </w:rPr>
              <w:t xml:space="preserve">2 </w:t>
            </w:r>
          </w:p>
          <w:p w14:paraId="4F8CD6AB" w14:textId="77777777" w:rsidR="00FC3E67" w:rsidRPr="00F242DD" w:rsidRDefault="00FC3E67" w:rsidP="00131E36">
            <w:pPr>
              <w:spacing w:before="0" w:after="0"/>
              <w:jc w:val="left"/>
              <w:rPr>
                <w:rFonts w:eastAsia="Times New Roman"/>
              </w:rPr>
            </w:pPr>
            <w:r w:rsidRPr="00F242DD">
              <w:rPr>
                <w:rFonts w:eastAsia="Times New Roman"/>
              </w:rPr>
              <w:t>дни: 1</w:t>
            </w:r>
            <w:r w:rsidR="00EC0B58" w:rsidRPr="00F242DD">
              <w:rPr>
                <w:rFonts w:eastAsia="Times New Roman"/>
              </w:rPr>
              <w:t>−</w:t>
            </w:r>
            <w:r w:rsidRPr="00F242DD">
              <w:rPr>
                <w:rFonts w:eastAsia="Times New Roman"/>
              </w:rPr>
              <w:t>4</w:t>
            </w:r>
            <w:r w:rsidR="00EC0B58" w:rsidRPr="00F242DD">
              <w:rPr>
                <w:rFonts w:eastAsia="Times New Roman"/>
              </w:rPr>
              <w:t>-й</w:t>
            </w:r>
            <w:r w:rsidRPr="00F242DD">
              <w:rPr>
                <w:rFonts w:eastAsia="Times New Roman"/>
              </w:rPr>
              <w:t xml:space="preserve"> </w:t>
            </w:r>
          </w:p>
          <w:p w14:paraId="69143B38" w14:textId="77777777" w:rsidR="00FC3E67" w:rsidRPr="00F242DD" w:rsidRDefault="00FC3E67" w:rsidP="00EC0B58">
            <w:pPr>
              <w:spacing w:before="0" w:after="0"/>
              <w:jc w:val="left"/>
              <w:rPr>
                <w:rFonts w:eastAsia="Times New Roman"/>
              </w:rPr>
            </w:pPr>
            <w:r w:rsidRPr="00F242DD">
              <w:rPr>
                <w:rFonts w:eastAsia="Times New Roman"/>
              </w:rPr>
              <w:t>каждые 4</w:t>
            </w:r>
            <w:r w:rsidR="00EC0B58" w:rsidRPr="00F242DD">
              <w:rPr>
                <w:rFonts w:eastAsia="Times New Roman"/>
              </w:rPr>
              <w:t>−</w:t>
            </w:r>
            <w:r w:rsidRPr="00F242DD">
              <w:rPr>
                <w:rFonts w:eastAsia="Times New Roman"/>
              </w:rPr>
              <w:t>6 нед</w:t>
            </w:r>
          </w:p>
        </w:tc>
        <w:tc>
          <w:tcPr>
            <w:tcW w:w="2326" w:type="dxa"/>
            <w:tcBorders>
              <w:top w:val="single" w:sz="4" w:space="0" w:color="000000"/>
              <w:left w:val="single" w:sz="4" w:space="0" w:color="000000"/>
              <w:bottom w:val="single" w:sz="4" w:space="0" w:color="000000"/>
              <w:right w:val="single" w:sz="4" w:space="0" w:color="000000"/>
            </w:tcBorders>
            <w:shd w:val="clear" w:color="auto" w:fill="auto"/>
          </w:tcPr>
          <w:p w14:paraId="4830B473" w14:textId="77777777" w:rsidR="00FC3E67" w:rsidRPr="00F242DD" w:rsidRDefault="00FC3E67" w:rsidP="00131E36">
            <w:pPr>
              <w:snapToGrid w:val="0"/>
              <w:spacing w:before="0" w:after="0"/>
              <w:jc w:val="left"/>
              <w:rPr>
                <w:rFonts w:eastAsia="Times New Roman"/>
              </w:rPr>
            </w:pPr>
            <w:r w:rsidRPr="00F242DD">
              <w:rPr>
                <w:rFonts w:eastAsia="Times New Roman"/>
              </w:rPr>
              <w:t>0,13 мг/кг или 5 мг/м</w:t>
            </w:r>
            <w:r w:rsidRPr="00F242DD">
              <w:rPr>
                <w:rFonts w:eastAsia="Times New Roman"/>
                <w:vertAlign w:val="superscript"/>
              </w:rPr>
              <w:t xml:space="preserve">2 </w:t>
            </w:r>
          </w:p>
          <w:p w14:paraId="0F878934" w14:textId="77777777" w:rsidR="00FC3E67" w:rsidRPr="00F242DD" w:rsidRDefault="00FC3E67" w:rsidP="00131E36">
            <w:pPr>
              <w:spacing w:before="0" w:after="0"/>
              <w:jc w:val="left"/>
              <w:rPr>
                <w:rFonts w:eastAsia="Times New Roman"/>
              </w:rPr>
            </w:pPr>
            <w:r w:rsidRPr="00F242DD">
              <w:rPr>
                <w:rFonts w:eastAsia="Times New Roman"/>
              </w:rPr>
              <w:t>дни: 1</w:t>
            </w:r>
            <w:r w:rsidR="00EC0B58" w:rsidRPr="00F242DD">
              <w:rPr>
                <w:rFonts w:eastAsia="Times New Roman"/>
              </w:rPr>
              <w:t>−</w:t>
            </w:r>
            <w:r w:rsidRPr="00F242DD">
              <w:rPr>
                <w:rFonts w:eastAsia="Times New Roman"/>
              </w:rPr>
              <w:t>4</w:t>
            </w:r>
            <w:r w:rsidR="00EC0B58" w:rsidRPr="00F242DD">
              <w:rPr>
                <w:rFonts w:eastAsia="Times New Roman"/>
              </w:rPr>
              <w:t>-й</w:t>
            </w:r>
            <w:r w:rsidRPr="00F242DD">
              <w:rPr>
                <w:rFonts w:eastAsia="Times New Roman"/>
              </w:rPr>
              <w:t xml:space="preserve"> </w:t>
            </w:r>
          </w:p>
          <w:p w14:paraId="5DA7592B" w14:textId="77777777" w:rsidR="00FC3E67" w:rsidRPr="00F242DD" w:rsidRDefault="00FC3E67" w:rsidP="00EC0B58">
            <w:pPr>
              <w:spacing w:before="0" w:after="0"/>
              <w:jc w:val="left"/>
              <w:rPr>
                <w:rFonts w:eastAsia="Times New Roman"/>
                <w:lang w:val="en-US"/>
              </w:rPr>
            </w:pPr>
            <w:r w:rsidRPr="00F242DD">
              <w:rPr>
                <w:rFonts w:eastAsia="Times New Roman"/>
              </w:rPr>
              <w:t>каждые 4</w:t>
            </w:r>
            <w:r w:rsidR="00EC0B58" w:rsidRPr="00F242DD">
              <w:rPr>
                <w:rFonts w:eastAsia="Times New Roman"/>
              </w:rPr>
              <w:t>−</w:t>
            </w:r>
            <w:r w:rsidRPr="00F242DD">
              <w:rPr>
                <w:rFonts w:eastAsia="Times New Roman"/>
              </w:rPr>
              <w:t>6 нед</w:t>
            </w:r>
          </w:p>
        </w:tc>
      </w:tr>
      <w:tr w:rsidR="00FC3E67" w:rsidRPr="00F242DD" w14:paraId="08516960" w14:textId="77777777" w:rsidTr="00E36DFA">
        <w:tc>
          <w:tcPr>
            <w:tcW w:w="1902" w:type="dxa"/>
            <w:tcBorders>
              <w:top w:val="single" w:sz="4" w:space="0" w:color="000000"/>
              <w:left w:val="single" w:sz="4" w:space="0" w:color="000000"/>
              <w:bottom w:val="single" w:sz="4" w:space="0" w:color="000000"/>
            </w:tcBorders>
            <w:shd w:val="clear" w:color="auto" w:fill="auto"/>
          </w:tcPr>
          <w:p w14:paraId="4E1135DC" w14:textId="77777777" w:rsidR="00FC3E67" w:rsidRPr="00F242DD" w:rsidRDefault="00FC3E67" w:rsidP="00131E36">
            <w:pPr>
              <w:snapToGrid w:val="0"/>
              <w:spacing w:before="0" w:after="0"/>
              <w:rPr>
                <w:rFonts w:eastAsia="Times New Roman"/>
              </w:rPr>
            </w:pPr>
            <w:r w:rsidRPr="00F242DD">
              <w:rPr>
                <w:rFonts w:eastAsia="Times New Roman"/>
                <w:lang w:val="en-US"/>
              </w:rPr>
              <w:t>Преднизолон</w:t>
            </w:r>
            <w:r w:rsidR="007E7259" w:rsidRPr="00F242DD">
              <w:rPr>
                <w:rFonts w:eastAsia="Times New Roman"/>
              </w:rPr>
              <w:t>**</w:t>
            </w:r>
          </w:p>
        </w:tc>
        <w:tc>
          <w:tcPr>
            <w:tcW w:w="2186" w:type="dxa"/>
            <w:tcBorders>
              <w:top w:val="single" w:sz="4" w:space="0" w:color="000000"/>
              <w:left w:val="single" w:sz="4" w:space="0" w:color="000000"/>
              <w:bottom w:val="single" w:sz="4" w:space="0" w:color="000000"/>
            </w:tcBorders>
            <w:shd w:val="clear" w:color="auto" w:fill="auto"/>
          </w:tcPr>
          <w:p w14:paraId="054C2772" w14:textId="77777777" w:rsidR="00FC3E67" w:rsidRPr="00F242DD" w:rsidRDefault="00FC3E67" w:rsidP="00EC0B58">
            <w:pPr>
              <w:snapToGrid w:val="0"/>
              <w:spacing w:before="0" w:after="0"/>
              <w:jc w:val="left"/>
              <w:rPr>
                <w:rFonts w:eastAsia="Times New Roman"/>
              </w:rPr>
            </w:pPr>
            <w:r w:rsidRPr="00F242DD">
              <w:rPr>
                <w:rFonts w:eastAsia="Times New Roman"/>
              </w:rPr>
              <w:t>6</w:t>
            </w:r>
            <w:r w:rsidRPr="00F242DD">
              <w:rPr>
                <w:rFonts w:eastAsia="Times New Roman"/>
                <w:lang w:val="en-US"/>
              </w:rPr>
              <w:t>0 мг/</w:t>
            </w:r>
            <w:r w:rsidRPr="00F242DD">
              <w:rPr>
                <w:rFonts w:eastAsia="Times New Roman"/>
              </w:rPr>
              <w:t>м</w:t>
            </w:r>
            <w:r w:rsidRPr="00F242DD">
              <w:rPr>
                <w:rFonts w:eastAsia="Times New Roman"/>
                <w:vertAlign w:val="superscript"/>
              </w:rPr>
              <w:t>2</w:t>
            </w:r>
            <w:r w:rsidRPr="00F242DD">
              <w:rPr>
                <w:rFonts w:eastAsia="Times New Roman"/>
              </w:rPr>
              <w:t xml:space="preserve"> 1</w:t>
            </w:r>
            <w:r w:rsidR="00EC0B58" w:rsidRPr="00F242DD">
              <w:rPr>
                <w:rFonts w:eastAsia="Times New Roman"/>
              </w:rPr>
              <w:t>−</w:t>
            </w:r>
            <w:r w:rsidRPr="00F242DD">
              <w:rPr>
                <w:rFonts w:eastAsia="Times New Roman"/>
              </w:rPr>
              <w:t>4</w:t>
            </w:r>
            <w:r w:rsidR="00EC0B58" w:rsidRPr="00F242DD">
              <w:rPr>
                <w:rFonts w:eastAsia="Times New Roman"/>
              </w:rPr>
              <w:t>-й</w:t>
            </w:r>
            <w:r w:rsidRPr="00F242DD">
              <w:rPr>
                <w:rFonts w:eastAsia="Times New Roman"/>
              </w:rPr>
              <w:t xml:space="preserve"> дни  </w:t>
            </w:r>
          </w:p>
        </w:tc>
        <w:tc>
          <w:tcPr>
            <w:tcW w:w="2186" w:type="dxa"/>
            <w:tcBorders>
              <w:top w:val="single" w:sz="4" w:space="0" w:color="000000"/>
              <w:left w:val="single" w:sz="4" w:space="0" w:color="000000"/>
              <w:bottom w:val="single" w:sz="4" w:space="0" w:color="000000"/>
            </w:tcBorders>
            <w:shd w:val="clear" w:color="auto" w:fill="auto"/>
          </w:tcPr>
          <w:p w14:paraId="5591F0D1" w14:textId="77777777" w:rsidR="00FC3E67" w:rsidRPr="00F242DD" w:rsidRDefault="00FC3E67" w:rsidP="00EC0B58">
            <w:pPr>
              <w:snapToGrid w:val="0"/>
              <w:spacing w:before="0" w:after="0"/>
              <w:jc w:val="left"/>
              <w:rPr>
                <w:rFonts w:eastAsia="Times New Roman"/>
              </w:rPr>
            </w:pPr>
            <w:r w:rsidRPr="00F242DD">
              <w:rPr>
                <w:rFonts w:eastAsia="Times New Roman"/>
              </w:rPr>
              <w:t>30 мг/м</w:t>
            </w:r>
            <w:r w:rsidRPr="00F242DD">
              <w:rPr>
                <w:rFonts w:eastAsia="Times New Roman"/>
                <w:vertAlign w:val="superscript"/>
              </w:rPr>
              <w:t>2</w:t>
            </w:r>
            <w:r w:rsidRPr="00F242DD">
              <w:rPr>
                <w:rFonts w:eastAsia="Times New Roman"/>
              </w:rPr>
              <w:t xml:space="preserve"> 1</w:t>
            </w:r>
            <w:r w:rsidR="00EC0B58" w:rsidRPr="00F242DD">
              <w:rPr>
                <w:rFonts w:eastAsia="Times New Roman"/>
              </w:rPr>
              <w:t>−</w:t>
            </w:r>
            <w:r w:rsidRPr="00F242DD">
              <w:rPr>
                <w:rFonts w:eastAsia="Times New Roman"/>
              </w:rPr>
              <w:t>4</w:t>
            </w:r>
            <w:r w:rsidR="00EC0B58" w:rsidRPr="00F242DD">
              <w:rPr>
                <w:rFonts w:eastAsia="Times New Roman"/>
              </w:rPr>
              <w:t>-й</w:t>
            </w:r>
            <w:r w:rsidRPr="00F242DD">
              <w:rPr>
                <w:rFonts w:eastAsia="Times New Roman"/>
              </w:rPr>
              <w:t xml:space="preserve"> </w:t>
            </w:r>
            <w:r w:rsidR="00EC0B58" w:rsidRPr="00F242DD">
              <w:rPr>
                <w:rFonts w:eastAsia="Times New Roman"/>
              </w:rPr>
              <w:t>дни</w:t>
            </w:r>
          </w:p>
        </w:tc>
        <w:tc>
          <w:tcPr>
            <w:tcW w:w="2326" w:type="dxa"/>
            <w:tcBorders>
              <w:top w:val="single" w:sz="4" w:space="0" w:color="000000"/>
              <w:left w:val="single" w:sz="4" w:space="0" w:color="000000"/>
              <w:bottom w:val="single" w:sz="4" w:space="0" w:color="000000"/>
              <w:right w:val="single" w:sz="4" w:space="0" w:color="000000"/>
            </w:tcBorders>
            <w:shd w:val="clear" w:color="auto" w:fill="auto"/>
          </w:tcPr>
          <w:p w14:paraId="5AD068CD" w14:textId="77777777" w:rsidR="00FC3E67" w:rsidRPr="00F242DD" w:rsidRDefault="00FC3E67" w:rsidP="00EC0B58">
            <w:pPr>
              <w:snapToGrid w:val="0"/>
              <w:spacing w:before="0" w:after="0"/>
              <w:jc w:val="left"/>
              <w:rPr>
                <w:rFonts w:eastAsia="Times New Roman"/>
                <w:lang w:val="en-US"/>
              </w:rPr>
            </w:pPr>
            <w:r w:rsidRPr="00F242DD">
              <w:rPr>
                <w:rFonts w:eastAsia="Times New Roman"/>
              </w:rPr>
              <w:t>15 мг/м</w:t>
            </w:r>
            <w:r w:rsidRPr="00F242DD">
              <w:rPr>
                <w:rFonts w:eastAsia="Times New Roman"/>
                <w:vertAlign w:val="superscript"/>
              </w:rPr>
              <w:t>2</w:t>
            </w:r>
            <w:r w:rsidRPr="00F242DD">
              <w:rPr>
                <w:rFonts w:eastAsia="Times New Roman"/>
              </w:rPr>
              <w:t xml:space="preserve"> 1</w:t>
            </w:r>
            <w:r w:rsidR="00EC0B58" w:rsidRPr="00F242DD">
              <w:rPr>
                <w:rFonts w:eastAsia="Times New Roman"/>
              </w:rPr>
              <w:t>−</w:t>
            </w:r>
            <w:r w:rsidRPr="00F242DD">
              <w:rPr>
                <w:rFonts w:eastAsia="Times New Roman"/>
              </w:rPr>
              <w:t>4</w:t>
            </w:r>
            <w:r w:rsidR="00EC0B58" w:rsidRPr="00F242DD">
              <w:rPr>
                <w:rFonts w:eastAsia="Times New Roman"/>
              </w:rPr>
              <w:t>-й</w:t>
            </w:r>
            <w:r w:rsidRPr="00F242DD">
              <w:rPr>
                <w:rFonts w:eastAsia="Times New Roman"/>
              </w:rPr>
              <w:t xml:space="preserve"> </w:t>
            </w:r>
            <w:r w:rsidR="00EC0B58" w:rsidRPr="00F242DD">
              <w:rPr>
                <w:rFonts w:eastAsia="Times New Roman"/>
              </w:rPr>
              <w:t>дни</w:t>
            </w:r>
          </w:p>
        </w:tc>
      </w:tr>
      <w:tr w:rsidR="00FC3E67" w:rsidRPr="00F242DD" w14:paraId="10A0E80B" w14:textId="77777777" w:rsidTr="00E36DFA">
        <w:tc>
          <w:tcPr>
            <w:tcW w:w="1902" w:type="dxa"/>
            <w:tcBorders>
              <w:top w:val="single" w:sz="4" w:space="0" w:color="000000"/>
              <w:left w:val="single" w:sz="4" w:space="0" w:color="000000"/>
              <w:bottom w:val="single" w:sz="4" w:space="0" w:color="000000"/>
            </w:tcBorders>
            <w:shd w:val="clear" w:color="auto" w:fill="auto"/>
          </w:tcPr>
          <w:p w14:paraId="364446BE" w14:textId="77777777" w:rsidR="00FC3E67" w:rsidRPr="00F242DD" w:rsidRDefault="00FC3E67" w:rsidP="00131E36">
            <w:pPr>
              <w:snapToGrid w:val="0"/>
              <w:spacing w:before="0" w:after="0"/>
              <w:rPr>
                <w:rFonts w:eastAsia="Times New Roman"/>
              </w:rPr>
            </w:pPr>
            <w:r w:rsidRPr="00F242DD">
              <w:rPr>
                <w:rFonts w:eastAsia="Times New Roman"/>
                <w:lang w:val="en-US"/>
              </w:rPr>
              <w:t>Циклофосфамид</w:t>
            </w:r>
            <w:r w:rsidR="007E7259" w:rsidRPr="00F242DD">
              <w:rPr>
                <w:rFonts w:eastAsia="Times New Roman"/>
              </w:rPr>
              <w:t>**</w:t>
            </w:r>
          </w:p>
        </w:tc>
        <w:tc>
          <w:tcPr>
            <w:tcW w:w="2186" w:type="dxa"/>
            <w:tcBorders>
              <w:top w:val="single" w:sz="4" w:space="0" w:color="000000"/>
              <w:left w:val="single" w:sz="4" w:space="0" w:color="000000"/>
              <w:bottom w:val="single" w:sz="4" w:space="0" w:color="000000"/>
            </w:tcBorders>
            <w:shd w:val="clear" w:color="auto" w:fill="auto"/>
          </w:tcPr>
          <w:p w14:paraId="745AA9B5" w14:textId="77777777" w:rsidR="00FC3E67" w:rsidRPr="00F242DD" w:rsidRDefault="00FC3E67" w:rsidP="00131E36">
            <w:pPr>
              <w:snapToGrid w:val="0"/>
              <w:spacing w:before="0" w:after="0"/>
              <w:jc w:val="left"/>
              <w:rPr>
                <w:rFonts w:eastAsia="Times New Roman"/>
              </w:rPr>
            </w:pPr>
            <w:r w:rsidRPr="00F242DD">
              <w:rPr>
                <w:rFonts w:eastAsia="Times New Roman"/>
              </w:rPr>
              <w:t>100 мг</w:t>
            </w:r>
            <w:r w:rsidR="0094530A" w:rsidRPr="00F242DD">
              <w:rPr>
                <w:rFonts w:eastAsia="Times New Roman"/>
              </w:rPr>
              <w:t xml:space="preserve"> в </w:t>
            </w:r>
            <w:r w:rsidRPr="00F242DD">
              <w:rPr>
                <w:rFonts w:eastAsia="Times New Roman"/>
              </w:rPr>
              <w:t xml:space="preserve">день </w:t>
            </w:r>
          </w:p>
          <w:p w14:paraId="552D77EB" w14:textId="77777777" w:rsidR="00FC3E67" w:rsidRPr="00F242DD" w:rsidRDefault="00FC3E67" w:rsidP="00131E36">
            <w:pPr>
              <w:spacing w:before="0" w:after="0"/>
              <w:jc w:val="left"/>
              <w:rPr>
                <w:rFonts w:eastAsia="Times New Roman"/>
              </w:rPr>
            </w:pPr>
            <w:r w:rsidRPr="00F242DD">
              <w:rPr>
                <w:rFonts w:eastAsia="Times New Roman"/>
              </w:rPr>
              <w:t>дни: 1</w:t>
            </w:r>
            <w:r w:rsidR="00EC0B58" w:rsidRPr="00F242DD">
              <w:rPr>
                <w:rFonts w:eastAsia="Times New Roman"/>
              </w:rPr>
              <w:t>−</w:t>
            </w:r>
            <w:r w:rsidRPr="00F242DD">
              <w:rPr>
                <w:rFonts w:eastAsia="Times New Roman"/>
              </w:rPr>
              <w:t>21</w:t>
            </w:r>
            <w:r w:rsidR="00EC0B58" w:rsidRPr="00F242DD">
              <w:rPr>
                <w:rFonts w:eastAsia="Times New Roman"/>
              </w:rPr>
              <w:t>-й</w:t>
            </w:r>
            <w:r w:rsidRPr="00F242DD">
              <w:rPr>
                <w:rFonts w:eastAsia="Times New Roman"/>
              </w:rPr>
              <w:t xml:space="preserve"> </w:t>
            </w:r>
          </w:p>
          <w:p w14:paraId="4C5E5341" w14:textId="77777777" w:rsidR="00FC3E67" w:rsidRPr="00F242DD" w:rsidRDefault="00FC3E67" w:rsidP="0094530A">
            <w:pPr>
              <w:spacing w:before="0" w:after="0"/>
              <w:jc w:val="left"/>
              <w:rPr>
                <w:rFonts w:eastAsia="Times New Roman"/>
              </w:rPr>
            </w:pPr>
            <w:r w:rsidRPr="00F242DD">
              <w:rPr>
                <w:rFonts w:eastAsia="Times New Roman"/>
              </w:rPr>
              <w:t>каждые 4 нед</w:t>
            </w:r>
          </w:p>
        </w:tc>
        <w:tc>
          <w:tcPr>
            <w:tcW w:w="2186" w:type="dxa"/>
            <w:tcBorders>
              <w:top w:val="single" w:sz="4" w:space="0" w:color="000000"/>
              <w:left w:val="single" w:sz="4" w:space="0" w:color="000000"/>
              <w:bottom w:val="single" w:sz="4" w:space="0" w:color="000000"/>
            </w:tcBorders>
            <w:shd w:val="clear" w:color="auto" w:fill="auto"/>
          </w:tcPr>
          <w:p w14:paraId="59ACB922" w14:textId="77777777" w:rsidR="00FC3E67" w:rsidRPr="00F242DD" w:rsidRDefault="00FC3E67" w:rsidP="00131E36">
            <w:pPr>
              <w:snapToGrid w:val="0"/>
              <w:spacing w:before="0" w:after="0"/>
              <w:jc w:val="left"/>
              <w:rPr>
                <w:rFonts w:eastAsia="Times New Roman"/>
              </w:rPr>
            </w:pPr>
            <w:r w:rsidRPr="00F242DD">
              <w:rPr>
                <w:rFonts w:eastAsia="Times New Roman"/>
              </w:rPr>
              <w:t>50 мг</w:t>
            </w:r>
            <w:r w:rsidR="0094530A" w:rsidRPr="00F242DD">
              <w:rPr>
                <w:rFonts w:eastAsia="Times New Roman"/>
              </w:rPr>
              <w:t xml:space="preserve"> в </w:t>
            </w:r>
            <w:r w:rsidRPr="00F242DD">
              <w:rPr>
                <w:rFonts w:eastAsia="Times New Roman"/>
              </w:rPr>
              <w:t xml:space="preserve">день </w:t>
            </w:r>
          </w:p>
          <w:p w14:paraId="524722FE" w14:textId="77777777" w:rsidR="00FC3E67" w:rsidRPr="00F242DD" w:rsidRDefault="00FC3E67" w:rsidP="00131E36">
            <w:pPr>
              <w:snapToGrid w:val="0"/>
              <w:spacing w:before="0" w:after="0"/>
              <w:jc w:val="left"/>
              <w:rPr>
                <w:rFonts w:eastAsia="Times New Roman"/>
              </w:rPr>
            </w:pPr>
            <w:r w:rsidRPr="00F242DD">
              <w:rPr>
                <w:rFonts w:eastAsia="Times New Roman"/>
              </w:rPr>
              <w:t>дни: 1</w:t>
            </w:r>
            <w:r w:rsidR="0094530A" w:rsidRPr="00F242DD">
              <w:rPr>
                <w:rFonts w:eastAsia="Times New Roman"/>
              </w:rPr>
              <w:t>−</w:t>
            </w:r>
            <w:r w:rsidRPr="00F242DD">
              <w:rPr>
                <w:rFonts w:eastAsia="Times New Roman"/>
              </w:rPr>
              <w:t>21</w:t>
            </w:r>
            <w:r w:rsidR="0094530A" w:rsidRPr="00F242DD">
              <w:rPr>
                <w:rFonts w:eastAsia="Times New Roman"/>
              </w:rPr>
              <w:t>-й</w:t>
            </w:r>
            <w:r w:rsidRPr="00F242DD">
              <w:rPr>
                <w:rFonts w:eastAsia="Times New Roman"/>
              </w:rPr>
              <w:t xml:space="preserve"> </w:t>
            </w:r>
          </w:p>
          <w:p w14:paraId="0E165BB8" w14:textId="77777777" w:rsidR="00FC3E67" w:rsidRPr="00F242DD" w:rsidRDefault="00FC3E67" w:rsidP="0094530A">
            <w:pPr>
              <w:snapToGrid w:val="0"/>
              <w:spacing w:before="0" w:after="0"/>
              <w:jc w:val="left"/>
              <w:rPr>
                <w:rFonts w:eastAsia="Times New Roman"/>
              </w:rPr>
            </w:pPr>
            <w:r w:rsidRPr="00F242DD">
              <w:rPr>
                <w:rFonts w:eastAsia="Times New Roman"/>
              </w:rPr>
              <w:t>каждые 4 нед</w:t>
            </w:r>
          </w:p>
        </w:tc>
        <w:tc>
          <w:tcPr>
            <w:tcW w:w="2326" w:type="dxa"/>
            <w:tcBorders>
              <w:top w:val="single" w:sz="4" w:space="0" w:color="000000"/>
              <w:left w:val="single" w:sz="4" w:space="0" w:color="000000"/>
              <w:bottom w:val="single" w:sz="4" w:space="0" w:color="000000"/>
              <w:right w:val="single" w:sz="4" w:space="0" w:color="000000"/>
            </w:tcBorders>
            <w:shd w:val="clear" w:color="auto" w:fill="auto"/>
          </w:tcPr>
          <w:p w14:paraId="0AC95579" w14:textId="77777777" w:rsidR="00FC3E67" w:rsidRPr="00F242DD" w:rsidRDefault="00FC3E67" w:rsidP="00131E36">
            <w:pPr>
              <w:snapToGrid w:val="0"/>
              <w:spacing w:before="0" w:after="0"/>
              <w:jc w:val="left"/>
              <w:rPr>
                <w:rFonts w:eastAsia="Times New Roman"/>
              </w:rPr>
            </w:pPr>
            <w:r w:rsidRPr="00F242DD">
              <w:rPr>
                <w:rFonts w:eastAsia="Times New Roman"/>
              </w:rPr>
              <w:t>50 мг через день дни: 1</w:t>
            </w:r>
            <w:r w:rsidR="0094530A" w:rsidRPr="00F242DD">
              <w:rPr>
                <w:rFonts w:eastAsia="Times New Roman"/>
              </w:rPr>
              <w:t>−</w:t>
            </w:r>
            <w:r w:rsidRPr="00F242DD">
              <w:rPr>
                <w:rFonts w:eastAsia="Times New Roman"/>
              </w:rPr>
              <w:t>21</w:t>
            </w:r>
            <w:r w:rsidR="0094530A" w:rsidRPr="00F242DD">
              <w:rPr>
                <w:rFonts w:eastAsia="Times New Roman"/>
              </w:rPr>
              <w:t>-й</w:t>
            </w:r>
            <w:r w:rsidRPr="00F242DD">
              <w:rPr>
                <w:rFonts w:eastAsia="Times New Roman"/>
              </w:rPr>
              <w:t xml:space="preserve"> </w:t>
            </w:r>
          </w:p>
          <w:p w14:paraId="68E0BC33" w14:textId="77777777" w:rsidR="00FC3E67" w:rsidRPr="00F242DD" w:rsidRDefault="00FC3E67" w:rsidP="0094530A">
            <w:pPr>
              <w:snapToGrid w:val="0"/>
              <w:spacing w:before="0" w:after="0"/>
              <w:jc w:val="left"/>
            </w:pPr>
            <w:r w:rsidRPr="00F242DD">
              <w:rPr>
                <w:rFonts w:eastAsia="Times New Roman"/>
              </w:rPr>
              <w:t>каждые 4 нед</w:t>
            </w:r>
          </w:p>
        </w:tc>
      </w:tr>
    </w:tbl>
    <w:p w14:paraId="07F2969C" w14:textId="77777777" w:rsidR="00F670B6" w:rsidRPr="00F242DD" w:rsidRDefault="00583CFF" w:rsidP="00131E36">
      <w:pPr>
        <w:pStyle w:val="a6"/>
        <w:numPr>
          <w:ilvl w:val="0"/>
          <w:numId w:val="5"/>
        </w:numPr>
        <w:spacing w:before="0" w:after="0"/>
        <w:ind w:left="709" w:hanging="709"/>
      </w:pPr>
      <w:r w:rsidRPr="00F242DD">
        <w:t>П</w:t>
      </w:r>
      <w:r w:rsidR="00F670B6" w:rsidRPr="00F242DD">
        <w:t>ациентам</w:t>
      </w:r>
      <w:r w:rsidRPr="00F242DD">
        <w:t xml:space="preserve"> старше 75 лет</w:t>
      </w:r>
      <w:r w:rsidR="00F670B6" w:rsidRPr="00F242DD">
        <w:t xml:space="preserve"> с неудовлетворительным физическим состоянием, тяжелой сопутствующей патологией </w:t>
      </w:r>
      <w:r w:rsidR="00F670B6" w:rsidRPr="00F242DD">
        <w:rPr>
          <w:b/>
        </w:rPr>
        <w:t>рекомендуется</w:t>
      </w:r>
      <w:r w:rsidR="003369B4" w:rsidRPr="00F242DD">
        <w:rPr>
          <w:b/>
        </w:rPr>
        <w:t xml:space="preserve"> </w:t>
      </w:r>
      <w:r w:rsidR="00F670B6" w:rsidRPr="00F242DD">
        <w:t>терапия комбинацией мелфалана</w:t>
      </w:r>
      <w:r w:rsidR="00E0610F" w:rsidRPr="00F242DD">
        <w:t>**</w:t>
      </w:r>
      <w:r w:rsidR="00F670B6" w:rsidRPr="00F242DD">
        <w:t xml:space="preserve"> с преднизолоном</w:t>
      </w:r>
      <w:r w:rsidR="00E0610F" w:rsidRPr="00F242DD">
        <w:t>**</w:t>
      </w:r>
      <w:r w:rsidR="00DA70E3" w:rsidRPr="00F242DD">
        <w:t xml:space="preserve"> (описание режимов – см. приложение </w:t>
      </w:r>
      <w:r w:rsidR="00C812D6" w:rsidRPr="00F242DD">
        <w:t>А3.1</w:t>
      </w:r>
      <w:r w:rsidR="0094530A" w:rsidRPr="00F242DD">
        <w:t>.</w:t>
      </w:r>
      <w:r w:rsidR="00DA70E3" w:rsidRPr="00F242DD">
        <w:t>)</w:t>
      </w:r>
      <w:r w:rsidR="00267DE2" w:rsidRPr="00F242DD">
        <w:t xml:space="preserve"> </w:t>
      </w:r>
      <w:r w:rsidR="00267DE2" w:rsidRPr="00F242DD">
        <w:fldChar w:fldCharType="begin" w:fldLock="1"/>
      </w:r>
      <w:r w:rsidR="00D95A58"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267DE2" w:rsidRPr="00F242DD">
        <w:fldChar w:fldCharType="separate"/>
      </w:r>
      <w:r w:rsidR="00267DE2" w:rsidRPr="00F242DD">
        <w:rPr>
          <w:noProof/>
        </w:rPr>
        <w:t>[1]</w:t>
      </w:r>
      <w:r w:rsidR="00267DE2" w:rsidRPr="00F242DD">
        <w:fldChar w:fldCharType="end"/>
      </w:r>
      <w:r w:rsidR="00F670B6" w:rsidRPr="00F242DD">
        <w:t>.</w:t>
      </w:r>
    </w:p>
    <w:p w14:paraId="0088A363" w14:textId="77777777" w:rsidR="00FC3E67" w:rsidRPr="00F242DD" w:rsidRDefault="00F670B6" w:rsidP="00131E36">
      <w:pPr>
        <w:spacing w:before="0" w:after="0"/>
        <w:ind w:left="709"/>
        <w:contextualSpacing/>
        <w:rPr>
          <w:b/>
        </w:rPr>
      </w:pPr>
      <w:r w:rsidRPr="00F242DD">
        <w:rPr>
          <w:b/>
        </w:rPr>
        <w:t xml:space="preserve">Уровень убедительности рекомендаций </w:t>
      </w:r>
      <w:r w:rsidR="0094530A" w:rsidRPr="00F242DD">
        <w:rPr>
          <w:b/>
        </w:rPr>
        <w:t xml:space="preserve">− </w:t>
      </w:r>
      <w:r w:rsidR="00267DE2" w:rsidRPr="00F242DD">
        <w:rPr>
          <w:b/>
        </w:rPr>
        <w:t xml:space="preserve">С </w:t>
      </w:r>
      <w:r w:rsidRPr="00F242DD">
        <w:rPr>
          <w:b/>
        </w:rPr>
        <w:t>(уровень достоверности доказательств</w:t>
      </w:r>
      <w:r w:rsidR="00463342" w:rsidRPr="00F242DD">
        <w:rPr>
          <w:b/>
        </w:rPr>
        <w:t xml:space="preserve"> </w:t>
      </w:r>
      <w:r w:rsidR="0094530A" w:rsidRPr="00F242DD">
        <w:rPr>
          <w:b/>
        </w:rPr>
        <w:t xml:space="preserve">− </w:t>
      </w:r>
      <w:r w:rsidR="00267DE2" w:rsidRPr="00F242DD">
        <w:rPr>
          <w:b/>
        </w:rPr>
        <w:t>5</w:t>
      </w:r>
      <w:r w:rsidRPr="00F242DD">
        <w:rPr>
          <w:b/>
        </w:rPr>
        <w:t>)</w:t>
      </w:r>
    </w:p>
    <w:p w14:paraId="14F0AFBC" w14:textId="77777777" w:rsidR="004D7374" w:rsidRPr="00F242DD" w:rsidRDefault="004D7374" w:rsidP="00E36DFA">
      <w:pPr>
        <w:pStyle w:val="2"/>
      </w:pPr>
      <w:bookmarkStart w:id="26" w:name="_Toc53140898"/>
      <w:r w:rsidRPr="00F242DD">
        <w:t>3.</w:t>
      </w:r>
      <w:r w:rsidR="006E6357" w:rsidRPr="00F242DD">
        <w:t>3</w:t>
      </w:r>
      <w:r w:rsidR="00BF3C4A" w:rsidRPr="00F242DD">
        <w:t xml:space="preserve"> </w:t>
      </w:r>
      <w:r w:rsidR="006E6357" w:rsidRPr="00F242DD">
        <w:t xml:space="preserve">Лечение </w:t>
      </w:r>
      <w:r w:rsidR="00FB03BB" w:rsidRPr="00F242DD">
        <w:t>пациентов</w:t>
      </w:r>
      <w:r w:rsidR="006E6357" w:rsidRPr="00F242DD">
        <w:t xml:space="preserve"> с впервые диагностированной ММ, кандидатов на </w:t>
      </w:r>
      <w:r w:rsidR="00457DBC" w:rsidRPr="00F242DD">
        <w:t>ВДХТ</w:t>
      </w:r>
      <w:r w:rsidR="006E6357" w:rsidRPr="00F242DD">
        <w:t xml:space="preserve"> с последующей ауто</w:t>
      </w:r>
      <w:r w:rsidR="00267DE2" w:rsidRPr="00F242DD">
        <w:t>-</w:t>
      </w:r>
      <w:r w:rsidR="006E6357" w:rsidRPr="00F242DD">
        <w:t>ТГСК</w:t>
      </w:r>
      <w:bookmarkEnd w:id="26"/>
    </w:p>
    <w:p w14:paraId="70927D90" w14:textId="77777777" w:rsidR="004D7374" w:rsidRPr="00F242DD" w:rsidRDefault="000558B2" w:rsidP="00131E36">
      <w:pPr>
        <w:pStyle w:val="a6"/>
        <w:numPr>
          <w:ilvl w:val="0"/>
          <w:numId w:val="5"/>
        </w:numPr>
        <w:spacing w:before="0" w:after="0"/>
        <w:ind w:left="709" w:hanging="709"/>
      </w:pPr>
      <w:r w:rsidRPr="00F242DD">
        <w:t>Пациентам</w:t>
      </w:r>
      <w:r w:rsidR="00245B13" w:rsidRPr="00F242DD">
        <w:t xml:space="preserve"> с впервые выявленной ММ в возрасте до 65</w:t>
      </w:r>
      <w:r w:rsidR="002B59AA" w:rsidRPr="00F242DD">
        <w:t xml:space="preserve"> лет</w:t>
      </w:r>
      <w:r w:rsidR="00245B13" w:rsidRPr="00F242DD">
        <w:t>, а также пациентам 65</w:t>
      </w:r>
      <w:r w:rsidR="00457DBC" w:rsidRPr="00F242DD">
        <w:t>−</w:t>
      </w:r>
      <w:r w:rsidR="00245B13" w:rsidRPr="00F242DD">
        <w:t>70</w:t>
      </w:r>
      <w:r w:rsidR="00457DBC" w:rsidRPr="00F242DD">
        <w:t> </w:t>
      </w:r>
      <w:r w:rsidR="00245B13" w:rsidRPr="00F242DD">
        <w:t xml:space="preserve">лет с хорошим соматическим статусом без тяжелых сопутствующих заболеваний </w:t>
      </w:r>
      <w:r w:rsidR="00FF0C02" w:rsidRPr="00F242DD">
        <w:rPr>
          <w:b/>
        </w:rPr>
        <w:t>рекомендуется</w:t>
      </w:r>
      <w:r w:rsidR="00727909" w:rsidRPr="00F242DD">
        <w:rPr>
          <w:b/>
        </w:rPr>
        <w:t xml:space="preserve"> </w:t>
      </w:r>
      <w:r w:rsidR="006D1F76" w:rsidRPr="00F242DD">
        <w:t>проведение</w:t>
      </w:r>
      <w:r w:rsidR="00245B13" w:rsidRPr="00F242DD">
        <w:t xml:space="preserve"> высокодозной консолидации, включающей </w:t>
      </w:r>
      <w:r w:rsidR="00457DBC" w:rsidRPr="00F242DD">
        <w:t>1</w:t>
      </w:r>
      <w:r w:rsidR="00245B13" w:rsidRPr="00F242DD">
        <w:t xml:space="preserve"> или </w:t>
      </w:r>
      <w:r w:rsidR="00457DBC" w:rsidRPr="00F242DD">
        <w:t>2</w:t>
      </w:r>
      <w:r w:rsidR="00245B13" w:rsidRPr="00F242DD">
        <w:t xml:space="preserve"> трансплантации ауто</w:t>
      </w:r>
      <w:r w:rsidR="00946AD8" w:rsidRPr="00F242DD">
        <w:t>-</w:t>
      </w:r>
      <w:r w:rsidR="00245B13" w:rsidRPr="00F242DD">
        <w:t>ТГСК</w:t>
      </w:r>
      <w:r w:rsidR="00946AD8" w:rsidRPr="00F242DD">
        <w:t xml:space="preserve"> </w:t>
      </w:r>
      <w:r w:rsidR="00A96FB6" w:rsidRPr="00F242DD">
        <w:fldChar w:fldCharType="begin" w:fldLock="1"/>
      </w:r>
      <w:r w:rsidR="001D3DC1" w:rsidRPr="00F242DD">
        <w:instrText>ADDIN CSL_CITATION {"citationItems":[{"id":"ITEM-1","itemData":{"DOI":"10.1080/10428194.2018.1543874","ISSN":"10292403","abstract":"To evaluate the role of high-dose melphalan plus autologous stem-cell transplantation (ASCT) as consolidation therapy for patients with newly diagnosed multiple myeloma (NDMM) in the era of novel agents, we undertook this meta-analysis. Medline, Embase, the Cochrane controlled trials register, the SCI, ASH, EHA, and ASCO were searched for clinical trials including high-dose chemotherapy plus ASCT for patients with NDMM. Finally, we identified four RCTs of ASCT versus novel agents based consolidations, and 10 single-arm prospective trials of ASCT alone. Pooled analysis indicated that response quality improved further after ASCT in the era of novel agents (&gt;=CR rates of 13% pre-ASCT versus 29% post-ASCT, p =.003). When compared to novel agents containing consolidation regimens, high-dose chemotherapy plus ASCT significantly improved progression-free survival (PFS) (HR =0.56, p &lt;.001). No significant difference in overall survival (OS) was found between them (HR =0.66, p =.22). Of note, subgroup analysis indicated that ASCT could significantly improve OS (HR =0.49, p =.0004) when compared to alkylating agent-based regimens plus lenalidomide consolidation. In summary, response quality and PFS improved further over ASCT in the era of novel agents. ASCT could improve survival than alkylating agent-based regimens plus lenalidomide consolidations for patients with NDMM.Copyright © 2018, © 2018 Informa UK Limited, trading as Taylor &amp; Francis Group.","author":[{"dropping-particle":"","family":"Su","given":"Baohua","non-dropping-particle":"","parse-names":false,"suffix":""},{"dropping-particle":"","family":"Zhu","given":"Xu","non-dropping-particle":"","parse-names":false,"suffix":""},{"dropping-particle":"","family":"Jiang","given":"Yina","non-dropping-particle":"","parse-names":false,"suffix":""},{"dropping-particle":"","family":"Wang","given":"Lida","non-dropping-particle":"","parse-names":false,"suffix":""},{"dropping-particle":"","family":"Zhao","given":"Ningning","non-dropping-particle":"","parse-names":false,"suffix":""},{"dropping-particle":"","family":"Ran","given":"Xuehong","non-dropping-particle":"","parse-names":false,"suffix":""},{"dropping-particle":"","family":"Zheng","given":"Xiaobin","non-dropping-particle":"","parse-names":false,"suffix":""},{"dropping-particle":"","family":"Guo","given":"Hui","non-dropping-particle":"","parse-names":false,"suffix":""}],"container-title":"Leukemia and Lymphoma","id":"ITEM-1","issued":{"date-parts":[["2018"]]},"publisher":"Taylor and Francis Ltd","title":"A meta-analysis of autologous transplantation for newly diagnosed multiple myeloma in the era of novel agents","type":"article-journal"},"uris":["http://www.mendeley.com/documents/?uuid=a763b0b9-22ac-33ee-8ac3-1da970da9202"]},{"id":"ITEM-2","itemData":{"DOI":"10.1001/jamaoncol.2017.4600","ISSN":"23742445","abstract":"Importance The role of high-dose therapy with melphalan followed by autologous stem cell transplant (HDT/ASCT) in patients with multiple myeloma continues to be debated in the context of novel agent induction. Objective To perform a systematic review, conventional meta-analysis, and network meta-analysis of all phase 3 randomized clinical trials (RCTs) evaluating the role of HDT/ASCT. Data Sources We performed a systematic literature search of Cochrane Central, MEDLINE, and Scopus from January 2000 through April 2017 and relevant annual meeting abstracts from January 2014 to December 2016. The following search terms were used: \"myeloma\" combined with \"autologous,\" \"transplant,\" \"myeloablative,\" or \"stem cell.\" Study Selection Phase 3 RCTs comparing HDT/ASCT with standard-dose therapy (SDT) using novel agents were assessed. Studies comparing single HDT/ASCT with bortezomib, lenalidomide, and dexamethasone consolidation and tandem transplantation were included for network meta-analysis. Data Extraction And Synthesis For the random effects meta-analysis, we used hazard ratios (HRs) and corresponding 95% CIs. Main Outcomes and Measures The primary outcome was progression-free survival (PFS). Overall survival (OS), complete response, and treatment-related mortality were secondary outcomes. Results A total of 4 RCTs (2421 patients) for conventional meta-analysis and 5 RCTs (3171 patients) for network meta-analysis were selected. The combined odds for complete response were 1.27 (95% CI, 0.97-1.65; P = .07) with HDT/ASCT when compared with SDT. The combined HR for PFS was 0.55 (95% CI, 0.41-0.74; P &lt; .001) and 0.76 for OS (95% CI, 0.42-1.36; P = .20) in favor of HDT. Meta-regression showed that longer follow-up was associated with superior PFS (HR/mo, 0.98; 95% CI, 0.96-0.99; P = .03) and OS (HR/mo, 0.90; 95% CI, 0.84-0.96; P = .002). For PFS, tandem HDT/ASCT had the most favorable HR (0.49; 95% CI, 0.37-0.65) followed by single HDT/ASCT with bortezomib, lenalidomide, and dexamethasone (HR, 0.53; 95% CI, 0.37-0.76) and single HDT/ASCT alone (HR, 0.68; 95% CI, 0.53-0.87) compared with SDT. For OS, none of the HDT/ASCT-based approaches had a significant effect on survival. Treatment-related mortality with HDT/ASCT was minimal (&lt;1%). Conclusions and Relevance The results of the conventional meta-analysis and network meta-analysis of all the phase 3 RCTs showed that HDT/ASCT was associated with superior PFS with minimal toxic effects compared with SDT. Both tandem…","author":[{"dropping-particle":"","family":"Dhakal","given":"Binod","non-dropping-particle":"","parse-names":false,"suffix":""},{"dropping-particle":"","family":"Szabo","given":"Aniko","non-dropping-particle":"","parse-names":false,"suffix":""},{"dropping-particle":"","family":"Chhabra","given":"Saurabh","non-dropping-particle":"","parse-names":false,"suffix":""},{"dropping-particle":"","family":"Hamadani","given":"Mehdi","non-dropping-particle":"","parse-names":false,"suffix":""},{"dropping-particle":"","family":"D'Souza","given":"Anita","non-dropping-particle":"","parse-names":false,"suffix":""},{"dropping-particle":"","family":"Usmani","given":"Saad Z.","non-dropping-particle":"","parse-names":false,"suffix":""},{"dropping-particle":"","family":"Sieracki","given":"Rita","non-dropping-particle":"","parse-names":false,"suffix":""},{"dropping-particle":"","family":"Gyawali","given":"Bishal","non-dropping-particle":"","parse-names":false,"suffix":""},{"dropping-particle":"","family":"Jackson","given":"Jeffrey L.","non-dropping-particle":"","parse-names":false,"suffix":""},{"dropping-particle":"","family":"Asimakopoulos","given":"Fotis","non-dropping-particle":"","parse-names":false,"suffix":""},{"dropping-particle":"","family":"Hari","given":"Parameswaran N.","non-dropping-particle":"","parse-names":false,"suffix":""}],"container-title":"JAMA Oncology","id":"ITEM-2","issue":"3","issued":{"date-parts":[["2018","3","1"]]},"page":"343-350","publisher":"American Medical Association","title":"Autologous transplantation for newly diagnosed multiple myeloma in the era of novel agent induction a systematic review and meta-analysis","type":"article-journal","volume":"4"},"uris":["http://www.mendeley.com/documents/?uuid=e10abcf3-d81f-385d-80c0-5398aae26e72"]}],"mendeley":{"formattedCitation":"[36,37]","plainTextFormattedCitation":"[36,37]","previouslyFormattedCitation":"[36,37]"},"properties":{"noteIndex":0},"schema":"https://github.com/citation-style-language/schema/raw/master/csl-citation.json"}</w:instrText>
      </w:r>
      <w:r w:rsidR="00A96FB6" w:rsidRPr="00F242DD">
        <w:fldChar w:fldCharType="separate"/>
      </w:r>
      <w:r w:rsidR="00D95A58" w:rsidRPr="00F242DD">
        <w:rPr>
          <w:noProof/>
        </w:rPr>
        <w:t>[36,37]</w:t>
      </w:r>
      <w:r w:rsidR="00A96FB6" w:rsidRPr="00F242DD">
        <w:fldChar w:fldCharType="end"/>
      </w:r>
      <w:r w:rsidR="004D7374" w:rsidRPr="00F242DD">
        <w:t xml:space="preserve">. </w:t>
      </w:r>
    </w:p>
    <w:p w14:paraId="3EE7E07B" w14:textId="77777777" w:rsidR="004D7374" w:rsidRPr="00F242DD" w:rsidRDefault="004D7374" w:rsidP="00131E36">
      <w:pPr>
        <w:spacing w:before="0" w:after="0"/>
        <w:ind w:left="709"/>
        <w:contextualSpacing/>
        <w:rPr>
          <w:b/>
        </w:rPr>
      </w:pPr>
      <w:r w:rsidRPr="00F242DD">
        <w:rPr>
          <w:b/>
        </w:rPr>
        <w:t xml:space="preserve">Уровень убедительности рекомендаций </w:t>
      </w:r>
      <w:r w:rsidR="00457DBC" w:rsidRPr="00F242DD">
        <w:rPr>
          <w:b/>
        </w:rPr>
        <w:t xml:space="preserve">− </w:t>
      </w:r>
      <w:r w:rsidR="000558B2" w:rsidRPr="00F242DD">
        <w:rPr>
          <w:b/>
        </w:rPr>
        <w:t>А</w:t>
      </w:r>
      <w:r w:rsidR="00946AD8" w:rsidRPr="00F242DD">
        <w:rPr>
          <w:b/>
        </w:rPr>
        <w:t xml:space="preserve"> </w:t>
      </w:r>
      <w:r w:rsidRPr="00F242DD">
        <w:rPr>
          <w:b/>
        </w:rPr>
        <w:t>(уровень достоверности доказательств</w:t>
      </w:r>
      <w:r w:rsidR="00946AD8" w:rsidRPr="00F242DD">
        <w:rPr>
          <w:b/>
        </w:rPr>
        <w:t xml:space="preserve"> </w:t>
      </w:r>
      <w:r w:rsidR="00457DBC" w:rsidRPr="00F242DD">
        <w:rPr>
          <w:b/>
        </w:rPr>
        <w:t xml:space="preserve">− </w:t>
      </w:r>
      <w:r w:rsidR="000558B2" w:rsidRPr="00F242DD">
        <w:rPr>
          <w:b/>
        </w:rPr>
        <w:t>1</w:t>
      </w:r>
      <w:r w:rsidRPr="00F242DD">
        <w:rPr>
          <w:b/>
        </w:rPr>
        <w:t>)</w:t>
      </w:r>
    </w:p>
    <w:p w14:paraId="609BA4C6" w14:textId="77777777" w:rsidR="004D7374" w:rsidRPr="00F242DD" w:rsidRDefault="004D7374" w:rsidP="00131E36">
      <w:pPr>
        <w:spacing w:before="0" w:after="0"/>
        <w:ind w:left="709"/>
        <w:contextualSpacing/>
        <w:rPr>
          <w:i/>
        </w:rPr>
      </w:pPr>
      <w:r w:rsidRPr="00F242DD">
        <w:rPr>
          <w:b/>
        </w:rPr>
        <w:t xml:space="preserve">Комментарий: </w:t>
      </w:r>
      <w:r w:rsidR="007A3969" w:rsidRPr="00F242DD">
        <w:rPr>
          <w:i/>
        </w:rPr>
        <w:t xml:space="preserve">Возрастные ограничения обусловлены тем, что у пожилых </w:t>
      </w:r>
      <w:r w:rsidR="00FB03BB" w:rsidRPr="00F242DD">
        <w:rPr>
          <w:i/>
        </w:rPr>
        <w:t>пациентов</w:t>
      </w:r>
      <w:r w:rsidR="007A3969" w:rsidRPr="00F242DD">
        <w:rPr>
          <w:i/>
        </w:rPr>
        <w:t xml:space="preserve"> возрастает риск трансплантатассоциированной летальности. </w:t>
      </w:r>
      <w:r w:rsidR="007A3969" w:rsidRPr="00F242DD">
        <w:rPr>
          <w:i/>
        </w:rPr>
        <w:lastRenderedPageBreak/>
        <w:t xml:space="preserve">Особенно это важно для возрастной категории </w:t>
      </w:r>
      <w:r w:rsidR="002B125B" w:rsidRPr="00F242DD">
        <w:rPr>
          <w:i/>
        </w:rPr>
        <w:t>старше</w:t>
      </w:r>
      <w:r w:rsidR="007A3969" w:rsidRPr="00F242DD">
        <w:rPr>
          <w:i/>
        </w:rPr>
        <w:t xml:space="preserve"> 70 лет, при которой указанный риск может достигать 8</w:t>
      </w:r>
      <w:r w:rsidR="002B125B" w:rsidRPr="00F242DD">
        <w:rPr>
          <w:i/>
        </w:rPr>
        <w:t> </w:t>
      </w:r>
      <w:r w:rsidR="007A3969" w:rsidRPr="00F242DD">
        <w:rPr>
          <w:i/>
        </w:rPr>
        <w:t xml:space="preserve">%. Миеломная нефропатия (включая диализзависимую почечную недостаточность) не является противопоказанием для выполнения </w:t>
      </w:r>
      <w:r w:rsidR="00D71FBE" w:rsidRPr="00F242DD">
        <w:rPr>
          <w:i/>
        </w:rPr>
        <w:t>ВДХТ</w:t>
      </w:r>
      <w:r w:rsidR="007A3969" w:rsidRPr="00F242DD">
        <w:rPr>
          <w:i/>
        </w:rPr>
        <w:t xml:space="preserve"> с последующей ауто-ТГСК. Пациент может быть направлен в трансплантационный центр, располагающий возможностью проведения гемодиализа.</w:t>
      </w:r>
    </w:p>
    <w:p w14:paraId="4E0D34D1" w14:textId="77777777" w:rsidR="00EE2530" w:rsidRPr="00F242DD" w:rsidRDefault="00EE2530" w:rsidP="000B44DE">
      <w:pPr>
        <w:pStyle w:val="2"/>
        <w:ind w:firstLine="709"/>
        <w:rPr>
          <w:b w:val="0"/>
        </w:rPr>
      </w:pPr>
      <w:bookmarkStart w:id="27" w:name="_Toc53140899"/>
      <w:r w:rsidRPr="00F242DD">
        <w:rPr>
          <w:rStyle w:val="ac"/>
          <w:b/>
        </w:rPr>
        <w:t>3.3.1</w:t>
      </w:r>
      <w:r w:rsidR="00971A8A" w:rsidRPr="00F242DD">
        <w:rPr>
          <w:rStyle w:val="ac"/>
          <w:b/>
        </w:rPr>
        <w:t xml:space="preserve"> </w:t>
      </w:r>
      <w:r w:rsidRPr="00F242DD">
        <w:rPr>
          <w:rStyle w:val="ac"/>
          <w:b/>
        </w:rPr>
        <w:t>Индукционный этап терапии</w:t>
      </w:r>
      <w:bookmarkEnd w:id="27"/>
    </w:p>
    <w:p w14:paraId="6BB01D8D" w14:textId="77777777" w:rsidR="00771514" w:rsidRPr="00F242DD" w:rsidRDefault="000558B2" w:rsidP="00131E36">
      <w:pPr>
        <w:pStyle w:val="a6"/>
        <w:numPr>
          <w:ilvl w:val="0"/>
          <w:numId w:val="5"/>
        </w:numPr>
        <w:spacing w:before="0" w:after="0"/>
        <w:ind w:left="709" w:hanging="709"/>
      </w:pPr>
      <w:r w:rsidRPr="00F242DD">
        <w:t>Пациентам</w:t>
      </w:r>
      <w:r w:rsidR="00771514" w:rsidRPr="00F242DD">
        <w:t xml:space="preserve"> с впервые выявленной ММ в возрасте до 65</w:t>
      </w:r>
      <w:r w:rsidRPr="00F242DD">
        <w:t xml:space="preserve"> лет</w:t>
      </w:r>
      <w:r w:rsidR="00771514" w:rsidRPr="00F242DD">
        <w:t>, а также пациентам 65</w:t>
      </w:r>
      <w:r w:rsidR="006517D7" w:rsidRPr="00F242DD">
        <w:t>−</w:t>
      </w:r>
      <w:r w:rsidR="00771514" w:rsidRPr="00F242DD">
        <w:t>70</w:t>
      </w:r>
      <w:r w:rsidR="00A425E4" w:rsidRPr="00F242DD">
        <w:t> </w:t>
      </w:r>
      <w:r w:rsidR="00771514" w:rsidRPr="00F242DD">
        <w:t>лет с хорошим соматическим статусом без тяжелых сопутствующих заболеваний, которым планируется консолидация ауто</w:t>
      </w:r>
      <w:r w:rsidR="00267DE2" w:rsidRPr="00F242DD">
        <w:t>-</w:t>
      </w:r>
      <w:r w:rsidR="00771514" w:rsidRPr="00F242DD">
        <w:t xml:space="preserve">ТГСК, в качестве индукционной терапии </w:t>
      </w:r>
      <w:r w:rsidR="00FF0C02" w:rsidRPr="00F242DD">
        <w:rPr>
          <w:b/>
        </w:rPr>
        <w:t>рекомендуется</w:t>
      </w:r>
      <w:r w:rsidR="00771514" w:rsidRPr="00F242DD">
        <w:t xml:space="preserve"> применять один из следующих режимов терапии</w:t>
      </w:r>
      <w:r w:rsidR="00032CFB" w:rsidRPr="00F242DD">
        <w:t xml:space="preserve"> (описание режимов – см. приложение </w:t>
      </w:r>
      <w:r w:rsidR="00C812D6" w:rsidRPr="00F242DD">
        <w:t>А3.1</w:t>
      </w:r>
      <w:r w:rsidR="006517D7" w:rsidRPr="00F242DD">
        <w:t>.</w:t>
      </w:r>
      <w:r w:rsidR="00032CFB" w:rsidRPr="00F242DD">
        <w:t>)</w:t>
      </w:r>
      <w:r w:rsidR="00946AD8" w:rsidRPr="00F242DD">
        <w:t xml:space="preserve"> </w:t>
      </w:r>
      <w:r w:rsidR="00A96FB6" w:rsidRPr="00F242DD">
        <w:fldChar w:fldCharType="begin" w:fldLock="1"/>
      </w:r>
      <w:r w:rsidR="00021E5D" w:rsidRPr="00F242DD">
        <w:instrText>ADDIN CSL_CITATION {"citationItems":[{"id":"ITEM-1","itemData":{"DOI":"10.1002/cncr.28325","ISSN":"0008543X","author":[{"dropping-particle":"","family":"Nooka","given":"Ajay K.","non-dropping-particle":"","parse-names":false,"suffix":""},{"dropping-particle":"","family":"Kaufman","given":"Jonathan L.","non-dropping-particle":"","parse-names":false,"suffix":""},{"dropping-particle":"","family":"Behera","given":"Madhusmita","non-dropping-particle":"","parse-names":false,"suffix":""},{"dropping-particle":"","family":"Langston","given":"Amelia","non-dropping-particle":"","parse-names":false,"suffix":""},{"dropping-particle":"","family":"Waller","given":"Edmund K.","non-dropping-particle":"","parse-names":false,"suffix":""},{"dropping-particle":"","family":"Flowers","given":"Christopher R.","non-dropping-particle":"","parse-names":false,"suffix":""},{"dropping-particle":"","family":"Gleason","given":"Charise","non-dropping-particle":"","parse-names":false,"suffix":""},{"dropping-particle":"","family":"Boise","given":"Lawrence H.","non-dropping-particle":"","parse-names":false,"suffix":""},{"dropping-particle":"","family":"Lonial","given":"Sagar","non-dropping-particle":"","parse-names":false,"suffix":""}],"container-title":"Cancer","id":"ITEM-1","issue":"23","issued":{"date-parts":[["2013","12","1"]]},"page":"4119-4128","title":"Bortezomib-containing induction regimens in transplant-eligible myeloma patients","type":"article-journal","volume":"119"},"uris":["http://www.mendeley.com/documents/?uuid=256f10f7-eef8-3ee6-82f2-127c8c710e16"]},{"id":"ITEM-2","itemData":{"DOI":"10.1111/bjh.12946","ISSN":"13652141","abstract":"Three-drug induction regimens have become the standard of care in newly diagnosed transplant-eligible multiple myeloma patients. Two frequently used protocols are bortezomib, cyclophosphamide and dexamethasone (VCD) and bortezomib, thalidomide and dexamethasone (VTD). Comparisons between the two are lacking. The present study aimed to identify the differences in response rate and toxicity between the two regimens. Databases were searched using the terms 'VTD' or 'VCD' and 'induction regimens for newly diagnosed multiple myeloma'. Prospective trials evaluating initial response in transplant eligible patients were included. The main outcome measures were response rates and adverse events. Eight clinical trials were eligible for analysis. Overall 672 patients were treated with either VCD (n = 157) or VTD (n = 515) as induction therapy. Patients treated with VTD presented with a significantly higher complete/near complete response (34% vs. 6%, P = 0·002) as well as a higher very good partial response rate or better, following induction therapy (62% vs. 27%, P &lt; 0·0001). Although grade 3-4 neurotoxicity was more frequent during VTD therapy (11% vs. 6%, P = 0·057), a higher incidence of overall grade 3-4 adverse events was found in the VCD-treated patients (74% vs. 51%, P &lt; 0·001). VTD induction therapy may be superior in achieving deeper response rate following induction therapy, and is better tolerated. © 2014 John Wiley &amp; Sons Ltd.","author":[{"dropping-particle":"","family":"Leiba","given":"Merav","non-dropping-particle":"","parse-names":false,"suffix":""},{"dropping-particle":"","family":"Kedmi","given":"Meirav","non-dropping-particle":"","parse-names":false,"suffix":""},{"dropping-particle":"","family":"Duek","given":"Adrian","non-dropping-particle":"","parse-names":false,"suffix":""},{"dropping-particle":"","family":"Freidman","given":"Tzachi","non-dropping-particle":"","parse-names":false,"suffix":""},{"dropping-particle":"","family":"Weiss","given":"Mia","non-dropping-particle":"","parse-names":false,"suffix":""},{"dropping-particle":"","family":"Leiba","given":"Ronit","non-dropping-particle":"","parse-names":false,"suffix":""},{"dropping-particle":"","family":"Nagler","given":"Arnon","non-dropping-particle":"","parse-names":false,"suffix":""},{"dropping-particle":"","family":"Avigdor","given":"Abraham","non-dropping-particle":"","parse-names":false,"suffix":""}],"container-title":"British Journal of Haematology","id":"ITEM-2","issue":"5","issued":{"date-parts":[["2014"]]},"page":"702-710","publisher":"Blackwell Publishing Ltd","title":"Bortezomib-Cyclophosphamide-Dexamethasone (VCD) versus Bortezomib-Thalidomide-Dexamethasone (VTD) -based regimens as induction therapies in newly diagnosed transplant eligible patients with multiple myeloma: A meta-analysis","type":"article-journal","volume":"166"},"uris":["http://www.mendeley.com/documents/?uuid=305ba1b6-a29e-353f-b070-b7510acc69ad"]}],"mendeley":{"formattedCitation":"[38,39]","plainTextFormattedCitation":"[38,39]","previouslyFormattedCitation":"[38,39]"},"properties":{"noteIndex":0},"schema":"https://github.com/citation-style-language/schema/raw/master/csl-citation.json"}</w:instrText>
      </w:r>
      <w:r w:rsidR="00A96FB6" w:rsidRPr="00F242DD">
        <w:fldChar w:fldCharType="separate"/>
      </w:r>
      <w:r w:rsidR="00021E5D" w:rsidRPr="00F242DD">
        <w:rPr>
          <w:noProof/>
        </w:rPr>
        <w:t>[38,39]</w:t>
      </w:r>
      <w:r w:rsidR="00A96FB6" w:rsidRPr="00F242DD">
        <w:fldChar w:fldCharType="end"/>
      </w:r>
      <w:r w:rsidR="00771514" w:rsidRPr="00F242DD">
        <w:t>:</w:t>
      </w:r>
    </w:p>
    <w:p w14:paraId="5E6A8C14" w14:textId="77777777" w:rsidR="00771514" w:rsidRPr="00F242DD" w:rsidRDefault="00771514" w:rsidP="00131E36">
      <w:pPr>
        <w:pStyle w:val="a6"/>
        <w:numPr>
          <w:ilvl w:val="1"/>
          <w:numId w:val="5"/>
        </w:numPr>
        <w:spacing w:before="0" w:after="0"/>
      </w:pPr>
      <w:r w:rsidRPr="00F242DD">
        <w:t>Бортезомиб</w:t>
      </w:r>
      <w:r w:rsidR="002A14A3" w:rsidRPr="00F242DD">
        <w:t>**</w:t>
      </w:r>
      <w:r w:rsidRPr="00F242DD">
        <w:t>/циклофосфамид</w:t>
      </w:r>
      <w:r w:rsidR="002A14A3" w:rsidRPr="00F242DD">
        <w:t>**</w:t>
      </w:r>
      <w:r w:rsidRPr="00F242DD">
        <w:t>/дексаметазон</w:t>
      </w:r>
      <w:r w:rsidR="002A14A3" w:rsidRPr="00F242DD">
        <w:t>**</w:t>
      </w:r>
      <w:r w:rsidRPr="00F242DD">
        <w:t xml:space="preserve"> (VCD)</w:t>
      </w:r>
    </w:p>
    <w:p w14:paraId="388CBDCC" w14:textId="77777777" w:rsidR="00771514" w:rsidRPr="00F242DD" w:rsidRDefault="00771514" w:rsidP="00131E36">
      <w:pPr>
        <w:pStyle w:val="a6"/>
        <w:numPr>
          <w:ilvl w:val="1"/>
          <w:numId w:val="5"/>
        </w:numPr>
        <w:spacing w:before="0" w:after="0"/>
      </w:pPr>
      <w:r w:rsidRPr="00F242DD">
        <w:t>Бортезомиб</w:t>
      </w:r>
      <w:r w:rsidR="002A14A3" w:rsidRPr="00F242DD">
        <w:t>**</w:t>
      </w:r>
      <w:r w:rsidRPr="00F242DD">
        <w:t>/доксорубицин</w:t>
      </w:r>
      <w:r w:rsidR="002A14A3" w:rsidRPr="00F242DD">
        <w:t>**</w:t>
      </w:r>
      <w:r w:rsidRPr="00F242DD">
        <w:t>/дексаметазон</w:t>
      </w:r>
      <w:r w:rsidR="002A14A3" w:rsidRPr="00F242DD">
        <w:t>**</w:t>
      </w:r>
      <w:r w:rsidRPr="00F242DD">
        <w:t xml:space="preserve"> (PAD)</w:t>
      </w:r>
    </w:p>
    <w:p w14:paraId="0A5A0F7B" w14:textId="77777777" w:rsidR="00771514" w:rsidRPr="00F242DD" w:rsidRDefault="00771514" w:rsidP="00131E36">
      <w:pPr>
        <w:pStyle w:val="a6"/>
        <w:numPr>
          <w:ilvl w:val="1"/>
          <w:numId w:val="5"/>
        </w:numPr>
        <w:spacing w:before="0" w:after="0"/>
      </w:pPr>
      <w:r w:rsidRPr="00F242DD">
        <w:t>Бортезомиб</w:t>
      </w:r>
      <w:r w:rsidR="002A14A3" w:rsidRPr="00F242DD">
        <w:t>**</w:t>
      </w:r>
      <w:r w:rsidRPr="00F242DD">
        <w:t>/дексаметазон</w:t>
      </w:r>
      <w:r w:rsidR="002A14A3" w:rsidRPr="00F242DD">
        <w:t>**</w:t>
      </w:r>
      <w:r w:rsidRPr="00F242DD">
        <w:t xml:space="preserve"> (VD). </w:t>
      </w:r>
    </w:p>
    <w:p w14:paraId="3C10A964" w14:textId="77777777" w:rsidR="00771514" w:rsidRPr="00F242DD" w:rsidRDefault="00771514" w:rsidP="008F69F6">
      <w:pPr>
        <w:spacing w:before="0" w:after="0"/>
        <w:ind w:left="709"/>
        <w:contextualSpacing/>
        <w:rPr>
          <w:b/>
        </w:rPr>
      </w:pPr>
      <w:r w:rsidRPr="00F242DD">
        <w:rPr>
          <w:b/>
        </w:rPr>
        <w:t xml:space="preserve">Уровень убедительности рекомендаций </w:t>
      </w:r>
      <w:r w:rsidR="006517D7" w:rsidRPr="00F242DD">
        <w:rPr>
          <w:b/>
        </w:rPr>
        <w:t xml:space="preserve">− </w:t>
      </w:r>
      <w:r w:rsidR="003C7967" w:rsidRPr="00F242DD">
        <w:rPr>
          <w:b/>
        </w:rPr>
        <w:t>А</w:t>
      </w:r>
      <w:r w:rsidR="00946AD8" w:rsidRPr="00F242DD">
        <w:rPr>
          <w:b/>
        </w:rPr>
        <w:t xml:space="preserve"> </w:t>
      </w:r>
      <w:r w:rsidRPr="00F242DD">
        <w:rPr>
          <w:b/>
        </w:rPr>
        <w:t>(уровень достоверности доказательств</w:t>
      </w:r>
      <w:r w:rsidR="00946AD8" w:rsidRPr="00F242DD">
        <w:rPr>
          <w:b/>
        </w:rPr>
        <w:t xml:space="preserve"> </w:t>
      </w:r>
      <w:r w:rsidR="006517D7" w:rsidRPr="00F242DD">
        <w:rPr>
          <w:b/>
        </w:rPr>
        <w:t xml:space="preserve">− </w:t>
      </w:r>
      <w:r w:rsidR="003C7967" w:rsidRPr="00F242DD">
        <w:rPr>
          <w:b/>
        </w:rPr>
        <w:t>1</w:t>
      </w:r>
      <w:r w:rsidRPr="00F242DD">
        <w:rPr>
          <w:b/>
        </w:rPr>
        <w:t>)</w:t>
      </w:r>
    </w:p>
    <w:p w14:paraId="663F34A5" w14:textId="77777777" w:rsidR="00B202CC" w:rsidRPr="00F242DD" w:rsidRDefault="00771514" w:rsidP="008F69F6">
      <w:pPr>
        <w:spacing w:before="0" w:after="0"/>
        <w:ind w:left="709"/>
        <w:contextualSpacing/>
        <w:rPr>
          <w:i/>
        </w:rPr>
      </w:pPr>
      <w:r w:rsidRPr="00F242DD">
        <w:rPr>
          <w:b/>
        </w:rPr>
        <w:t xml:space="preserve">Комментарий: </w:t>
      </w:r>
      <w:r w:rsidR="006517D7" w:rsidRPr="00F242DD">
        <w:rPr>
          <w:i/>
        </w:rPr>
        <w:t>т</w:t>
      </w:r>
      <w:r w:rsidR="00BD6C13" w:rsidRPr="00F242DD">
        <w:rPr>
          <w:i/>
        </w:rPr>
        <w:t>риплеты, включающие бортезомиб</w:t>
      </w:r>
      <w:r w:rsidR="00AD2477" w:rsidRPr="00F242DD">
        <w:rPr>
          <w:i/>
        </w:rPr>
        <w:t>**</w:t>
      </w:r>
      <w:r w:rsidR="00BD6C13" w:rsidRPr="00F242DD">
        <w:rPr>
          <w:i/>
        </w:rPr>
        <w:t xml:space="preserve">, считаются самыми эффективными режимами, </w:t>
      </w:r>
      <w:r w:rsidR="00A425E4" w:rsidRPr="00F242DD">
        <w:rPr>
          <w:i/>
        </w:rPr>
        <w:t>так как</w:t>
      </w:r>
      <w:r w:rsidR="00BD6C13" w:rsidRPr="00F242DD">
        <w:rPr>
          <w:i/>
        </w:rPr>
        <w:t xml:space="preserve"> имеют большую эффективность, чем </w:t>
      </w:r>
      <w:r w:rsidR="00BD6C13" w:rsidRPr="00F242DD">
        <w:rPr>
          <w:i/>
          <w:lang w:val="en-US"/>
        </w:rPr>
        <w:t>VD</w:t>
      </w:r>
      <w:r w:rsidR="00BD6C13" w:rsidRPr="00F242DD">
        <w:rPr>
          <w:i/>
        </w:rPr>
        <w:t>.</w:t>
      </w:r>
      <w:r w:rsidR="00A425E4" w:rsidRPr="00F242DD">
        <w:rPr>
          <w:i/>
        </w:rPr>
        <w:t xml:space="preserve"> </w:t>
      </w:r>
      <w:r w:rsidR="00BD6C13" w:rsidRPr="00F242DD">
        <w:rPr>
          <w:i/>
        </w:rPr>
        <w:t>Во всех представленных схемах оптимальным является подкожное введение бортезомиба</w:t>
      </w:r>
      <w:r w:rsidR="00AD2477" w:rsidRPr="00F242DD">
        <w:rPr>
          <w:i/>
        </w:rPr>
        <w:t>**</w:t>
      </w:r>
      <w:r w:rsidR="00BD6C13" w:rsidRPr="00F242DD">
        <w:rPr>
          <w:i/>
        </w:rPr>
        <w:t>.</w:t>
      </w:r>
    </w:p>
    <w:p w14:paraId="21D39D8C" w14:textId="77777777" w:rsidR="00A625FE" w:rsidRPr="00F242DD" w:rsidRDefault="003C7967" w:rsidP="00131E36">
      <w:pPr>
        <w:pStyle w:val="a6"/>
        <w:numPr>
          <w:ilvl w:val="0"/>
          <w:numId w:val="5"/>
        </w:numPr>
        <w:spacing w:before="0" w:after="0"/>
        <w:ind w:left="709" w:hanging="709"/>
      </w:pPr>
      <w:r w:rsidRPr="00F242DD">
        <w:t>Пациентам</w:t>
      </w:r>
      <w:r w:rsidR="00A625FE" w:rsidRPr="00F242DD">
        <w:t xml:space="preserve"> с впервые выявленной ММ в возрасте до 65</w:t>
      </w:r>
      <w:r w:rsidR="002A14A3" w:rsidRPr="00F242DD">
        <w:t xml:space="preserve"> лет</w:t>
      </w:r>
      <w:r w:rsidR="00A625FE" w:rsidRPr="00F242DD">
        <w:t>, а также пациентам 65</w:t>
      </w:r>
      <w:r w:rsidR="00A425E4" w:rsidRPr="00F242DD">
        <w:t>−</w:t>
      </w:r>
      <w:r w:rsidR="00A625FE" w:rsidRPr="00F242DD">
        <w:t>70</w:t>
      </w:r>
      <w:r w:rsidR="00A425E4" w:rsidRPr="00F242DD">
        <w:t> </w:t>
      </w:r>
      <w:r w:rsidR="00A625FE" w:rsidRPr="00F242DD">
        <w:t xml:space="preserve">лет с хорошим соматическим статусом без тяжелых сопутствующих заболеваний, которым планируется </w:t>
      </w:r>
      <w:r w:rsidR="001F641D" w:rsidRPr="00F242DD">
        <w:t>выполнение</w:t>
      </w:r>
      <w:r w:rsidR="00A625FE" w:rsidRPr="00F242DD">
        <w:t xml:space="preserve"> ауто</w:t>
      </w:r>
      <w:r w:rsidR="00267DE2" w:rsidRPr="00F242DD">
        <w:t>-</w:t>
      </w:r>
      <w:r w:rsidR="00A625FE" w:rsidRPr="00F242DD">
        <w:t>ТГСК, при недостаточном ответе на индукционную терапию бортезомибсодержащ</w:t>
      </w:r>
      <w:r w:rsidR="0058682B" w:rsidRPr="00F242DD">
        <w:t>ими режимами (не</w:t>
      </w:r>
      <w:r w:rsidR="00A425E4" w:rsidRPr="00F242DD">
        <w:t> </w:t>
      </w:r>
      <w:r w:rsidR="0058682B" w:rsidRPr="00F242DD">
        <w:t xml:space="preserve">достигнута по крайней мере </w:t>
      </w:r>
      <w:r w:rsidR="007071BD" w:rsidRPr="00F242DD">
        <w:t>ЧР</w:t>
      </w:r>
      <w:r w:rsidR="00031AAD" w:rsidRPr="00F242DD">
        <w:t xml:space="preserve"> </w:t>
      </w:r>
      <w:r w:rsidR="0058682B" w:rsidRPr="00F242DD">
        <w:t>после 4</w:t>
      </w:r>
      <w:r w:rsidR="001404D0" w:rsidRPr="00F242DD">
        <w:t>−</w:t>
      </w:r>
      <w:r w:rsidR="0058682B" w:rsidRPr="00F242DD">
        <w:t>6 циклов)</w:t>
      </w:r>
      <w:r w:rsidR="00727909" w:rsidRPr="00F242DD">
        <w:t xml:space="preserve"> </w:t>
      </w:r>
      <w:r w:rsidR="00FF0C02" w:rsidRPr="00F242DD">
        <w:rPr>
          <w:b/>
        </w:rPr>
        <w:t>рекомендуется</w:t>
      </w:r>
      <w:r w:rsidR="00A625FE" w:rsidRPr="00F242DD">
        <w:t xml:space="preserve"> применять </w:t>
      </w:r>
      <w:r w:rsidR="001404D0" w:rsidRPr="00F242DD">
        <w:br/>
        <w:t>2-</w:t>
      </w:r>
      <w:r w:rsidR="0058682B" w:rsidRPr="00F242DD">
        <w:t xml:space="preserve">ю линию терапии </w:t>
      </w:r>
      <w:r w:rsidR="00A625FE" w:rsidRPr="00F242DD">
        <w:t>од</w:t>
      </w:r>
      <w:r w:rsidR="0058682B" w:rsidRPr="00F242DD">
        <w:t>ним</w:t>
      </w:r>
      <w:r w:rsidR="00A625FE" w:rsidRPr="00F242DD">
        <w:t xml:space="preserve"> из следующих</w:t>
      </w:r>
      <w:r w:rsidR="00E3158E" w:rsidRPr="00F242DD">
        <w:t xml:space="preserve"> </w:t>
      </w:r>
      <w:r w:rsidR="0058682B" w:rsidRPr="00F242DD">
        <w:t>леналидомидсодержащих</w:t>
      </w:r>
      <w:r w:rsidR="00A625FE" w:rsidRPr="00F242DD">
        <w:t xml:space="preserve"> режимов терапии</w:t>
      </w:r>
      <w:r w:rsidR="00032CFB" w:rsidRPr="00F242DD">
        <w:t xml:space="preserve"> (описание режимов – см. приложение </w:t>
      </w:r>
      <w:r w:rsidR="00C812D6" w:rsidRPr="00F242DD">
        <w:t>А3.1</w:t>
      </w:r>
      <w:r w:rsidR="00032CFB" w:rsidRPr="00F242DD">
        <w:t>)</w:t>
      </w:r>
      <w:r w:rsidR="00E3158E" w:rsidRPr="00F242DD">
        <w:t xml:space="preserve"> </w:t>
      </w:r>
      <w:r w:rsidR="00A96FB6" w:rsidRPr="00F242DD">
        <w:fldChar w:fldCharType="begin" w:fldLock="1"/>
      </w:r>
      <w:r w:rsidR="00F74B6B" w:rsidRPr="00F242DD">
        <w:instrText>ADDIN CSL_CITATION {"citationItems":[{"id":"ITEM-1","itemData":{"DOI":"10.3109/10428194.2013.847935","ISSN":"1029-2403","PMID":"24067138","abstract":"The objective of the study was to investigate the effects and safety of novel agents such as bortezomib and lenalidomide in the treatment of newly diagnosed patients with multiple myeloma. We performed a comprehensive meta-analysis of randomized controlled trials (RCTs). An initial search yielded 627 citations, of which 10 RCTs enrolling 4534 patients met the inclusion criteria. The addition of bortezomib to first-line therapy significantly prolonged overall survival (OS) (hazard ratio [HR], 0.75 [0.65, 0.87], p &lt; 0.001). On the other hand, the addition of lenalidomide had no impact on survival (HR, 0.88 [0.65, 1.20], p = 0.42). Both lenalidomide and bortezomib consistently improved progression-free survival (PFS) compared with conventional therapy alone. The corresponding HRs were 0.65, 95% confidence interval (CI) [0.55, 0.77] (p &lt; 0.001) for bortezomib and 0.48, 95% CI [0.42, 0.55]; (p &lt; 0.001) for lenalidomide, respectively. Some of the increased adverse events reported were herpes zoster (relative risk [RR], 3.64 [2.23, 5.94], p &lt; 0.001), peripheral neuropathy (RR, 3.59 [1.89, 6.83], p &lt; 0.001) and gastrointestinal effects (RR, 2.19 [1.37, 3.50], p = 0.001) among patients receiving bortezomib, and gastrointestinal effects (RR, 2.36 [1.33, 4.17], p = 0.003) and thromboembolic events (RR, 2.55 [1.48, 4.38], p &lt; 0.001) among patients receiving lenalidomide. Interestingly, treatment with bortezomib seemed to be associated with a lower rate of treatment related mortality (RR, 0.39 [0.18, 0.85], p = 0.02). An increased incidence of second primary cancers was observed in the lenalidomide group (RR 2.61 [1.60, 4.27], p &lt; 0.001). In summary, bortezomib improved OS, and both lenalidomide and bortezomib consistently improved PFS of patients with newly diagnosed myeloma when it was added to standard therapy.","author":[{"dropping-particle":"","family":"Zou","given":"Yandun","non-dropping-particle":"","parse-names":false,"suffix":""},{"dropping-particle":"","family":"Lin","given":"Mingzhen","non-dropping-particle":"","parse-names":false,"suffix":""},{"dropping-particle":"","family":"Sheng","given":"Zhixin","non-dropping-particle":"","parse-names":false,"suffix":""},{"dropping-particle":"","family":"Niu","given":"Shaona","non-dropping-particle":"","parse-names":false,"suffix":""}],"container-title":"Leukemia &amp; lymphoma","id":"ITEM-1","issue":"9","issued":{"date-parts":[["2014","9"]]},"page":"2024-31","title":"Bortezomib and lenalidomide as front-line therapy for multiple myeloma.","type":"article-journal","volume":"55"},"uris":["http://www.mendeley.com/documents/?uuid=9439b288-0a59-314a-9744-9aedc4d3acdf"]},{"id":"ITEM-2","itemData":{"DOI":"10.1155/2012/712613","ISSN":"16879104","abstract":"Although multiple myeloma remains incurable outside of allogeneic hematopoietic stem cell transplantation, novel agents made available only in the last few decades have nonetheless tremendously improved the landscape of myeloma treatment. Lenalidomide, of the immunomodulatory class of drugs, is one of those novel agents. In the non-transplant and relapsed/refractory settings, lenalidomide clearly benefits patients in terms of virtually all meaningful outcomes including overall survival. Data supporting the usage of lenalidomide as part of treatment approaches incorporating high-dose chemotherapy with autologous stem cell support (ASCT) are less mature as pertains to such long-term outcomes and toxicity, and lenalidomide is not currently approved by regulatory agencies for use in the context of ASCT in either the United States or Europe. That said, relatively preliminary efficacy data describing lenalidomide as a component of ASCT-based treatment approaches to MM are indeed promising, and consequently lenalidomide’s role in ASCT-based treatment strategies is growing. In this review we summarize existing data that pertains to lenalidomide in the specific context of ASCT, and we share our thoughts on how our own group applies these data to approach this complex issue clinically.","author":[{"dropping-particle":"","family":"Tuchman","given":"S. A.","non-dropping-particle":"","parse-names":false,"suffix":""},{"dropping-particle":"","family":"Chao","given":"N. J.","non-dropping-particle":"","parse-names":false,"suffix":""},{"dropping-particle":"","family":"Gasparetto","given":"C. G.","non-dropping-particle":"","parse-names":false,"suffix":""}],"container-title":"Advances in Hematology","id":"ITEM-2","issued":{"date-parts":[["2012"]]},"title":"Lenalidomide before and after autologous hematopoietic stem cell transplantation in multiple myeloma","type":"article","volume":"2012"},"uris":["http://www.mendeley.com/documents/?uuid=330c55ae-fe1c-3bb9-a9c3-2ee72be5b533"]},{"id":"ITEM-3","itemData":{"DOI":"10.1182/blood-2008-10-184135","ISSN":"00064971","abstract":"We conducted a phase 1/2 trial combining lenalidomide (R) with adriamycin (A) and dexamethasone (D) for relapsed and relapsed-refractory myeloma to determine tolerability and efficacy of this novel regimen, RAD, delivered for six 28-day cycles.Atotal of 69 intensively pretreated patients with a median age of 65 years (range, 46-77 years) were enrolled. Using pegfilgrastim (G), the maximum tolerated dose (MTD) was formally not reached at the highest dose level (R, 25 mg on days 1-21; A, 9 mg/m2 intravenously on days 1-4; and D, 40 mg on days 1-4 and 17-20; dose level 5+G), which was then used to determine efficacy. Grades 3/4 neutropenia and thrombocytopenia were seen in 48% and 38% of patients, respectively. Thromboembolic events occurred in 4.5% and severe infections in 10.5% of patients. On an intent-to treat analysis, overall response rate (ORR) was 73% for the whole study and 77% including 74% complete response (CR) plus very good partial response (VGPR) for dose level 5+G. Response rates and progression-free survival did not differ between relapsed and relapsed-refractory patients. Deletion of chromosome 17p and elevated β2-microglobulin were associated with significantly inferior response and shortened time to progression. In conclusion, RAD induces substantial and durable remission with an acceptable toxicity profile in patients with relapsed and relapsedrefractory myeloma. This trial was registered at www.ClinicalTrials.gov as no. NCT00306813. © 2009 by The American Society of Hematology.","author":[{"dropping-particle":"","family":"Knop","given":"Stefan","non-dropping-particle":"","parse-names":false,"suffix":""},{"dropping-particle":"","family":"Gerecke","given":"Christian","non-dropping-particle":"","parse-names":false,"suffix":""},{"dropping-particle":"","family":"Liebisch","given":"Peter","non-dropping-particle":"","parse-names":false,"suffix":""},{"dropping-particle":"","family":"Topp","given":"Max S.","non-dropping-particle":"","parse-names":false,"suffix":""},{"dropping-particle":"","family":"Platzbecker","given":"Uwe","non-dropping-particle":"","parse-names":false,"suffix":""},{"dropping-particle":"","family":"Sezer","given":"Orhan","non-dropping-particle":"","parse-names":false,"suffix":""},{"dropping-particle":"","family":"Vollmuth","given":"Christina","non-dropping-particle":"","parse-names":false,"suffix":""},{"dropping-particle":"","family":"Falk","given":"Karina","non-dropping-particle":"","parse-names":false,"suffix":""},{"dropping-particle":"","family":"Glasmacher","given":"Axel","non-dropping-particle":"","parse-names":false,"suffix":""},{"dropping-particle":"","family":"Maeder","given":"Uwe","non-dropping-particle":"","parse-names":false,"suffix":""},{"dropping-particle":"","family":"Einsele","given":"Hermann","non-dropping-particle":"","parse-names":false,"suffix":""},{"dropping-particle":"","family":"Bargou","given":"Ralf C.","non-dropping-particle":"","parse-names":false,"suffix":""}],"container-title":"Blood","id":"ITEM-3","issue":"18","issued":{"date-parts":[["2009"]]},"page":"4137-4143","title":"Lenalidomide, adriamycin, and dexamethasone (RAD) in patients with relapsed and refractory multiple myeloma: A report from the German Myeloma Study Group DSMM (Deutsche Studiengruppe Multiples Myelom)","type":"article-journal","volume":"113"},"uris":["http://www.mendeley.com/documents/?uuid=0d8c189c-027c-32d6-8683-617f38f90506"]},{"id":"ITEM-4","itemData":{"DOI":"10.1111/bjh.13100","ISSN":"13652141","abstract":"This single institution, open label Phase I-II dose escalation trial evaluated the safety and efficacy of the combination of lenalidomide (Revlimid®), cyclophosphamide and prednisone (CPR) in patients with relapsed/refractory multiple myeloma. The maximal administered dose of CPR consisted of cyclophosphamide 300 mg/m2 on day 1, 8, and 15, lenalidomide 25 mg on d 1-21 and prednisone 100 mg every other day in a 28-d cycle. Between November 2007 and June 2009, 32 patients were entered in cohorts of three at three dose levels. The median age was 64 years, 59% were male, with a median two prior regimens. Responding patients could stay on treatment until progression. The full-dose CPR regimen produced no dose-limiting toxicity and was delivered for a median of 16 months (3·5-65 months) with acceptable safety and tolerance. The overall response rate (≥ partial response) was 94% at a median follow up of 28 months. The median progression-free survival was 16·1 months [95% confidence interval (CI); 10·9-22·5 months], while the median overall survival was 27·6 months (95% CI; 16·8-36·6 months). Only the beta-2 microglobulin level at protocol entry correlated with a better survival (P = 0·047). These observations compare favourably with other 2- and 3- drug combinations for relapsed/refractory myeloma, and suggest that CPR should be evaluated further in the setting of relapsed/refractory disease, or in newly diagnosed patients.","author":[{"dropping-particle":"","family":"Reece","given":"Donna E.","non-dropping-particle":"","parse-names":false,"suffix":""},{"dropping-particle":"","family":"Masih-Khan","given":"Esther","non-dropping-particle":"","parse-names":false,"suffix":""},{"dropping-particle":"","family":"Atenafu","given":"Eshetu G.","non-dropping-particle":"","parse-names":false,"suffix":""},{"dropping-particle":"","family":"Jimenez-Zepeda","given":"Victor H.","non-dropping-particle":"","parse-names":false,"suffix":""},{"dropping-particle":"","family":"Anglin","given":"Peter","non-dropping-particle":"","parse-names":false,"suffix":""},{"dropping-particle":"","family":"Chen","given":"Christine","non-dropping-particle":"","parse-names":false,"suffix":""},{"dropping-particle":"","family":"Kukreti","given":"Vishal","non-dropping-particle":"","parse-names":false,"suffix":""},{"dropping-particle":"","family":"Mikhael","given":"Joseph R.","non-dropping-particle":"","parse-names":false,"suffix":""},{"dropping-particle":"","family":"Trudel","given":"Suzanne","non-dropping-particle":"","parse-names":false,"suffix":""}],"container-title":"British Journal of Haematology","id":"ITEM-4","issue":"1","issued":{"date-parts":[["2015","1","1"]]},"page":"46-54","publisher":"Blackwell Publishing Ltd","title":"Phase I-II trial of oral cyclophosphamide, prednisone and lenalidomide for the treatment of patients with relapsed and refractory multiple myeloma","type":"article-journal","volume":"168"},"uris":["http://www.mendeley.com/documents/?uuid=f070c6a6-7363-38b7-9c6a-f6434557db11"]}],"mendeley":{"formattedCitation":"[26,40–42]","plainTextFormattedCitation":"[26,40–42]","previouslyFormattedCitation":"[26,40–42]"},"properties":{"noteIndex":0},"schema":"https://github.com/citation-style-language/schema/raw/master/csl-citation.json"}</w:instrText>
      </w:r>
      <w:r w:rsidR="00A96FB6" w:rsidRPr="00F242DD">
        <w:fldChar w:fldCharType="separate"/>
      </w:r>
      <w:r w:rsidR="00705691" w:rsidRPr="00F242DD">
        <w:rPr>
          <w:noProof/>
        </w:rPr>
        <w:t>[26,40–42]</w:t>
      </w:r>
      <w:r w:rsidR="00A96FB6" w:rsidRPr="00F242DD">
        <w:fldChar w:fldCharType="end"/>
      </w:r>
      <w:r w:rsidR="00A625FE" w:rsidRPr="00F242DD">
        <w:t>:</w:t>
      </w:r>
    </w:p>
    <w:p w14:paraId="4E4FC426" w14:textId="77777777" w:rsidR="0058682B" w:rsidRPr="00F242DD" w:rsidRDefault="0058682B" w:rsidP="00131E36">
      <w:pPr>
        <w:pStyle w:val="a6"/>
        <w:numPr>
          <w:ilvl w:val="1"/>
          <w:numId w:val="5"/>
        </w:numPr>
        <w:spacing w:before="0" w:after="0"/>
      </w:pPr>
      <w:r w:rsidRPr="00F242DD">
        <w:t>Леналидомид</w:t>
      </w:r>
      <w:r w:rsidR="002A14A3" w:rsidRPr="00F242DD">
        <w:t>**</w:t>
      </w:r>
      <w:r w:rsidRPr="00F242DD">
        <w:t>/дексаметазон</w:t>
      </w:r>
      <w:r w:rsidR="002A14A3" w:rsidRPr="00F242DD">
        <w:t>**</w:t>
      </w:r>
      <w:r w:rsidRPr="00F242DD">
        <w:t xml:space="preserve"> (RD/Rd)</w:t>
      </w:r>
    </w:p>
    <w:p w14:paraId="6524B9CC" w14:textId="77777777" w:rsidR="0058682B" w:rsidRPr="00F242DD" w:rsidRDefault="0058682B" w:rsidP="00131E36">
      <w:pPr>
        <w:pStyle w:val="a6"/>
        <w:numPr>
          <w:ilvl w:val="1"/>
          <w:numId w:val="5"/>
        </w:numPr>
        <w:spacing w:before="0" w:after="0"/>
      </w:pPr>
      <w:r w:rsidRPr="00F242DD">
        <w:t>Леналидомид</w:t>
      </w:r>
      <w:r w:rsidR="002A14A3" w:rsidRPr="00F242DD">
        <w:t>**</w:t>
      </w:r>
      <w:r w:rsidRPr="00F242DD">
        <w:t>/бортезомиб</w:t>
      </w:r>
      <w:r w:rsidR="002A14A3" w:rsidRPr="00F242DD">
        <w:t>**</w:t>
      </w:r>
      <w:r w:rsidRPr="00F242DD">
        <w:t>/дексаметазон</w:t>
      </w:r>
      <w:r w:rsidR="002A14A3" w:rsidRPr="00F242DD">
        <w:t>**</w:t>
      </w:r>
      <w:r w:rsidRPr="00F242DD">
        <w:t xml:space="preserve"> (</w:t>
      </w:r>
      <w:r w:rsidR="008668BA" w:rsidRPr="00F242DD">
        <w:rPr>
          <w:lang w:val="en-US"/>
        </w:rPr>
        <w:t>VR</w:t>
      </w:r>
      <w:r w:rsidRPr="00F242DD">
        <w:t>D)</w:t>
      </w:r>
    </w:p>
    <w:p w14:paraId="4CF8B8B3" w14:textId="77777777" w:rsidR="0058682B" w:rsidRPr="00F242DD" w:rsidRDefault="0058682B" w:rsidP="00131E36">
      <w:pPr>
        <w:pStyle w:val="a6"/>
        <w:numPr>
          <w:ilvl w:val="1"/>
          <w:numId w:val="5"/>
        </w:numPr>
        <w:spacing w:before="0" w:after="0"/>
      </w:pPr>
      <w:r w:rsidRPr="00F242DD">
        <w:t>Леналидомид</w:t>
      </w:r>
      <w:r w:rsidR="002A14A3" w:rsidRPr="00F242DD">
        <w:t>**</w:t>
      </w:r>
      <w:r w:rsidRPr="00F242DD">
        <w:t>/доксорубицин</w:t>
      </w:r>
      <w:r w:rsidR="002A14A3" w:rsidRPr="00F242DD">
        <w:t>**</w:t>
      </w:r>
      <w:r w:rsidRPr="00F242DD">
        <w:t>/дексаметазон</w:t>
      </w:r>
      <w:r w:rsidR="002A14A3" w:rsidRPr="00F242DD">
        <w:t>**</w:t>
      </w:r>
      <w:r w:rsidRPr="00F242DD">
        <w:t xml:space="preserve"> (RAD)</w:t>
      </w:r>
    </w:p>
    <w:p w14:paraId="7CD292F3" w14:textId="77777777" w:rsidR="0058682B" w:rsidRPr="00F242DD" w:rsidRDefault="0058682B" w:rsidP="00131E36">
      <w:pPr>
        <w:pStyle w:val="a6"/>
        <w:numPr>
          <w:ilvl w:val="1"/>
          <w:numId w:val="5"/>
        </w:numPr>
        <w:spacing w:before="0" w:after="0"/>
      </w:pPr>
      <w:r w:rsidRPr="00F242DD">
        <w:t>Леналидомид</w:t>
      </w:r>
      <w:r w:rsidR="002A14A3" w:rsidRPr="00F242DD">
        <w:t>**</w:t>
      </w:r>
      <w:r w:rsidRPr="00F242DD">
        <w:t>/циклофосфа</w:t>
      </w:r>
      <w:r w:rsidR="00CD48C7" w:rsidRPr="00F242DD">
        <w:t>мид</w:t>
      </w:r>
      <w:r w:rsidR="002A14A3" w:rsidRPr="00F242DD">
        <w:t>**</w:t>
      </w:r>
      <w:r w:rsidRPr="00F242DD">
        <w:t>/дексаметазон</w:t>
      </w:r>
      <w:r w:rsidR="002A14A3" w:rsidRPr="00F242DD">
        <w:t>**</w:t>
      </w:r>
      <w:r w:rsidRPr="00F242DD">
        <w:t xml:space="preserve"> (RCD)</w:t>
      </w:r>
    </w:p>
    <w:p w14:paraId="355C7202" w14:textId="77777777" w:rsidR="00A625FE" w:rsidRPr="00F242DD" w:rsidRDefault="0058682B" w:rsidP="00131E36">
      <w:pPr>
        <w:pStyle w:val="a6"/>
        <w:numPr>
          <w:ilvl w:val="1"/>
          <w:numId w:val="5"/>
        </w:numPr>
        <w:spacing w:before="0" w:after="0"/>
      </w:pPr>
      <w:r w:rsidRPr="00F242DD">
        <w:t>Леналидомид</w:t>
      </w:r>
      <w:r w:rsidR="002A14A3" w:rsidRPr="00F242DD">
        <w:t>**</w:t>
      </w:r>
      <w:r w:rsidRPr="00F242DD">
        <w:t>/</w:t>
      </w:r>
      <w:r w:rsidR="00CD48C7" w:rsidRPr="00F242DD">
        <w:t>циклофосфамид</w:t>
      </w:r>
      <w:r w:rsidR="002A14A3" w:rsidRPr="00F242DD">
        <w:t>**</w:t>
      </w:r>
      <w:r w:rsidRPr="00F242DD">
        <w:t>/преднизолон</w:t>
      </w:r>
      <w:r w:rsidR="002A14A3" w:rsidRPr="00F242DD">
        <w:t>**</w:t>
      </w:r>
      <w:r w:rsidRPr="00F242DD">
        <w:t xml:space="preserve"> (RCP)</w:t>
      </w:r>
      <w:r w:rsidR="00021E5D" w:rsidRPr="00F242DD">
        <w:t xml:space="preserve"> </w:t>
      </w:r>
      <w:r w:rsidR="00A625FE" w:rsidRPr="00F242DD">
        <w:t xml:space="preserve">. </w:t>
      </w:r>
    </w:p>
    <w:p w14:paraId="368E88C6" w14:textId="77777777" w:rsidR="00A625FE" w:rsidRPr="00F242DD" w:rsidRDefault="00A625FE" w:rsidP="00131E36">
      <w:pPr>
        <w:spacing w:before="0" w:after="0"/>
        <w:ind w:left="709"/>
        <w:contextualSpacing/>
        <w:rPr>
          <w:b/>
        </w:rPr>
      </w:pPr>
      <w:r w:rsidRPr="00F242DD">
        <w:rPr>
          <w:b/>
        </w:rPr>
        <w:lastRenderedPageBreak/>
        <w:t>Уровень убедительности рекомендаций</w:t>
      </w:r>
      <w:r w:rsidR="003C7967" w:rsidRPr="00F242DD">
        <w:rPr>
          <w:b/>
        </w:rPr>
        <w:t xml:space="preserve"> </w:t>
      </w:r>
      <w:r w:rsidR="008668BA" w:rsidRPr="00F242DD">
        <w:rPr>
          <w:b/>
        </w:rPr>
        <w:t xml:space="preserve">− </w:t>
      </w:r>
      <w:r w:rsidR="0035490D" w:rsidRPr="00F242DD">
        <w:rPr>
          <w:b/>
          <w:lang w:val="en-US"/>
        </w:rPr>
        <w:t>C</w:t>
      </w:r>
      <w:r w:rsidR="0035490D" w:rsidRPr="00F242DD">
        <w:rPr>
          <w:b/>
        </w:rPr>
        <w:t xml:space="preserve"> </w:t>
      </w:r>
      <w:r w:rsidRPr="00F242DD">
        <w:rPr>
          <w:b/>
        </w:rPr>
        <w:t>(уровень достоверности доказательств</w:t>
      </w:r>
      <w:r w:rsidR="00AC286C" w:rsidRPr="00F242DD">
        <w:rPr>
          <w:b/>
        </w:rPr>
        <w:t xml:space="preserve"> </w:t>
      </w:r>
      <w:r w:rsidR="008668BA" w:rsidRPr="00F242DD">
        <w:rPr>
          <w:b/>
        </w:rPr>
        <w:t xml:space="preserve">− </w:t>
      </w:r>
      <w:r w:rsidR="005B2EF9" w:rsidRPr="00F242DD">
        <w:rPr>
          <w:b/>
        </w:rPr>
        <w:t>5</w:t>
      </w:r>
      <w:r w:rsidRPr="00F242DD">
        <w:rPr>
          <w:b/>
        </w:rPr>
        <w:t>)</w:t>
      </w:r>
    </w:p>
    <w:p w14:paraId="1521E9CD" w14:textId="77777777" w:rsidR="0076197D" w:rsidRPr="00F242DD" w:rsidRDefault="00A625FE" w:rsidP="00131E36">
      <w:pPr>
        <w:spacing w:before="0" w:after="0"/>
        <w:ind w:left="709"/>
        <w:contextualSpacing/>
        <w:rPr>
          <w:i/>
        </w:rPr>
      </w:pPr>
      <w:r w:rsidRPr="00F242DD">
        <w:rPr>
          <w:b/>
        </w:rPr>
        <w:t xml:space="preserve">Комментарий: </w:t>
      </w:r>
      <w:r w:rsidR="00632333" w:rsidRPr="00F242DD">
        <w:rPr>
          <w:i/>
        </w:rPr>
        <w:t xml:space="preserve">количество </w:t>
      </w:r>
      <w:r w:rsidR="0076197D" w:rsidRPr="00F242DD">
        <w:rPr>
          <w:i/>
        </w:rPr>
        <w:t>курсов индукционной терапии определяется противоопухолевым ответом на лечение и согласовывается с трансплантационным центром. Поскольку леналидомид</w:t>
      </w:r>
      <w:r w:rsidR="00D20FB3" w:rsidRPr="00F242DD">
        <w:rPr>
          <w:i/>
        </w:rPr>
        <w:t>**</w:t>
      </w:r>
      <w:r w:rsidR="0076197D" w:rsidRPr="00F242DD">
        <w:rPr>
          <w:i/>
        </w:rPr>
        <w:t xml:space="preserve"> обладает миелосупрессивным эффектом, мобилизацию и сбор ауто</w:t>
      </w:r>
      <w:r w:rsidR="00746015" w:rsidRPr="00F242DD">
        <w:rPr>
          <w:i/>
        </w:rPr>
        <w:t xml:space="preserve">-ТГСК </w:t>
      </w:r>
      <w:r w:rsidR="0076197D" w:rsidRPr="00F242DD">
        <w:rPr>
          <w:i/>
        </w:rPr>
        <w:t>целесообразно выполнять после 4-го леналидомидсодержащего курса.</w:t>
      </w:r>
    </w:p>
    <w:p w14:paraId="51131718" w14:textId="77777777" w:rsidR="00BF629F" w:rsidRPr="00F242DD" w:rsidRDefault="003C7967" w:rsidP="00131E36">
      <w:pPr>
        <w:pStyle w:val="a6"/>
        <w:numPr>
          <w:ilvl w:val="0"/>
          <w:numId w:val="5"/>
        </w:numPr>
        <w:spacing w:before="0" w:after="0"/>
        <w:ind w:left="709"/>
        <w:rPr>
          <w:b/>
        </w:rPr>
      </w:pPr>
      <w:r w:rsidRPr="00F242DD">
        <w:t>Пациентам</w:t>
      </w:r>
      <w:r w:rsidR="00BF629F" w:rsidRPr="00F242DD">
        <w:t xml:space="preserve"> с впервые выявленной ММ в возрасте до 65</w:t>
      </w:r>
      <w:r w:rsidR="003A08CA" w:rsidRPr="00F242DD">
        <w:t xml:space="preserve"> лет</w:t>
      </w:r>
      <w:r w:rsidR="00BF629F" w:rsidRPr="00F242DD">
        <w:t>, а также пациентам 65</w:t>
      </w:r>
      <w:r w:rsidR="00A619A4" w:rsidRPr="00F242DD">
        <w:t>−</w:t>
      </w:r>
      <w:r w:rsidR="00BF629F" w:rsidRPr="00F242DD">
        <w:t>70</w:t>
      </w:r>
      <w:r w:rsidR="00A619A4" w:rsidRPr="00F242DD">
        <w:t> </w:t>
      </w:r>
      <w:r w:rsidR="00BF629F" w:rsidRPr="00F242DD">
        <w:t>лет с хорошим соматическим статусом без тяжелых сопутствующих заболеваний, которым планируется консолидация ауто</w:t>
      </w:r>
      <w:r w:rsidR="00267DE2" w:rsidRPr="00F242DD">
        <w:t>-</w:t>
      </w:r>
      <w:r w:rsidR="00BF629F" w:rsidRPr="00F242DD">
        <w:t xml:space="preserve">ТГСК, в качестве индукционной терапии </w:t>
      </w:r>
      <w:r w:rsidR="00BF629F" w:rsidRPr="00F242DD">
        <w:rPr>
          <w:b/>
        </w:rPr>
        <w:t xml:space="preserve">не рекомендуется </w:t>
      </w:r>
      <w:r w:rsidR="00BF629F" w:rsidRPr="00F242DD">
        <w:t>применять схемы терапии, включающие мелфалан</w:t>
      </w:r>
      <w:r w:rsidRPr="00F242DD">
        <w:t>**</w:t>
      </w:r>
      <w:r w:rsidR="00632333" w:rsidRPr="00F242DD">
        <w:t xml:space="preserve"> </w:t>
      </w:r>
      <w:r w:rsidR="00032CFB" w:rsidRPr="00F242DD">
        <w:t xml:space="preserve">(описание режимов – см. приложение </w:t>
      </w:r>
      <w:r w:rsidR="00C812D6" w:rsidRPr="00F242DD">
        <w:t>А3.1</w:t>
      </w:r>
      <w:r w:rsidR="00A619A4" w:rsidRPr="00F242DD">
        <w:t>.</w:t>
      </w:r>
      <w:r w:rsidR="00032CFB" w:rsidRPr="00F242DD">
        <w:t>)</w:t>
      </w:r>
      <w:r w:rsidR="00632333" w:rsidRPr="00F242DD">
        <w:t xml:space="preserve"> </w:t>
      </w:r>
      <w:r w:rsidR="00A96FB6" w:rsidRPr="00F242DD">
        <w:fldChar w:fldCharType="begin" w:fldLock="1"/>
      </w:r>
      <w:r w:rsidR="00F74B6B"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миелома","type":"chapter"},"uris":["http://www.mendeley.com/documents/?uuid=74f72d23-d025-4daa-a02d-40d14fc77cc4"]},{"id":"ITEM-2","itemData":{"DOI":"10.2147/CPAA.S6258","ISSN":"1179-1438","PMID":"22291488","abstract":"Autologous stem cell transplantation is the preferred treatment option for younger patients with symptomatic plasma cell myeloma. Most patients with newly diagnosed plasma cell myeloma receive 3-4 cycles of induction chemotherapy to achieve a level of disease control before proceeding to stem cell transplant. The ideal induction regimen for transplant-eligible patients shall allow more patients to proceed with transplant, rapidly and effectively control the disease, reverse disease-related complications, avoid early death, and is associated with minimal acute and long-term toxicities. Because of the concerns of potential damages to hematopoietic stem cells, alkylating agent regimens, specifically melphalan, are usually avoided for induction in transplant-eligible patients. Before the advance of immunomodulatory agents (IMiD) and proteasome inhibitors, the combination of vincristine, adriamycin, and dexamethasone (VAD) and variants were the most commonly used induction regimens. Recent reports as discussed in this review suggests that VAD is no longer the induction chemotherapy of choice for transplant eligible patients. Newer regimens incorporating IMiD and/or proteasome inhibitor into the induction regimen improve response rates and progression-free survival before and after the transplant and are evolving as the treatment of choice. Here, we review the available data on these newer induction regimens and to evaluate the potential impacts on the patient outcomes.","author":[{"dropping-particle":"","family":"Fung","given":"Henry C","non-dropping-particle":"","parse-names":false,"suffix":""},{"dropping-particle":"","family":"Nathan","given":"Sunita","non-dropping-particle":"","parse-names":false,"suffix":""},{"dropping-particle":"","family":"Maciejewski","given":"John J","non-dropping-particle":"","parse-names":false,"suffix":""}],"container-title":"Clinical pharmacology : advances and applications","id":"ITEM-2","issued":{"date-parts":[["2010"]]},"page":"71-5","title":"Induction chemotherapy before autologous stem cell transplantation for symptomatic plasma cell myeloma - does it matter?","type":"article-journal","volume":"2"},"uris":["http://www.mendeley.com/documents/?uuid=39ef748f-71f6-33e7-8124-5b96e5eda7d5"]}],"mendeley":{"formattedCitation":"[1,43]","plainTextFormattedCitation":"[1,43]","previouslyFormattedCitation":"[1,43]"},"properties":{"noteIndex":0},"schema":"https://github.com/citation-style-language/schema/raw/master/csl-citation.json"}</w:instrText>
      </w:r>
      <w:r w:rsidR="00A96FB6" w:rsidRPr="00F242DD">
        <w:fldChar w:fldCharType="separate"/>
      </w:r>
      <w:r w:rsidR="00705691" w:rsidRPr="00F242DD">
        <w:rPr>
          <w:noProof/>
        </w:rPr>
        <w:t>[1,43]</w:t>
      </w:r>
      <w:r w:rsidR="00A96FB6" w:rsidRPr="00F242DD">
        <w:fldChar w:fldCharType="end"/>
      </w:r>
      <w:r w:rsidR="00BF629F" w:rsidRPr="00F242DD">
        <w:t>.</w:t>
      </w:r>
    </w:p>
    <w:p w14:paraId="6469C158" w14:textId="77777777" w:rsidR="00BF629F" w:rsidRPr="00F242DD" w:rsidRDefault="00BF629F" w:rsidP="00131E36">
      <w:pPr>
        <w:spacing w:before="0" w:after="0"/>
        <w:ind w:left="709"/>
        <w:contextualSpacing/>
        <w:rPr>
          <w:b/>
        </w:rPr>
      </w:pPr>
      <w:r w:rsidRPr="00F242DD">
        <w:rPr>
          <w:b/>
        </w:rPr>
        <w:t xml:space="preserve">Уровень убедительности рекомендаций </w:t>
      </w:r>
      <w:r w:rsidR="00A619A4" w:rsidRPr="00F242DD">
        <w:rPr>
          <w:b/>
        </w:rPr>
        <w:t xml:space="preserve">− </w:t>
      </w:r>
      <w:r w:rsidR="003C7967" w:rsidRPr="00F242DD">
        <w:rPr>
          <w:b/>
        </w:rPr>
        <w:t xml:space="preserve">С </w:t>
      </w:r>
      <w:r w:rsidRPr="00F242DD">
        <w:rPr>
          <w:b/>
        </w:rPr>
        <w:t>(уровень достоверности доказательств</w:t>
      </w:r>
      <w:r w:rsidR="00A619A4" w:rsidRPr="00F242DD">
        <w:rPr>
          <w:b/>
        </w:rPr>
        <w:t xml:space="preserve"> − </w:t>
      </w:r>
      <w:r w:rsidR="003C7967" w:rsidRPr="00F242DD">
        <w:rPr>
          <w:b/>
        </w:rPr>
        <w:t>5</w:t>
      </w:r>
      <w:r w:rsidRPr="00F242DD">
        <w:rPr>
          <w:b/>
        </w:rPr>
        <w:t>)</w:t>
      </w:r>
    </w:p>
    <w:p w14:paraId="482B2DB3" w14:textId="77777777" w:rsidR="00BF629F" w:rsidRPr="00F242DD" w:rsidRDefault="00BF629F" w:rsidP="00131E36">
      <w:pPr>
        <w:spacing w:before="0" w:after="0"/>
        <w:ind w:left="709"/>
        <w:contextualSpacing/>
        <w:rPr>
          <w:i/>
        </w:rPr>
      </w:pPr>
      <w:r w:rsidRPr="00F242DD">
        <w:rPr>
          <w:b/>
        </w:rPr>
        <w:t>Комментарий:</w:t>
      </w:r>
      <w:r w:rsidR="00727909" w:rsidRPr="00F242DD">
        <w:rPr>
          <w:b/>
        </w:rPr>
        <w:t xml:space="preserve"> </w:t>
      </w:r>
      <w:r w:rsidR="00A619A4" w:rsidRPr="00F242DD">
        <w:rPr>
          <w:i/>
        </w:rPr>
        <w:t>м</w:t>
      </w:r>
      <w:r w:rsidRPr="00F242DD">
        <w:rPr>
          <w:i/>
        </w:rPr>
        <w:t>елфалан</w:t>
      </w:r>
      <w:r w:rsidR="003C7967" w:rsidRPr="00F242DD">
        <w:rPr>
          <w:i/>
        </w:rPr>
        <w:t>**</w:t>
      </w:r>
      <w:r w:rsidRPr="00F242DD">
        <w:rPr>
          <w:i/>
        </w:rPr>
        <w:t xml:space="preserve"> обладает миелосупрессивным эффектом, что может оказывать негативное влияние на мобилизацию ауто</w:t>
      </w:r>
      <w:r w:rsidR="00A619A4" w:rsidRPr="00F242DD">
        <w:rPr>
          <w:i/>
        </w:rPr>
        <w:t>-</w:t>
      </w:r>
      <w:r w:rsidR="003569D8" w:rsidRPr="00F242DD">
        <w:rPr>
          <w:i/>
        </w:rPr>
        <w:t>ТГСК</w:t>
      </w:r>
      <w:r w:rsidRPr="00F242DD">
        <w:rPr>
          <w:i/>
        </w:rPr>
        <w:t>.</w:t>
      </w:r>
    </w:p>
    <w:p w14:paraId="3B8518F9" w14:textId="77777777" w:rsidR="00EE2530" w:rsidRPr="00F242DD" w:rsidRDefault="00EE2530" w:rsidP="00E36DFA">
      <w:pPr>
        <w:pStyle w:val="a4"/>
        <w:spacing w:before="0" w:beforeAutospacing="0" w:after="0" w:afterAutospacing="0" w:line="360" w:lineRule="auto"/>
        <w:ind w:firstLine="709"/>
        <w:outlineLvl w:val="1"/>
      </w:pPr>
      <w:bookmarkStart w:id="28" w:name="_Toc53140900"/>
      <w:r w:rsidRPr="00F242DD">
        <w:rPr>
          <w:rStyle w:val="ac"/>
          <w:u w:val="single"/>
        </w:rPr>
        <w:t>3.3.2</w:t>
      </w:r>
      <w:r w:rsidR="00971A8A" w:rsidRPr="00F242DD">
        <w:rPr>
          <w:rStyle w:val="ac"/>
          <w:u w:val="single"/>
        </w:rPr>
        <w:t xml:space="preserve"> </w:t>
      </w:r>
      <w:r w:rsidRPr="00F242DD">
        <w:rPr>
          <w:rStyle w:val="ac"/>
          <w:u w:val="single"/>
        </w:rPr>
        <w:t>Трансплантационный этап</w:t>
      </w:r>
      <w:bookmarkEnd w:id="28"/>
    </w:p>
    <w:p w14:paraId="7C1BE657" w14:textId="77777777" w:rsidR="001F641D" w:rsidRPr="00F242DD" w:rsidRDefault="003C7967" w:rsidP="00131E36">
      <w:pPr>
        <w:pStyle w:val="a6"/>
        <w:numPr>
          <w:ilvl w:val="0"/>
          <w:numId w:val="5"/>
        </w:numPr>
        <w:spacing w:before="0" w:after="0"/>
        <w:ind w:left="709" w:hanging="709"/>
      </w:pPr>
      <w:r w:rsidRPr="00F242DD">
        <w:t>Пациентам</w:t>
      </w:r>
      <w:r w:rsidR="001F641D" w:rsidRPr="00F242DD">
        <w:t xml:space="preserve"> с впервые выявленной ММ в возрасте до 65</w:t>
      </w:r>
      <w:r w:rsidR="00A473F6" w:rsidRPr="00F242DD">
        <w:t xml:space="preserve"> лет</w:t>
      </w:r>
      <w:r w:rsidR="001F641D" w:rsidRPr="00F242DD">
        <w:t>, а также пациентам 65</w:t>
      </w:r>
      <w:r w:rsidR="000A3700" w:rsidRPr="00F242DD">
        <w:t>−</w:t>
      </w:r>
      <w:r w:rsidR="001F641D" w:rsidRPr="00F242DD">
        <w:t>70</w:t>
      </w:r>
      <w:r w:rsidR="000A3700" w:rsidRPr="00F242DD">
        <w:t> </w:t>
      </w:r>
      <w:r w:rsidR="001F641D" w:rsidRPr="00F242DD">
        <w:t>лет с хорошим соматическим статусом без тяжелых сопутствующих заболе</w:t>
      </w:r>
      <w:r w:rsidR="00624D3B" w:rsidRPr="00F242DD">
        <w:t xml:space="preserve">ваний, достигшим </w:t>
      </w:r>
      <w:r w:rsidR="00E5500D" w:rsidRPr="00F242DD">
        <w:t>ПР</w:t>
      </w:r>
      <w:r w:rsidR="00624D3B" w:rsidRPr="00F242DD">
        <w:t xml:space="preserve"> или</w:t>
      </w:r>
      <w:r w:rsidR="001F641D" w:rsidRPr="00F242DD">
        <w:t xml:space="preserve"> </w:t>
      </w:r>
      <w:r w:rsidR="00E5500D" w:rsidRPr="00F242DD">
        <w:t>ЧР</w:t>
      </w:r>
      <w:r w:rsidR="001F641D" w:rsidRPr="00F242DD">
        <w:t xml:space="preserve"> после индукционной терапии,</w:t>
      </w:r>
      <w:r w:rsidR="006D0F6C" w:rsidRPr="00F242DD">
        <w:t xml:space="preserve"> </w:t>
      </w:r>
      <w:r w:rsidR="00FF0C02" w:rsidRPr="00F242DD">
        <w:rPr>
          <w:b/>
        </w:rPr>
        <w:t>рекомендуется</w:t>
      </w:r>
      <w:r w:rsidR="001F641D" w:rsidRPr="00F242DD">
        <w:t xml:space="preserve"> выполнение мобилизации и сбора </w:t>
      </w:r>
      <w:r w:rsidR="00E5500D" w:rsidRPr="00F242DD">
        <w:t>ГСК</w:t>
      </w:r>
      <w:r w:rsidR="001F641D" w:rsidRPr="00F242DD">
        <w:t xml:space="preserve"> крови</w:t>
      </w:r>
      <w:r w:rsidR="006D0B51" w:rsidRPr="00F242DD">
        <w:t xml:space="preserve"> </w:t>
      </w:r>
      <w:r w:rsidR="00632333" w:rsidRPr="00F242DD">
        <w:t>под лабораторным контролем количества стволовых кроветворных клеток в периферической крови и аферезном продукте методом проточной цитометрии</w:t>
      </w:r>
      <w:r w:rsidR="00021E5D" w:rsidRPr="00F242DD">
        <w:t xml:space="preserve"> для последующего выполнения аутоТГСК</w:t>
      </w:r>
      <w:r w:rsidR="00632333" w:rsidRPr="00F242DD">
        <w:t xml:space="preserve"> </w:t>
      </w:r>
      <w:r w:rsidR="00A96FB6" w:rsidRPr="00F242DD">
        <w:fldChar w:fldCharType="begin" w:fldLock="1"/>
      </w:r>
      <w:r w:rsidR="00021E5D" w:rsidRPr="00F242DD">
        <w:instrText>ADDIN CSL_CITATION {"citationItems":[{"id":"ITEM-1","itemData":{"DOI":"10.1080/10428194.2018.1543874","ISSN":"10292403","abstract":"To evaluate the role of high-dose melphalan plus autologous stem-cell transplantation (ASCT) as consolidation therapy for patients with newly diagnosed multiple myeloma (NDMM) in the era of novel agents, we undertook this meta-analysis. Medline, Embase, the Cochrane controlled trials register, the SCI, ASH, EHA, and ASCO were searched for clinical trials including high-dose chemotherapy plus ASCT for patients with NDMM. Finally, we identified four RCTs of ASCT versus novel agents based consolidations, and 10 single-arm prospective trials of ASCT alone. Pooled analysis indicated that response quality improved further after ASCT in the era of novel agents (&gt;=CR rates of 13% pre-ASCT versus 29% post-ASCT, p =.003). When compared to novel agents containing consolidation regimens, high-dose chemotherapy plus ASCT significantly improved progression-free survival (PFS) (HR =0.56, p &lt;.001). No significant difference in overall survival (OS) was found between them (HR =0.66, p =.22). Of note, subgroup analysis indicated that ASCT could significantly improve OS (HR =0.49, p =.0004) when compared to alkylating agent-based regimens plus lenalidomide consolidation. In summary, response quality and PFS improved further over ASCT in the era of novel agents. ASCT could improve survival than alkylating agent-based regimens plus lenalidomide consolidations for patients with NDMM.Copyright © 2018, © 2018 Informa UK Limited, trading as Taylor &amp; Francis Group.","author":[{"dropping-particle":"","family":"Su","given":"Baohua","non-dropping-particle":"","parse-names":false,"suffix":""},{"dropping-particle":"","family":"Zhu","given":"Xu","non-dropping-particle":"","parse-names":false,"suffix":""},{"dropping-particle":"","family":"Jiang","given":"Yina","non-dropping-particle":"","parse-names":false,"suffix":""},{"dropping-particle":"","family":"Wang","given":"Lida","non-dropping-particle":"","parse-names":false,"suffix":""},{"dropping-particle":"","family":"Zhao","given":"Ningning","non-dropping-particle":"","parse-names":false,"suffix":""},{"dropping-particle":"","family":"Ran","given":"Xuehong","non-dropping-particle":"","parse-names":false,"suffix":""},{"dropping-particle":"","family":"Zheng","given":"Xiaobin","non-dropping-particle":"","parse-names":false,"suffix":""},{"dropping-particle":"","family":"Guo","given":"Hui","non-dropping-particle":"","parse-names":false,"suffix":""}],"container-title":"Leukemia and Lymphoma","id":"ITEM-1","issued":{"date-parts":[["2018"]]},"publisher":"Taylor and Francis Ltd","title":"A meta-analysis of autologous transplantation for newly diagnosed multiple myeloma in the era of novel agents","type":"article-journal"},"uris":["http://www.mendeley.com/documents/?uuid=a763b0b9-22ac-33ee-8ac3-1da970da9202"]},{"id":"ITEM-2","itemData":{"DOI":"10.1001/jamaoncol.2017.4600","ISSN":"23742445","abstract":"Importance The role of high-dose therapy with melphalan followed by autologous stem cell transplant (HDT/ASCT) in patients with multiple myeloma continues to be debated in the context of novel agent induction. Objective To perform a systematic review, conventional meta-analysis, and network meta-analysis of all phase 3 randomized clinical trials (RCTs) evaluating the role of HDT/ASCT. Data Sources We performed a systematic literature search of Cochrane Central, MEDLINE, and Scopus from January 2000 through April 2017 and relevant annual meeting abstracts from January 2014 to December 2016. The following search terms were used: \"myeloma\" combined with \"autologous,\" \"transplant,\" \"myeloablative,\" or \"stem cell.\" Study Selection Phase 3 RCTs comparing HDT/ASCT with standard-dose therapy (SDT) using novel agents were assessed. Studies comparing single HDT/ASCT with bortezomib, lenalidomide, and dexamethasone consolidation and tandem transplantation were included for network meta-analysis. Data Extraction And Synthesis For the random effects meta-analysis, we used hazard ratios (HRs) and corresponding 95% CIs. Main Outcomes and Measures The primary outcome was progression-free survival (PFS). Overall survival (OS), complete response, and treatment-related mortality were secondary outcomes. Results A total of 4 RCTs (2421 patients) for conventional meta-analysis and 5 RCTs (3171 patients) for network meta-analysis were selected. The combined odds for complete response were 1.27 (95% CI, 0.97-1.65; P = .07) with HDT/ASCT when compared with SDT. The combined HR for PFS was 0.55 (95% CI, 0.41-0.74; P &lt; .001) and 0.76 for OS (95% CI, 0.42-1.36; P = .20) in favor of HDT. Meta-regression showed that longer follow-up was associated with superior PFS (HR/mo, 0.98; 95% CI, 0.96-0.99; P = .03) and OS (HR/mo, 0.90; 95% CI, 0.84-0.96; P = .002). For PFS, tandem HDT/ASCT had the most favorable HR (0.49; 95% CI, 0.37-0.65) followed by single HDT/ASCT with bortezomib, lenalidomide, and dexamethasone (HR, 0.53; 95% CI, 0.37-0.76) and single HDT/ASCT alone (HR, 0.68; 95% CI, 0.53-0.87) compared with SDT. For OS, none of the HDT/ASCT-based approaches had a significant effect on survival. Treatment-related mortality with HDT/ASCT was minimal (&lt;1%). Conclusions and Relevance The results of the conventional meta-analysis and network meta-analysis of all the phase 3 RCTs showed that HDT/ASCT was associated with superior PFS with minimal toxic effects compared with SDT. Both tandem…","author":[{"dropping-particle":"","family":"Dhakal","given":"Binod","non-dropping-particle":"","parse-names":false,"suffix":""},{"dropping-particle":"","family":"Szabo","given":"Aniko","non-dropping-particle":"","parse-names":false,"suffix":""},{"dropping-particle":"","family":"Chhabra","given":"Saurabh","non-dropping-particle":"","parse-names":false,"suffix":""},{"dropping-particle":"","family":"Hamadani","given":"Mehdi","non-dropping-particle":"","parse-names":false,"suffix":""},{"dropping-particle":"","family":"D'Souza","given":"Anita","non-dropping-particle":"","parse-names":false,"suffix":""},{"dropping-particle":"","family":"Usmani","given":"Saad Z.","non-dropping-particle":"","parse-names":false,"suffix":""},{"dropping-particle":"","family":"Sieracki","given":"Rita","non-dropping-particle":"","parse-names":false,"suffix":""},{"dropping-particle":"","family":"Gyawali","given":"Bishal","non-dropping-particle":"","parse-names":false,"suffix":""},{"dropping-particle":"","family":"Jackson","given":"Jeffrey L.","non-dropping-particle":"","parse-names":false,"suffix":""},{"dropping-particle":"","family":"Asimakopoulos","given":"Fotis","non-dropping-particle":"","parse-names":false,"suffix":""},{"dropping-particle":"","family":"Hari","given":"Parameswaran N.","non-dropping-particle":"","parse-names":false,"suffix":""}],"container-title":"JAMA Oncology","id":"ITEM-2","issue":"3","issued":{"date-parts":[["2018","3","1"]]},"page":"343-350","publisher":"American Medical Association","title":"Autologous transplantation for newly diagnosed multiple myeloma in the era of novel agent induction a systematic review and meta-analysis","type":"article-journal","volume":"4"},"uris":["http://www.mendeley.com/documents/?uuid=e10abcf3-d81f-385d-80c0-5398aae26e72"]},{"id":"ITEM-3","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Савченко.","id":"ITEM-3","issued":{"date-parts":[["2018"]]},"page":"213-241","publisher":"Москва","title":"Множественная миелома","type":"chapter"},"uris":["http://www.mendeley.com/documents/?uuid=74f72d23-d025-4daa-a02d-40d14fc77cc4"]}],"mendeley":{"formattedCitation":"[1,36,37]","plainTextFormattedCitation":"[1,36,37]","previouslyFormattedCitation":"[1,36,37]"},"properties":{"noteIndex":0},"schema":"https://github.com/citation-style-language/schema/raw/master/csl-citation.json"}</w:instrText>
      </w:r>
      <w:r w:rsidR="00A96FB6" w:rsidRPr="00F242DD">
        <w:fldChar w:fldCharType="separate"/>
      </w:r>
      <w:r w:rsidR="00021E5D" w:rsidRPr="00F242DD">
        <w:rPr>
          <w:noProof/>
        </w:rPr>
        <w:t>[1,36,37]</w:t>
      </w:r>
      <w:r w:rsidR="00A96FB6" w:rsidRPr="00F242DD">
        <w:fldChar w:fldCharType="end"/>
      </w:r>
      <w:r w:rsidR="001F641D" w:rsidRPr="00F242DD">
        <w:t xml:space="preserve">. </w:t>
      </w:r>
      <w:r w:rsidR="006D0B51" w:rsidRPr="00F242DD">
        <w:t xml:space="preserve"> </w:t>
      </w:r>
    </w:p>
    <w:p w14:paraId="5560884C" w14:textId="77777777" w:rsidR="001F641D" w:rsidRPr="00F242DD" w:rsidRDefault="001F641D" w:rsidP="00131E36">
      <w:pPr>
        <w:spacing w:before="0" w:after="0"/>
        <w:ind w:left="709"/>
        <w:contextualSpacing/>
        <w:rPr>
          <w:b/>
        </w:rPr>
      </w:pPr>
      <w:r w:rsidRPr="00F242DD">
        <w:rPr>
          <w:b/>
        </w:rPr>
        <w:t xml:space="preserve">Уровень убедительности рекомендаций </w:t>
      </w:r>
      <w:r w:rsidR="00E5500D" w:rsidRPr="00F242DD">
        <w:rPr>
          <w:b/>
        </w:rPr>
        <w:t xml:space="preserve">− </w:t>
      </w:r>
      <w:r w:rsidR="00BF55DF" w:rsidRPr="00F242DD">
        <w:rPr>
          <w:b/>
        </w:rPr>
        <w:t xml:space="preserve">С </w:t>
      </w:r>
      <w:r w:rsidRPr="00F242DD">
        <w:rPr>
          <w:b/>
        </w:rPr>
        <w:t>(уровень достоверности доказательств</w:t>
      </w:r>
      <w:r w:rsidR="00632333" w:rsidRPr="00F242DD">
        <w:rPr>
          <w:b/>
        </w:rPr>
        <w:t xml:space="preserve"> </w:t>
      </w:r>
      <w:r w:rsidR="00E5500D" w:rsidRPr="00F242DD">
        <w:rPr>
          <w:b/>
        </w:rPr>
        <w:t xml:space="preserve">− </w:t>
      </w:r>
      <w:r w:rsidR="00BF55DF" w:rsidRPr="00F242DD">
        <w:rPr>
          <w:b/>
        </w:rPr>
        <w:t>5</w:t>
      </w:r>
      <w:r w:rsidRPr="00F242DD">
        <w:rPr>
          <w:b/>
        </w:rPr>
        <w:t>)</w:t>
      </w:r>
    </w:p>
    <w:p w14:paraId="7359ACA4" w14:textId="77777777" w:rsidR="00165A1B" w:rsidRPr="00F242DD" w:rsidRDefault="001F641D" w:rsidP="00131E36">
      <w:pPr>
        <w:spacing w:before="0" w:after="0"/>
        <w:ind w:left="709"/>
        <w:contextualSpacing/>
        <w:rPr>
          <w:i/>
        </w:rPr>
      </w:pPr>
      <w:r w:rsidRPr="00F242DD">
        <w:rPr>
          <w:b/>
        </w:rPr>
        <w:t xml:space="preserve">Комментарий: </w:t>
      </w:r>
      <w:r w:rsidR="00E5500D" w:rsidRPr="00F242DD">
        <w:rPr>
          <w:i/>
        </w:rPr>
        <w:t>н</w:t>
      </w:r>
      <w:r w:rsidRPr="00F242DD">
        <w:rPr>
          <w:i/>
        </w:rPr>
        <w:t>аиболее часто используемым режимом мобилизации является сочетание химиотерапевтических препаратов (чаще всего циклофосфамида</w:t>
      </w:r>
      <w:r w:rsidR="006E7B15" w:rsidRPr="00F242DD">
        <w:rPr>
          <w:i/>
        </w:rPr>
        <w:t>**</w:t>
      </w:r>
      <w:r w:rsidRPr="00F242DD">
        <w:rPr>
          <w:i/>
        </w:rPr>
        <w:t xml:space="preserve"> в дозе 2</w:t>
      </w:r>
      <w:r w:rsidR="00E5500D" w:rsidRPr="00F242DD">
        <w:rPr>
          <w:i/>
        </w:rPr>
        <w:t>−</w:t>
      </w:r>
      <w:r w:rsidRPr="00F242DD">
        <w:rPr>
          <w:i/>
        </w:rPr>
        <w:t>4 г/м</w:t>
      </w:r>
      <w:r w:rsidRPr="00F242DD">
        <w:rPr>
          <w:i/>
          <w:vertAlign w:val="superscript"/>
        </w:rPr>
        <w:t>2</w:t>
      </w:r>
      <w:r w:rsidR="00EE48C6" w:rsidRPr="00F242DD">
        <w:rPr>
          <w:i/>
        </w:rPr>
        <w:t xml:space="preserve"> за 4 дня до начала терапии Г-КСФ</w:t>
      </w:r>
      <w:r w:rsidRPr="00F242DD">
        <w:rPr>
          <w:i/>
        </w:rPr>
        <w:t xml:space="preserve"> и </w:t>
      </w:r>
      <w:r w:rsidR="007B54A0" w:rsidRPr="00F242DD">
        <w:rPr>
          <w:i/>
        </w:rPr>
        <w:t xml:space="preserve">рекомбинантного человеческого </w:t>
      </w:r>
      <w:r w:rsidRPr="00F242DD">
        <w:rPr>
          <w:i/>
        </w:rPr>
        <w:t>гранулоцитарного колониестимулирующего фактора (</w:t>
      </w:r>
      <w:r w:rsidR="007B3900" w:rsidRPr="00F242DD">
        <w:rPr>
          <w:i/>
        </w:rPr>
        <w:t>#</w:t>
      </w:r>
      <w:r w:rsidRPr="00F242DD">
        <w:rPr>
          <w:i/>
        </w:rPr>
        <w:t xml:space="preserve">Г-КСФ) </w:t>
      </w:r>
      <w:r w:rsidR="005049BE" w:rsidRPr="00F242DD">
        <w:rPr>
          <w:i/>
        </w:rPr>
        <w:t xml:space="preserve">подкожно </w:t>
      </w:r>
      <w:r w:rsidRPr="00F242DD">
        <w:rPr>
          <w:i/>
        </w:rPr>
        <w:t>в дозе 5 мкг/кг/сут</w:t>
      </w:r>
      <w:r w:rsidR="001A740A" w:rsidRPr="00F242DD">
        <w:rPr>
          <w:i/>
        </w:rPr>
        <w:t xml:space="preserve"> </w:t>
      </w:r>
      <w:r w:rsidR="001A740A" w:rsidRPr="00F242DD">
        <w:rPr>
          <w:i/>
        </w:rPr>
        <w:fldChar w:fldCharType="begin" w:fldLock="1"/>
      </w:r>
      <w:r w:rsidR="00F74B6B" w:rsidRPr="00F242DD">
        <w:rPr>
          <w:i/>
        </w:rPr>
        <w:instrText>ADDIN CSL_CITATION {"citationItems":[{"id":"ITEM-1","itemData":{"DOI":"10.1002/jca.21360","ISSN":"10981101","abstract":"High-dose cyclophosphamide (Cy) is frequently employed for peripheral blood mobilization of hematopoietic stem cells before high-dose chemotherapy with autologous stem cell transplantation (ASCT) in multiple myeloma (MM). The benefit of mobilization with Cy over filgrastim (granulocyte colony-stimulating factor; G-CSF) alone is unclear. Between 2000 and 2008, 167 patients with newly diagnosed MM underwent single ASCT after melphalan conditioning at our institution. Seventy-three patients were mobilized with G-CSF alone, and 94 patients with Cy plus G-CSF (Cy+G-CSF). We retrospectively analyzed Cy's impact on both toxicity and efficacy. Mobilization efficiency was augmented by Cy; a mean total of 12 versus 5.8 × 10&lt;sup&gt;6&lt;/sup&gt; CD34+ cells/kg were collected from patients mobilized with Cy+G-CSF versus G-CSF, respectively, (P &lt; 0.01), over a mean of 1.6 versus 2.2 days of peripheral blood apheresis (p = 0.001). Mobilization-related toxicity was also, however, augmented by Cy; 14% of Cy+G-CSF patients were hospitalized because of complications versus none receiving G-CSF (P &lt; 0.0001). Toxicity, including death, related to ASCT was similar between cohorts. Regarding long-term outcomes, multivariate analysis revealed no difference for Cy+G-CSF versus G-CSF (hazard ratio 0.8 for event-free survival [95% confidence interval {CI} 0.57-1.25] and 0.96 for overall survival [95% CI 0.61-1.54]). In summary, we show that mobilization with Cy increases toxicity without positively impacting long-term outcomes in MM. Our findings place into question Cy's benefit as a routine component of stem cell mobilization regimens in MM. Randomized trials are needed to elucidate the risks and benefits of Cy more definitively.","author":[{"dropping-particle":"","family":"Tuchman","given":"Sascha A.","non-dropping-particle":"","parse-names":false,"suffix":""},{"dropping-particle":"","family":"Bacon","given":"Wendi A.","non-dropping-particle":"","parse-names":false,"suffix":""},{"dropping-particle":"","family":"Huang","given":"Li Wen","non-dropping-particle":"","parse-names":false,"suffix":""},{"dropping-particle":"","family":"Long","given":"Gwynn","non-dropping-particle":"","parse-names":false,"suffix":""},{"dropping-particle":"","family":"Rizzieri","given":"David","non-dropping-particle":"","parse-names":false,"suffix":""},{"dropping-particle":"","family":"Horwitz","given":"Mitchell","non-dropping-particle":"","parse-names":false,"suffix":""},{"dropping-particle":"","family":"Chute","given":"John P.","non-dropping-particle":"","parse-names":false,"suffix":""},{"dropping-particle":"","family":"Sullivan","given":"Keith","non-dropping-particle":"","parse-names":false,"suffix":""},{"dropping-particle":"","family":"Engemann","given":"Ashley Morris","non-dropping-particle":"","parse-names":false,"suffix":""},{"dropping-particle":"","family":"Yopp","given":"Amanda","non-dropping-particle":"","parse-names":false,"suffix":""},{"dropping-particle":"","family":"Li","given":"Zhiguo","non-dropping-particle":"","parse-names":false,"suffix":""},{"dropping-particle":"","family":"Corbet","given":"Kelly","non-dropping-particle":"","parse-names":false,"suffix":""},{"dropping-particle":"","family":"Chao","given":"Nelson","non-dropping-particle":"","parse-names":false,"suffix":""},{"dropping-particle":"","family":"Gasparetto","given":"Cristina","non-dropping-particle":"","parse-names":false,"suffix":""}],"container-title":"Journal of Clinical Apheresis","id":"ITEM-1","issue":"3","issued":{"date-parts":[["2015","6","1"]]},"page":"176-182","publisher":"Wiley-Liss Inc.","title":"Cyclophosphamide-based hematopoietic stem cell mobilization before autologous stem cell transplantation in newly diagnosed multiple myeloma","type":"article-journal","volume":"30"},"uris":["http://www.mendeley.com/documents/?uuid=7ab2027e-7a8d-3be6-bb8b-1854f8cab286"]}],"mendeley":{"formattedCitation":"[44]","plainTextFormattedCitation":"[44]","previouslyFormattedCitation":"[44]"},"properties":{"noteIndex":0},"schema":"https://github.com/citation-style-language/schema/raw/master/csl-citation.json"}</w:instrText>
      </w:r>
      <w:r w:rsidR="001A740A" w:rsidRPr="00F242DD">
        <w:rPr>
          <w:i/>
        </w:rPr>
        <w:fldChar w:fldCharType="separate"/>
      </w:r>
      <w:r w:rsidR="00705691" w:rsidRPr="00F242DD">
        <w:rPr>
          <w:noProof/>
        </w:rPr>
        <w:t>[44]</w:t>
      </w:r>
      <w:r w:rsidR="001A740A" w:rsidRPr="00F242DD">
        <w:rPr>
          <w:i/>
        </w:rPr>
        <w:fldChar w:fldCharType="end"/>
      </w:r>
      <w:r w:rsidRPr="00F242DD">
        <w:rPr>
          <w:i/>
        </w:rPr>
        <w:t xml:space="preserve">. </w:t>
      </w:r>
      <w:r w:rsidR="007B3900" w:rsidRPr="00F242DD">
        <w:rPr>
          <w:i/>
        </w:rPr>
        <w:t>#</w:t>
      </w:r>
      <w:r w:rsidRPr="00F242DD">
        <w:rPr>
          <w:i/>
        </w:rPr>
        <w:t>Г-КСФ</w:t>
      </w:r>
      <w:r w:rsidR="00185CAE" w:rsidRPr="00F242DD">
        <w:rPr>
          <w:i/>
        </w:rPr>
        <w:t xml:space="preserve"> может также</w:t>
      </w:r>
      <w:r w:rsidRPr="00F242DD">
        <w:rPr>
          <w:i/>
        </w:rPr>
        <w:t xml:space="preserve"> применят</w:t>
      </w:r>
      <w:r w:rsidR="00185CAE" w:rsidRPr="00F242DD">
        <w:rPr>
          <w:i/>
        </w:rPr>
        <w:t>ь</w:t>
      </w:r>
      <w:r w:rsidRPr="00F242DD">
        <w:rPr>
          <w:i/>
        </w:rPr>
        <w:t>ся в монорежиме на фоне стабильного состояния кроветворения (</w:t>
      </w:r>
      <w:r w:rsidR="001D3DC1" w:rsidRPr="00F242DD">
        <w:rPr>
          <w:i/>
        </w:rPr>
        <w:t xml:space="preserve">подкожно </w:t>
      </w:r>
      <w:r w:rsidRPr="00F242DD">
        <w:rPr>
          <w:i/>
        </w:rPr>
        <w:t>в дозе 10 мкг/кг/сут</w:t>
      </w:r>
      <w:r w:rsidR="001D3DC1" w:rsidRPr="00F242DD">
        <w:rPr>
          <w:i/>
        </w:rPr>
        <w:t xml:space="preserve"> до афереза</w:t>
      </w:r>
      <w:r w:rsidRPr="00F242DD">
        <w:rPr>
          <w:i/>
        </w:rPr>
        <w:t>)</w:t>
      </w:r>
      <w:r w:rsidR="001D3DC1" w:rsidRPr="00F242DD">
        <w:rPr>
          <w:i/>
        </w:rPr>
        <w:t xml:space="preserve"> </w:t>
      </w:r>
      <w:r w:rsidR="001D3DC1" w:rsidRPr="00F242DD">
        <w:rPr>
          <w:i/>
        </w:rPr>
        <w:fldChar w:fldCharType="begin" w:fldLock="1"/>
      </w:r>
      <w:r w:rsidR="00F74B6B" w:rsidRPr="00F242DD">
        <w:rPr>
          <w:i/>
        </w:rPr>
        <w:instrText>ADDIN CSL_CITATION {"citationItems":[{"id":"ITEM-1","itemData":{"DOI":"10.1007/978-1-61779-943-3_3","ISBN":"9781617799426","ISSN":"10643745","abstract":"Cytokine mobilized peripheral blood stem cells are the preferred source of stem cells in autologous stem cell transplantation and have virtually replaced bone marrow as the stem cell source. In recent years, a dramatic increase has been reported in the use of peripheral blood stem cells for allogeneic transplantation as well. The reason for this rise is that peripheral blood stem cell transplants when compared to bone marrow transplants are associated with a more rapid recovery of granulocytes and platelets after transplantation and a lower regimen-related and transplant-related mortality. Peripheral blood stem cells can be easily harvested on an outpatient basis without the need for general anesthesia. In most cases peripheral blood stem cells are collected after G-CSF administration. In this chapter we describe peripheral blood stem cell mobilization in autologous transplant patients and in allogeneic donors using G-CSF. © 2012 Springer Science+Business Media, LLC.","author":[{"dropping-particle":"","family":"Hosing","given":"Chitra","non-dropping-particle":"","parse-names":false,"suffix":""}],"container-title":"Methods in Molecular Biology","id":"ITEM-1","issued":{"date-parts":[["2012"]]},"page":"37-47","publisher":"Humana Press Inc.","title":"Hematopoietic stem cell mobilization with G-CSF","type":"article-journal","volume":"904"},"uris":["http://www.mendeley.com/documents/?uuid=a41d6b1f-a764-3765-bf65-42ba50016b31"]}],"mendeley":{"formattedCitation":"[45]","plainTextFormattedCitation":"[45]","previouslyFormattedCitation":"[45]"},"properties":{"noteIndex":0},"schema":"https://github.com/citation-style-language/schema/raw/master/csl-citation.json"}</w:instrText>
      </w:r>
      <w:r w:rsidR="001D3DC1" w:rsidRPr="00F242DD">
        <w:rPr>
          <w:i/>
        </w:rPr>
        <w:fldChar w:fldCharType="separate"/>
      </w:r>
      <w:r w:rsidR="00705691" w:rsidRPr="00F242DD">
        <w:rPr>
          <w:noProof/>
        </w:rPr>
        <w:t>[45]</w:t>
      </w:r>
      <w:r w:rsidR="001D3DC1" w:rsidRPr="00F242DD">
        <w:rPr>
          <w:i/>
        </w:rPr>
        <w:fldChar w:fldCharType="end"/>
      </w:r>
      <w:r w:rsidRPr="00F242DD">
        <w:rPr>
          <w:i/>
        </w:rPr>
        <w:t>. При недостаточной эффективности мобилизации или при проведении ее повторно возможно включение в режим препарата плериксафор</w:t>
      </w:r>
      <w:r w:rsidR="003E3C97" w:rsidRPr="00F242DD">
        <w:rPr>
          <w:i/>
        </w:rPr>
        <w:t xml:space="preserve"> – 0,24 мг/кг/сут </w:t>
      </w:r>
      <w:r w:rsidR="003E3C97" w:rsidRPr="00F242DD">
        <w:rPr>
          <w:i/>
        </w:rPr>
        <w:lastRenderedPageBreak/>
        <w:t>подкожно за 6</w:t>
      </w:r>
      <w:r w:rsidR="005C44D0" w:rsidRPr="00F242DD">
        <w:rPr>
          <w:i/>
        </w:rPr>
        <w:t>−</w:t>
      </w:r>
      <w:r w:rsidR="003E3C97" w:rsidRPr="00F242DD">
        <w:rPr>
          <w:i/>
        </w:rPr>
        <w:t xml:space="preserve">11 ч </w:t>
      </w:r>
      <w:r w:rsidR="00165A1B" w:rsidRPr="00F242DD">
        <w:rPr>
          <w:i/>
        </w:rPr>
        <w:t>до афереза, возможно прим</w:t>
      </w:r>
      <w:r w:rsidR="005C44D0" w:rsidRPr="00F242DD">
        <w:rPr>
          <w:i/>
        </w:rPr>
        <w:t>енение плериксафора в течение 2−</w:t>
      </w:r>
      <w:r w:rsidR="00165A1B" w:rsidRPr="00F242DD">
        <w:rPr>
          <w:i/>
        </w:rPr>
        <w:t>4 дней подряд (до 7 дней непрерывного применения).</w:t>
      </w:r>
    </w:p>
    <w:p w14:paraId="5240F208" w14:textId="77777777" w:rsidR="001F641D" w:rsidRPr="00F242DD" w:rsidRDefault="001F641D" w:rsidP="00131E36">
      <w:pPr>
        <w:spacing w:before="0" w:after="0"/>
        <w:ind w:left="709"/>
        <w:contextualSpacing/>
        <w:rPr>
          <w:i/>
        </w:rPr>
      </w:pPr>
      <w:r w:rsidRPr="00F242DD">
        <w:rPr>
          <w:i/>
        </w:rPr>
        <w:t>При наличии возможности рекомендуется собирать ауто</w:t>
      </w:r>
      <w:r w:rsidR="003569D8" w:rsidRPr="00F242DD">
        <w:rPr>
          <w:i/>
        </w:rPr>
        <w:t>-ТГСК</w:t>
      </w:r>
      <w:r w:rsidRPr="00F242DD">
        <w:rPr>
          <w:i/>
        </w:rPr>
        <w:t xml:space="preserve"> в количестве, достаточном для выполнения двух трансплантаций.</w:t>
      </w:r>
    </w:p>
    <w:p w14:paraId="209210D3" w14:textId="77777777" w:rsidR="000B622E" w:rsidRPr="00F242DD" w:rsidRDefault="000B622E" w:rsidP="00131E36">
      <w:pPr>
        <w:spacing w:before="0" w:after="0"/>
        <w:ind w:left="709"/>
        <w:contextualSpacing/>
        <w:rPr>
          <w:b/>
        </w:rPr>
      </w:pPr>
      <w:r w:rsidRPr="00F242DD">
        <w:rPr>
          <w:i/>
        </w:rPr>
        <w:t>Поскольку леналидомид** обладает миелосупрессивным эффектом,</w:t>
      </w:r>
      <w:r w:rsidR="006D0F6C" w:rsidRPr="00F242DD">
        <w:rPr>
          <w:i/>
        </w:rPr>
        <w:t xml:space="preserve"> </w:t>
      </w:r>
      <w:r w:rsidRPr="00F242DD">
        <w:rPr>
          <w:i/>
        </w:rPr>
        <w:t xml:space="preserve">в случае применения в индукционном этапе леналидомидсодержащей терапии мобилизацию и сбор </w:t>
      </w:r>
      <w:r w:rsidR="003569D8" w:rsidRPr="00F242DD">
        <w:rPr>
          <w:i/>
        </w:rPr>
        <w:t xml:space="preserve">ауто-ТГСК </w:t>
      </w:r>
      <w:r w:rsidRPr="00F242DD">
        <w:rPr>
          <w:i/>
        </w:rPr>
        <w:t>целесообразно в</w:t>
      </w:r>
      <w:r w:rsidR="005C44D0" w:rsidRPr="00F242DD">
        <w:rPr>
          <w:i/>
        </w:rPr>
        <w:t>ыполнять после 4-го леналидомид</w:t>
      </w:r>
      <w:r w:rsidRPr="00F242DD">
        <w:rPr>
          <w:i/>
        </w:rPr>
        <w:t>содержащего курса.</w:t>
      </w:r>
    </w:p>
    <w:p w14:paraId="1E9C220E" w14:textId="77777777" w:rsidR="0076197D" w:rsidRPr="00F242DD" w:rsidRDefault="003C7967" w:rsidP="003569D8">
      <w:pPr>
        <w:pStyle w:val="a6"/>
        <w:numPr>
          <w:ilvl w:val="0"/>
          <w:numId w:val="5"/>
        </w:numPr>
        <w:spacing w:before="0" w:after="0"/>
      </w:pPr>
      <w:r w:rsidRPr="00F242DD">
        <w:t>Пациентам</w:t>
      </w:r>
      <w:r w:rsidR="0076197D" w:rsidRPr="00F242DD">
        <w:t xml:space="preserve"> с впервые выявленной ММ в возрасте до 65</w:t>
      </w:r>
      <w:r w:rsidR="00A473F6" w:rsidRPr="00F242DD">
        <w:t xml:space="preserve"> лет</w:t>
      </w:r>
      <w:r w:rsidR="0076197D" w:rsidRPr="00F242DD">
        <w:t>, а также пациентам 65</w:t>
      </w:r>
      <w:r w:rsidR="005C44D0" w:rsidRPr="00F242DD">
        <w:t>−</w:t>
      </w:r>
      <w:r w:rsidR="0076197D" w:rsidRPr="00F242DD">
        <w:t>70 лет с хорошим соматическим статусом без тяжелых сопутствующих заболеваний, дост</w:t>
      </w:r>
      <w:r w:rsidR="00624D3B" w:rsidRPr="00F242DD">
        <w:t xml:space="preserve">игшим </w:t>
      </w:r>
      <w:r w:rsidR="00593735" w:rsidRPr="00F242DD">
        <w:t>ПР</w:t>
      </w:r>
      <w:r w:rsidR="00624D3B" w:rsidRPr="00F242DD">
        <w:t xml:space="preserve"> или</w:t>
      </w:r>
      <w:r w:rsidR="00321B75" w:rsidRPr="00F242DD">
        <w:t xml:space="preserve"> частичной ремиссии </w:t>
      </w:r>
      <w:r w:rsidR="00593735" w:rsidRPr="00F242DD">
        <w:t xml:space="preserve">(ЧР) </w:t>
      </w:r>
      <w:r w:rsidR="00321B75" w:rsidRPr="00F242DD">
        <w:t>после индукционной терапии</w:t>
      </w:r>
      <w:r w:rsidR="002905FE" w:rsidRPr="00F242DD">
        <w:t xml:space="preserve">, в случае успешного сбора </w:t>
      </w:r>
      <w:r w:rsidR="003569D8" w:rsidRPr="00F242DD">
        <w:t>ГСК</w:t>
      </w:r>
      <w:r w:rsidR="002905FE" w:rsidRPr="00F242DD">
        <w:t xml:space="preserve"> крови</w:t>
      </w:r>
      <w:r w:rsidR="00BA44DC" w:rsidRPr="00F242DD">
        <w:t xml:space="preserve"> </w:t>
      </w:r>
      <w:r w:rsidR="00FF0C02" w:rsidRPr="00F242DD">
        <w:rPr>
          <w:b/>
        </w:rPr>
        <w:t>рекомендуется</w:t>
      </w:r>
      <w:r w:rsidR="00BA44DC" w:rsidRPr="00F242DD">
        <w:rPr>
          <w:b/>
        </w:rPr>
        <w:t xml:space="preserve"> </w:t>
      </w:r>
      <w:r w:rsidR="00321B75" w:rsidRPr="00F242DD">
        <w:t>выполнение ВДХТ мелфаланом</w:t>
      </w:r>
      <w:r w:rsidRPr="00F242DD">
        <w:t>**</w:t>
      </w:r>
      <w:r w:rsidR="00321B75" w:rsidRPr="00F242DD">
        <w:t xml:space="preserve"> и последующей трансплантации </w:t>
      </w:r>
      <w:r w:rsidR="003569D8" w:rsidRPr="00F242DD">
        <w:t xml:space="preserve">ауто-ТГСК </w:t>
      </w:r>
      <w:r w:rsidR="00A96FB6" w:rsidRPr="00F242DD">
        <w:fldChar w:fldCharType="begin" w:fldLock="1"/>
      </w:r>
      <w:r w:rsidR="001D3DC1" w:rsidRPr="00F242DD">
        <w:instrText>ADDIN CSL_CITATION {"citationItems":[{"id":"ITEM-1","itemData":{"DOI":"10.1080/10428194.2018.1543874","ISSN":"10292403","abstract":"To evaluate the role of high-dose melphalan plus autologous stem-cell transplantation (ASCT) as consolidation therapy for patients with newly diagnosed multiple myeloma (NDMM) in the era of novel agents, we undertook this meta-analysis. Medline, Embase, the Cochrane controlled trials register, the SCI, ASH, EHA, and ASCO were searched for clinical trials including high-dose chemotherapy plus ASCT for patients with NDMM. Finally, we identified four RCTs of ASCT versus novel agents based consolidations, and 10 single-arm prospective trials of ASCT alone. Pooled analysis indicated that response quality improved further after ASCT in the era of novel agents (&gt;=CR rates of 13% pre-ASCT versus 29% post-ASCT, p =.003). When compared to novel agents containing consolidation regimens, high-dose chemotherapy plus ASCT significantly improved progression-free survival (PFS) (HR =0.56, p &lt;.001). No significant difference in overall survival (OS) was found between them (HR =0.66, p =.22). Of note, subgroup analysis indicated that ASCT could significantly improve OS (HR =0.49, p =.0004) when compared to alkylating agent-based regimens plus lenalidomide consolidation. In summary, response quality and PFS improved further over ASCT in the era of novel agents. ASCT could improve survival than alkylating agent-based regimens plus lenalidomide consolidations for patients with NDMM.Copyright © 2018, © 2018 Informa UK Limited, trading as Taylor &amp; Francis Group.","author":[{"dropping-particle":"","family":"Su","given":"Baohua","non-dropping-particle":"","parse-names":false,"suffix":""},{"dropping-particle":"","family":"Zhu","given":"Xu","non-dropping-particle":"","parse-names":false,"suffix":""},{"dropping-particle":"","family":"Jiang","given":"Yina","non-dropping-particle":"","parse-names":false,"suffix":""},{"dropping-particle":"","family":"Wang","given":"Lida","non-dropping-particle":"","parse-names":false,"suffix":""},{"dropping-particle":"","family":"Zhao","given":"Ningning","non-dropping-particle":"","parse-names":false,"suffix":""},{"dropping-particle":"","family":"Ran","given":"Xuehong","non-dropping-particle":"","parse-names":false,"suffix":""},{"dropping-particle":"","family":"Zheng","given":"Xiaobin","non-dropping-particle":"","parse-names":false,"suffix":""},{"dropping-particle":"","family":"Guo","given":"Hui","non-dropping-particle":"","parse-names":false,"suffix":""}],"container-title":"Leukemia and Lymphoma","id":"ITEM-1","issued":{"date-parts":[["2018"]]},"publisher":"Taylor and Francis Ltd","title":"A meta-analysis of autologous transplantation for newly diagnosed multiple myeloma in the era of novel agents","type":"article-journal"},"uris":["http://www.mendeley.com/documents/?uuid=a763b0b9-22ac-33ee-8ac3-1da970da9202"]},{"id":"ITEM-2","itemData":{"DOI":"10.1001/jamaoncol.2017.4600","ISSN":"23742445","abstract":"Importance The role of high-dose therapy with melphalan followed by autologous stem cell transplant (HDT/ASCT) in patients with multiple myeloma continues to be debated in the context of novel agent induction. Objective To perform a systematic review, conventional meta-analysis, and network meta-analysis of all phase 3 randomized clinical trials (RCTs) evaluating the role of HDT/ASCT. Data Sources We performed a systematic literature search of Cochrane Central, MEDLINE, and Scopus from January 2000 through April 2017 and relevant annual meeting abstracts from January 2014 to December 2016. The following search terms were used: \"myeloma\" combined with \"autologous,\" \"transplant,\" \"myeloablative,\" or \"stem cell.\" Study Selection Phase 3 RCTs comparing HDT/ASCT with standard-dose therapy (SDT) using novel agents were assessed. Studies comparing single HDT/ASCT with bortezomib, lenalidomide, and dexamethasone consolidation and tandem transplantation were included for network meta-analysis. Data Extraction And Synthesis For the random effects meta-analysis, we used hazard ratios (HRs) and corresponding 95% CIs. Main Outcomes and Measures The primary outcome was progression-free survival (PFS). Overall survival (OS), complete response, and treatment-related mortality were secondary outcomes. Results A total of 4 RCTs (2421 patients) for conventional meta-analysis and 5 RCTs (3171 patients) for network meta-analysis were selected. The combined odds for complete response were 1.27 (95% CI, 0.97-1.65; P = .07) with HDT/ASCT when compared with SDT. The combined HR for PFS was 0.55 (95% CI, 0.41-0.74; P &lt; .001) and 0.76 for OS (95% CI, 0.42-1.36; P = .20) in favor of HDT. Meta-regression showed that longer follow-up was associated with superior PFS (HR/mo, 0.98; 95% CI, 0.96-0.99; P = .03) and OS (HR/mo, 0.90; 95% CI, 0.84-0.96; P = .002). For PFS, tandem HDT/ASCT had the most favorable HR (0.49; 95% CI, 0.37-0.65) followed by single HDT/ASCT with bortezomib, lenalidomide, and dexamethasone (HR, 0.53; 95% CI, 0.37-0.76) and single HDT/ASCT alone (HR, 0.68; 95% CI, 0.53-0.87) compared with SDT. For OS, none of the HDT/ASCT-based approaches had a significant effect on survival. Treatment-related mortality with HDT/ASCT was minimal (&lt;1%). Conclusions and Relevance The results of the conventional meta-analysis and network meta-analysis of all the phase 3 RCTs showed that HDT/ASCT was associated with superior PFS with minimal toxic effects compared with SDT. Both tandem…","author":[{"dropping-particle":"","family":"Dhakal","given":"Binod","non-dropping-particle":"","parse-names":false,"suffix":""},{"dropping-particle":"","family":"Szabo","given":"Aniko","non-dropping-particle":"","parse-names":false,"suffix":""},{"dropping-particle":"","family":"Chhabra","given":"Saurabh","non-dropping-particle":"","parse-names":false,"suffix":""},{"dropping-particle":"","family":"Hamadani","given":"Mehdi","non-dropping-particle":"","parse-names":false,"suffix":""},{"dropping-particle":"","family":"D'Souza","given":"Anita","non-dropping-particle":"","parse-names":false,"suffix":""},{"dropping-particle":"","family":"Usmani","given":"Saad Z.","non-dropping-particle":"","parse-names":false,"suffix":""},{"dropping-particle":"","family":"Sieracki","given":"Rita","non-dropping-particle":"","parse-names":false,"suffix":""},{"dropping-particle":"","family":"Gyawali","given":"Bishal","non-dropping-particle":"","parse-names":false,"suffix":""},{"dropping-particle":"","family":"Jackson","given":"Jeffrey L.","non-dropping-particle":"","parse-names":false,"suffix":""},{"dropping-particle":"","family":"Asimakopoulos","given":"Fotis","non-dropping-particle":"","parse-names":false,"suffix":""},{"dropping-particle":"","family":"Hari","given":"Parameswaran N.","non-dropping-particle":"","parse-names":false,"suffix":""}],"container-title":"JAMA Oncology","id":"ITEM-2","issue":"3","issued":{"date-parts":[["2018","3","1"]]},"page":"343-350","publisher":"American Medical Association","title":"Autologous transplantation for newly diagnosed multiple myeloma in the era of novel agent induction a systematic review and meta-analysis","type":"article-journal","volume":"4"},"uris":["http://www.mendeley.com/documents/?uuid=e10abcf3-d81f-385d-80c0-5398aae26e72"]}],"mendeley":{"formattedCitation":"[36,37]","plainTextFormattedCitation":"[36,37]","previouslyFormattedCitation":"[36,37]"},"properties":{"noteIndex":0},"schema":"https://github.com/citation-style-language/schema/raw/master/csl-citation.json"}</w:instrText>
      </w:r>
      <w:r w:rsidR="00A96FB6" w:rsidRPr="00F242DD">
        <w:fldChar w:fldCharType="separate"/>
      </w:r>
      <w:r w:rsidR="00D95A58" w:rsidRPr="00F242DD">
        <w:rPr>
          <w:noProof/>
        </w:rPr>
        <w:t>[36,37]</w:t>
      </w:r>
      <w:r w:rsidR="00A96FB6" w:rsidRPr="00F242DD">
        <w:fldChar w:fldCharType="end"/>
      </w:r>
      <w:r w:rsidR="00185CAE" w:rsidRPr="00F242DD">
        <w:t>.</w:t>
      </w:r>
    </w:p>
    <w:p w14:paraId="66D33DCA" w14:textId="77777777" w:rsidR="0076197D" w:rsidRPr="00F242DD" w:rsidRDefault="0076197D" w:rsidP="00131E36">
      <w:pPr>
        <w:spacing w:before="0" w:after="0"/>
        <w:ind w:left="709"/>
        <w:contextualSpacing/>
        <w:rPr>
          <w:b/>
        </w:rPr>
      </w:pPr>
      <w:r w:rsidRPr="00F242DD">
        <w:rPr>
          <w:b/>
        </w:rPr>
        <w:t xml:space="preserve">Уровень убедительности рекомендаций </w:t>
      </w:r>
      <w:r w:rsidR="005C44D0" w:rsidRPr="00F242DD">
        <w:rPr>
          <w:b/>
        </w:rPr>
        <w:t xml:space="preserve">– </w:t>
      </w:r>
      <w:r w:rsidR="003C7967" w:rsidRPr="00F242DD">
        <w:rPr>
          <w:b/>
        </w:rPr>
        <w:t>А</w:t>
      </w:r>
      <w:r w:rsidR="005C44D0" w:rsidRPr="00F242DD">
        <w:rPr>
          <w:b/>
        </w:rPr>
        <w:t xml:space="preserve"> </w:t>
      </w:r>
      <w:r w:rsidRPr="00F242DD">
        <w:rPr>
          <w:b/>
        </w:rPr>
        <w:t>(уровень достоверности доказательств</w:t>
      </w:r>
      <w:r w:rsidR="005C44D0" w:rsidRPr="00F242DD">
        <w:rPr>
          <w:b/>
        </w:rPr>
        <w:t xml:space="preserve"> − </w:t>
      </w:r>
      <w:r w:rsidR="003C7967" w:rsidRPr="00F242DD">
        <w:rPr>
          <w:b/>
        </w:rPr>
        <w:t>1</w:t>
      </w:r>
      <w:r w:rsidRPr="00F242DD">
        <w:rPr>
          <w:b/>
        </w:rPr>
        <w:t>)</w:t>
      </w:r>
    </w:p>
    <w:p w14:paraId="50F64BE5" w14:textId="77777777" w:rsidR="00185CAE" w:rsidRPr="00F242DD" w:rsidRDefault="0076197D" w:rsidP="00185CAE">
      <w:pPr>
        <w:spacing w:before="0" w:after="0"/>
        <w:ind w:left="709"/>
        <w:contextualSpacing/>
        <w:rPr>
          <w:b/>
        </w:rPr>
      </w:pPr>
      <w:r w:rsidRPr="00F242DD">
        <w:rPr>
          <w:b/>
        </w:rPr>
        <w:t xml:space="preserve">Комментарий: </w:t>
      </w:r>
      <w:r w:rsidR="005C44D0" w:rsidRPr="00F242DD">
        <w:rPr>
          <w:i/>
        </w:rPr>
        <w:t>п</w:t>
      </w:r>
      <w:r w:rsidR="00624D3B" w:rsidRPr="00F242DD">
        <w:rPr>
          <w:i/>
        </w:rPr>
        <w:t xml:space="preserve">ациенты, достигшие </w:t>
      </w:r>
      <w:r w:rsidR="005C44D0" w:rsidRPr="00F242DD">
        <w:rPr>
          <w:i/>
        </w:rPr>
        <w:t>ПР</w:t>
      </w:r>
      <w:r w:rsidR="00624D3B" w:rsidRPr="00F242DD">
        <w:rPr>
          <w:i/>
        </w:rPr>
        <w:t xml:space="preserve"> или </w:t>
      </w:r>
      <w:r w:rsidR="005C44D0" w:rsidRPr="00F242DD">
        <w:rPr>
          <w:i/>
        </w:rPr>
        <w:t>ОЧХР</w:t>
      </w:r>
      <w:r w:rsidR="000B622E" w:rsidRPr="00F242DD">
        <w:rPr>
          <w:i/>
        </w:rPr>
        <w:t xml:space="preserve"> (см.</w:t>
      </w:r>
      <w:r w:rsidR="00E778E9" w:rsidRPr="00F242DD">
        <w:rPr>
          <w:i/>
        </w:rPr>
        <w:t xml:space="preserve"> раздел 7 данных рекомендаций</w:t>
      </w:r>
      <w:r w:rsidR="000B622E" w:rsidRPr="00F242DD">
        <w:rPr>
          <w:i/>
        </w:rPr>
        <w:t>)</w:t>
      </w:r>
      <w:r w:rsidR="00624D3B" w:rsidRPr="00F242DD">
        <w:rPr>
          <w:i/>
        </w:rPr>
        <w:t xml:space="preserve"> после индукционной терапии, должны рассматриваться в качестве кандидатов на </w:t>
      </w:r>
      <w:r w:rsidR="00C10AFF" w:rsidRPr="00F242DD">
        <w:rPr>
          <w:i/>
        </w:rPr>
        <w:t>выполнение ауто-ТГСК, поскольку именно в этих случаях возможно достижение максимального эффекта от консолидации высокодозным мелфаланом</w:t>
      </w:r>
      <w:r w:rsidR="00AD2477" w:rsidRPr="00F242DD">
        <w:rPr>
          <w:i/>
        </w:rPr>
        <w:t>**</w:t>
      </w:r>
      <w:r w:rsidR="00B1183B" w:rsidRPr="00F242DD">
        <w:rPr>
          <w:i/>
        </w:rPr>
        <w:t xml:space="preserve"> (200 мг/м</w:t>
      </w:r>
      <w:r w:rsidR="00B1183B" w:rsidRPr="00F242DD">
        <w:rPr>
          <w:i/>
          <w:vertAlign w:val="superscript"/>
        </w:rPr>
        <w:t>2</w:t>
      </w:r>
      <w:r w:rsidR="00B1183B" w:rsidRPr="00F242DD">
        <w:rPr>
          <w:i/>
        </w:rPr>
        <w:t>)</w:t>
      </w:r>
      <w:r w:rsidR="00185CAE" w:rsidRPr="00F242DD">
        <w:rPr>
          <w:i/>
          <w:vertAlign w:val="superscript"/>
        </w:rPr>
        <w:t xml:space="preserve"> </w:t>
      </w:r>
      <w:r w:rsidR="00A96FB6" w:rsidRPr="00F242DD">
        <w:rPr>
          <w:i/>
          <w:vertAlign w:val="superscript"/>
        </w:rPr>
        <w:fldChar w:fldCharType="begin" w:fldLock="1"/>
      </w:r>
      <w:r w:rsidR="00F74B6B" w:rsidRPr="00F242DD">
        <w:rPr>
          <w:i/>
          <w:vertAlign w:val="superscript"/>
        </w:rPr>
        <w:instrText>ADDIN CSL_CITATION {"citationItems":[{"id":"ITEM-1","itemData":{"DOI":"10.1038/bmt.2017.208","ISSN":"14765365","abstract":"High-dose BCNU/Melphalan conditioning regimen before autologous stem cell transplantation in newly diagnosed multiple myeloma","author":[{"dropping-particle":"","family":"Sivaraj","given":"D.","non-dropping-particle":"","parse-names":false,"suffix":""},{"dropping-particle":"","family":"Bacon","given":"W.","non-dropping-particle":"","parse-names":false,"suffix":""},{"dropping-particle":"","family":"Long","given":"G. D.","non-dropping-particle":"","parse-names":false,"suffix":""},{"dropping-particle":"","family":"Rizzieri","given":"D. A.","non-dropping-particle":"","parse-names":false,"suffix":""},{"dropping-particle":"","family":"Horwitz","given":"M. E.","non-dropping-particle":"","parse-names":false,"suffix":""},{"dropping-particle":"","family":"Sullivan","given":"K. M.","non-dropping-particle":"","parse-names":false,"suffix":""},{"dropping-particle":"","family":"Kang","given":"Y.","non-dropping-particle":"","parse-names":false,"suffix":""},{"dropping-particle":"","family":"Li","given":"Z.","non-dropping-particle":"","parse-names":false,"suffix":""},{"dropping-particle":"","family":"Chao","given":"N. J.","non-dropping-particle":"","parse-names":false,"suffix":""},{"dropping-particle":"","family":"Gasparetto","given":"C.","non-dropping-particle":"","parse-names":false,"suffix":""}],"container-title":"Bone Marrow Transplantation","id":"ITEM-1","issue":"1","issued":{"date-parts":[["2018"]]},"page":"34-38","publisher":"Nature Publishing Group","title":"High-dose BCNU/Melphalan conditioning regimen before autologous stem cell transplantation in newly diagnosed multiple myeloma","type":"article-journal","volume":"53"},"uris":["http://www.mendeley.com/documents/?uuid=36fd24a8-0e46-3dff-b299-aa25b401eea7"]}],"mendeley":{"formattedCitation":"[46]","plainTextFormattedCitation":"[46]","previouslyFormattedCitation":"[46]"},"properties":{"noteIndex":0},"schema":"https://github.com/citation-style-language/schema/raw/master/csl-citation.json"}</w:instrText>
      </w:r>
      <w:r w:rsidR="00A96FB6" w:rsidRPr="00F242DD">
        <w:rPr>
          <w:i/>
          <w:vertAlign w:val="superscript"/>
        </w:rPr>
        <w:fldChar w:fldCharType="separate"/>
      </w:r>
      <w:r w:rsidR="00705691" w:rsidRPr="00F242DD">
        <w:rPr>
          <w:noProof/>
        </w:rPr>
        <w:t>[46]</w:t>
      </w:r>
      <w:r w:rsidR="00A96FB6" w:rsidRPr="00F242DD">
        <w:rPr>
          <w:i/>
          <w:vertAlign w:val="superscript"/>
        </w:rPr>
        <w:fldChar w:fldCharType="end"/>
      </w:r>
      <w:r w:rsidR="00C10AFF" w:rsidRPr="00F242DD">
        <w:rPr>
          <w:i/>
        </w:rPr>
        <w:t xml:space="preserve"> и значительного увеличения выживаемости </w:t>
      </w:r>
      <w:r w:rsidR="00FB03BB" w:rsidRPr="00F242DD">
        <w:rPr>
          <w:i/>
        </w:rPr>
        <w:t>пациентов</w:t>
      </w:r>
      <w:r w:rsidR="00C10AFF" w:rsidRPr="00F242DD">
        <w:rPr>
          <w:i/>
        </w:rPr>
        <w:t xml:space="preserve"> без признаков прогрессирования заболевания.</w:t>
      </w:r>
    </w:p>
    <w:p w14:paraId="13CA5E0C" w14:textId="77777777" w:rsidR="00185CAE" w:rsidRPr="00F242DD" w:rsidRDefault="00321B75" w:rsidP="00185CAE">
      <w:pPr>
        <w:spacing w:before="0" w:after="0"/>
        <w:ind w:left="709"/>
        <w:contextualSpacing/>
        <w:rPr>
          <w:i/>
        </w:rPr>
      </w:pPr>
      <w:r w:rsidRPr="00F242DD">
        <w:rPr>
          <w:i/>
        </w:rPr>
        <w:t>Интервал от мобилизации до начала предтрансплантационного кондиционирования должен составлять от 2 до 4 нед.</w:t>
      </w:r>
      <w:r w:rsidR="00BA44DC" w:rsidRPr="00F242DD">
        <w:rPr>
          <w:i/>
        </w:rPr>
        <w:t xml:space="preserve"> </w:t>
      </w:r>
      <w:r w:rsidRPr="00F242DD">
        <w:rPr>
          <w:i/>
        </w:rPr>
        <w:t>При выраженном нарушении функции почек (</w:t>
      </w:r>
      <w:r w:rsidR="00536161" w:rsidRPr="00F242DD">
        <w:rPr>
          <w:i/>
        </w:rPr>
        <w:t>скорость клубочковой фильтрации</w:t>
      </w:r>
      <w:r w:rsidRPr="00F242DD">
        <w:rPr>
          <w:i/>
        </w:rPr>
        <w:t xml:space="preserve"> &lt;30 мл/мин), не требующем проведения гемодиализа, а также </w:t>
      </w:r>
      <w:r w:rsidR="00FB03BB" w:rsidRPr="00F242DD">
        <w:rPr>
          <w:i/>
        </w:rPr>
        <w:t>пациентам</w:t>
      </w:r>
      <w:r w:rsidRPr="00F242DD">
        <w:rPr>
          <w:i/>
        </w:rPr>
        <w:t xml:space="preserve"> старшего возраста (65</w:t>
      </w:r>
      <w:r w:rsidR="0030209E" w:rsidRPr="00F242DD">
        <w:rPr>
          <w:i/>
        </w:rPr>
        <w:t>−</w:t>
      </w:r>
      <w:r w:rsidRPr="00F242DD">
        <w:rPr>
          <w:i/>
        </w:rPr>
        <w:t>70 лет) целесообразно снижать дозу мелфалана</w:t>
      </w:r>
      <w:r w:rsidR="003C7967" w:rsidRPr="00F242DD">
        <w:rPr>
          <w:i/>
        </w:rPr>
        <w:t>**</w:t>
      </w:r>
      <w:r w:rsidRPr="00F242DD">
        <w:rPr>
          <w:i/>
        </w:rPr>
        <w:t xml:space="preserve"> до 140 мг/м</w:t>
      </w:r>
      <w:r w:rsidRPr="00F242DD">
        <w:rPr>
          <w:i/>
          <w:vertAlign w:val="superscript"/>
        </w:rPr>
        <w:t>2</w:t>
      </w:r>
      <w:r w:rsidRPr="00F242DD">
        <w:rPr>
          <w:i/>
        </w:rPr>
        <w:t>. Для пациентов, находящихся на программном гемодиализе, дозу мелфалана</w:t>
      </w:r>
      <w:r w:rsidR="003C7967" w:rsidRPr="00F242DD">
        <w:rPr>
          <w:i/>
        </w:rPr>
        <w:t>**</w:t>
      </w:r>
      <w:r w:rsidRPr="00F242DD">
        <w:rPr>
          <w:i/>
        </w:rPr>
        <w:t xml:space="preserve"> (140</w:t>
      </w:r>
      <w:r w:rsidR="0030209E" w:rsidRPr="00F242DD">
        <w:rPr>
          <w:i/>
        </w:rPr>
        <w:t>−</w:t>
      </w:r>
      <w:r w:rsidRPr="00F242DD">
        <w:rPr>
          <w:i/>
        </w:rPr>
        <w:t>200 мг/м</w:t>
      </w:r>
      <w:r w:rsidRPr="00F242DD">
        <w:rPr>
          <w:i/>
          <w:vertAlign w:val="superscript"/>
        </w:rPr>
        <w:t>2</w:t>
      </w:r>
      <w:r w:rsidRPr="00F242DD">
        <w:rPr>
          <w:i/>
        </w:rPr>
        <w:t>) определяет трансплантационный центр. Гемодиализ проводится в –4-й, –2-й (перед введением мелфалана</w:t>
      </w:r>
      <w:r w:rsidR="00AD2477" w:rsidRPr="00F242DD">
        <w:rPr>
          <w:i/>
        </w:rPr>
        <w:t>**</w:t>
      </w:r>
      <w:r w:rsidRPr="00F242DD">
        <w:rPr>
          <w:i/>
        </w:rPr>
        <w:t xml:space="preserve">) и в 0-й день (перед трансфузией лейкоконцентрата). </w:t>
      </w:r>
    </w:p>
    <w:p w14:paraId="55869B45" w14:textId="77777777" w:rsidR="00185CAE" w:rsidRPr="00F242DD" w:rsidRDefault="00185CAE" w:rsidP="00727CDE">
      <w:pPr>
        <w:pStyle w:val="a6"/>
        <w:numPr>
          <w:ilvl w:val="0"/>
          <w:numId w:val="8"/>
        </w:numPr>
        <w:tabs>
          <w:tab w:val="clear" w:pos="348"/>
          <w:tab w:val="num" w:pos="709"/>
        </w:tabs>
        <w:spacing w:before="0" w:after="0"/>
        <w:ind w:left="709" w:hanging="709"/>
      </w:pPr>
      <w:r w:rsidRPr="00F242DD">
        <w:t xml:space="preserve">Для пациентов </w:t>
      </w:r>
      <w:r w:rsidR="00F719E7" w:rsidRPr="00F242DD">
        <w:rPr>
          <w:lang w:val="en-US"/>
        </w:rPr>
        <w:t>c</w:t>
      </w:r>
      <w:r w:rsidR="00F719E7" w:rsidRPr="00F242DD">
        <w:t xml:space="preserve"> </w:t>
      </w:r>
      <w:r w:rsidRPr="00F242DD">
        <w:t>ММ</w:t>
      </w:r>
      <w:r w:rsidR="00F719E7" w:rsidRPr="00F242DD">
        <w:t xml:space="preserve">, которым была выполнена </w:t>
      </w:r>
      <w:r w:rsidRPr="00F242DD">
        <w:t>ВДХТ и ауто</w:t>
      </w:r>
      <w:r w:rsidR="00267DE2" w:rsidRPr="00F242DD">
        <w:t>-</w:t>
      </w:r>
      <w:r w:rsidRPr="00F242DD">
        <w:t>ТГСК</w:t>
      </w:r>
      <w:r w:rsidR="00F719E7" w:rsidRPr="00F242DD">
        <w:t>, через 100 дней после проведения ВДХТ и ауто</w:t>
      </w:r>
      <w:r w:rsidR="00267DE2" w:rsidRPr="00F242DD">
        <w:t>-</w:t>
      </w:r>
      <w:r w:rsidR="00F719E7" w:rsidRPr="00F242DD">
        <w:t>ТГСК</w:t>
      </w:r>
      <w:r w:rsidRPr="00F242DD">
        <w:t xml:space="preserve"> </w:t>
      </w:r>
      <w:r w:rsidRPr="00F242DD">
        <w:rPr>
          <w:b/>
        </w:rPr>
        <w:t xml:space="preserve">рекомендуется </w:t>
      </w:r>
      <w:r w:rsidR="00F719E7" w:rsidRPr="00F242DD">
        <w:lastRenderedPageBreak/>
        <w:t>иммунофенотипирование биологического материала (пунктата КМ) для выявления маркеров минимальной остаточной болезни при гемобластозах</w:t>
      </w:r>
      <w:r w:rsidR="00F719E7" w:rsidRPr="00F242DD">
        <w:rPr>
          <w:bCs/>
        </w:rPr>
        <w:t xml:space="preserve"> </w:t>
      </w:r>
      <w:r w:rsidR="00A96FB6" w:rsidRPr="00F242DD">
        <w:rPr>
          <w:bCs/>
        </w:rPr>
        <w:fldChar w:fldCharType="begin" w:fldLock="1"/>
      </w:r>
      <w:r w:rsidR="00F74B6B" w:rsidRPr="00F242DD">
        <w:rPr>
          <w:bCs/>
        </w:rPr>
        <w:instrText>ADDIN CSL_CITATION {"citationItems":[{"id":"ITEM-1","itemData":{"DOI":"10.18632/oncotarget.12641","ISSN":"19492553","abstract":"We analyzed 50 patients who achieved at least a very good partial response in the RV-MM-EMN-441 study. Patients received consolidation with autologous stem-cell transplantation (ASCT) or cyclophosphamide-lenalidomide-dexamethasone (CRD), followed by Lenalidomide-based maintenance. We assessed minimal residual disease (MRD) by multi-parameter flow cytometry (MFC) and allelic-specific oligonucleotide real-time quantitative polymerase chain reaction (ASO-RQ-PCR) after consolidation, after 3 and 6 courses of maintenance, and thereafter every 6 months until progression. By MFC analysis, 19/50 patients achieved complete response (CR) after consolidation, and 7 additional patients during maintenance. A molecular marker was identified in 25/50 patients, 4/25 achieved molecular-CR after consolidation, and 3 additional patients during maintenance. A lower MRD value by MFC was found in ASCT patients compared with CRD patients (p = 0.0134). Tumor burden reduction was different in patients with high-risk vs standard-risk cytogenetics (3.4 vs 5.2, ln-MFC; 3 vs 6 ln-PCR, respectively) and in patients who relapsed vs those who did not (4 vs 5, ln-MFC; 4.4 vs 7.8 ln-PCR). MRD progression anticipated clinical relapse by a median of 9 months while biochemical relapse by a median of 4 months. MRD allows the identification of a low-risk group, independently of response, and a better characterization of the activity of treatments.","author":[{"dropping-particle":"","family":"Oliva","given":"Stefania","non-dropping-particle":"","parse-names":false,"suffix":""},{"dropping-particle":"","family":"Gambella","given":"Manuela","non-dropping-particle":"","parse-names":false,"suffix":""},{"dropping-particle":"","family":"Gilestro","given":"Milena","non-dropping-particle":"","parse-names":false,"suffix":""},{"dropping-particle":"","family":"Muccio","given":"Vittorio Emanuele","non-dropping-particle":"","parse-names":false,"suffix":""},{"dropping-particle":"","family":"Gay","given":"Francesca","non-dropping-particle":"","parse-names":false,"suffix":""},{"dropping-particle":"","family":"Drandi","given":"Daniela","non-dropping-particle":"","parse-names":false,"suffix":""},{"dropping-particle":"","family":"Ferrero","given":"Simone","non-dropping-particle":"","parse-names":false,"suffix":""},{"dropping-particle":"","family":"Passera","given":"Roberto","non-dropping-particle":"","parse-names":false,"suffix":""},{"dropping-particle":"","family":"Pautasso","given":"Chiara","non-dropping-particle":"","parse-names":false,"suffix":""},{"dropping-particle":"","family":"Bernardini","given":"Annalisa","non-dropping-particle":"","parse-names":false,"suffix":""},{"dropping-particle":"","family":"Genuardi","given":"Mariella","non-dropping-particle":"","parse-names":false,"suffix":""},{"dropping-particle":"","family":"Patriarca","given":"Francesca","non-dropping-particle":"","parse-names":false,"suffix":""},{"dropping-particle":"","family":"Saraci","given":"Elona","non-dropping-particle":"","parse-names":false,"suffix":""},{"dropping-particle":"","family":"Petrucci","given":"Maria Teresa","non-dropping-particle":"","parse-names":false,"suffix":""},{"dropping-particle":"","family":"Pescosta","given":"Norbert","non-dropping-particle":"","parse-names":false,"suffix":""},{"dropping-particle":"","family":"Liberati","given":"Anna Marina","non-dropping-particle":"","parse-names":false,"suffix":""},{"dropping-particle":"","family":"Caravita","given":"Tommaso","non-dropping-particle":"","parse-names":false,"suffix":""},{"dropping-particle":"","family":"Conticello","given":"Concetta","non-dropping-particle":"","parse-names":false,"suffix":""},{"dropping-particle":"","family":"Rocci","given":"Alberto","non-dropping-particle":"","parse-names":false,"suffix":""},{"dropping-particle":"","family":"Musto","given":"Pellegrino","non-dropping-particle":"","parse-names":false,"suffix":""},{"dropping-particle":"","family":"Boccadoro","given":"Mario","non-dropping-particle":"","parse-names":false,"suffix":""},{"dropping-particle":"","family":"Palumbo","given":"Antonio","non-dropping-particle":"","parse-names":false,"suffix":""},{"dropping-particle":"","family":"Omedè","given":"Paola","non-dropping-particle":"","parse-names":false,"suffix":""}],"container-title":"Oncotarget","id":"ITEM-1","issue":"4","issued":{"date-parts":[["2017"]]},"page":"5924-5935","publisher":"Impact Journals LLC","title":"Minimal residual disease after transplantation or lenalidomidebased consolidation in myeloma patients: A prospective analysis","type":"article-journal","volume":"8"},"uris":["http://www.mendeley.com/documents/?uuid=90390907-0fb2-35c2-be6e-2e006c152197"]}],"mendeley":{"formattedCitation":"[47]","plainTextFormattedCitation":"[47]","previouslyFormattedCitation":"[47]"},"properties":{"noteIndex":0},"schema":"https://github.com/citation-style-language/schema/raw/master/csl-citation.json"}</w:instrText>
      </w:r>
      <w:r w:rsidR="00A96FB6" w:rsidRPr="00F242DD">
        <w:rPr>
          <w:bCs/>
        </w:rPr>
        <w:fldChar w:fldCharType="separate"/>
      </w:r>
      <w:r w:rsidR="00705691" w:rsidRPr="00F242DD">
        <w:rPr>
          <w:bCs/>
          <w:noProof/>
        </w:rPr>
        <w:t>[47]</w:t>
      </w:r>
      <w:r w:rsidR="00A96FB6" w:rsidRPr="00F242DD">
        <w:rPr>
          <w:bCs/>
        </w:rPr>
        <w:fldChar w:fldCharType="end"/>
      </w:r>
      <w:r w:rsidRPr="00F242DD">
        <w:t>.</w:t>
      </w:r>
    </w:p>
    <w:p w14:paraId="27FF86A7" w14:textId="77777777" w:rsidR="00185CAE" w:rsidRPr="00F242DD" w:rsidRDefault="00185CAE" w:rsidP="00185CAE">
      <w:pPr>
        <w:pStyle w:val="a6"/>
        <w:spacing w:before="0" w:after="0"/>
        <w:ind w:left="709"/>
        <w:rPr>
          <w:b/>
        </w:rPr>
      </w:pPr>
      <w:r w:rsidRPr="00F242DD">
        <w:rPr>
          <w:b/>
        </w:rPr>
        <w:t xml:space="preserve">Уровень убедительности рекомендаций </w:t>
      </w:r>
      <w:r w:rsidR="002535B4" w:rsidRPr="00F242DD">
        <w:rPr>
          <w:b/>
        </w:rPr>
        <w:t xml:space="preserve">− </w:t>
      </w:r>
      <w:r w:rsidR="00EE48C6" w:rsidRPr="00F242DD">
        <w:rPr>
          <w:b/>
        </w:rPr>
        <w:t xml:space="preserve">С </w:t>
      </w:r>
      <w:r w:rsidRPr="00F242DD">
        <w:rPr>
          <w:b/>
        </w:rPr>
        <w:t>(уровень достоверности доказательств</w:t>
      </w:r>
      <w:r w:rsidR="00F719E7" w:rsidRPr="00F242DD">
        <w:rPr>
          <w:b/>
        </w:rPr>
        <w:t xml:space="preserve"> </w:t>
      </w:r>
      <w:r w:rsidR="002535B4" w:rsidRPr="00F242DD">
        <w:rPr>
          <w:b/>
        </w:rPr>
        <w:t xml:space="preserve">− </w:t>
      </w:r>
      <w:r w:rsidR="00EE48C6" w:rsidRPr="00F242DD">
        <w:rPr>
          <w:b/>
        </w:rPr>
        <w:t>4</w:t>
      </w:r>
      <w:r w:rsidRPr="00F242DD">
        <w:rPr>
          <w:b/>
        </w:rPr>
        <w:t>)</w:t>
      </w:r>
    </w:p>
    <w:p w14:paraId="10DD6D51" w14:textId="77777777" w:rsidR="00EE2530" w:rsidRPr="00F242DD" w:rsidRDefault="00EE2530" w:rsidP="00E36DFA">
      <w:pPr>
        <w:pStyle w:val="a4"/>
        <w:spacing w:before="0" w:beforeAutospacing="0" w:after="0" w:afterAutospacing="0" w:line="360" w:lineRule="auto"/>
        <w:ind w:firstLine="709"/>
        <w:outlineLvl w:val="1"/>
      </w:pPr>
      <w:bookmarkStart w:id="29" w:name="_Toc53140901"/>
      <w:r w:rsidRPr="00F242DD">
        <w:rPr>
          <w:rStyle w:val="ac"/>
          <w:u w:val="single"/>
        </w:rPr>
        <w:t>3.3.3</w:t>
      </w:r>
      <w:r w:rsidR="00BF3C4A" w:rsidRPr="00F242DD">
        <w:rPr>
          <w:rStyle w:val="ac"/>
          <w:u w:val="single"/>
        </w:rPr>
        <w:t xml:space="preserve"> </w:t>
      </w:r>
      <w:r w:rsidRPr="00F242DD">
        <w:rPr>
          <w:rStyle w:val="ac"/>
          <w:u w:val="single"/>
        </w:rPr>
        <w:t>Этап консолидирующего лечения</w:t>
      </w:r>
      <w:bookmarkEnd w:id="29"/>
    </w:p>
    <w:p w14:paraId="19B77C31" w14:textId="77777777" w:rsidR="00C77FEF" w:rsidRPr="00F242DD" w:rsidRDefault="00A473F6" w:rsidP="00727CDE">
      <w:pPr>
        <w:pStyle w:val="a6"/>
        <w:numPr>
          <w:ilvl w:val="0"/>
          <w:numId w:val="8"/>
        </w:numPr>
        <w:tabs>
          <w:tab w:val="clear" w:pos="348"/>
          <w:tab w:val="num" w:pos="709"/>
        </w:tabs>
        <w:spacing w:before="0" w:after="0"/>
        <w:ind w:left="709" w:hanging="709"/>
      </w:pPr>
      <w:r w:rsidRPr="00F242DD">
        <w:t>Для пациентов</w:t>
      </w:r>
      <w:r w:rsidR="00E50AB4" w:rsidRPr="00F242DD">
        <w:t xml:space="preserve"> ММ в возрасте до 65</w:t>
      </w:r>
      <w:r w:rsidRPr="00F242DD">
        <w:t xml:space="preserve"> лет</w:t>
      </w:r>
      <w:r w:rsidR="00E50AB4" w:rsidRPr="00F242DD">
        <w:t>, а также пациентам 65</w:t>
      </w:r>
      <w:r w:rsidR="002535B4" w:rsidRPr="00F242DD">
        <w:t>−</w:t>
      </w:r>
      <w:r w:rsidR="00E50AB4" w:rsidRPr="00F242DD">
        <w:t>70 лет с хорошим соматическим статусом без тя</w:t>
      </w:r>
      <w:r w:rsidR="0055372F" w:rsidRPr="00F242DD">
        <w:t>желых сопутствующих заболеваний</w:t>
      </w:r>
      <w:r w:rsidR="00BA44DC" w:rsidRPr="00F242DD">
        <w:t xml:space="preserve"> </w:t>
      </w:r>
      <w:r w:rsidR="00BB0985" w:rsidRPr="00F242DD">
        <w:t>после выполнения ВДХТ</w:t>
      </w:r>
      <w:r w:rsidR="00185CAE" w:rsidRPr="00F242DD">
        <w:t xml:space="preserve"> </w:t>
      </w:r>
      <w:r w:rsidR="00BB0985" w:rsidRPr="00F242DD">
        <w:t xml:space="preserve">и </w:t>
      </w:r>
      <w:r w:rsidR="00E50AB4" w:rsidRPr="00F242DD">
        <w:t>ауто</w:t>
      </w:r>
      <w:r w:rsidR="00267DE2" w:rsidRPr="00F242DD">
        <w:t>-</w:t>
      </w:r>
      <w:r w:rsidR="00E50AB4" w:rsidRPr="00F242DD">
        <w:t xml:space="preserve">ТГСК </w:t>
      </w:r>
      <w:r w:rsidR="00FF0C02" w:rsidRPr="00F242DD">
        <w:rPr>
          <w:b/>
        </w:rPr>
        <w:t>рекомендуется</w:t>
      </w:r>
      <w:r w:rsidR="00BA44DC" w:rsidRPr="00F242DD">
        <w:rPr>
          <w:b/>
        </w:rPr>
        <w:t xml:space="preserve"> </w:t>
      </w:r>
      <w:r w:rsidR="005B1401" w:rsidRPr="00F242DD">
        <w:t>проведени</w:t>
      </w:r>
      <w:r w:rsidR="002535B4" w:rsidRPr="00F242DD">
        <w:t>е</w:t>
      </w:r>
      <w:r w:rsidR="005B1401" w:rsidRPr="00F242DD">
        <w:t xml:space="preserve"> консолидирующей терапии</w:t>
      </w:r>
      <w:r w:rsidR="00785A80" w:rsidRPr="00F242DD">
        <w:t xml:space="preserve"> для </w:t>
      </w:r>
      <w:r w:rsidR="00766ADD" w:rsidRPr="00F242DD">
        <w:t>повышения качества противоопухолевого ответа, достигнутого на предыдущих этапах лечения</w:t>
      </w:r>
      <w:r w:rsidR="00BF3C4A" w:rsidRPr="00F242DD">
        <w:t xml:space="preserve"> </w:t>
      </w:r>
      <w:r w:rsidR="00A96FB6" w:rsidRPr="00F242DD">
        <w:fldChar w:fldCharType="begin" w:fldLock="1"/>
      </w:r>
      <w:r w:rsidR="00F74B6B" w:rsidRPr="00F242DD">
        <w:instrText>ADDIN CSL_CITATION {"citationItems":[{"id":"ITEM-1","itemData":{"author":[{"dropping-particle":"","family":"Sonneveld","given":"P.","non-dropping-particle":"","parse-names":false,"suffix":""},{"dropping-particle":"","family":"Beksac","given":"M.","non-dropping-particle":"","parse-names":false,"suffix":""},{"dropping-particle":"","family":"Holt","given":"B.","non-dropping-particle":"van der","parse-names":false,"suffix":""},{"dropping-particle":"","family":"Dimopoulos","given":"M.A.","non-dropping-particle":"","parse-names":false,"suffix":""},{"dropping-particle":"","family":"Carella","given":"A.","non-dropping-particle":"","parse-names":false,"suffix":""},{"dropping-particle":"","family":"Ludwig","given":"H.","non-dropping-particle":"","parse-names":false,"suffix":""},{"dropping-particle":"","family":"Driessen","given":"C.","non-dropping-particle":"","parse-names":false,"suffix":""},{"dropping-particle":"","family":"Wester","given":"R.","non-dropping-particle":"","parse-names":false,"suffix":""},{"dropping-particle":"","family":"Hajek","given":"R.","non-dropping-particle":"","parse-names":false,"suffix":""},{"dropping-particle":"","family":"Cornelisse","given":"P.","non-dropping-particle":"","parse-names":false,"suffix":""},{"dropping-particle":"","family":"Troia","given":"R.","non-dropping-particle":"","parse-names":false,"suffix":""},{"dropping-particle":"","family":"Dozza","given":"L.","non-dropping-particle":"","parse-names":false,"suffix":""},{"dropping-particle":"","family":"Gay","given":"F.","non-dropping-particle":"","parse-names":false,"suffix":""},{"dropping-particle":"","family":"Cafro","given":"A.","non-dropping-particle":"","parse-names":false,"suffix":""},{"dropping-particle":"","family":"Rosa","given":"L.","non-dropping-particle":"De","parse-names":false,"suffix":""},{"dropping-particle":"","family":"Fiontoni","given":"G.","non-dropping-particle":"","parse-names":false,"suffix":""},{"dropping-particle":"","family":"Fiontoni","given":"G.","non-dropping-particle":"","parse-names":false,"suffix":""},{"dropping-particle":"","family":"Mellqvist","given":"U.H.","non-dropping-particle":"","parse-names":false,"suffix":""},{"dropping-particle":"","family":"Johnsen","given":"H.E.","non-dropping-particle":"","parse-names":false,"suffix":""},{"dropping-particle":"","family":"Zweegman","given":"S.","non-dropping-particle":"","parse-names":false,"suffix":""},{"dropping-particle":"","family":"Wu","given":"K.L.","non-dropping-particle":"","parse-names":false,"suffix":""},{"dropping-particle":"","family":"Parreira","given":"J.","non-dropping-particle":"","parse-names":false,"suffix":""},{"dropping-particle":"","family":"Schjesvold","given":"F.H.","non-dropping-particle":"","parse-names":false,"suffix":""},{"dropping-particle":"","family":"D'Rozario","given":"J.","non-dropping-particle":"","parse-names":false,"suffix":""},{"dropping-particle":"","family":"Palumbo","given":"A.","non-dropping-particle":"","parse-names":false,"suffix":""},{"dropping-particle":"","family":"Boccadoro","given":"M.","non-dropping-particle":"","parse-names":false,"suffix":""},{"dropping-particle":"","family":"Cavo","given":"M.","non-dropping-particle":"","parse-names":false,"suffix":""}],"container-title":"EHA 23 Proceedings","id":"ITEM-1","issued":{"date-parts":[["2018"]]},"page":"Abstract S108","title":"Consolidation followed by maintenance vs. maintenance alone in newly diagnosed, transplant eligible multiple myeloma: a randomized phase 3 study of the European Myeloma Network (EMN02/HO95 MM TRIAL)","type":"paper-conference"},"uris":["http://www.mendeley.com/documents/?uuid=f16f19a5-2470-3c95-a999-ddff15c4d0bd"]},{"id":"ITEM-2","itemData":{"DOI":"10.1200/JCO.2013.54.8164","ISSN":"15277755","abstract":"Purpose: The three-drug combination of lenalidomide, bortezomib, and dexamethasone (RVD) has shown significant efficacy in multiple myeloma (MM). The Intergroupe Francophone du Myélome (IFM) decided to evaluate RVD induction and consolidation therapies in a sequential intensive strategy for previously untreated transplantation-eligible patients with MM. Patients and Methods: In this phase II study, 31 symptomatic patients age &lt; 65 years were enrolled to receive three RVD induction cycles followed by cyclophosphamide harvest and transplantation. Patients subsequently received two RVD consolidation cycles and 1-year lenalidomide maintenance. Results: Very good partial response rate or better at the completion of induction, transplantation, and consolidation therapy was 58%, 70%, and 87%, respectively. Maintenance upgraded responses in 27% of patients. Overall, 58% of patients achieved complete response, and 68% were minimal residual disease (MRD) negative by flow cytometry. The most common toxicities with RVD were neurologic and hematologic, including grade 1 to 2 sensory neuropathy (55%), grade 3 to 4 neutropenia (35%), and thrombocytopenia (13%). Two basal cell carcinomas in the same patient and one case of breast cancer were observed. There was no treatment-related mortality. With a median follow-up of 39 months, estimated 3-year progression-free and overall survival were 77% and 100%, respectively. None of the patients who achieved MRD negativity relapsed. Conclusion: The transplantation program with RVD induction and consolidation followed by lenalidomide maintenance produced high-quality responses and showed favorable tolerability in patients with newly diagnosed MM. Overall, 68% of patients achieved MRD negativity; none of these patients relapsed. This program is being evaluated in the ongoing IFM/Dana-Farber Cancer Institute 2009 phase III study. © 2014 by American Society of Clinical Oncology.","author":[{"dropping-particle":"","family":"Roussel","given":"Murielle","non-dropping-particle":"","parse-names":false,"suffix":""},{"dropping-particle":"","family":"Lauwers-Cances","given":"Valérie","non-dropping-particle":"","parse-names":false,"suffix":""},{"dropping-particle":"","family":"Robillard","given":"Nelly","non-dropping-particle":"","parse-names":false,"suffix":""},{"dropping-particle":"","family":"Hulin","given":"Cyrille","non-dropping-particle":"","parse-names":false,"suffix":""},{"dropping-particle":"","family":"Leleu","given":"Xavier","non-dropping-particle":"","parse-names":false,"suffix":""},{"dropping-particle":"","family":"Benboubker","given":"Lotfi","non-dropping-particle":"","parse-names":false,"suffix":""},{"dropping-particle":"","family":"Marit","given":"Gérald","non-dropping-particle":"","parse-names":false,"suffix":""},{"dropping-particle":"","family":"Moreau","given":"Philippe","non-dropping-particle":"","parse-names":false,"suffix":""},{"dropping-particle":"","family":"Pegourie","given":"Brigitte","non-dropping-particle":"","parse-names":false,"suffix":""},{"dropping-particle":"","family":"Caillot","given":"Denis","non-dropping-particle":"","parse-names":false,"suffix":""},{"dropping-particle":"","family":"Fruchart","given":"Christophe","non-dropping-particle":"","parse-names":false,"suffix":""},{"dropping-particle":"","family":"Stoppa","given":"Anne Marie","non-dropping-particle":"","parse-names":false,"suffix":""},{"dropping-particle":"","family":"Gentil","given":"Catherine","non-dropping-particle":"","parse-names":false,"suffix":""},{"dropping-particle":"","family":"Wuilleme","given":"Soraya","non-dropping-particle":"","parse-names":false,"suffix":""},{"dropping-particle":"","family":"Huynh","given":"Anne","non-dropping-particle":"","parse-names":false,"suffix":""},{"dropping-particle":"","family":"Hebraud","given":"Benjamin","non-dropping-particle":"","parse-names":false,"suffix":""},{"dropping-particle":"","family":"Corre","given":"Jill","non-dropping-particle":"","parse-names":false,"suffix":""},{"dropping-particle":"","family":"Chretien","given":"Marie Lorraine","non-dropping-particle":"","parse-names":false,"suffix":""},{"dropping-particle":"","family":"Facon","given":"Thierry","non-dropping-particle":"","parse-names":false,"suffix":""},{"dropping-particle":"","family":"Avet-Loiseau","given":"Hervé","non-dropping-particle":"","parse-names":false,"suffix":""},{"dropping-particle":"","family":"Attal","given":"Michel","non-dropping-particle":"","parse-names":false,"suffix":""}],"container-title":"Journal of Clinical Oncology","id":"ITEM-2","issue":"25","issued":{"date-parts":[["2014","9","1"]]},"page":"2712-2717","publisher":"American Society of Clinical Oncology","title":"Front-line transplantation program with lenalidomide, bortezomib, and dexamethasone combination as induction and consolidation followed by lenalidomide maintenance in patients with multiple myeloma: A phase II study by the Intergroupe Francophone du Myélome","type":"article-journal","volume":"32"},"uris":["http://www.mendeley.com/documents/?uuid=26d353a8-5357-3f67-9a63-0b8987baf727"]},{"id":"ITEM-3","itemData":{"DOI":"10.1002/14651858.CD004626.pub3","ISSN":"1469-493X","PMID":"23076906","abstract":"BACKGROUND Several clinical studies have compared single with tandem (also called double) autologous stem cell transplantation (ASCT) as first-line treatment in patients with symptomatic multiple myeloma (MM), one of the leading indications for ASCT worldwide. OBJECTIVES The present Cochrane Review compares tandem autologous stem cell transplantation (TASCT) with single autologous stem cell transplantation (SASCT) as first-line treatment in patients with symptomatic MM with respect to overall survival (OS), event-free survival (EFS), quality of life (QoL) and treatment- or transplantation-related mortality. SEARCH METHODS We systematically identified controlled trials published between January 1995 and May 2011 in two bibliographic databases (MEDLINE and CENTRAL) and in clinical trial registries. SELECTION CRITERIA One researcher screened references for controlled trials to determine eligibility for the systematic review (SR) according to pre-specified inclusion and exclusion criteria, reflecting characteristics of disease and the interventions. We required a minimal set of details to be reported for observational studies for the studies to be included. DATA COLLECTION AND ANALYSIS We critically evaluated eligible trials with respect to quality of design and actual performance. One researcher extracted individual trial results, which were checked by another researcher. We recapitulated the results of the individual trials in a standardised way for the SR in order to allow a systematic assessment of potential sources of bias. MAIN RESULTS Overall, we identified 14 controlled studies. One registered randomised controlled trial (RCT) is still recruiting patients at the time of this review and no clinical results have been published. Two registered RCTs have remained unpublished despite their termination. Publications on one RCT had been retracted. We excluded five observational studies since neither patients nor treatment regimens were sufficiently characterised to allow an assessment of potential confounding by indication. We conducted a SR of study designs, definition of endpoints, treatment regimens and baseline characteristics of patients in the five included RCTs (two full-text publications, three conference presentations) enrolling1506 patients in total. Because we identified substantial clinical and methodological heterogeneity, we refrained from conducting a formal meta-analysis.While we included only previously untreated, symptomatic patients with…","author":[{"dropping-particle":"","family":"Naumann-Winter","given":"Frauke","non-dropping-particle":"","parse-names":false,"suffix":""},{"dropping-particle":"","family":"Greb","given":"Alexander","non-dropping-particle":"","parse-names":false,"suffix":""},{"dropping-particle":"","family":"Borchmann","given":"Peter","non-dropping-particle":"","parse-names":false,"suffix":""},{"dropping-particle":"","family":"Bohlius","given":"Julia","non-dropping-particle":"","parse-names":false,"suffix":""},{"dropping-particle":"","family":"Engert","given":"Andreas","non-dropping-particle":"","parse-names":false,"suffix":""},{"dropping-particle":"","family":"Schnell","given":"Roland","non-dropping-particle":"","parse-names":false,"suffix":""}],"container-title":"The Cochrane database of systematic reviews","id":"ITEM-3","issued":{"date-parts":[["2012","10","17"]]},"page":"CD004626","title":"First-line tandem high-dose chemotherapy and autologous stem cell transplantation versus single high-dose chemotherapy and autologous stem cell transplantation in multiple myeloma, a systematic review of controlled studies.","type":"article-journal","volume":"10"},"uris":["http://www.mendeley.com/documents/?uuid=4593ca73-a58d-33b7-b657-1766b684c696"]},{"id":"ITEM-4","itemData":{"DOI":"10.1007/s11899-016-0310-9","ISSN":"1558822X","abstract":"Advances in therapy in multiple myeloma have resulted in significant improvements in patient outcomes; however, relapse remains problematic. Strategies to improve outcomes following autologous stem cell transplantation (ASCT) include consolidation to intensify therapy and improve depth of response and maintenance therapy to achieve long-term disease control. Immunomodulatory drugs (IMiDs), including thalidomide and lenalidomide, are appealing as maintenance therapy given their oral administration; however, the cumulative toxicities of thalidomide have limited its efficacy in maintenance therapy. Maintenance lenalidomide is better tolerated, and multiple studies have demonstrated an improvement in progression-free survival (PFS), but its impact on overall survival (OS) remains controversial. Additional concerns regarding the risk of second primary malignancies and significant cost of long-term lenalidomide therapy have also been raised. Proteasome inhibitors, particularly, bortezomib have also been incorporated in consolidation and maintenance regimens alone or in combination with an IMiD. Preliminary studies have suggested bortezomib maintenance may benefit patients with adverse cytogenetics, including t(4;14) and deletion 17p. Determination of the optimal consolidation and maintenance regimen and duration of therapy post-transplantation is a focus of several ongoing randomized studies.","author":[{"dropping-particle":"","family":"Nathwani","given":"Nitya","non-dropping-particle":"","parse-names":false,"suffix":""},{"dropping-particle":"","family":"Larsen","given":"Jeremy T.","non-dropping-particle":"","parse-names":false,"suffix":""},{"dropping-particle":"","family":"Kapoor","given":"Prashant","non-dropping-particle":"","parse-names":false,"suffix":""}],"container-title":"Current Hematologic Malignancy Reports","id":"ITEM-4","issue":"2","issued":{"date-parts":[["2016","4","1"]]},"page":"127-136","publisher":"Current Science Inc.","title":"Consolidation and Maintenance Therapies for Newly Diagnosed Multiple Myeloma in the Era of Novel Agents","type":"article","volume":"11"},"uris":["http://www.mendeley.com/documents/?uuid=009d2130-9b99-378a-b44c-5b74788bd4ae"]}],"mendeley":{"formattedCitation":"[48–51]","plainTextFormattedCitation":"[48–51]","previouslyFormattedCitation":"[48–51]"},"properties":{"noteIndex":0},"schema":"https://github.com/citation-style-language/schema/raw/master/csl-citation.json"}</w:instrText>
      </w:r>
      <w:r w:rsidR="00A96FB6" w:rsidRPr="00F242DD">
        <w:fldChar w:fldCharType="separate"/>
      </w:r>
      <w:r w:rsidR="00705691" w:rsidRPr="00F242DD">
        <w:rPr>
          <w:noProof/>
        </w:rPr>
        <w:t>[48–51]</w:t>
      </w:r>
      <w:r w:rsidR="00A96FB6" w:rsidRPr="00F242DD">
        <w:fldChar w:fldCharType="end"/>
      </w:r>
      <w:r w:rsidR="000F1BC7" w:rsidRPr="00F242DD">
        <w:t>.</w:t>
      </w:r>
    </w:p>
    <w:p w14:paraId="2F242D62" w14:textId="77777777" w:rsidR="00C77FEF" w:rsidRPr="00F242DD" w:rsidRDefault="00C77FEF" w:rsidP="00131E36">
      <w:pPr>
        <w:pStyle w:val="a6"/>
        <w:spacing w:before="0" w:after="0"/>
        <w:ind w:left="709"/>
        <w:rPr>
          <w:b/>
        </w:rPr>
      </w:pPr>
      <w:r w:rsidRPr="00F242DD">
        <w:rPr>
          <w:b/>
        </w:rPr>
        <w:t xml:space="preserve">Уровень убедительности рекомендаций </w:t>
      </w:r>
      <w:r w:rsidR="002535B4" w:rsidRPr="00F242DD">
        <w:rPr>
          <w:b/>
        </w:rPr>
        <w:t xml:space="preserve">− </w:t>
      </w:r>
      <w:r w:rsidR="00F101D8" w:rsidRPr="00F242DD">
        <w:rPr>
          <w:b/>
        </w:rPr>
        <w:t xml:space="preserve">С </w:t>
      </w:r>
      <w:r w:rsidRPr="00F242DD">
        <w:rPr>
          <w:b/>
        </w:rPr>
        <w:t>(уровень достоверности доказательств</w:t>
      </w:r>
      <w:r w:rsidR="00197001" w:rsidRPr="00F242DD">
        <w:rPr>
          <w:b/>
        </w:rPr>
        <w:t xml:space="preserve"> </w:t>
      </w:r>
      <w:r w:rsidR="002535B4" w:rsidRPr="00F242DD">
        <w:rPr>
          <w:b/>
        </w:rPr>
        <w:t xml:space="preserve">− </w:t>
      </w:r>
      <w:r w:rsidR="00F101D8" w:rsidRPr="00F242DD">
        <w:rPr>
          <w:b/>
        </w:rPr>
        <w:t>5</w:t>
      </w:r>
      <w:r w:rsidRPr="00F242DD">
        <w:rPr>
          <w:b/>
        </w:rPr>
        <w:t>)</w:t>
      </w:r>
    </w:p>
    <w:p w14:paraId="19EDCA51" w14:textId="77777777" w:rsidR="002535B4" w:rsidRPr="00F242DD" w:rsidRDefault="001F641D" w:rsidP="00131E36">
      <w:pPr>
        <w:spacing w:before="0" w:after="0"/>
        <w:ind w:left="709"/>
        <w:contextualSpacing/>
        <w:rPr>
          <w:i/>
        </w:rPr>
      </w:pPr>
      <w:r w:rsidRPr="00F242DD">
        <w:rPr>
          <w:b/>
        </w:rPr>
        <w:t xml:space="preserve">Комментарий: </w:t>
      </w:r>
      <w:r w:rsidR="002535B4" w:rsidRPr="00F242DD">
        <w:rPr>
          <w:i/>
        </w:rPr>
        <w:t>к</w:t>
      </w:r>
      <w:r w:rsidRPr="00F242DD">
        <w:rPr>
          <w:i/>
        </w:rPr>
        <w:t>онсолидирующую терапию целесообразно начинать через 3 мес</w:t>
      </w:r>
      <w:r w:rsidR="00895437" w:rsidRPr="00F242DD">
        <w:rPr>
          <w:i/>
        </w:rPr>
        <w:t>.</w:t>
      </w:r>
      <w:r w:rsidRPr="00F242DD">
        <w:rPr>
          <w:i/>
        </w:rPr>
        <w:t xml:space="preserve"> после ауто</w:t>
      </w:r>
      <w:r w:rsidR="00267DE2" w:rsidRPr="00F242DD">
        <w:rPr>
          <w:i/>
        </w:rPr>
        <w:t>-</w:t>
      </w:r>
      <w:r w:rsidRPr="00F242DD">
        <w:rPr>
          <w:i/>
        </w:rPr>
        <w:t>ТГСК, после получения результатов контрольного обследования, подтвердившего отсутствие прогрессии заболевания. Консолидирующая терапия включает в себя</w:t>
      </w:r>
      <w:r w:rsidR="006D0F6C" w:rsidRPr="00F242DD">
        <w:rPr>
          <w:i/>
        </w:rPr>
        <w:t xml:space="preserve"> проведение 2</w:t>
      </w:r>
      <w:r w:rsidR="002535B4" w:rsidRPr="00F242DD">
        <w:rPr>
          <w:i/>
        </w:rPr>
        <w:t>−</w:t>
      </w:r>
      <w:r w:rsidR="006D0F6C" w:rsidRPr="00F242DD">
        <w:rPr>
          <w:i/>
        </w:rPr>
        <w:t>3</w:t>
      </w:r>
      <w:r w:rsidRPr="00F242DD">
        <w:rPr>
          <w:i/>
        </w:rPr>
        <w:t xml:space="preserve"> курсов (например, VCD, VRD). Одним из вариантов консолидирующего лечения</w:t>
      </w:r>
      <w:r w:rsidR="002905FE" w:rsidRPr="00F242DD">
        <w:rPr>
          <w:i/>
        </w:rPr>
        <w:t xml:space="preserve"> у пациентов, у которых было собрано достаточное количество </w:t>
      </w:r>
      <w:r w:rsidR="002535B4" w:rsidRPr="00F242DD">
        <w:rPr>
          <w:i/>
        </w:rPr>
        <w:t>ГСК</w:t>
      </w:r>
      <w:r w:rsidR="002905FE" w:rsidRPr="00F242DD">
        <w:rPr>
          <w:i/>
        </w:rPr>
        <w:t>,</w:t>
      </w:r>
      <w:r w:rsidRPr="00F242DD">
        <w:rPr>
          <w:i/>
        </w:rPr>
        <w:t xml:space="preserve"> может рассматриваться </w:t>
      </w:r>
      <w:r w:rsidR="002535B4" w:rsidRPr="00F242DD">
        <w:rPr>
          <w:i/>
        </w:rPr>
        <w:t>2-</w:t>
      </w:r>
      <w:r w:rsidRPr="00F242DD">
        <w:rPr>
          <w:i/>
        </w:rPr>
        <w:t>я (тандемная) ауто</w:t>
      </w:r>
      <w:r w:rsidR="00267DE2" w:rsidRPr="00F242DD">
        <w:rPr>
          <w:i/>
        </w:rPr>
        <w:t>-</w:t>
      </w:r>
      <w:r w:rsidRPr="00F242DD">
        <w:rPr>
          <w:i/>
        </w:rPr>
        <w:t>ТГСК. Вопрос о необходимости проведения консолидации решается в трансплантационном центре</w:t>
      </w:r>
    </w:p>
    <w:p w14:paraId="5277445D" w14:textId="77777777" w:rsidR="00EE2530" w:rsidRPr="00F242DD" w:rsidRDefault="00EE2530" w:rsidP="00E36DFA">
      <w:pPr>
        <w:spacing w:before="0" w:after="0"/>
        <w:ind w:left="709"/>
        <w:contextualSpacing/>
        <w:rPr>
          <w:rStyle w:val="ac"/>
          <w:u w:val="single"/>
        </w:rPr>
      </w:pPr>
      <w:r w:rsidRPr="00F242DD">
        <w:rPr>
          <w:rStyle w:val="ac"/>
          <w:u w:val="single"/>
        </w:rPr>
        <w:t>3.3.4</w:t>
      </w:r>
      <w:r w:rsidR="003F5F1F" w:rsidRPr="00F242DD">
        <w:rPr>
          <w:rStyle w:val="ac"/>
          <w:u w:val="single"/>
        </w:rPr>
        <w:t xml:space="preserve"> </w:t>
      </w:r>
      <w:r w:rsidRPr="00F242DD">
        <w:rPr>
          <w:rStyle w:val="ac"/>
          <w:u w:val="single"/>
        </w:rPr>
        <w:t>Этап поддерживающей терапии</w:t>
      </w:r>
    </w:p>
    <w:p w14:paraId="448693CE" w14:textId="77777777" w:rsidR="00BB211A" w:rsidRPr="00F242DD" w:rsidRDefault="00BB211A" w:rsidP="00E36DFA">
      <w:pPr>
        <w:pStyle w:val="a4"/>
        <w:spacing w:before="0" w:beforeAutospacing="0" w:after="0" w:afterAutospacing="0" w:line="360" w:lineRule="auto"/>
        <w:ind w:left="709"/>
        <w:contextualSpacing/>
        <w:jc w:val="both"/>
      </w:pPr>
      <w:r w:rsidRPr="00F242DD">
        <w:rPr>
          <w:i/>
        </w:rPr>
        <w:t xml:space="preserve">В настоящее время рядом крупных многоцентровых исследований показано значение поддерживающей терапии, назначаемой после </w:t>
      </w:r>
      <w:r w:rsidR="002535B4" w:rsidRPr="00F242DD">
        <w:rPr>
          <w:i/>
        </w:rPr>
        <w:t>1-</w:t>
      </w:r>
      <w:r w:rsidRPr="00F242DD">
        <w:rPr>
          <w:i/>
        </w:rPr>
        <w:t xml:space="preserve">й или </w:t>
      </w:r>
      <w:r w:rsidR="002535B4" w:rsidRPr="00F242DD">
        <w:rPr>
          <w:i/>
        </w:rPr>
        <w:t>2-</w:t>
      </w:r>
      <w:r w:rsidRPr="00F242DD">
        <w:rPr>
          <w:i/>
        </w:rPr>
        <w:t>й ауто</w:t>
      </w:r>
      <w:r w:rsidR="00267DE2" w:rsidRPr="00F242DD">
        <w:rPr>
          <w:i/>
        </w:rPr>
        <w:t>-</w:t>
      </w:r>
      <w:r w:rsidRPr="00F242DD">
        <w:rPr>
          <w:i/>
        </w:rPr>
        <w:t>ТГСК. При этом в качестве терапевтических препаратов рассматриваются бортезомиб</w:t>
      </w:r>
      <w:r w:rsidR="0063182A" w:rsidRPr="00F242DD">
        <w:rPr>
          <w:i/>
        </w:rPr>
        <w:t>**</w:t>
      </w:r>
      <w:r w:rsidRPr="00F242DD">
        <w:rPr>
          <w:i/>
        </w:rPr>
        <w:t xml:space="preserve"> в дозе 1,3 мг/м</w:t>
      </w:r>
      <w:r w:rsidRPr="00F242DD">
        <w:rPr>
          <w:i/>
          <w:vertAlign w:val="superscript"/>
        </w:rPr>
        <w:t>2</w:t>
      </w:r>
      <w:r w:rsidRPr="00F242DD">
        <w:rPr>
          <w:i/>
        </w:rPr>
        <w:t xml:space="preserve"> каждые 2 нед</w:t>
      </w:r>
      <w:r w:rsidR="009F1549" w:rsidRPr="00F242DD">
        <w:rPr>
          <w:i/>
        </w:rPr>
        <w:t>.</w:t>
      </w:r>
      <w:r w:rsidRPr="00F242DD">
        <w:rPr>
          <w:i/>
        </w:rPr>
        <w:t xml:space="preserve"> в течение 2 лет или до прогрессии и </w:t>
      </w:r>
      <w:bookmarkStart w:id="30" w:name="_Hlk6498165"/>
      <w:r w:rsidRPr="00F242DD">
        <w:rPr>
          <w:i/>
        </w:rPr>
        <w:t>леналидомид</w:t>
      </w:r>
      <w:r w:rsidR="0063182A" w:rsidRPr="00F242DD">
        <w:rPr>
          <w:i/>
        </w:rPr>
        <w:t>**</w:t>
      </w:r>
      <w:r w:rsidRPr="00F242DD">
        <w:rPr>
          <w:i/>
        </w:rPr>
        <w:t xml:space="preserve"> в дозе 10</w:t>
      </w:r>
      <w:r w:rsidR="002535B4" w:rsidRPr="00F242DD">
        <w:rPr>
          <w:i/>
        </w:rPr>
        <w:t>−</w:t>
      </w:r>
      <w:r w:rsidRPr="00F242DD">
        <w:rPr>
          <w:i/>
        </w:rPr>
        <w:t>15 мг/сут в течение 1</w:t>
      </w:r>
      <w:r w:rsidR="002535B4" w:rsidRPr="00F242DD">
        <w:rPr>
          <w:i/>
        </w:rPr>
        <w:t>−</w:t>
      </w:r>
      <w:r w:rsidRPr="00F242DD">
        <w:rPr>
          <w:i/>
        </w:rPr>
        <w:t>2 лет или до прогрессии</w:t>
      </w:r>
      <w:bookmarkEnd w:id="30"/>
      <w:r w:rsidRPr="00F242DD">
        <w:rPr>
          <w:i/>
        </w:rPr>
        <w:t>. Исследовательские центры представляют убедительные данные по увеличению показателей ВБП, ВДП и ОВ.</w:t>
      </w:r>
    </w:p>
    <w:p w14:paraId="79E10E83" w14:textId="77777777" w:rsidR="008434FF" w:rsidRPr="00F242DD" w:rsidRDefault="00141689" w:rsidP="00131E36">
      <w:pPr>
        <w:pStyle w:val="a6"/>
        <w:numPr>
          <w:ilvl w:val="0"/>
          <w:numId w:val="5"/>
        </w:numPr>
        <w:spacing w:before="0" w:after="0"/>
        <w:ind w:left="709"/>
        <w:rPr>
          <w:b/>
        </w:rPr>
      </w:pPr>
      <w:r w:rsidRPr="00F242DD">
        <w:t>Для пациентов</w:t>
      </w:r>
      <w:r w:rsidR="00EE2530" w:rsidRPr="00F242DD">
        <w:t xml:space="preserve"> ММ в возрасте до 65</w:t>
      </w:r>
      <w:r w:rsidRPr="00F242DD">
        <w:t xml:space="preserve"> лет</w:t>
      </w:r>
      <w:r w:rsidR="00EE2530" w:rsidRPr="00F242DD">
        <w:t>, а также пациентам 65</w:t>
      </w:r>
      <w:r w:rsidR="00B21759" w:rsidRPr="00F242DD">
        <w:t>−</w:t>
      </w:r>
      <w:r w:rsidR="00EE2530" w:rsidRPr="00F242DD">
        <w:t>70 лет с хорошим соматическим статусом без тяжелых сопутствующих заболеваний,</w:t>
      </w:r>
      <w:r w:rsidR="008434FF" w:rsidRPr="00F242DD">
        <w:t xml:space="preserve"> ответивших на индукционную терапию бортезомибом</w:t>
      </w:r>
      <w:r w:rsidRPr="00F242DD">
        <w:t>**</w:t>
      </w:r>
      <w:r w:rsidR="00474959" w:rsidRPr="00F242DD">
        <w:t xml:space="preserve"> (достигнута по крайней мере </w:t>
      </w:r>
      <w:r w:rsidR="00B21759" w:rsidRPr="00F242DD">
        <w:t>ЧР</w:t>
      </w:r>
      <w:r w:rsidR="00474959" w:rsidRPr="00F242DD">
        <w:t xml:space="preserve"> после 4</w:t>
      </w:r>
      <w:r w:rsidR="00B21759" w:rsidRPr="00F242DD">
        <w:t>−</w:t>
      </w:r>
      <w:r w:rsidR="00474959" w:rsidRPr="00F242DD">
        <w:t>6 циклов бортезомибсодержащей терапии)</w:t>
      </w:r>
      <w:r w:rsidR="008434FF" w:rsidRPr="00F242DD">
        <w:t>,</w:t>
      </w:r>
      <w:r w:rsidR="00B21759" w:rsidRPr="00F242DD">
        <w:t xml:space="preserve"> </w:t>
      </w:r>
      <w:r w:rsidR="00EE2530" w:rsidRPr="00F242DD">
        <w:t>после выполнения ВДХТ, одной или тандемной ауто</w:t>
      </w:r>
      <w:r w:rsidR="00267DE2" w:rsidRPr="00F242DD">
        <w:t>-</w:t>
      </w:r>
      <w:r w:rsidR="00EE2530" w:rsidRPr="00F242DD">
        <w:t>ТГСК и</w:t>
      </w:r>
      <w:r w:rsidR="00E743CD" w:rsidRPr="00F242DD">
        <w:t xml:space="preserve"> консолидирующей терапии (если она проводилась)</w:t>
      </w:r>
      <w:r w:rsidR="000A156C" w:rsidRPr="00F242DD">
        <w:t xml:space="preserve"> </w:t>
      </w:r>
      <w:r w:rsidR="00EE2530" w:rsidRPr="00F242DD">
        <w:rPr>
          <w:b/>
        </w:rPr>
        <w:t>рекомен</w:t>
      </w:r>
      <w:r w:rsidR="00FF0C02" w:rsidRPr="00F242DD">
        <w:rPr>
          <w:b/>
        </w:rPr>
        <w:t>дуется</w:t>
      </w:r>
      <w:r w:rsidR="000A156C" w:rsidRPr="00F242DD">
        <w:rPr>
          <w:b/>
        </w:rPr>
        <w:t xml:space="preserve"> </w:t>
      </w:r>
      <w:r w:rsidR="00E743CD" w:rsidRPr="00F242DD">
        <w:t>проведение поддерживающей терапии</w:t>
      </w:r>
      <w:r w:rsidR="000A156C" w:rsidRPr="00F242DD">
        <w:t xml:space="preserve"> </w:t>
      </w:r>
      <w:r w:rsidR="00AC3713" w:rsidRPr="00F242DD">
        <w:t>бортезомибом</w:t>
      </w:r>
      <w:r w:rsidRPr="00F242DD">
        <w:t>**</w:t>
      </w:r>
      <w:r w:rsidR="00474959" w:rsidRPr="00F242DD">
        <w:t xml:space="preserve">в дозе </w:t>
      </w:r>
      <w:r w:rsidR="00474959" w:rsidRPr="00F242DD">
        <w:lastRenderedPageBreak/>
        <w:t>1,3</w:t>
      </w:r>
      <w:r w:rsidR="00B21759" w:rsidRPr="00F242DD">
        <w:t> </w:t>
      </w:r>
      <w:r w:rsidR="00474959" w:rsidRPr="00F242DD">
        <w:t>мг/м</w:t>
      </w:r>
      <w:r w:rsidR="00474959" w:rsidRPr="00F242DD">
        <w:rPr>
          <w:vertAlign w:val="superscript"/>
        </w:rPr>
        <w:t>2</w:t>
      </w:r>
      <w:r w:rsidR="00474959" w:rsidRPr="00F242DD">
        <w:t xml:space="preserve"> каждые 2 нед в течение 2</w:t>
      </w:r>
      <w:r w:rsidR="00B21759" w:rsidRPr="00F242DD">
        <w:t xml:space="preserve"> </w:t>
      </w:r>
      <w:r w:rsidR="00474959" w:rsidRPr="00F242DD">
        <w:t xml:space="preserve">лет или до прогрессии </w:t>
      </w:r>
      <w:r w:rsidR="008434FF" w:rsidRPr="00F242DD">
        <w:t>с целью подавления пролиферации остаточного клона опухолевых клеток и пред</w:t>
      </w:r>
      <w:r w:rsidR="001A0F52" w:rsidRPr="00F242DD">
        <w:t>упреждения рецидива заболевания</w:t>
      </w:r>
      <w:r w:rsidR="003F5F1F" w:rsidRPr="00F242DD">
        <w:t xml:space="preserve"> </w:t>
      </w:r>
      <w:r w:rsidR="00A96FB6" w:rsidRPr="00F242DD">
        <w:fldChar w:fldCharType="begin" w:fldLock="1"/>
      </w:r>
      <w:r w:rsidR="00F74B6B" w:rsidRPr="00F242DD">
        <w:instrText>ADDIN CSL_CITATION {"citationItems":[{"id":"ITEM-1","itemData":{"DOI":"10.1200/JCO.2011.39.6820","ISSN":"0732183X","abstract":"Purpose: We investigated whether bortezomib during induction and maintenance improves survival in newly diagnosed multiple myeloma (MM). Patients and Methods: In all, 827 eligible patients with newly diagnosed symptomatic MM were randomly assigned to receive induction therapy with vincristine, doxorubicin, and dexamethasone (VAD) or bortezomib, doxorubicin, and dexamethasone (PAD) followed by high-dose melphalan and autologous stemcell transplantation. Maintenance consisted of thalidomide 50 mg (VAD) once per day or bortezomib 1.3 mg/m2 (PAD) once every 2 weeks for 2 years. The primary analysis was progression-free survival (PFS) adjusted for International Staging System (ISS) stage. Results: Complete response (CR), including near CR, was superior after PAD induction (15% v 31%; P &lt; .001) and bortezomib maintenance (34% v 49%; P &lt; .001). After a median follow-up of 41 months, PFS was superior in the PAD arm (median of 28 months v 35 months; hazard ratio [HR], 0.75; 95% CI, 0.62 to 0.90; P = .002). In multivariate analysis, overall survival (OS) was better in the PAD arm (HR, 0.77; 95% CI, 0.60 to 1.00; P = .049). In high-risk patients presenting with increased creatinine more than 2 mg/dL, bortezomib significantly improved PFS from a median of 13 months to 30 months (HR, 0.45; 95% CI, 0.26 to 0.78; P = .004) and OS from a median of 21 months to 54 months (HR, 0.33; 95% CI, 0.16 to 0.65; P &lt; .001). A benefit was also observed in patients with deletion 17p13 (median PFS, 12 v 22 months; HR, 0.47;95%CI, 0.26 to 0.86; P = .01; median OS, 24 months v not reached at 54 months; HR, 0.36; 95% CI, 0.18 to 0.74; P = .003). Conclusion: Bortezomib during induction and maintenance improves CR and achieves superior PFS and OS. © 2012 by American Society of Clinical Oncology.","author":[{"dropping-particle":"","family":"Sonneveld","given":"Pieter","non-dropping-particle":"","parse-names":false,"suffix":""},{"dropping-particle":"","family":"Schmidt-Wolf","given":"Ingo G.H.","non-dropping-particle":"","parse-names":false,"suffix":""},{"dropping-particle":"","family":"Holt","given":"Bronno","non-dropping-particle":"Van Der","parse-names":false,"suffix":""},{"dropping-particle":"","family":"Jarari","given":"Laila","non-dropping-particle":"El","parse-names":false,"suffix":""},{"dropping-particle":"","family":"Bertsch","given":"Uta","non-dropping-particle":"","parse-names":false,"suffix":""},{"dropping-particle":"","family":"Salwender","given":"Hans","non-dropping-particle":"","parse-names":false,"suffix":""},{"dropping-particle":"","family":"Zweegman","given":"Sonja","non-dropping-particle":"","parse-names":false,"suffix":""},{"dropping-particle":"","family":"Vellenga","given":"Edo","non-dropping-particle":"","parse-names":false,"suffix":""},{"dropping-particle":"","family":"Broyl","given":"Annemiek","non-dropping-particle":"","parse-names":false,"suffix":""},{"dropping-particle":"","family":"Blau","given":"Igor W.","non-dropping-particle":"","parse-names":false,"suffix":""},{"dropping-particle":"","family":"Weisel","given":"Katja C.","non-dropping-particle":"","parse-names":false,"suffix":""},{"dropping-particle":"","family":"Wittebol","given":"Shulamiet","non-dropping-particle":"","parse-names":false,"suffix":""},{"dropping-particle":"","family":"Bos","given":"Gerard M.J.","non-dropping-particle":"","parse-names":false,"suffix":""},{"dropping-particle":"","family":"Stevens-Kroef","given":"Marian","non-dropping-particle":"","parse-names":false,"suffix":""},{"dropping-particle":"","family":"Scheid","given":"Christof","non-dropping-particle":"","parse-names":false,"suffix":""},{"dropping-particle":"","family":"Pfreundschuh","given":"Michael","non-dropping-particle":"","parse-names":false,"suffix":""},{"dropping-particle":"","family":"Hose","given":"Dirk","non-dropping-particle":"","parse-names":false,"suffix":""},{"dropping-particle":"","family":"Jauch","given":"Anna","non-dropping-particle":"","parse-names":false,"suffix":""},{"dropping-particle":"","family":"Velde","given":"Helgi","non-dropping-particle":"Van Der","parse-names":false,"suffix":""},{"dropping-particle":"","family":"Raymakers","given":"Reinier","non-dropping-particle":"","parse-names":false,"suffix":""},{"dropping-particle":"","family":"Schaafsma","given":"Martijn R.","non-dropping-particle":"","parse-names":false,"suffix":""},{"dropping-particle":"","family":"Kersten","given":"Marie Jose","non-dropping-particle":"","parse-names":false,"suffix":""},{"dropping-particle":"","family":"Marwijk-Kooy","given":"Marinus","non-dropping-particle":"Van","parse-names":false,"suffix":""},{"dropping-particle":"","family":"Duehrsen","given":"Ulrich","non-dropping-particle":"","parse-names":false,"suffix":""},{"dropping-particle":"","family":"Lindemann","given":"Walter","non-dropping-particle":"","parse-names":false,"suffix":""},{"dropping-particle":"","family":"Wijermans","given":"Pierre W.","non-dropping-particle":"","parse-names":false,"suffix":""},{"dropping-particle":"","family":"Lokhorst","given":"Henk M.","non-dropping-particle":"","parse-names":false,"suffix":""},{"dropping-particle":"","family":"Goldschmidt","given":"Hartmut M.","non-dropping-particle":"","parse-names":false,"suffix":""}],"container-title":"Journal of Clinical Oncology","id":"ITEM-1","issue":"24","issued":{"date-parts":[["2012","8","20"]]},"page":"2946-2955","title":"Bortezomib induction and maintenance treatment in patients with newly diagnosed multiple myeloma: Results of the randomized phase III HOVON-65/ GMMG-HD4 trial","type":"article-journal","volume":"30"},"uris":["http://www.mendeley.com/documents/?uuid=ffdfec80-b760-3646-a8e8-857d3764dca6"]}],"mendeley":{"formattedCitation":"[52]","plainTextFormattedCitation":"[52]","previouslyFormattedCitation":"[52]"},"properties":{"noteIndex":0},"schema":"https://github.com/citation-style-language/schema/raw/master/csl-citation.json"}</w:instrText>
      </w:r>
      <w:r w:rsidR="00A96FB6" w:rsidRPr="00F242DD">
        <w:fldChar w:fldCharType="separate"/>
      </w:r>
      <w:r w:rsidR="00705691" w:rsidRPr="00F242DD">
        <w:rPr>
          <w:noProof/>
        </w:rPr>
        <w:t>[52]</w:t>
      </w:r>
      <w:r w:rsidR="00A96FB6" w:rsidRPr="00F242DD">
        <w:fldChar w:fldCharType="end"/>
      </w:r>
      <w:r w:rsidR="001A0F52" w:rsidRPr="00F242DD">
        <w:t>.</w:t>
      </w:r>
    </w:p>
    <w:p w14:paraId="49F6BF23" w14:textId="77777777" w:rsidR="00EE2530" w:rsidRPr="00F242DD" w:rsidRDefault="002473A8" w:rsidP="00131E36">
      <w:pPr>
        <w:pStyle w:val="a6"/>
        <w:spacing w:before="0" w:after="0"/>
        <w:ind w:left="709"/>
        <w:rPr>
          <w:b/>
        </w:rPr>
      </w:pPr>
      <w:r w:rsidRPr="00F242DD">
        <w:rPr>
          <w:b/>
        </w:rPr>
        <w:t xml:space="preserve">Уровень убедительности рекомендаций </w:t>
      </w:r>
      <w:r w:rsidR="00B21759" w:rsidRPr="00F242DD">
        <w:rPr>
          <w:b/>
        </w:rPr>
        <w:t xml:space="preserve">− </w:t>
      </w:r>
      <w:r w:rsidR="001A0F52" w:rsidRPr="00F242DD">
        <w:rPr>
          <w:b/>
        </w:rPr>
        <w:t xml:space="preserve">A </w:t>
      </w:r>
      <w:r w:rsidRPr="00F242DD">
        <w:rPr>
          <w:b/>
        </w:rPr>
        <w:t>(уровень достоверности доказательств</w:t>
      </w:r>
      <w:r w:rsidR="003F5F1F" w:rsidRPr="00F242DD">
        <w:rPr>
          <w:b/>
        </w:rPr>
        <w:t xml:space="preserve"> </w:t>
      </w:r>
      <w:r w:rsidR="00B21759" w:rsidRPr="00F242DD">
        <w:rPr>
          <w:b/>
        </w:rPr>
        <w:t xml:space="preserve">− </w:t>
      </w:r>
      <w:r w:rsidR="001A0F52" w:rsidRPr="00F242DD">
        <w:rPr>
          <w:b/>
        </w:rPr>
        <w:t>2</w:t>
      </w:r>
      <w:r w:rsidRPr="00F242DD">
        <w:rPr>
          <w:b/>
        </w:rPr>
        <w:t>)</w:t>
      </w:r>
    </w:p>
    <w:p w14:paraId="1A0F6BD2" w14:textId="77777777" w:rsidR="00AC3713" w:rsidRPr="00F242DD" w:rsidRDefault="00EE2530" w:rsidP="00131E36">
      <w:pPr>
        <w:spacing w:before="0" w:after="0"/>
        <w:ind w:left="709"/>
        <w:contextualSpacing/>
        <w:rPr>
          <w:i/>
        </w:rPr>
      </w:pPr>
      <w:r w:rsidRPr="00F242DD">
        <w:rPr>
          <w:b/>
        </w:rPr>
        <w:t xml:space="preserve">Комментарий: </w:t>
      </w:r>
      <w:r w:rsidR="003F5F1F" w:rsidRPr="00F242DD">
        <w:rPr>
          <w:i/>
        </w:rPr>
        <w:t xml:space="preserve">согласно </w:t>
      </w:r>
      <w:r w:rsidR="00AC3713" w:rsidRPr="00F242DD">
        <w:rPr>
          <w:i/>
        </w:rPr>
        <w:t>IMWG поддерживающая терапия бортезомибом</w:t>
      </w:r>
      <w:r w:rsidR="00141689" w:rsidRPr="00F242DD">
        <w:rPr>
          <w:i/>
        </w:rPr>
        <w:t>**</w:t>
      </w:r>
      <w:r w:rsidR="00AC3713" w:rsidRPr="00F242DD">
        <w:rPr>
          <w:i/>
        </w:rPr>
        <w:t xml:space="preserve"> целесообразна только в случаях достижения ответа на препарат на этапе индукции, однако длительное применение препарата после ауто</w:t>
      </w:r>
      <w:r w:rsidR="00267DE2" w:rsidRPr="00F242DD">
        <w:rPr>
          <w:i/>
        </w:rPr>
        <w:t>-</w:t>
      </w:r>
      <w:r w:rsidR="00AC3713" w:rsidRPr="00F242DD">
        <w:rPr>
          <w:i/>
        </w:rPr>
        <w:t>ТГСК (в течение 2</w:t>
      </w:r>
      <w:r w:rsidR="00B21759" w:rsidRPr="00F242DD">
        <w:rPr>
          <w:i/>
        </w:rPr>
        <w:t> </w:t>
      </w:r>
      <w:r w:rsidR="00AC3713" w:rsidRPr="00F242DD">
        <w:rPr>
          <w:i/>
        </w:rPr>
        <w:t xml:space="preserve">лет) потребует редукции дозы препарата у </w:t>
      </w:r>
      <w:r w:rsidR="00B21759" w:rsidRPr="00F242DD">
        <w:rPr>
          <w:i/>
        </w:rPr>
        <w:t>1/3</w:t>
      </w:r>
      <w:r w:rsidR="00AC3713" w:rsidRPr="00F242DD">
        <w:rPr>
          <w:i/>
        </w:rPr>
        <w:t xml:space="preserve"> </w:t>
      </w:r>
      <w:r w:rsidR="00FB03BB" w:rsidRPr="00F242DD">
        <w:rPr>
          <w:i/>
        </w:rPr>
        <w:t>пациентов</w:t>
      </w:r>
      <w:r w:rsidR="00AC3713" w:rsidRPr="00F242DD">
        <w:rPr>
          <w:i/>
        </w:rPr>
        <w:t>. Группа HOVON показала, что поддерживающая терапия бортезомибом</w:t>
      </w:r>
      <w:r w:rsidR="00141689" w:rsidRPr="00F242DD">
        <w:rPr>
          <w:i/>
        </w:rPr>
        <w:t>**</w:t>
      </w:r>
      <w:r w:rsidR="00AC3713" w:rsidRPr="00F242DD">
        <w:rPr>
          <w:i/>
        </w:rPr>
        <w:t xml:space="preserve"> после ауто</w:t>
      </w:r>
      <w:r w:rsidR="00267DE2" w:rsidRPr="00F242DD">
        <w:rPr>
          <w:i/>
        </w:rPr>
        <w:t>-</w:t>
      </w:r>
      <w:r w:rsidR="00AC3713" w:rsidRPr="00F242DD">
        <w:rPr>
          <w:i/>
        </w:rPr>
        <w:t>ТГСК эффективна у пациентов с del17p.</w:t>
      </w:r>
    </w:p>
    <w:p w14:paraId="5CA8236A" w14:textId="77777777" w:rsidR="00BB211A" w:rsidRPr="00F242DD" w:rsidRDefault="000C2F12" w:rsidP="00131E36">
      <w:pPr>
        <w:pStyle w:val="a6"/>
        <w:numPr>
          <w:ilvl w:val="0"/>
          <w:numId w:val="5"/>
        </w:numPr>
        <w:spacing w:before="0" w:after="0"/>
        <w:ind w:left="709"/>
      </w:pPr>
      <w:r w:rsidRPr="00F242DD">
        <w:t>Для пациентов ММ в возрасте до 65 лет, а также пациентам 65</w:t>
      </w:r>
      <w:r w:rsidR="00B21759" w:rsidRPr="00F242DD">
        <w:t>−</w:t>
      </w:r>
      <w:r w:rsidRPr="00F242DD">
        <w:t>70 лет с хорошим соматическим статусом без тяжелых сопутствующих заболеваний после выполнения ВДХТ, одной или тандемной ауто</w:t>
      </w:r>
      <w:r w:rsidR="00267DE2" w:rsidRPr="00F242DD">
        <w:t>-</w:t>
      </w:r>
      <w:r w:rsidRPr="00F242DD">
        <w:t xml:space="preserve">ТГСК и консолидирующей терапии (если она проводилась), </w:t>
      </w:r>
      <w:r w:rsidRPr="00F242DD">
        <w:rPr>
          <w:b/>
          <w:bCs/>
        </w:rPr>
        <w:t>рекомендуется</w:t>
      </w:r>
      <w:r w:rsidRPr="00F242DD">
        <w:t xml:space="preserve"> проведение поддерживающей терапии леналидомидом** в дозе 10</w:t>
      </w:r>
      <w:r w:rsidR="003C3A69" w:rsidRPr="00F242DD">
        <w:t>−</w:t>
      </w:r>
      <w:r w:rsidRPr="00F242DD">
        <w:t>15 мг/сут в течение 1</w:t>
      </w:r>
      <w:r w:rsidR="003C3A69" w:rsidRPr="00F242DD">
        <w:t>−</w:t>
      </w:r>
      <w:r w:rsidRPr="00F242DD">
        <w:t>2 лет или до прогрессии с целью подавления пролиферации остаточного клона опухолевых клеток и предупреждения рецидива заболевания</w:t>
      </w:r>
      <w:r w:rsidR="003F5F1F" w:rsidRPr="00F242DD">
        <w:t xml:space="preserve"> </w:t>
      </w:r>
      <w:r w:rsidR="00A96FB6" w:rsidRPr="00F242DD">
        <w:fldChar w:fldCharType="begin" w:fldLock="1"/>
      </w:r>
      <w:r w:rsidR="00F74B6B" w:rsidRPr="00F242DD">
        <w:instrText>ADDIN CSL_CITATION {"citationItems":[{"id":"ITEM-1","itemData":{"DOI":"10.1056/NEJMoa1114083","ISSN":"1533-4406","PMID":"22571201","abstract":"BACKGROUND Data are lacking on whether lenalidomide maintenance therapy prolongs the time to disease progression after autologous hematopoietic stem-cell transplantation in patients with multiple myeloma. METHODS Between April 2005 and July 2009, we randomly assigned 460 patients who were younger than 71 years of age and had stable disease or a marginal, partial, or complete response 100 days after undergoing stem-cell transplantation to lenalidomide or placebo, which was administered until disease progression. The starting dose of lenalidomide was 10 mg per day (range, 5 to 15). RESULTS The study-drug assignments were unblinded in 2009, when a planned interim analysis showed a significantly longer time to disease progression in the lenalidomide group. At unblinding, 20% of patients who received lenalidomide and 44% of patients who received placebo had progressive disease or had died (P&lt;0.001); of the remaining 128 patients who received placebo and who did not have progressive disease, 86 crossed over to lenalidomide. At a median follow-up of 34 months, 86 of 231 patients who received lenalidomide (37%) and 132 of 229 patients who received placebo (58%) had disease progression or had died. The median time to progression was 46 months in the lenalidomide group and 27 months in the placebo group (P&lt;0.001). A total of 35 patients who received lenalidomide (15%) and 53 patients who received placebo (23%) died (P=0.03). More grade 3 or 4 hematologic adverse events and grade 3 nonhematologic adverse events occurred in patients who received lenalidomide (P&lt;0.001 for both comparisons). Second primary cancers occurred in 18 patients who received lenalidomide (8%) and 6 patients who received placebo (3%). CONCLUSIONS Lenalidomide maintenance therapy, initiated at day 100 after hematopoietic stem-cell transplantation, was associated with more toxicity and second cancers but a significantly longer time to disease progression and significantly improved overall survival among patients with myeloma. (Funded by the National Cancer Institute; ClinicalTrials.gov number, NCT00114101.).","author":[{"dropping-particle":"","family":"McCarthy","given":"Philip L","non-dropping-particle":"","parse-names":false,"suffix":""},{"dropping-particle":"","family":"Owzar","given":"Kouros","non-dropping-particle":"","parse-names":false,"suffix":""},{"dropping-particle":"","family":"Hofmeister","given":"Craig C","non-dropping-particle":"","parse-names":false,"suffix":""},{"dropping-particle":"","family":"Hurd","given":"David D","non-dropping-particle":"","parse-names":false,"suffix":""},{"dropping-particle":"","family":"Hassoun","given":"Hani","non-dropping-particle":"","parse-names":false,"suffix":""},{"dropping-particle":"","family":"Richardson","given":"Paul G","non-dropping-particle":"","parse-names":false,"suffix":""},{"dropping-particle":"","family":"Giralt","given":"Sergio","non-dropping-particle":"","parse-names":false,"suffix":""},{"dropping-particle":"","family":"Stadtmauer","given":"Edward A","non-dropping-particle":"","parse-names":false,"suffix":""},{"dropping-particle":"","family":"Weisdorf","given":"Daniel J","non-dropping-particle":"","parse-names":false,"suffix":""},{"dropping-particle":"","family":"Vij","given":"Ravi","non-dropping-particle":"","parse-names":false,"suffix":""},{"dropping-particle":"","family":"Moreb","given":"Jan S","non-dropping-particle":"","parse-names":false,"suffix":""},{"dropping-particle":"","family":"Callander","given":"Natalie Scott","non-dropping-particle":"","parse-names":false,"suffix":""},{"dropping-particle":"","family":"Besien","given":"Koen","non-dropping-particle":"Van","parse-names":false,"suffix":""},{"dropping-particle":"","family":"Gentile","given":"Teresa","non-dropping-particle":"","parse-names":false,"suffix":""},{"dropping-particle":"","family":"Isola","given":"Luis","non-dropping-particle":"","parse-names":false,"suffix":""},{"dropping-particle":"","family":"Maziarz","given":"Richard T","non-dropping-particle":"","parse-names":false,"suffix":""},{"dropping-particle":"","family":"Gabriel","given":"Don A","non-dropping-particle":"","parse-names":false,"suffix":""},{"dropping-particle":"","family":"Bashey","given":"Asad","non-dropping-particle":"","parse-names":false,"suffix":""},{"dropping-particle":"","family":"Landau","given":"Heather","non-dropping-particle":"","parse-names":false,"suffix":""},{"dropping-particle":"","family":"Martin","given":"Thomas","non-dropping-particle":"","parse-names":false,"suffix":""},{"dropping-particle":"","family":"Qazilbash","given":"Muzaffar H","non-dropping-particle":"","parse-names":false,"suffix":""},{"dropping-particle":"","family":"Levitan","given":"Denise","non-dropping-particle":"","parse-names":false,"suffix":""},{"dropping-particle":"","family":"McClune","given":"Brian","non-dropping-particle":"","parse-names":false,"suffix":""},{"dropping-particle":"","family":"Schlossman","given":"Robert","non-dropping-particle":"","parse-names":false,"suffix":""},{"dropping-particle":"","family":"Hars","given":"Vera","non-dropping-particle":"","parse-names":false,"suffix":""},{"dropping-particle":"","family":"Postiglione","given":"John","non-dropping-particle":"","parse-names":false,"suffix":""},{"dropping-particle":"","family":"Jiang","given":"Chen","non-dropping-particle":"","parse-names":false,"suffix":""},{"dropping-particle":"","family":"Bennett","given":"Elizabeth","non-dropping-particle":"","parse-names":false,"suffix":""},{"dropping-particle":"","family":"Barry","given":"Susan","non-dropping-particle":"","parse-names":false,"suffix":""},{"dropping-particle":"","family":"Bressler","given":"Linda","non-dropping-particle":"","parse-names":false,"suffix":""},{"dropping-particle":"","family":"Kelly","given":"Michael","non-dropping-particle":"","parse-names":false,"suffix":""},{"dropping-particle":"","family":"Seiler","given":"Michele","non-dropping-particle":"","parse-names":false,"suffix":""},{"dropping-particle":"","family":"Rosenbaum","given":"Cara","non-dropping-particle":"","parse-names":false,"suffix":""},{"dropping-particle":"","family":"Hari","given":"Parameswaran","non-dropping-particle":"","parse-names":false,"suffix":""},{"dropping-particle":"","family":"Pasquini","given":"Marcelo C","non-dropping-particle":"","parse-names":false,"suffix":""},{"dropping-particle":"","family":"Horowitz","given":"Mary M","non-dropping-particle":"","parse-names":false,"suffix":""},{"dropping-particle":"","family":"Shea","given":"Thomas C","non-dropping-particle":"","parse-names":false,"suffix":""},{"dropping-particle":"","family":"Devine","given":"Steven M","non-dropping-particle":"","parse-names":false,"suffix":""},{"dropping-particle":"","family":"Anderson","given":"Kenneth C","non-dropping-particle":"","parse-names":false,"suffix":""},{"dropping-particle":"","family":"Linker","given":"Charles","non-dropping-particle":"","parse-names":false,"suffix":""}],"container-title":"The New England journal of medicine","id":"ITEM-1","issue":"19","issued":{"date-parts":[["2012","5","10"]]},"page":"1770-81","title":"Lenalidomide after stem-cell transplantation for multiple myeloma.","type":"article-journal","volume":"366"},"uris":["http://www.mendeley.com/documents/?uuid=fead0d63-46b5-37bc-8c9c-4e4c7accc627"]},{"id":"ITEM-2","itemData":{"DOI":"10.1056/NEJMoa1114138","ISSN":"1533-4406","PMID":"22571202","abstract":"BACKGROUND High-dose chemotherapy with autologous stem-cell transplantation is a standard treatment for young patients with multiple myeloma. Residual disease is almost always present after transplantation and is responsible for relapse. This phase 3, placebo-controlled trial investigated the efficacy of lenalidomide maintenance therapy after transplantation. METHODS We randomly assigned 614 patients younger than 65 years of age who had nonprogressive disease after first-line transplantation to maintenance treatment with either lenalidomide (10 mg per day for the first 3 months, increased to 15 mg if tolerated) or placebo until relapse. The primary end point was progression-free survival. RESULTS Lenalidomide maintenance therapy improved median progression-free survival (41 months, vs. 23 months with placebo; hazard ratio, 0.50; P&lt;0.001). This benefit was observed across all patient subgroups, including those based on the β(2)-microglobulin level, cytogenetic profile, and response after transplantation. With a median follow-up period of 45 months, more than 70% of patients in both groups were alive at 4 years. The rates of grade 3 or 4 peripheral neuropathy were similar in the two groups. The incidence of second primary cancers was 3.1 per 100 patient-years in the lenalidomide group versus 1.2 per 100 patient-years in the placebo group (P=0.002). Median event-free survival (with events that included second primary cancers) was significantly improved with lenalidomide (40 months, vs. 23 months with placebo; P&lt;0.001). CONCLUSIONS Lenalidomide maintenance after transplantation significantly prolonged progression-free and event-free survival among patients with multiple myeloma. Four years after randomization, overall survival was similar in the two study groups. (Funded by the Programme Hospitalier de Recherche Clinique and others; ClinicalTrials.gov number, NCT00430365.).","author":[{"dropping-particle":"","family":"Attal","given":"Michel","non-dropping-particle":"","parse-names":false,"suffix":""},{"dropping-particle":"","family":"Lauwers-Cances","given":"Valerie","non-dropping-particle":"","parse-names":false,"suffix":""},{"dropping-particle":"","family":"Marit","given":"Gerald","non-dropping-particle":"","parse-names":false,"suffix":""},{"dropping-particle":"","family":"Caillot","given":"Denis","non-dropping-particle":"","parse-names":false,"suffix":""},{"dropping-particle":"","family":"Moreau","given":"Philippe","non-dropping-particle":"","parse-names":false,"suffix":""},{"dropping-particle":"","family":"Facon","given":"Thierry","non-dropping-particle":"","parse-names":false,"suffix":""},{"dropping-particle":"","family":"Stoppa","given":"Anne Marie","non-dropping-particle":"","parse-names":false,"suffix":""},{"dropping-particle":"","family":"Hulin","given":"Cyrille","non-dropping-particle":"","parse-names":false,"suffix":""},{"dropping-particle":"","family":"Benboubker","given":"Lofti","non-dropping-particle":"","parse-names":false,"suffix":""},{"dropping-particle":"","family":"Garderet","given":"Laurent","non-dropping-particle":"","parse-names":false,"suffix":""},{"dropping-particle":"","family":"Decaux","given":"Olivier","non-dropping-particle":"","parse-names":false,"suffix":""},{"dropping-particle":"","family":"Leyvraz","given":"Serge","non-dropping-particle":"","parse-names":false,"suffix":""},{"dropping-particle":"","family":"Vekemans","given":"Marie-Christiane","non-dropping-particle":"","parse-names":false,"suffix":""},{"dropping-particle":"","family":"Voillat","given":"Laurent","non-dropping-particle":"","parse-names":false,"suffix":""},{"dropping-particle":"","family":"Michallet","given":"Mauricette","non-dropping-particle":"","parse-names":false,"suffix":""},{"dropping-particle":"","family":"Pegourie","given":"Brigitte","non-dropping-particle":"","parse-names":false,"suffix":""},{"dropping-particle":"","family":"Dumontet","given":"Charles","non-dropping-particle":"","parse-names":false,"suffix":""},{"dropping-particle":"","family":"Roussel","given":"Murielle","non-dropping-particle":"","parse-names":false,"suffix":""},{"dropping-particle":"","family":"Leleu","given":"Xavier","non-dropping-particle":"","parse-names":false,"suffix":""},{"dropping-particle":"","family":"Mathiot","given":"Claire","non-dropping-particle":"","parse-names":false,"suffix":""},{"dropping-particle":"","family":"Payen","given":"Catherine","non-dropping-particle":"","parse-names":false,"suffix":""},{"dropping-particle":"","family":"Avet-Loiseau","given":"Hervé","non-dropping-particle":"","parse-names":false,"suffix":""},{"dropping-particle":"","family":"Harousseau","given":"Jean-Luc","non-dropping-particle":"","parse-names":false,"suffix":""},{"dropping-particle":"","family":"IFM Investigators","given":"","non-dropping-particle":"","parse-names":false,"suffix":""}],"container-title":"The New England journal of medicine","id":"ITEM-2","issue":"19","issued":{"date-parts":[["2012","5","10"]]},"page":"1782-91","title":"Lenalidomide maintenance after stem-cell transplantation for multiple myeloma.","type":"article-journal","volume":"366"},"uris":["http://www.mendeley.com/documents/?uuid=6be4d464-cfba-39bf-8c28-bf32bf63774c"]},{"id":"ITEM-3","itemData":{"DOI":"10.1056/NEJMoa1402888","ISSN":"1533-4406","PMID":"25184862","abstract":"BACKGROUND This open-label, randomized, phase 3 study compared melphalan at a dose of 200 mg per square meter of body-surface area plus autologous stem-cell transplantation with melphalan-prednisone-lenalidomide (MPR) and compared lenalidomide maintenance therapy with no maintenance therapy in patients with newly diagnosed multiple myeloma. METHODS We randomly assigned 273 patients 65 years of age or younger to high-dose melphalan plus stem-cell transplantation or MPR consolidation therapy after induction, and 251 patients to lenalidomide maintenance therapy or no maintenance therapy. The primary end point was progression-free survival. RESULTS The median follow-up period was 51.2 months. Both progression-free and overall survival were significantly longer with high-dose melphalan plus stem-cell transplantation than with MPR (median progression-free survival, 43.0 months vs. 22.4 months; hazard ratio for progression or death, 0.44; 95% confidence interval [CI], 0.32 to 0.61; P&lt;0.001; and 4-year overall survival, 81.6% vs. 65.3%; hazard ratio for death, 0.55; 95% CI, 0.32 to 0.93; P=0.02). Median progression-free survival was significantly longer with lenalidomide maintenance than with no maintenance (41.9 months vs. 21.6 months; hazard ratio for progression or death, 0.47; 95% CI, 0.33 to 0.65; P&lt;0.001), but 3-year overall survival was not significantly prolonged (88.0% vs. 79.2%; hazard ratio for death, 0.64; 95% CI, 0.36 to 1.15; P=0.14). Grade 3 or 4 neutropenia was significantly more frequent with high-dose melphalan than with MPR (94.3% vs. 51.5%), as were gastrointestinal adverse events (18.4% vs. 0%) and infections (16.3% vs. 0.8%); neutropenia and dermatologic toxic effects were more frequent with lenalidomide maintenance than with no maintenance (23.3% vs. 0% and 4.3% vs. 0%, respectively). CONCLUSIONS Consolidation therapy with high-dose melphalan plus stem-cell transplantation, as compared with MPR, significantly prolonged progression-free and overall survival among patients with multiple myeloma who were 65 years of age or younger. Lenalidomide maintenance, as compared with no maintenance, significantly prolonged progression-free survival. (Funded by Celgene; ClinicalTrials.gov number, NCT00551928.).","author":[{"dropping-particle":"","family":"Palumbo","given":"Antonio","non-dropping-particle":"","parse-names":false,"suffix":""},{"dropping-particle":"","family":"Cavallo","given":"Federica","non-dropping-particle":"","parse-names":false,"suffix":""},{"dropping-particle":"","family":"Gay","given":"Francesca","non-dropping-particle":"","parse-names":false,"suffix":""},{"dropping-particle":"","family":"Raimondo","given":"Francesco","non-dropping-particle":"Di","parse-names":false,"suffix":""},{"dropping-particle":"","family":"Yehuda","given":"Dina","non-dropping-particle":"Ben","parse-names":false,"suffix":""},{"dropping-particle":"","family":"Petrucci","given":"Maria Teresa","non-dropping-particle":"","parse-names":false,"suffix":""},{"dropping-particle":"","family":"Pezzatti","given":"Sara","non-dropping-particle":"","parse-names":false,"suffix":""},{"dropping-particle":"","family":"Caravita","given":"Tommaso","non-dropping-particle":"","parse-names":false,"suffix":""},{"dropping-particle":"","family":"Cerrato","given":"Chiara","non-dropping-particle":"","parse-names":false,"suffix":""},{"dropping-particle":"","family":"Ribakovsky","given":"Elena","non-dropping-particle":"","parse-names":false,"suffix":""},{"dropping-particle":"","family":"Genuardi","given":"Mariella","non-dropping-particle":"","parse-names":false,"suffix":""},{"dropping-particle":"","family":"Cafro","given":"Anna","non-dropping-particle":"","parse-names":false,"suffix":""},{"dropping-particle":"","family":"Marcatti","given":"Magda","non-dropping-particle":"","parse-names":false,"suffix":""},{"dropping-particle":"","family":"Catalano","given":"Lucio","non-dropping-particle":"","parse-names":false,"suffix":""},{"dropping-particle":"","family":"Offidani","given":"Massimo","non-dropping-particle":"","parse-names":false,"suffix":""},{"dropping-particle":"","family":"Carella","given":"Angelo Michele","non-dropping-particle":"","parse-names":false,"suffix":""},{"dropping-particle":"","family":"Zamagni","given":"Elena","non-dropping-particle":"","parse-names":false,"suffix":""},{"dropping-particle":"","family":"Patriarca","given":"Francesca","non-dropping-particle":"","parse-names":false,"suffix":""},{"dropping-particle":"","family":"Musto","given":"Pellegrino","non-dropping-particle":"","parse-names":false,"suffix":""},{"dropping-particle":"","family":"Evangelista","given":"Andrea","non-dropping-particle":"","parse-names":false,"suffix":""},{"dropping-particle":"","family":"Ciccone","given":"Giovannino","non-dropping-particle":"","parse-names":false,"suffix":""},{"dropping-particle":"","family":"Omedé","given":"Paola","non-dropping-particle":"","parse-names":false,"suffix":""},{"dropping-particle":"","family":"Crippa","given":"Claudia","non-dropping-particle":"","parse-names":false,"suffix":""},{"dropping-particle":"","family":"Corradini","given":"Paolo","non-dropping-particle":"","parse-names":false,"suffix":""},{"dropping-particle":"","family":"Nagler","given":"Arnon","non-dropping-particle":"","parse-names":false,"suffix":""},{"dropping-particle":"","family":"Boccadoro","given":"Mario","non-dropping-particle":"","parse-names":false,"suffix":""},{"dropping-particle":"","family":"Cavo","given":"Michele","non-dropping-particle":"","parse-names":false,"suffix":""}],"container-title":"The New England journal of medicine","id":"ITEM-3","issue":"10","issued":{"date-parts":[["2014","9","4"]]},"page":"895-905","title":"Autologous transplantation and maintenance therapy in multiple myeloma.","type":"article-journal","volume":"371"},"uris":["http://www.mendeley.com/documents/?uuid=e38e0242-874a-3bde-82eb-18ad616fe08e"]}],"mendeley":{"formattedCitation":"[53–55]","plainTextFormattedCitation":"[53–55]","previouslyFormattedCitation":"[53–55]"},"properties":{"noteIndex":0},"schema":"https://github.com/citation-style-language/schema/raw/master/csl-citation.json"}</w:instrText>
      </w:r>
      <w:r w:rsidR="00A96FB6" w:rsidRPr="00F242DD">
        <w:fldChar w:fldCharType="separate"/>
      </w:r>
      <w:r w:rsidR="00705691" w:rsidRPr="00F242DD">
        <w:rPr>
          <w:noProof/>
        </w:rPr>
        <w:t>[53–55]</w:t>
      </w:r>
      <w:r w:rsidR="00A96FB6" w:rsidRPr="00F242DD">
        <w:fldChar w:fldCharType="end"/>
      </w:r>
      <w:r w:rsidRPr="00F242DD">
        <w:t>.</w:t>
      </w:r>
    </w:p>
    <w:p w14:paraId="39638854" w14:textId="77777777" w:rsidR="008434FF" w:rsidRPr="00F242DD" w:rsidRDefault="008434FF" w:rsidP="00131E36">
      <w:pPr>
        <w:pStyle w:val="a6"/>
        <w:spacing w:before="0" w:after="0"/>
        <w:ind w:left="709"/>
        <w:rPr>
          <w:b/>
        </w:rPr>
      </w:pPr>
      <w:r w:rsidRPr="00F242DD">
        <w:rPr>
          <w:b/>
        </w:rPr>
        <w:t xml:space="preserve">Уровень убедительности рекомендаций </w:t>
      </w:r>
      <w:r w:rsidR="003C3A69" w:rsidRPr="00F242DD">
        <w:rPr>
          <w:b/>
        </w:rPr>
        <w:t xml:space="preserve">− </w:t>
      </w:r>
      <w:r w:rsidR="001A0F52" w:rsidRPr="00F242DD">
        <w:rPr>
          <w:b/>
          <w:lang w:val="en-US"/>
        </w:rPr>
        <w:t>A</w:t>
      </w:r>
      <w:r w:rsidR="00BA44DC" w:rsidRPr="00F242DD">
        <w:rPr>
          <w:b/>
        </w:rPr>
        <w:t xml:space="preserve"> </w:t>
      </w:r>
      <w:r w:rsidRPr="00F242DD">
        <w:rPr>
          <w:b/>
        </w:rPr>
        <w:t>(уровень достоверности доказательств</w:t>
      </w:r>
      <w:r w:rsidR="003F5F1F" w:rsidRPr="00F242DD">
        <w:rPr>
          <w:b/>
        </w:rPr>
        <w:t xml:space="preserve"> </w:t>
      </w:r>
      <w:r w:rsidR="003C3A69" w:rsidRPr="00F242DD">
        <w:rPr>
          <w:b/>
        </w:rPr>
        <w:t xml:space="preserve">− </w:t>
      </w:r>
      <w:r w:rsidR="006E390F" w:rsidRPr="00F242DD">
        <w:rPr>
          <w:b/>
        </w:rPr>
        <w:t>2</w:t>
      </w:r>
      <w:r w:rsidRPr="00F242DD">
        <w:rPr>
          <w:b/>
        </w:rPr>
        <w:t>)</w:t>
      </w:r>
    </w:p>
    <w:p w14:paraId="3A71CACB" w14:textId="77777777" w:rsidR="008434FF" w:rsidRPr="00F242DD" w:rsidRDefault="008434FF" w:rsidP="00131E36">
      <w:pPr>
        <w:spacing w:before="0" w:after="0"/>
        <w:ind w:left="709"/>
        <w:contextualSpacing/>
        <w:rPr>
          <w:i/>
        </w:rPr>
      </w:pPr>
      <w:r w:rsidRPr="00F242DD">
        <w:rPr>
          <w:b/>
        </w:rPr>
        <w:t>Комментарий:</w:t>
      </w:r>
      <w:r w:rsidR="00BA44DC" w:rsidRPr="00F242DD">
        <w:rPr>
          <w:b/>
        </w:rPr>
        <w:t xml:space="preserve"> </w:t>
      </w:r>
      <w:r w:rsidR="003C3A69" w:rsidRPr="00F242DD">
        <w:rPr>
          <w:i/>
        </w:rPr>
        <w:t>р</w:t>
      </w:r>
      <w:r w:rsidRPr="00F242DD">
        <w:rPr>
          <w:i/>
        </w:rPr>
        <w:t>оль поддерживающей терапии леналидомидом</w:t>
      </w:r>
      <w:r w:rsidR="00141689" w:rsidRPr="00F242DD">
        <w:rPr>
          <w:i/>
        </w:rPr>
        <w:t>**</w:t>
      </w:r>
      <w:r w:rsidRPr="00F242DD">
        <w:rPr>
          <w:i/>
        </w:rPr>
        <w:t xml:space="preserve"> после ауто</w:t>
      </w:r>
      <w:r w:rsidR="00267DE2" w:rsidRPr="00F242DD">
        <w:rPr>
          <w:i/>
        </w:rPr>
        <w:t>-</w:t>
      </w:r>
      <w:r w:rsidRPr="00F242DD">
        <w:rPr>
          <w:i/>
        </w:rPr>
        <w:t>ТГСК оценена в 3 кр</w:t>
      </w:r>
      <w:r w:rsidR="003C3A69" w:rsidRPr="00F242DD">
        <w:rPr>
          <w:i/>
        </w:rPr>
        <w:t>упных рандомизированных плацебо</w:t>
      </w:r>
      <w:r w:rsidRPr="00F242DD">
        <w:rPr>
          <w:i/>
        </w:rPr>
        <w:t>контролируемых исследованиях. Во всех исследованиях медиана длительности поддерживающей терапии леналидомидом</w:t>
      </w:r>
      <w:r w:rsidR="00FF0C02" w:rsidRPr="00F242DD">
        <w:rPr>
          <w:i/>
        </w:rPr>
        <w:t>**</w:t>
      </w:r>
      <w:r w:rsidRPr="00F242DD">
        <w:rPr>
          <w:i/>
        </w:rPr>
        <w:t xml:space="preserve"> составила 1</w:t>
      </w:r>
      <w:r w:rsidR="003C3A69" w:rsidRPr="00F242DD">
        <w:rPr>
          <w:i/>
        </w:rPr>
        <w:t>−</w:t>
      </w:r>
      <w:r w:rsidRPr="00F242DD">
        <w:rPr>
          <w:i/>
        </w:rPr>
        <w:t xml:space="preserve">2 года. </w:t>
      </w:r>
    </w:p>
    <w:p w14:paraId="3A7DA424" w14:textId="77777777" w:rsidR="008434FF" w:rsidRPr="00F242DD" w:rsidRDefault="008434FF" w:rsidP="00131E36">
      <w:pPr>
        <w:spacing w:before="0" w:after="0"/>
        <w:ind w:left="709"/>
        <w:contextualSpacing/>
        <w:rPr>
          <w:i/>
        </w:rPr>
      </w:pPr>
      <w:r w:rsidRPr="00F242DD">
        <w:rPr>
          <w:i/>
        </w:rPr>
        <w:t>При оценке эффективности поддерживающей терапии леналидомидом</w:t>
      </w:r>
      <w:r w:rsidR="001A0F52" w:rsidRPr="00F242DD">
        <w:rPr>
          <w:i/>
        </w:rPr>
        <w:t>**</w:t>
      </w:r>
      <w:r w:rsidRPr="00F242DD">
        <w:rPr>
          <w:i/>
        </w:rPr>
        <w:t xml:space="preserve"> по сравнению с плацебо был</w:t>
      </w:r>
      <w:r w:rsidR="003C3A69" w:rsidRPr="00F242DD">
        <w:rPr>
          <w:i/>
        </w:rPr>
        <w:t>и</w:t>
      </w:r>
      <w:r w:rsidRPr="00F242DD">
        <w:rPr>
          <w:i/>
        </w:rPr>
        <w:t xml:space="preserve"> показан</w:t>
      </w:r>
      <w:r w:rsidR="003C3A69" w:rsidRPr="00F242DD">
        <w:rPr>
          <w:i/>
        </w:rPr>
        <w:t>ы</w:t>
      </w:r>
      <w:r w:rsidRPr="00F242DD">
        <w:rPr>
          <w:i/>
        </w:rPr>
        <w:t xml:space="preserve"> удвоение ВБП, снижение риска прогрессирования заболевания на 50</w:t>
      </w:r>
      <w:r w:rsidR="003C3A69" w:rsidRPr="00F242DD">
        <w:rPr>
          <w:i/>
        </w:rPr>
        <w:t> </w:t>
      </w:r>
      <w:r w:rsidRPr="00F242DD">
        <w:rPr>
          <w:i/>
        </w:rPr>
        <w:t>%, а исследование CALGB 100104 подтвердило улучшение показателей ОВ. Поддерживающая терапия леналидомидом</w:t>
      </w:r>
      <w:r w:rsidR="001A0F52" w:rsidRPr="00F242DD">
        <w:rPr>
          <w:i/>
        </w:rPr>
        <w:t>**</w:t>
      </w:r>
      <w:r w:rsidRPr="00F242DD">
        <w:rPr>
          <w:i/>
        </w:rPr>
        <w:t xml:space="preserve"> сопровождается удовлетворительной переносимостью с умеренной гематологической токсичностью без увеличения случаев нейротоксических, тромботических и инфекционных осложнений. Однако вероятность возникновения вторых опухолей на фоне длительного приема леналидомида</w:t>
      </w:r>
      <w:r w:rsidR="001A0F52" w:rsidRPr="00F242DD">
        <w:rPr>
          <w:i/>
        </w:rPr>
        <w:t>**</w:t>
      </w:r>
      <w:r w:rsidRPr="00F242DD">
        <w:rPr>
          <w:i/>
        </w:rPr>
        <w:t xml:space="preserve"> заставляет врачей и пациентов взвешивать достоинства поддерживающей терапии леналидомидом</w:t>
      </w:r>
      <w:r w:rsidR="001A0F52" w:rsidRPr="00F242DD">
        <w:rPr>
          <w:i/>
        </w:rPr>
        <w:t>**</w:t>
      </w:r>
      <w:r w:rsidRPr="00F242DD">
        <w:rPr>
          <w:i/>
        </w:rPr>
        <w:t xml:space="preserve"> по отношению к низкому, но все же имеющему </w:t>
      </w:r>
      <w:r w:rsidRPr="00F242DD">
        <w:rPr>
          <w:i/>
        </w:rPr>
        <w:lastRenderedPageBreak/>
        <w:t>значени</w:t>
      </w:r>
      <w:r w:rsidR="00455BDD" w:rsidRPr="00F242DD">
        <w:rPr>
          <w:i/>
        </w:rPr>
        <w:t>е риску вторых опухолей. В мета</w:t>
      </w:r>
      <w:r w:rsidRPr="00F242DD">
        <w:rPr>
          <w:i/>
        </w:rPr>
        <w:t>анализе всех рандомизированных исследований, сравнивающих леналидомид</w:t>
      </w:r>
      <w:r w:rsidR="002635F5" w:rsidRPr="00F242DD">
        <w:rPr>
          <w:i/>
        </w:rPr>
        <w:t>**</w:t>
      </w:r>
      <w:r w:rsidRPr="00F242DD">
        <w:rPr>
          <w:i/>
        </w:rPr>
        <w:t xml:space="preserve"> с плацебо, который был представлен на конгрессе ASCO 2016, </w:t>
      </w:r>
      <w:r w:rsidR="00455BDD" w:rsidRPr="00F242DD">
        <w:rPr>
          <w:i/>
        </w:rPr>
        <w:t xml:space="preserve">M. </w:t>
      </w:r>
      <w:r w:rsidRPr="00F242DD">
        <w:rPr>
          <w:i/>
        </w:rPr>
        <w:t xml:space="preserve">Attal и </w:t>
      </w:r>
      <w:r w:rsidR="00455BDD" w:rsidRPr="00F242DD">
        <w:rPr>
          <w:i/>
        </w:rPr>
        <w:t>соавт.</w:t>
      </w:r>
      <w:r w:rsidRPr="00F242DD">
        <w:rPr>
          <w:i/>
        </w:rPr>
        <w:t xml:space="preserve"> показали, что использование поддерживающей терапии леналидомидом</w:t>
      </w:r>
      <w:r w:rsidR="001A0F52" w:rsidRPr="00F242DD">
        <w:rPr>
          <w:i/>
        </w:rPr>
        <w:t>**</w:t>
      </w:r>
      <w:r w:rsidRPr="00F242DD">
        <w:rPr>
          <w:i/>
        </w:rPr>
        <w:t xml:space="preserve"> после ауто</w:t>
      </w:r>
      <w:r w:rsidR="00267DE2" w:rsidRPr="00F242DD">
        <w:rPr>
          <w:i/>
        </w:rPr>
        <w:t>-</w:t>
      </w:r>
      <w:r w:rsidRPr="00F242DD">
        <w:rPr>
          <w:i/>
        </w:rPr>
        <w:t>ТГСК имело 2,5-летнее преимущество над плацебо, и это преимущество превышало риск развития вторых опухолей.</w:t>
      </w:r>
    </w:p>
    <w:p w14:paraId="010EBD1E" w14:textId="77777777" w:rsidR="008434FF" w:rsidRPr="00F242DD" w:rsidRDefault="008434FF" w:rsidP="00131E36">
      <w:pPr>
        <w:spacing w:before="0" w:after="0"/>
        <w:ind w:left="709"/>
        <w:contextualSpacing/>
        <w:rPr>
          <w:i/>
        </w:rPr>
      </w:pPr>
      <w:r w:rsidRPr="00F242DD">
        <w:rPr>
          <w:i/>
        </w:rPr>
        <w:t>После ауто</w:t>
      </w:r>
      <w:r w:rsidR="00267DE2" w:rsidRPr="00F242DD">
        <w:rPr>
          <w:i/>
        </w:rPr>
        <w:t>-</w:t>
      </w:r>
      <w:r w:rsidRPr="00F242DD">
        <w:rPr>
          <w:i/>
        </w:rPr>
        <w:t>ТГСК поддерживающую терапию рекомендуется назначать через 90</w:t>
      </w:r>
      <w:r w:rsidR="00455BDD" w:rsidRPr="00F242DD">
        <w:rPr>
          <w:i/>
        </w:rPr>
        <w:t>−</w:t>
      </w:r>
      <w:r w:rsidRPr="00F242DD">
        <w:rPr>
          <w:i/>
        </w:rPr>
        <w:t xml:space="preserve">100 дней после переливания стволовых клеток. Предварительно </w:t>
      </w:r>
      <w:r w:rsidR="006E7B15" w:rsidRPr="00F242DD">
        <w:rPr>
          <w:i/>
        </w:rPr>
        <w:t>проводится обследование пациента</w:t>
      </w:r>
      <w:r w:rsidRPr="00F242DD">
        <w:rPr>
          <w:i/>
        </w:rPr>
        <w:t xml:space="preserve"> для подтверждения сохраняющегося противоопухолевого ответа и отсутствия прогрессирования заболевания.</w:t>
      </w:r>
    </w:p>
    <w:p w14:paraId="2D79D8AE" w14:textId="77777777" w:rsidR="008434FF" w:rsidRPr="00F242DD" w:rsidRDefault="008434FF" w:rsidP="00131E36">
      <w:pPr>
        <w:spacing w:before="0" w:after="0"/>
        <w:ind w:left="709"/>
        <w:contextualSpacing/>
        <w:rPr>
          <w:i/>
        </w:rPr>
      </w:pPr>
      <w:r w:rsidRPr="00F242DD">
        <w:rPr>
          <w:i/>
        </w:rPr>
        <w:t xml:space="preserve">В центрах, где есть возможность проводить иммунофенотипирование или секвенирование нового поколения клеток костного мозга, целесообразно выполнять мониторинг МОБ у </w:t>
      </w:r>
      <w:r w:rsidR="00FB03BB" w:rsidRPr="00F242DD">
        <w:rPr>
          <w:i/>
        </w:rPr>
        <w:t>пациентов</w:t>
      </w:r>
      <w:r w:rsidRPr="00F242DD">
        <w:rPr>
          <w:i/>
        </w:rPr>
        <w:t xml:space="preserve">, достигших </w:t>
      </w:r>
      <w:r w:rsidR="00593735" w:rsidRPr="00F242DD">
        <w:rPr>
          <w:i/>
        </w:rPr>
        <w:t>ПР</w:t>
      </w:r>
      <w:r w:rsidRPr="00F242DD">
        <w:rPr>
          <w:i/>
        </w:rPr>
        <w:t>. Возможно, именно результаты МОБ повлияют на тактику посттрансплантационной терапии.</w:t>
      </w:r>
    </w:p>
    <w:p w14:paraId="367A4834" w14:textId="77777777" w:rsidR="001E61D5" w:rsidRPr="00F242DD" w:rsidRDefault="001E61D5" w:rsidP="00E36DFA">
      <w:pPr>
        <w:pStyle w:val="2"/>
      </w:pPr>
      <w:bookmarkStart w:id="31" w:name="_Toc53140902"/>
      <w:r w:rsidRPr="00F242DD">
        <w:t>3.4 Лечение рецидивов ММ</w:t>
      </w:r>
      <w:bookmarkEnd w:id="31"/>
    </w:p>
    <w:p w14:paraId="0C30D2B1" w14:textId="77777777" w:rsidR="001E61D5" w:rsidRPr="00F242DD" w:rsidRDefault="001E61D5" w:rsidP="00131E36">
      <w:pPr>
        <w:spacing w:before="0" w:after="0"/>
        <w:ind w:left="709"/>
        <w:contextualSpacing/>
      </w:pPr>
      <w:r w:rsidRPr="00F242DD">
        <w:rPr>
          <w:i/>
        </w:rPr>
        <w:t>Ре</w:t>
      </w:r>
      <w:r w:rsidR="00FF0C02" w:rsidRPr="00F242DD">
        <w:rPr>
          <w:i/>
        </w:rPr>
        <w:t>цидивы при ММ</w:t>
      </w:r>
      <w:r w:rsidRPr="00F242DD">
        <w:rPr>
          <w:i/>
        </w:rPr>
        <w:t xml:space="preserve"> неизбежно наступают у большинства </w:t>
      </w:r>
      <w:r w:rsidR="00FB03BB" w:rsidRPr="00F242DD">
        <w:rPr>
          <w:i/>
        </w:rPr>
        <w:t>пациентов</w:t>
      </w:r>
      <w:r w:rsidRPr="00F242DD">
        <w:rPr>
          <w:i/>
        </w:rPr>
        <w:t xml:space="preserve">. Выбор программы лечения рецидивов зависит от эффективности предшествующей терапии, длительности ремиссии, состояния и возраста пациента, сопутствующей патологии и осложнений, сопровождавших первоначальную терапию. </w:t>
      </w:r>
      <w:r w:rsidR="006F2E42" w:rsidRPr="00F242DD">
        <w:rPr>
          <w:i/>
        </w:rPr>
        <w:t xml:space="preserve">При поздних рецидивах (спустя </w:t>
      </w:r>
      <w:r w:rsidRPr="00F242DD">
        <w:rPr>
          <w:i/>
        </w:rPr>
        <w:t>12 мес</w:t>
      </w:r>
      <w:r w:rsidR="00E778E9" w:rsidRPr="00F242DD">
        <w:rPr>
          <w:i/>
        </w:rPr>
        <w:t>.</w:t>
      </w:r>
      <w:r w:rsidRPr="00F242DD">
        <w:rPr>
          <w:i/>
        </w:rPr>
        <w:t xml:space="preserve"> после окончания предшествующего лечения) возможно возобновление первичной терапии. При ранних рецидивах и рефрактерной ММ необходима смена программы лечения с включением препаратов с другим механизмом действия. Повторную ВДХТ с ауто</w:t>
      </w:r>
      <w:r w:rsidR="00267DE2" w:rsidRPr="00F242DD">
        <w:rPr>
          <w:i/>
        </w:rPr>
        <w:t>-</w:t>
      </w:r>
      <w:r w:rsidRPr="00F242DD">
        <w:rPr>
          <w:i/>
        </w:rPr>
        <w:t>ТГСК при рецидиве целесообразно проводить только в тех случаях, когда ремиссия после первой ВДХТ продолжалась 2</w:t>
      </w:r>
      <w:r w:rsidR="000E2F93" w:rsidRPr="00F242DD">
        <w:rPr>
          <w:i/>
        </w:rPr>
        <w:t>−</w:t>
      </w:r>
      <w:r w:rsidRPr="00F242DD">
        <w:rPr>
          <w:i/>
        </w:rPr>
        <w:t>3 года.</w:t>
      </w:r>
    </w:p>
    <w:p w14:paraId="480F795C" w14:textId="77777777" w:rsidR="001E61D5" w:rsidRPr="00F242DD" w:rsidRDefault="00A473F6" w:rsidP="00727CDE">
      <w:pPr>
        <w:pStyle w:val="a6"/>
        <w:numPr>
          <w:ilvl w:val="0"/>
          <w:numId w:val="8"/>
        </w:numPr>
        <w:tabs>
          <w:tab w:val="clear" w:pos="348"/>
          <w:tab w:val="num" w:pos="709"/>
        </w:tabs>
        <w:spacing w:before="0" w:after="0"/>
        <w:ind w:left="709" w:hanging="709"/>
      </w:pPr>
      <w:r w:rsidRPr="00F242DD">
        <w:t>Для пациентов</w:t>
      </w:r>
      <w:r w:rsidR="001E61D5" w:rsidRPr="00F242DD">
        <w:t xml:space="preserve"> ММ с иммунохимически</w:t>
      </w:r>
      <w:r w:rsidR="00033293" w:rsidRPr="00F242DD">
        <w:t>м рецидивом или прогрессией</w:t>
      </w:r>
      <w:r w:rsidR="001E61D5" w:rsidRPr="00F242DD">
        <w:t xml:space="preserve"> ММ, когда отмечается медленное нарастание уровня моноклонального белка при отсутствии клинических симптомов, </w:t>
      </w:r>
      <w:r w:rsidR="00FF0C02" w:rsidRPr="00F242DD">
        <w:rPr>
          <w:b/>
        </w:rPr>
        <w:t>рекомендуется</w:t>
      </w:r>
      <w:r w:rsidR="001E61D5" w:rsidRPr="00F242DD">
        <w:t xml:space="preserve"> выжидательная тактика</w:t>
      </w:r>
      <w:r w:rsidR="00D53F50" w:rsidRPr="00F242DD">
        <w:t xml:space="preserve"> до появления показаний к противорецидивной терапии (появление </w:t>
      </w:r>
      <w:r w:rsidR="00D53F50" w:rsidRPr="00F242DD">
        <w:rPr>
          <w:lang w:val="en-US"/>
        </w:rPr>
        <w:t>CRAB</w:t>
      </w:r>
      <w:r w:rsidR="00D53F50" w:rsidRPr="00F242DD">
        <w:t xml:space="preserve">-симптомов, быстрого нарастания М-градиента </w:t>
      </w:r>
      <w:r w:rsidR="000E2F93" w:rsidRPr="00F242DD">
        <w:t>−</w:t>
      </w:r>
      <w:r w:rsidR="00D53F50" w:rsidRPr="00F242DD">
        <w:t xml:space="preserve"> см. следующую рекомендацию)</w:t>
      </w:r>
      <w:r w:rsidR="00A25379" w:rsidRPr="00F242DD">
        <w:t xml:space="preserve"> </w:t>
      </w:r>
      <w:r w:rsidR="00A96FB6" w:rsidRPr="00F242DD">
        <w:fldChar w:fldCharType="begin" w:fldLock="1"/>
      </w:r>
      <w:r w:rsidR="00A25379"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rsidRPr="00F242DD">
        <w:fldChar w:fldCharType="separate"/>
      </w:r>
      <w:r w:rsidR="00A25379" w:rsidRPr="00F242DD">
        <w:rPr>
          <w:noProof/>
        </w:rPr>
        <w:t>[1]</w:t>
      </w:r>
      <w:r w:rsidR="00A96FB6" w:rsidRPr="00F242DD">
        <w:fldChar w:fldCharType="end"/>
      </w:r>
      <w:r w:rsidRPr="00F242DD">
        <w:t>.</w:t>
      </w:r>
    </w:p>
    <w:p w14:paraId="14AFACF2" w14:textId="77777777" w:rsidR="001E61D5" w:rsidRPr="00F242DD" w:rsidRDefault="001E61D5" w:rsidP="00131E36">
      <w:pPr>
        <w:pStyle w:val="a6"/>
        <w:spacing w:before="0" w:after="0"/>
        <w:ind w:left="709"/>
        <w:rPr>
          <w:b/>
        </w:rPr>
      </w:pPr>
      <w:r w:rsidRPr="00F242DD">
        <w:rPr>
          <w:b/>
        </w:rPr>
        <w:t xml:space="preserve">Уровень убедительности рекомендаций </w:t>
      </w:r>
      <w:r w:rsidR="000E2F93" w:rsidRPr="00F242DD">
        <w:rPr>
          <w:b/>
        </w:rPr>
        <w:t xml:space="preserve">− </w:t>
      </w:r>
      <w:r w:rsidR="00A473F6" w:rsidRPr="00F242DD">
        <w:rPr>
          <w:b/>
          <w:lang w:val="en-US"/>
        </w:rPr>
        <w:t>C</w:t>
      </w:r>
      <w:r w:rsidR="00A25379" w:rsidRPr="00F242DD">
        <w:rPr>
          <w:b/>
        </w:rPr>
        <w:t xml:space="preserve"> </w:t>
      </w:r>
      <w:r w:rsidRPr="00F242DD">
        <w:rPr>
          <w:b/>
        </w:rPr>
        <w:t>(уровень достоверности доказательств</w:t>
      </w:r>
      <w:r w:rsidR="00A25379" w:rsidRPr="00F242DD">
        <w:rPr>
          <w:b/>
        </w:rPr>
        <w:t xml:space="preserve"> </w:t>
      </w:r>
      <w:r w:rsidR="000E2F93" w:rsidRPr="00F242DD">
        <w:rPr>
          <w:b/>
        </w:rPr>
        <w:t xml:space="preserve">− </w:t>
      </w:r>
      <w:r w:rsidR="00A473F6" w:rsidRPr="00F242DD">
        <w:rPr>
          <w:b/>
        </w:rPr>
        <w:t>5</w:t>
      </w:r>
      <w:r w:rsidRPr="00F242DD">
        <w:rPr>
          <w:b/>
        </w:rPr>
        <w:t>)</w:t>
      </w:r>
    </w:p>
    <w:p w14:paraId="328A7052" w14:textId="77777777" w:rsidR="00DB7A27" w:rsidRPr="00F242DD" w:rsidRDefault="00DB7A27" w:rsidP="00727CDE">
      <w:pPr>
        <w:pStyle w:val="a6"/>
        <w:numPr>
          <w:ilvl w:val="0"/>
          <w:numId w:val="8"/>
        </w:numPr>
        <w:tabs>
          <w:tab w:val="clear" w:pos="348"/>
          <w:tab w:val="num" w:pos="709"/>
        </w:tabs>
        <w:spacing w:before="0" w:after="0"/>
        <w:ind w:left="709" w:hanging="709"/>
      </w:pPr>
      <w:r w:rsidRPr="00F242DD">
        <w:lastRenderedPageBreak/>
        <w:t>Пациентам с признаками клинического рецидива, а также при быстром нарастании парапротеина (удвоение содержания М-градиента в течение 2 мес</w:t>
      </w:r>
      <w:r w:rsidR="00E778E9" w:rsidRPr="00F242DD">
        <w:t>.</w:t>
      </w:r>
      <w:r w:rsidR="00033293" w:rsidRPr="00F242DD">
        <w:t>)</w:t>
      </w:r>
      <w:r w:rsidR="00A25379" w:rsidRPr="00F242DD">
        <w:t xml:space="preserve"> </w:t>
      </w:r>
      <w:r w:rsidR="00FF0C02" w:rsidRPr="00F242DD">
        <w:rPr>
          <w:b/>
        </w:rPr>
        <w:t>рекомендуется</w:t>
      </w:r>
      <w:r w:rsidR="00A25379" w:rsidRPr="00F242DD">
        <w:rPr>
          <w:b/>
        </w:rPr>
        <w:t xml:space="preserve"> </w:t>
      </w:r>
      <w:r w:rsidRPr="00F242DD">
        <w:t>противорецидивная терапия</w:t>
      </w:r>
      <w:r w:rsidR="00A25379" w:rsidRPr="00F242DD">
        <w:t xml:space="preserve"> </w:t>
      </w:r>
      <w:r w:rsidR="00A96FB6" w:rsidRPr="00F242DD">
        <w:fldChar w:fldCharType="begin" w:fldLock="1"/>
      </w:r>
      <w:r w:rsidR="00A25379"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rsidRPr="00F242DD">
        <w:fldChar w:fldCharType="separate"/>
      </w:r>
      <w:r w:rsidR="00A25379" w:rsidRPr="00F242DD">
        <w:rPr>
          <w:noProof/>
        </w:rPr>
        <w:t>[1]</w:t>
      </w:r>
      <w:r w:rsidR="00A96FB6" w:rsidRPr="00F242DD">
        <w:fldChar w:fldCharType="end"/>
      </w:r>
      <w:r w:rsidR="00141689" w:rsidRPr="00F242DD">
        <w:t>.</w:t>
      </w:r>
    </w:p>
    <w:p w14:paraId="0403BA4E" w14:textId="77777777" w:rsidR="00DB7A27" w:rsidRPr="00F242DD" w:rsidRDefault="00DB7A27" w:rsidP="00131E36">
      <w:pPr>
        <w:spacing w:before="0" w:after="0"/>
        <w:ind w:left="709"/>
        <w:contextualSpacing/>
        <w:rPr>
          <w:b/>
        </w:rPr>
      </w:pPr>
      <w:r w:rsidRPr="00F242DD">
        <w:rPr>
          <w:b/>
        </w:rPr>
        <w:t xml:space="preserve">Уровень убедительности рекомендаций </w:t>
      </w:r>
      <w:r w:rsidR="000E2F93" w:rsidRPr="00F242DD">
        <w:rPr>
          <w:b/>
        </w:rPr>
        <w:t xml:space="preserve">− </w:t>
      </w:r>
      <w:r w:rsidR="00A473F6" w:rsidRPr="00F242DD">
        <w:rPr>
          <w:b/>
          <w:lang w:val="en-US"/>
        </w:rPr>
        <w:t>C</w:t>
      </w:r>
      <w:r w:rsidR="00A25379" w:rsidRPr="00F242DD">
        <w:rPr>
          <w:b/>
        </w:rPr>
        <w:t xml:space="preserve"> </w:t>
      </w:r>
      <w:r w:rsidRPr="00F242DD">
        <w:rPr>
          <w:b/>
        </w:rPr>
        <w:t>(уровень достоверности доказательств</w:t>
      </w:r>
      <w:r w:rsidR="00A473F6" w:rsidRPr="00F242DD">
        <w:rPr>
          <w:b/>
        </w:rPr>
        <w:t xml:space="preserve"> </w:t>
      </w:r>
      <w:r w:rsidR="000E2F93" w:rsidRPr="00F242DD">
        <w:rPr>
          <w:b/>
        </w:rPr>
        <w:t xml:space="preserve">− </w:t>
      </w:r>
      <w:r w:rsidR="00A473F6" w:rsidRPr="00F242DD">
        <w:rPr>
          <w:b/>
        </w:rPr>
        <w:t>5</w:t>
      </w:r>
      <w:r w:rsidRPr="00F242DD">
        <w:rPr>
          <w:b/>
        </w:rPr>
        <w:t>)</w:t>
      </w:r>
    </w:p>
    <w:p w14:paraId="1E0F04E0" w14:textId="77777777" w:rsidR="00DB7A27" w:rsidRPr="00F242DD" w:rsidRDefault="00DB7A27" w:rsidP="00131E36">
      <w:pPr>
        <w:spacing w:before="0" w:after="0"/>
        <w:ind w:left="709"/>
        <w:contextualSpacing/>
        <w:rPr>
          <w:i/>
        </w:rPr>
      </w:pPr>
      <w:r w:rsidRPr="00F242DD">
        <w:rPr>
          <w:b/>
        </w:rPr>
        <w:t xml:space="preserve">Комментарий: </w:t>
      </w:r>
      <w:r w:rsidR="000E2F93" w:rsidRPr="00F242DD">
        <w:rPr>
          <w:i/>
        </w:rPr>
        <w:t>п</w:t>
      </w:r>
      <w:r w:rsidRPr="00F242DD">
        <w:rPr>
          <w:i/>
        </w:rPr>
        <w:t xml:space="preserve">ризнаками клинического рецидива являются </w:t>
      </w:r>
      <w:r w:rsidRPr="00F242DD">
        <w:rPr>
          <w:i/>
          <w:lang w:val="en-US"/>
        </w:rPr>
        <w:t>CRAB</w:t>
      </w:r>
      <w:r w:rsidRPr="00F242DD">
        <w:rPr>
          <w:i/>
        </w:rPr>
        <w:t>-симптомы:</w:t>
      </w:r>
    </w:p>
    <w:p w14:paraId="413AC43D" w14:textId="77777777" w:rsidR="00DB7A27" w:rsidRPr="00F242DD" w:rsidRDefault="00DB7A27" w:rsidP="00791645">
      <w:pPr>
        <w:pStyle w:val="a6"/>
        <w:numPr>
          <w:ilvl w:val="0"/>
          <w:numId w:val="5"/>
        </w:numPr>
        <w:spacing w:before="0" w:after="0"/>
        <w:rPr>
          <w:i/>
        </w:rPr>
      </w:pPr>
      <w:r w:rsidRPr="00F242DD">
        <w:rPr>
          <w:i/>
        </w:rPr>
        <w:t>Гиперкальциемия (содержание кальция крови &gt;2,75 ммоль/л)</w:t>
      </w:r>
    </w:p>
    <w:p w14:paraId="06874137" w14:textId="77777777" w:rsidR="00DB7A27" w:rsidRPr="00F242DD" w:rsidRDefault="00DB7A27" w:rsidP="00791645">
      <w:pPr>
        <w:pStyle w:val="a6"/>
        <w:numPr>
          <w:ilvl w:val="0"/>
          <w:numId w:val="5"/>
        </w:numPr>
        <w:spacing w:before="0" w:after="0"/>
        <w:rPr>
          <w:i/>
        </w:rPr>
      </w:pPr>
      <w:r w:rsidRPr="00F242DD">
        <w:rPr>
          <w:i/>
        </w:rPr>
        <w:t>Почечная недостаточность, объясняемая миеломой</w:t>
      </w:r>
    </w:p>
    <w:p w14:paraId="0DDD816C" w14:textId="77777777" w:rsidR="00DB7A27" w:rsidRPr="00F242DD" w:rsidRDefault="00DB7A27" w:rsidP="00791645">
      <w:pPr>
        <w:pStyle w:val="a6"/>
        <w:numPr>
          <w:ilvl w:val="0"/>
          <w:numId w:val="5"/>
        </w:numPr>
        <w:spacing w:before="0" w:after="0"/>
        <w:rPr>
          <w:i/>
        </w:rPr>
      </w:pPr>
      <w:r w:rsidRPr="00F242DD">
        <w:rPr>
          <w:i/>
        </w:rPr>
        <w:t>Анемия (гемоглобин &lt;100 г/л)</w:t>
      </w:r>
    </w:p>
    <w:p w14:paraId="6964CEC2" w14:textId="76027395" w:rsidR="00253CC2" w:rsidRPr="00993359" w:rsidRDefault="00DB7A27" w:rsidP="00791645">
      <w:pPr>
        <w:pStyle w:val="a6"/>
        <w:numPr>
          <w:ilvl w:val="0"/>
          <w:numId w:val="5"/>
        </w:numPr>
        <w:spacing w:before="0" w:after="0"/>
        <w:rPr>
          <w:i/>
        </w:rPr>
      </w:pPr>
      <w:r w:rsidRPr="00F242DD">
        <w:rPr>
          <w:i/>
        </w:rPr>
        <w:t>Костные поражения (литические повреждения или остеопороз с компрессионными переломами)</w:t>
      </w:r>
    </w:p>
    <w:p w14:paraId="5B5CE89A" w14:textId="77777777" w:rsidR="00B228C7" w:rsidRPr="00F242DD" w:rsidRDefault="00B228C7" w:rsidP="00E36DFA">
      <w:pPr>
        <w:pStyle w:val="a4"/>
        <w:spacing w:before="0" w:beforeAutospacing="0" w:after="0" w:afterAutospacing="0" w:line="360" w:lineRule="auto"/>
        <w:ind w:firstLine="709"/>
        <w:outlineLvl w:val="1"/>
        <w:rPr>
          <w:rStyle w:val="ac"/>
          <w:rFonts w:eastAsia="Calibri"/>
          <w:szCs w:val="22"/>
          <w:u w:val="single"/>
          <w:lang w:eastAsia="en-US"/>
        </w:rPr>
      </w:pPr>
      <w:bookmarkStart w:id="32" w:name="_Toc53140903"/>
      <w:r w:rsidRPr="00F242DD">
        <w:rPr>
          <w:rStyle w:val="ac"/>
          <w:u w:val="single"/>
        </w:rPr>
        <w:t>3.4.</w:t>
      </w:r>
      <w:r w:rsidR="00077BDE" w:rsidRPr="00F242DD">
        <w:rPr>
          <w:rStyle w:val="ac"/>
          <w:u w:val="single"/>
        </w:rPr>
        <w:t>1</w:t>
      </w:r>
      <w:r w:rsidR="00A25379" w:rsidRPr="00F242DD">
        <w:rPr>
          <w:rStyle w:val="ac"/>
          <w:u w:val="single"/>
        </w:rPr>
        <w:t xml:space="preserve"> </w:t>
      </w:r>
      <w:r w:rsidRPr="00F242DD">
        <w:rPr>
          <w:rStyle w:val="ac"/>
          <w:u w:val="single"/>
        </w:rPr>
        <w:t>Лечение рецидива ММ, не отягощенного двойной рефрактерностью</w:t>
      </w:r>
      <w:bookmarkEnd w:id="32"/>
    </w:p>
    <w:p w14:paraId="16544D04" w14:textId="77777777" w:rsidR="00B241C1" w:rsidRPr="00F242DD" w:rsidRDefault="00B241C1" w:rsidP="00131E36">
      <w:pPr>
        <w:spacing w:before="0" w:after="0"/>
        <w:ind w:firstLine="709"/>
        <w:contextualSpacing/>
        <w:rPr>
          <w:i/>
        </w:rPr>
      </w:pPr>
      <w:r w:rsidRPr="00F242DD">
        <w:rPr>
          <w:i/>
        </w:rPr>
        <w:t>Выбор терапии рецидива</w:t>
      </w:r>
      <w:r w:rsidR="00253CC2" w:rsidRPr="00F242DD">
        <w:rPr>
          <w:i/>
        </w:rPr>
        <w:t xml:space="preserve"> </w:t>
      </w:r>
      <w:r w:rsidR="00B657E4" w:rsidRPr="00F242DD">
        <w:rPr>
          <w:i/>
        </w:rPr>
        <w:t xml:space="preserve">зависит от </w:t>
      </w:r>
      <w:r w:rsidR="0077566B" w:rsidRPr="00F242DD">
        <w:rPr>
          <w:i/>
        </w:rPr>
        <w:t>эффективности</w:t>
      </w:r>
      <w:r w:rsidR="00253CC2" w:rsidRPr="00F242DD">
        <w:rPr>
          <w:i/>
        </w:rPr>
        <w:t xml:space="preserve"> </w:t>
      </w:r>
      <w:r w:rsidR="00033293" w:rsidRPr="00F242DD">
        <w:rPr>
          <w:i/>
        </w:rPr>
        <w:t>предшествующе</w:t>
      </w:r>
      <w:r w:rsidR="00BE2B1A" w:rsidRPr="00F242DD">
        <w:rPr>
          <w:i/>
        </w:rPr>
        <w:t>й</w:t>
      </w:r>
      <w:r w:rsidR="007B3991" w:rsidRPr="00F242DD">
        <w:rPr>
          <w:i/>
        </w:rPr>
        <w:t xml:space="preserve"> лини</w:t>
      </w:r>
      <w:r w:rsidR="00253CC2" w:rsidRPr="00F242DD">
        <w:rPr>
          <w:i/>
        </w:rPr>
        <w:t>и</w:t>
      </w:r>
      <w:r w:rsidR="007B3991" w:rsidRPr="00F242DD">
        <w:rPr>
          <w:i/>
        </w:rPr>
        <w:t xml:space="preserve"> терапии, клинических особенностей пациента (наличие полинейропатии или почечной недостаточности, тромбозы в анамнезе и др.), а также от предпочтений и опыта центра и лечащего врача. </w:t>
      </w:r>
      <w:r w:rsidR="00BE2B1A" w:rsidRPr="00F242DD">
        <w:rPr>
          <w:i/>
        </w:rPr>
        <w:t>У пациентов, у которых не развилась рефрактерность к бортезомибу</w:t>
      </w:r>
      <w:r w:rsidR="0056051E" w:rsidRPr="00F242DD">
        <w:rPr>
          <w:i/>
        </w:rPr>
        <w:t>**</w:t>
      </w:r>
      <w:r w:rsidR="00BE2B1A" w:rsidRPr="00F242DD">
        <w:rPr>
          <w:i/>
        </w:rPr>
        <w:t xml:space="preserve"> и леналидомиду</w:t>
      </w:r>
      <w:r w:rsidR="0056051E" w:rsidRPr="00F242DD">
        <w:rPr>
          <w:i/>
        </w:rPr>
        <w:t>**</w:t>
      </w:r>
      <w:r w:rsidR="00BE2B1A" w:rsidRPr="00F242DD">
        <w:rPr>
          <w:i/>
        </w:rPr>
        <w:t xml:space="preserve">, </w:t>
      </w:r>
      <w:r w:rsidR="007B3991" w:rsidRPr="00F242DD">
        <w:rPr>
          <w:i/>
        </w:rPr>
        <w:t>могут применяться следующие варианты лечения</w:t>
      </w:r>
      <w:r w:rsidR="00A25379" w:rsidRPr="00F242DD">
        <w:rPr>
          <w:i/>
        </w:rPr>
        <w:t xml:space="preserve"> </w:t>
      </w:r>
      <w:r w:rsidR="00032CFB" w:rsidRPr="00F242DD">
        <w:rPr>
          <w:i/>
        </w:rPr>
        <w:t xml:space="preserve">(описание режимов – см. приложение </w:t>
      </w:r>
      <w:r w:rsidR="00C812D6" w:rsidRPr="00F242DD">
        <w:rPr>
          <w:i/>
        </w:rPr>
        <w:t>А3.1</w:t>
      </w:r>
      <w:r w:rsidR="00253CC2" w:rsidRPr="00F242DD">
        <w:rPr>
          <w:i/>
        </w:rPr>
        <w:t>.</w:t>
      </w:r>
      <w:r w:rsidR="00032CFB" w:rsidRPr="00F242DD">
        <w:rPr>
          <w:i/>
        </w:rPr>
        <w:t>)</w:t>
      </w:r>
      <w:r w:rsidR="00A25379" w:rsidRPr="00F242DD">
        <w:rPr>
          <w:i/>
        </w:rPr>
        <w:t xml:space="preserve"> </w:t>
      </w:r>
      <w:r w:rsidR="00A96FB6" w:rsidRPr="00F242DD">
        <w:rPr>
          <w:i/>
        </w:rPr>
        <w:fldChar w:fldCharType="begin" w:fldLock="1"/>
      </w:r>
      <w:r w:rsidR="00F74B6B" w:rsidRPr="00F242DD">
        <w:rPr>
          <w:i/>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myeloma","type":"article","volume":"35"},"uris":["http://www.mendeley.com/documents/?uuid=4b51abe8-b4d6-30ad-bad9-00468e013c00"]},{"id":"ITEM-2","itemData":{"DOI":"10.1016/j.clml.2014.03.005","ISSN":"2152-2669","PMID":"25023616","abstract":"INTRODUCTION Bortezomib is administered for a finite course; thus, patients might remain sensitive to bortezomib-based therapy at relapse. We report a meta-analysis of bortezomib-based retreatment in relapsed/refractory myeloma. PATIENTS AND METHODS A systematic literature review identified studies of bortezomib-based retreatment in relapsed/refractory myeloma. Proportions of bortezomib-refractory patients and additional prognostic factors were extracted and used in weighted stratified analyses of TTP and OS. Random-effect pooled estimates were calculated for overall response rate (ORR) and rates of common AEs. RESULTS Twenty-three studies (n = 1051 patients) were identified. Bortezomib was administered intravenously in all studies. Across studies in which data were available, pooled, weighted average ORR was 39.1% (95% confidence interval, 30.8%-47.4%), and pooled, weighted average median TTP and OS were 7.5 and 16.6 months, respectively. Patients with fewer previous therapies (≤ 4) and relapsed (not refractory) patients achieved higher ORRs, of 43.4% and 57.2%, respectively. Random-effects meta-regression analysis confirmed that relapsed patients were associated with a higher ORR by 28 to 41 percentage points versus refractory patients. In relapsed patients, median TTP and OS were 8.5 and 19.7 months, respectively. Common Grade 3/4 AEs included thrombocytopenia (35%), neutropenia (15%), anemia (14%), pneumonia (10%), and peripheral neuropathy (3%). CONCLUSION Based on these findings, bortezomib retreatment is well tolerated and appears efficacious in relapsed patients. In an era of new and emerging treatment options for relapsed and/or refractory myeloma, these data indicate that bortezomib retreatment might be a highly effective option in previously treated patients.","author":[{"dropping-particle":"","family":"Knopf","given":"Kevin B","non-dropping-particle":"","parse-names":false,"suffix":""},{"dropping-particle":"","family":"Duh","given":"Mei Sheng","non-dropping-particle":"","parse-names":false,"suffix":""},{"dropping-particle":"","family":"Lafeuille","given":"Marie-Hélène","non-dropping-particle":"","parse-names":false,"suffix":""},{"dropping-particle":"","family":"Gravel","given":"Jonathan","non-dropping-particle":"","parse-names":false,"suffix":""},{"dropping-particle":"","family":"Lefebvre","given":"Patrick","non-dropping-particle":"","parse-names":false,"suffix":""},{"dropping-particle":"","family":"Niculescu","given":"Liviu","non-dropping-particle":"","parse-names":false,"suffix":""},{"dropping-particle":"","family":"Ba-Mancini","given":"Abbie","non-dropping-particle":"","parse-names":false,"suffix":""},{"dropping-particle":"","family":"Ma","given":"Esprit","non-dropping-particle":"","parse-names":false,"suffix":""},{"dropping-particle":"","family":"Shi","given":"Hongliang","non-dropping-particle":"","parse-names":false,"suffix":""},{"dropping-particle":"","family":"Comenzo","given":"Raymond L","non-dropping-particle":"","parse-names":false,"suffix":""}],"container-title":"Clinical lymphoma, myeloma &amp; leukemia","id":"ITEM-2","issue":"5","issued":{"date-parts":[["2014","10"]]},"page":"380-8","title":"Meta-analysis of the efficacy and safety of bortezomib re-treatment in patients with multiple myeloma.","type":"article-journal","volume":"14"},"uris":["http://www.mendeley.com/documents/?uuid=b3846e4f-86a4-3632-887c-068c5784518c"]},{"id":"ITEM-3","itemData":{"DOI":"10.1002/14651858.CD010816.pub2","ISSN":"1469-493X","PMID":"27096326","abstract":"BACKGROUND Multiple myeloma is a malignancy of plasma cells accounting for approximately 1% of cancers and 12% of haematological malignancies. The first-in-class proteasome inhibitor, bortezomib, is commonly used to treat newly diagnosed as well as relapsed/refractory myeloma, either as single agent or combined with other therapies. OBJECTIVES We conducted a systematic review and meta-analysis to assess the effects of bortezomib on overall survival (OS), progression-free survival (PFS), response rate (RR), health-related quality of life (HRQoL), adverse events (AEs) and treatment-related death (TRD). SEARCH METHODS We searched MEDLINE, the Cochrane Central Register of Controlled Trials and EMBASE (till 27 January 2016) as well as conference proceedings and clinical trial registries for randomised controlled trials (RCTs). SELECTION CRITERIA We included randomised controlled trials (RCTs) that compared i) bortezomib versus no bortezomib with the same background therapy in each arm; ii) bortezomib versus no bortezomib with different background therapy in each arm or compared to other agent(s) and iii) bortezomib dose comparisons and comparisons of different treatment administrations and schedules. DATA COLLECTION AND ANALYSIS Two review authors independently extracted outcomes data and assessed risk of bias. We extracted hazard ratios (HR) and their confidence intervals for OS and PFS and odds ratios (OR) for response rates, AEs and TRD. We contacted trial authors to provide summary statistics if missing. We estimated Logrank statistics which were not available. We extracted HRQoL data, where available. MAIN RESULTS We screened a total of 3667 records, identifying 16 relevant RCTs involving 5626 patients and included 12 trials in the meta-analyses. All trials were randomised and open-label studies. Two trials were published in abstract form and therefore we were unable to assess potential risk of bias in full.There is moderate-quality evidence that bortezomib prolongs OS (four studies, 1586 patients; Peto OR 0.77, 95% CI 0.65 to 0.92) and PFS (five studies, 1855 patients; Peto OR 0.65, 95% CI 0.57 to 0.74) from analysing trials of bortezomib versus no bortezomib with the same background therapy in each arm.There is high-quality evidence that bortezomib prolongs OS (five studies, 2532 patients; Peto OR 0.76, 95% CI 0.67 to 0.88) but low-quality evidence for PFS (four studies, 2489 patients; Peto OR 0.67, 95% CI 0.61 to 0.75) from analysing trials of bortez…","author":[{"dropping-particle":"","family":"Scott","given":"Kathleen","non-dropping-particle":"","parse-names":false,"suffix":""},{"dropping-particle":"","family":"Hayden","given":"Patrick J","non-dropping-particle":"","parse-names":false,"suffix":""},{"dropping-particle":"","family":"Will","given":"Andrea","non-dropping-particle":"","parse-names":false,"suffix":""},{"dropping-particle":"","family":"Wheatley","given":"Keith","non-dropping-particle":"","parse-names":false,"suffix":""},{"dropping-particle":"","family":"Coyne","given":"Imelda","non-dropping-particle":"","parse-names":false,"suffix":""}],"container-title":"The Cochrane database of systematic reviews","id":"ITEM-3","issued":{"date-parts":[["2016","4","20"]]},"page":"CD010816","title":"Bortezomib for the treatment of multiple myeloma.","type":"article-journal","volume":"4"},"uris":["http://www.mendeley.com/documents/?uuid=9ecdc7e8-5097-32cf-a812-bfc887947c9a"]},{"id":"ITEM-4","itemData":{"DOI":"10.1016/j.clml.2017.12.011","ISSN":"21522669","abstract":"A systematic review and network meta-analysis were conducted to compare the clinical efficacy of immunomodulatory drug-containing regimens in patients with relapsed or refractory multiple myeloma. Daratumumab plus lenalidomide and dexamethasone had a significant advantage in improving progression-free survival of patients compared with other immunomodulatory drug-containing regimens. Background: Previous network meta-analyses combined studies of immunomodulatory drug (IMiD)–containing and IMiD-free regimens, despite a lack of head-to-head randomized controlled trials to robustly link them. However, patients with relapsed or refractory multiple myeloma (RRMM) treated with IMiD-containing regimens differ from those treated with IMiD-free regimens, especially relating to treatment history, which is an important treatment-effect modifier requiring clinical consideration when evaluating the most appropriate subsequent treatment options. A need exists to separately assess the efficacy of treatment regimens for patients who are suitable candidates for IMiD-containing and IMiD-free regimens. The presented analyses will enable clinicians to assess the best regimens to use in patients suitable for IMiD-containing regimens. Materials and Methods: We used a Bayesian network meta-analysis to compare IMiD-containing regimens in patients with RRMM. Additionally, subgroup analyses were conducted stratified by previous therapy line, previous bortezomib therapy, and previous lenalidomide therapy. Results: The results indicated that triplet combinations are more effective than doublet combinations. Of the triplet combinations, daratumumab, lenalidomide, dexamethasone (DRd) was significantly better in improving progression-free survival in patients with RRMM than were other IMiD-containing regimens (lenalidomide, dexamethasone [Rd]: hazard ratio [HR], 0.37; carfilzomib, Rd: HR, 0.54; elotuzumab, Rd: HR, 0.54; ixazomib, Rd: HR, 0.50). Similar trends were observed for overall survival and overall response. DRd showed the greatest probability of being the best treatment for all clinical efficacy outcomes. The subgroup analyses results were consistent with the base-case results. Conclusion: In patients with RRMM who are suitable for an IMiD-containing regimen, DRd showed clear advantages in survival and response outcomes compared with other IMiD-containing regimens.","author":[{"dropping-particle":"","family":"Dimopoulos","given":"Meletios Athanasios","non-dropping-particle":"","parse-names":false,"suffix":""},{"dropping-particle":"","family":"Kaufman","given":"Jonathan L.","non-dropping-particle":"","parse-names":false,"suffix":""},{"dropping-particle":"","family":"White","given":"Darrell","non-dropping-particle":"","parse-names":false,"suffix":""},{"dropping-particle":"","family":"Cook","given":"Gordon","non-dropping-particle":"","parse-names":false,"suffix":""},{"dropping-particle":"","family":"Rizzo","given":"Maria","non-dropping-particle":"","parse-names":false,"suffix":""},{"dropping-particle":"","family":"Xu","given":"Yingxin","non-dropping-particle":"","parse-names":false,"suffix":""},{"dropping-particle":"","family":"Fahrbach","given":"Kyle","non-dropping-particle":"","parse-names":false,"suffix":""},{"dropping-particle":"","family":"Gaudig","given":"Maren","non-dropping-particle":"","parse-names":false,"suffix":""},{"dropping-particle":"","family":"Slavcev","given":"Mary","non-dropping-particle":"","parse-names":false,"suffix":""},{"dropping-particle":"","family":"Dearden","given":"Lindsay","non-dropping-particle":"","parse-names":false,"suffix":""},{"dropping-particle":"","family":"Lam","given":"Annette","non-dropping-particle":"","parse-names":false,"suffix":""}],"container-title":"Clinical Lymphoma, Myeloma and Leukemia","id":"ITEM-4","issue":"3","issued":{"date-parts":[["2018","3","1"]]},"page":"163-173.e6","publisher":"Elsevier Inc.","title":"A Comparison of the Efficacy of Immunomodulatory-containing Regimens in Relapsed/Refractory Multiple Myeloma: A Network Meta-analysis","type":"article-journal","volume":"18"},"uris":["http://www.mendeley.com/documents/?uuid=4543af21-4b82-3645-8d1e-52cee5a8b951"]},{"id":"ITEM-5","itemData":{"DOI":"10.1200/jco.2009.27.15_suppl.8536","author":[{"dropping-particle":"","family":"Anderson","given":"K.C.","non-dropping-particle":"","parse-names":false,"suffix":""},{"dropping-particle":"","family":"Jagannath","given":"S.","non-dropping-particle":"","parse-names":false,"suffix":""},{"dropping-particle":"","family":"Jakubowiak","given":"A.","non-dropping-particle":"","parse-names":false,"suffix":""},{"dropping-particle":"","family":"Lonial","given":"S.","non-dropping-particle":"","parse-names":false,"suffix":""},{"dropping-particle":"","family":"Raje","given":"N.","non-dropping-particle":"","parse-names":false,"suffix":""},{"dropping-particle":"","family":"Alsina","given":"M.","non-dropping-particle":"","parse-names":false,"suffix":""},{"dropping-particle":"","family":"Ghobrial","given":"I.","non-dropping-particle":"","parse-names":false,"suffix":""},{"dropping-particle":"","family":"Knight","given":"R.","non-dropping-particle":"","parse-names":false,"suffix":""},{"dropping-particle":"","family":"Esseltine","given":"D.","non-dropping-particle":"","parse-names":false,"suffix":""},{"dropping-particle":"","family":"Richardson","given":"P.","non-dropping-particle":"","parse-names":false,"suffix":""}],"container-title":"Journal of Clinical Oncology","id":"ITEM-5","issue":"15 (Suppl.)","issued":{"date-parts":[["2009"]]},"page":"Abstract 8536","title":"Lenalidomide, bortezomib, and dexamethasone in relapsed/refractory multiple myeloma (MM): Encouraging outcomes and tolerability in a phase II study","type":"article-journal","volume":"27"},"uris":["http://www.mendeley.com/documents/?uuid=e626abc9-b1fb-4470-be82-facc41059486"]}],"mendeley":{"formattedCitation":"[56–60]","plainTextFormattedCitation":"[56–60]","previouslyFormattedCitation":"[56–60]"},"properties":{"noteIndex":0},"schema":"https://github.com/citation-style-language/schema/raw/master/csl-citation.json"}</w:instrText>
      </w:r>
      <w:r w:rsidR="00A96FB6" w:rsidRPr="00F242DD">
        <w:rPr>
          <w:i/>
        </w:rPr>
        <w:fldChar w:fldCharType="separate"/>
      </w:r>
      <w:r w:rsidR="00705691" w:rsidRPr="00F242DD">
        <w:rPr>
          <w:noProof/>
        </w:rPr>
        <w:t>[56–60]</w:t>
      </w:r>
      <w:r w:rsidR="00A96FB6" w:rsidRPr="00F242DD">
        <w:rPr>
          <w:i/>
        </w:rPr>
        <w:fldChar w:fldCharType="end"/>
      </w:r>
      <w:r w:rsidR="007B3991" w:rsidRPr="00F242DD">
        <w:rPr>
          <w:i/>
        </w:rPr>
        <w:t>:</w:t>
      </w:r>
    </w:p>
    <w:p w14:paraId="3B1B499A" w14:textId="77777777" w:rsidR="007B3991" w:rsidRPr="00F242DD" w:rsidRDefault="007B3991" w:rsidP="007921DE">
      <w:pPr>
        <w:pStyle w:val="a6"/>
        <w:numPr>
          <w:ilvl w:val="0"/>
          <w:numId w:val="9"/>
        </w:numPr>
        <w:spacing w:before="0" w:after="0"/>
        <w:ind w:hanging="11"/>
        <w:rPr>
          <w:i/>
        </w:rPr>
      </w:pPr>
      <w:r w:rsidRPr="00F242DD">
        <w:rPr>
          <w:i/>
        </w:rPr>
        <w:t>Бортезомибсодержащие</w:t>
      </w:r>
      <w:r w:rsidR="00253CC2" w:rsidRPr="00F242DD">
        <w:rPr>
          <w:i/>
        </w:rPr>
        <w:t>**</w:t>
      </w:r>
      <w:r w:rsidRPr="00F242DD">
        <w:rPr>
          <w:i/>
        </w:rPr>
        <w:t xml:space="preserve"> режимы</w:t>
      </w:r>
    </w:p>
    <w:p w14:paraId="20E366CC" w14:textId="77777777" w:rsidR="007B3991" w:rsidRPr="00F242DD" w:rsidRDefault="007B3991" w:rsidP="007921DE">
      <w:pPr>
        <w:pStyle w:val="a6"/>
        <w:numPr>
          <w:ilvl w:val="0"/>
          <w:numId w:val="9"/>
        </w:numPr>
        <w:spacing w:before="0" w:after="0"/>
        <w:ind w:hanging="11"/>
        <w:rPr>
          <w:i/>
        </w:rPr>
      </w:pPr>
      <w:r w:rsidRPr="00F242DD">
        <w:rPr>
          <w:i/>
        </w:rPr>
        <w:t>Леналидомидсодержащие</w:t>
      </w:r>
      <w:r w:rsidR="00253CC2" w:rsidRPr="00F242DD">
        <w:rPr>
          <w:i/>
        </w:rPr>
        <w:t>**</w:t>
      </w:r>
      <w:r w:rsidR="00E768D1" w:rsidRPr="00F242DD">
        <w:rPr>
          <w:i/>
        </w:rPr>
        <w:t xml:space="preserve"> </w:t>
      </w:r>
      <w:r w:rsidRPr="00F242DD">
        <w:rPr>
          <w:i/>
        </w:rPr>
        <w:t>режимы</w:t>
      </w:r>
    </w:p>
    <w:p w14:paraId="4EEB6F62" w14:textId="77777777" w:rsidR="002D7F46" w:rsidRPr="00F242DD" w:rsidRDefault="008D36F2" w:rsidP="007921DE">
      <w:pPr>
        <w:pStyle w:val="a6"/>
        <w:numPr>
          <w:ilvl w:val="0"/>
          <w:numId w:val="9"/>
        </w:numPr>
        <w:spacing w:before="0" w:after="0"/>
        <w:ind w:hanging="11"/>
        <w:rPr>
          <w:i/>
        </w:rPr>
      </w:pPr>
      <w:r w:rsidRPr="00F242DD">
        <w:rPr>
          <w:i/>
        </w:rPr>
        <w:t>Комбинация бортезомиба**, леналидомида** и дексаметазона**</w:t>
      </w:r>
    </w:p>
    <w:p w14:paraId="391CE32F" w14:textId="77777777" w:rsidR="008D36F2" w:rsidRPr="00F242DD" w:rsidRDefault="008D36F2" w:rsidP="007921DE">
      <w:pPr>
        <w:pStyle w:val="a6"/>
        <w:numPr>
          <w:ilvl w:val="0"/>
          <w:numId w:val="9"/>
        </w:numPr>
        <w:spacing w:before="0" w:after="0"/>
        <w:ind w:hanging="11"/>
        <w:rPr>
          <w:i/>
        </w:rPr>
      </w:pPr>
      <w:r w:rsidRPr="00F242DD">
        <w:rPr>
          <w:i/>
        </w:rPr>
        <w:t>Комбинация карфилзомиба**, леналидомида** и дексаметазона**</w:t>
      </w:r>
    </w:p>
    <w:p w14:paraId="24446116" w14:textId="77777777" w:rsidR="008D36F2" w:rsidRPr="00F242DD" w:rsidRDefault="008D36F2" w:rsidP="007921DE">
      <w:pPr>
        <w:pStyle w:val="a6"/>
        <w:numPr>
          <w:ilvl w:val="0"/>
          <w:numId w:val="9"/>
        </w:numPr>
        <w:spacing w:before="0" w:after="0"/>
        <w:ind w:hanging="11"/>
        <w:rPr>
          <w:i/>
        </w:rPr>
      </w:pPr>
      <w:r w:rsidRPr="00F242DD">
        <w:rPr>
          <w:i/>
        </w:rPr>
        <w:t>Комбинация иксазомиба**, леналидомида** и дексаметазона**</w:t>
      </w:r>
    </w:p>
    <w:p w14:paraId="6E4D48C1" w14:textId="77777777" w:rsidR="00941B7E" w:rsidRPr="00F242DD" w:rsidRDefault="00941B7E" w:rsidP="007921DE">
      <w:pPr>
        <w:pStyle w:val="a6"/>
        <w:numPr>
          <w:ilvl w:val="0"/>
          <w:numId w:val="9"/>
        </w:numPr>
        <w:spacing w:before="0" w:after="0"/>
        <w:ind w:hanging="11"/>
        <w:rPr>
          <w:i/>
        </w:rPr>
      </w:pPr>
      <w:r w:rsidRPr="00F242DD">
        <w:rPr>
          <w:i/>
        </w:rPr>
        <w:t>Комбинация даратумумаба**, леналидомида** и дексаметазона**</w:t>
      </w:r>
    </w:p>
    <w:p w14:paraId="25ED040F" w14:textId="77777777" w:rsidR="00941B7E" w:rsidRPr="00F242DD" w:rsidRDefault="00941B7E" w:rsidP="007921DE">
      <w:pPr>
        <w:pStyle w:val="a6"/>
        <w:numPr>
          <w:ilvl w:val="0"/>
          <w:numId w:val="9"/>
        </w:numPr>
        <w:spacing w:before="0" w:after="0"/>
        <w:ind w:hanging="11"/>
        <w:rPr>
          <w:i/>
        </w:rPr>
      </w:pPr>
      <w:r w:rsidRPr="00F242DD">
        <w:rPr>
          <w:i/>
        </w:rPr>
        <w:t>Комбинация даратумумаба**, бортезомиба** и дексаметазона**</w:t>
      </w:r>
    </w:p>
    <w:p w14:paraId="10C17550" w14:textId="77777777" w:rsidR="00941B7E" w:rsidRPr="00F242DD" w:rsidRDefault="00941B7E" w:rsidP="007921DE">
      <w:pPr>
        <w:pStyle w:val="a6"/>
        <w:numPr>
          <w:ilvl w:val="0"/>
          <w:numId w:val="9"/>
        </w:numPr>
        <w:spacing w:before="0" w:after="0"/>
        <w:ind w:hanging="11"/>
        <w:rPr>
          <w:i/>
        </w:rPr>
      </w:pPr>
      <w:r w:rsidRPr="00F242DD">
        <w:rPr>
          <w:i/>
        </w:rPr>
        <w:t>Комбинация элотузумаба</w:t>
      </w:r>
      <w:r w:rsidR="006E416B" w:rsidRPr="00F242DD">
        <w:rPr>
          <w:i/>
        </w:rPr>
        <w:t>**</w:t>
      </w:r>
      <w:r w:rsidRPr="00F242DD">
        <w:rPr>
          <w:i/>
        </w:rPr>
        <w:t>, леналидомида** и дексаметазона**</w:t>
      </w:r>
    </w:p>
    <w:p w14:paraId="68BE4AF0" w14:textId="77777777" w:rsidR="00970CB0" w:rsidRPr="00F242DD" w:rsidRDefault="00970CB0" w:rsidP="00131E36">
      <w:pPr>
        <w:spacing w:before="0" w:after="0"/>
        <w:ind w:firstLine="709"/>
        <w:contextualSpacing/>
        <w:rPr>
          <w:i/>
        </w:rPr>
      </w:pPr>
      <w:r w:rsidRPr="00F242DD">
        <w:rPr>
          <w:i/>
        </w:rPr>
        <w:t>Для лечения ММ с полинейропатией следует отдавать предпочтение схемам на основе леналидомида</w:t>
      </w:r>
      <w:r w:rsidR="0056051E" w:rsidRPr="00F242DD">
        <w:rPr>
          <w:i/>
        </w:rPr>
        <w:t>**</w:t>
      </w:r>
      <w:r w:rsidRPr="00F242DD">
        <w:rPr>
          <w:i/>
        </w:rPr>
        <w:t xml:space="preserve">, в то время как у </w:t>
      </w:r>
      <w:r w:rsidR="00FB03BB" w:rsidRPr="00F242DD">
        <w:rPr>
          <w:i/>
        </w:rPr>
        <w:t>пациентов</w:t>
      </w:r>
      <w:r w:rsidRPr="00F242DD">
        <w:rPr>
          <w:i/>
        </w:rPr>
        <w:t xml:space="preserve"> с тромбозами в анамнезе, а также почечной недостаточностью больше подходят программы на основе бортезомиба</w:t>
      </w:r>
      <w:r w:rsidR="0056051E" w:rsidRPr="00F242DD">
        <w:rPr>
          <w:i/>
        </w:rPr>
        <w:t>**</w:t>
      </w:r>
      <w:r w:rsidRPr="00F242DD">
        <w:rPr>
          <w:i/>
        </w:rPr>
        <w:t xml:space="preserve">. У </w:t>
      </w:r>
      <w:r w:rsidR="00FB03BB" w:rsidRPr="00F242DD">
        <w:rPr>
          <w:i/>
        </w:rPr>
        <w:t>пациентов</w:t>
      </w:r>
      <w:r w:rsidRPr="00F242DD">
        <w:rPr>
          <w:i/>
        </w:rPr>
        <w:t xml:space="preserve"> ММ с почечной недостаточностью также используют программы на основе бендамустина</w:t>
      </w:r>
      <w:r w:rsidR="0056051E" w:rsidRPr="00F242DD">
        <w:rPr>
          <w:i/>
        </w:rPr>
        <w:t>**</w:t>
      </w:r>
      <w:r w:rsidRPr="00F242DD">
        <w:rPr>
          <w:i/>
        </w:rPr>
        <w:t>, карфилзомиба</w:t>
      </w:r>
      <w:r w:rsidR="0056051E" w:rsidRPr="00F242DD">
        <w:rPr>
          <w:i/>
        </w:rPr>
        <w:t>**</w:t>
      </w:r>
      <w:r w:rsidRPr="00F242DD">
        <w:rPr>
          <w:i/>
        </w:rPr>
        <w:t>. При агрес</w:t>
      </w:r>
      <w:r w:rsidR="00006CE0" w:rsidRPr="00F242DD">
        <w:rPr>
          <w:i/>
        </w:rPr>
        <w:t>сивном</w:t>
      </w:r>
      <w:r w:rsidRPr="00F242DD">
        <w:rPr>
          <w:i/>
        </w:rPr>
        <w:t xml:space="preserve"> рецидиве целесообразно использование схем, включающих одновременно бортезомиб</w:t>
      </w:r>
      <w:r w:rsidR="0056051E" w:rsidRPr="00F242DD">
        <w:rPr>
          <w:i/>
        </w:rPr>
        <w:t>**</w:t>
      </w:r>
      <w:r w:rsidRPr="00F242DD">
        <w:rPr>
          <w:i/>
        </w:rPr>
        <w:t xml:space="preserve"> и леналидомид</w:t>
      </w:r>
      <w:r w:rsidR="0056051E" w:rsidRPr="00F242DD">
        <w:rPr>
          <w:i/>
        </w:rPr>
        <w:t>**</w:t>
      </w:r>
      <w:r w:rsidRPr="00F242DD">
        <w:rPr>
          <w:i/>
        </w:rPr>
        <w:t>.</w:t>
      </w:r>
    </w:p>
    <w:p w14:paraId="674DC0F6" w14:textId="77777777" w:rsidR="00040BEB" w:rsidRPr="00F242DD" w:rsidRDefault="00040BEB" w:rsidP="00727CDE">
      <w:pPr>
        <w:pStyle w:val="a6"/>
        <w:numPr>
          <w:ilvl w:val="0"/>
          <w:numId w:val="8"/>
        </w:numPr>
        <w:tabs>
          <w:tab w:val="clear" w:pos="348"/>
          <w:tab w:val="num" w:pos="709"/>
        </w:tabs>
        <w:spacing w:before="0" w:after="0"/>
        <w:ind w:left="709" w:hanging="709"/>
      </w:pPr>
      <w:r w:rsidRPr="00F242DD">
        <w:lastRenderedPageBreak/>
        <w:t>Пациентам с</w:t>
      </w:r>
      <w:r w:rsidR="00A473F6" w:rsidRPr="00F242DD">
        <w:t xml:space="preserve"> рецидивом ММ</w:t>
      </w:r>
      <w:r w:rsidRPr="00F242DD">
        <w:t>, которым показана противомиеломная терапия</w:t>
      </w:r>
      <w:r w:rsidR="00B228C7" w:rsidRPr="00F242DD">
        <w:t xml:space="preserve"> и у которых не развилась рефрактерно</w:t>
      </w:r>
      <w:r w:rsidR="00006CE0" w:rsidRPr="00F242DD">
        <w:t>сть к бортезомибу</w:t>
      </w:r>
      <w:r w:rsidR="00A473F6" w:rsidRPr="00F242DD">
        <w:t>**</w:t>
      </w:r>
      <w:r w:rsidRPr="00F242DD">
        <w:t>,</w:t>
      </w:r>
      <w:r w:rsidR="00B241C1" w:rsidRPr="00F242DD">
        <w:t xml:space="preserve"> в качестве одной из возможных опций</w:t>
      </w:r>
      <w:r w:rsidR="000A156C" w:rsidRPr="00F242DD">
        <w:t xml:space="preserve"> </w:t>
      </w:r>
      <w:r w:rsidR="00FF0C02" w:rsidRPr="00F242DD">
        <w:rPr>
          <w:b/>
        </w:rPr>
        <w:t>рекомендуется</w:t>
      </w:r>
      <w:r w:rsidRPr="00F242DD">
        <w:t xml:space="preserve"> терапия с включением в схему лечени</w:t>
      </w:r>
      <w:r w:rsidR="00215D8C" w:rsidRPr="00F242DD">
        <w:t>я бортезомиба**</w:t>
      </w:r>
      <w:r w:rsidRPr="00F242DD">
        <w:t xml:space="preserve"> в сочетании с дексаметазоно</w:t>
      </w:r>
      <w:r w:rsidR="0056051E" w:rsidRPr="00F242DD">
        <w:t>м** и/или цитостатическими препа</w:t>
      </w:r>
      <w:r w:rsidRPr="00F242DD">
        <w:t>ра</w:t>
      </w:r>
      <w:r w:rsidR="0056051E" w:rsidRPr="00F242DD">
        <w:t>та</w:t>
      </w:r>
      <w:r w:rsidRPr="00F242DD">
        <w:t>ми</w:t>
      </w:r>
      <w:r w:rsidR="008446C4" w:rsidRPr="00F242DD">
        <w:t xml:space="preserve"> </w:t>
      </w:r>
      <w:r w:rsidR="00032CFB" w:rsidRPr="00F242DD">
        <w:t xml:space="preserve">(описание режимов – см. приложение </w:t>
      </w:r>
      <w:r w:rsidR="00C812D6" w:rsidRPr="00F242DD">
        <w:t>А3.1</w:t>
      </w:r>
      <w:r w:rsidR="008446C4" w:rsidRPr="00F242DD">
        <w:t>.</w:t>
      </w:r>
      <w:r w:rsidR="00032CFB" w:rsidRPr="00F242DD">
        <w:t>)</w:t>
      </w:r>
      <w:r w:rsidR="00A25379" w:rsidRPr="00F242DD">
        <w:t xml:space="preserve"> </w:t>
      </w:r>
      <w:r w:rsidR="00A96FB6" w:rsidRPr="00F242DD">
        <w:rPr>
          <w:i/>
        </w:rPr>
        <w:fldChar w:fldCharType="begin" w:fldLock="1"/>
      </w:r>
      <w:r w:rsidR="00F74B6B" w:rsidRPr="00F242DD">
        <w:rPr>
          <w:i/>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myeloma","type":"article","volume":"35"},"uris":["http://www.mendeley.com/documents/?uuid=4b51abe8-b4d6-30ad-bad9-00468e013c00"]},{"id":"ITEM-2","itemData":{"DOI":"10.1016/j.clml.2014.03.005","ISSN":"2152-2669","PMID":"25023616","abstract":"INTRODUCTION Bortezomib is administered for a finite course; thus, patients might remain sensitive to bortezomib-based therapy at relapse. We report a meta-analysis of bortezomib-based retreatment in relapsed/refractory myeloma. PATIENTS AND METHODS A systematic literature review identified studies of bortezomib-based retreatment in relapsed/refractory myeloma. Proportions of bortezomib-refractory patients and additional prognostic factors were extracted and used in weighted stratified analyses of TTP and OS. Random-effect pooled estimates were calculated for overall response rate (ORR) and rates of common AEs. RESULTS Twenty-three studies (n = 1051 patients) were identified. Bortezomib was administered intravenously in all studies. Across studies in which data were available, pooled, weighted average ORR was 39.1% (95% confidence interval, 30.8%-47.4%), and pooled, weighted average median TTP and OS were 7.5 and 16.6 months, respectively. Patients with fewer previous therapies (≤ 4) and relapsed (not refractory) patients achieved higher ORRs, of 43.4% and 57.2%, respectively. Random-effects meta-regression analysis confirmed that relapsed patients were associated with a higher ORR by 28 to 41 percentage points versus refractory patients. In relapsed patients, median TTP and OS were 8.5 and 19.7 months, respectively. Common Grade 3/4 AEs included thrombocytopenia (35%), neutropenia (15%), anemia (14%), pneumonia (10%), and peripheral neuropathy (3%). CONCLUSION Based on these findings, bortezomib retreatment is well tolerated and appears efficacious in relapsed patients. In an era of new and emerging treatment options for relapsed and/or refractory myeloma, these data indicate that bortezomib retreatment might be a highly effective option in previously treated patients.","author":[{"dropping-particle":"","family":"Knopf","given":"Kevin B","non-dropping-particle":"","parse-names":false,"suffix":""},{"dropping-particle":"","family":"Duh","given":"Mei Sheng","non-dropping-particle":"","parse-names":false,"suffix":""},{"dropping-particle":"","family":"Lafeuille","given":"Marie-Hélène","non-dropping-particle":"","parse-names":false,"suffix":""},{"dropping-particle":"","family":"Gravel","given":"Jonathan","non-dropping-particle":"","parse-names":false,"suffix":""},{"dropping-particle":"","family":"Lefebvre","given":"Patrick","non-dropping-particle":"","parse-names":false,"suffix":""},{"dropping-particle":"","family":"Niculescu","given":"Liviu","non-dropping-particle":"","parse-names":false,"suffix":""},{"dropping-particle":"","family":"Ba-Mancini","given":"Abbie","non-dropping-particle":"","parse-names":false,"suffix":""},{"dropping-particle":"","family":"Ma","given":"Esprit","non-dropping-particle":"","parse-names":false,"suffix":""},{"dropping-particle":"","family":"Shi","given":"Hongliang","non-dropping-particle":"","parse-names":false,"suffix":""},{"dropping-particle":"","family":"Comenzo","given":"Raymond L","non-dropping-particle":"","parse-names":false,"suffix":""}],"container-title":"Clinical lymphoma, myeloma &amp; leukemia","id":"ITEM-2","issue":"5","issued":{"date-parts":[["2014","10"]]},"page":"380-8","title":"Meta-analysis of the efficacy and safety of bortezomib re-treatment in patients with multiple myeloma.","type":"article-journal","volume":"14"},"uris":["http://www.mendeley.com/documents/?uuid=b3846e4f-86a4-3632-887c-068c5784518c"]},{"id":"ITEM-3","itemData":{"DOI":"10.1002/14651858.CD010816.pub2","ISSN":"1469-493X","PMID":"27096326","abstract":"BACKGROUND Multiple myeloma is a malignancy of plasma cells accounting for approximately 1% of cancers and 12% of haematological malignancies. The first-in-class proteasome inhibitor, bortezomib, is commonly used to treat newly diagnosed as well as relapsed/refractory myeloma, either as single agent or combined with other therapies. OBJECTIVES We conducted a systematic review and meta-analysis to assess the effects of bortezomib on overall survival (OS), progression-free survival (PFS), response rate (RR), health-related quality of life (HRQoL), adverse events (AEs) and treatment-related death (TRD). SEARCH METHODS We searched MEDLINE, the Cochrane Central Register of Controlled Trials and EMBASE (till 27 January 2016) as well as conference proceedings and clinical trial registries for randomised controlled trials (RCTs). SELECTION CRITERIA We included randomised controlled trials (RCTs) that compared i) bortezomib versus no bortezomib with the same background therapy in each arm; ii) bortezomib versus no bortezomib with different background therapy in each arm or compared to other agent(s) and iii) bortezomib dose comparisons and comparisons of different treatment administrations and schedules. DATA COLLECTION AND ANALYSIS Two review authors independently extracted outcomes data and assessed risk of bias. We extracted hazard ratios (HR) and their confidence intervals for OS and PFS and odds ratios (OR) for response rates, AEs and TRD. We contacted trial authors to provide summary statistics if missing. We estimated Logrank statistics which were not available. We extracted HRQoL data, where available. MAIN RESULTS We screened a total of 3667 records, identifying 16 relevant RCTs involving 5626 patients and included 12 trials in the meta-analyses. All trials were randomised and open-label studies. Two trials were published in abstract form and therefore we were unable to assess potential risk of bias in full.There is moderate-quality evidence that bortezomib prolongs OS (four studies, 1586 patients; Peto OR 0.77, 95% CI 0.65 to 0.92) and PFS (five studies, 1855 patients; Peto OR 0.65, 95% CI 0.57 to 0.74) from analysing trials of bortezomib versus no bortezomib with the same background therapy in each arm.There is high-quality evidence that bortezomib prolongs OS (five studies, 2532 patients; Peto OR 0.76, 95% CI 0.67 to 0.88) but low-quality evidence for PFS (four studies, 2489 patients; Peto OR 0.67, 95% CI 0.61 to 0.75) from analysing trials of bortez…","author":[{"dropping-particle":"","family":"Scott","given":"Kathleen","non-dropping-particle":"","parse-names":false,"suffix":""},{"dropping-particle":"","family":"Hayden","given":"Patrick J","non-dropping-particle":"","parse-names":false,"suffix":""},{"dropping-particle":"","family":"Will","given":"Andrea","non-dropping-particle":"","parse-names":false,"suffix":""},{"dropping-particle":"","family":"Wheatley","given":"Keith","non-dropping-particle":"","parse-names":false,"suffix":""},{"dropping-particle":"","family":"Coyne","given":"Imelda","non-dropping-particle":"","parse-names":false,"suffix":""}],"container-title":"The Cochrane database of systematic reviews","id":"ITEM-3","issued":{"date-parts":[["2016","4","20"]]},"page":"CD010816","title":"Bortezomib for the treatment of multiple myeloma.","type":"article-journal","volume":"4"},"uris":["http://www.mendeley.com/documents/?uuid=9ecdc7e8-5097-32cf-a812-bfc887947c9a"]}],"mendeley":{"formattedCitation":"[56–58]","plainTextFormattedCitation":"[56–58]","previouslyFormattedCitation":"[56–58]"},"properties":{"noteIndex":0},"schema":"https://github.com/citation-style-language/schema/raw/master/csl-citation.json"}</w:instrText>
      </w:r>
      <w:r w:rsidR="00A96FB6" w:rsidRPr="00F242DD">
        <w:rPr>
          <w:i/>
        </w:rPr>
        <w:fldChar w:fldCharType="separate"/>
      </w:r>
      <w:r w:rsidR="00705691" w:rsidRPr="00F242DD">
        <w:rPr>
          <w:noProof/>
        </w:rPr>
        <w:t>[56–58]</w:t>
      </w:r>
      <w:r w:rsidR="00A96FB6" w:rsidRPr="00F242DD">
        <w:rPr>
          <w:i/>
        </w:rPr>
        <w:fldChar w:fldCharType="end"/>
      </w:r>
      <w:r w:rsidR="0056051E" w:rsidRPr="00F242DD">
        <w:t>.</w:t>
      </w:r>
    </w:p>
    <w:p w14:paraId="2CF08D29" w14:textId="77777777" w:rsidR="00040BEB" w:rsidRPr="00F242DD" w:rsidRDefault="00040BEB" w:rsidP="00131E36">
      <w:pPr>
        <w:pStyle w:val="a6"/>
        <w:spacing w:before="0" w:after="0"/>
        <w:ind w:left="709"/>
        <w:rPr>
          <w:b/>
        </w:rPr>
      </w:pPr>
      <w:r w:rsidRPr="00F242DD">
        <w:rPr>
          <w:b/>
        </w:rPr>
        <w:t xml:space="preserve">Уровень убедительности рекомендаций </w:t>
      </w:r>
      <w:r w:rsidR="008446C4" w:rsidRPr="00F242DD">
        <w:rPr>
          <w:b/>
        </w:rPr>
        <w:t xml:space="preserve">− </w:t>
      </w:r>
      <w:r w:rsidR="002C4947" w:rsidRPr="00F242DD">
        <w:rPr>
          <w:b/>
          <w:lang w:val="en-US"/>
        </w:rPr>
        <w:t>A</w:t>
      </w:r>
      <w:r w:rsidR="00A25379" w:rsidRPr="00F242DD">
        <w:rPr>
          <w:b/>
        </w:rPr>
        <w:t xml:space="preserve"> </w:t>
      </w:r>
      <w:r w:rsidRPr="00F242DD">
        <w:rPr>
          <w:b/>
        </w:rPr>
        <w:t>(уровень достоверности доказательств</w:t>
      </w:r>
      <w:r w:rsidR="00A25379" w:rsidRPr="00F242DD">
        <w:rPr>
          <w:b/>
        </w:rPr>
        <w:t xml:space="preserve"> </w:t>
      </w:r>
      <w:r w:rsidR="008446C4" w:rsidRPr="00F242DD">
        <w:rPr>
          <w:b/>
        </w:rPr>
        <w:t xml:space="preserve">− </w:t>
      </w:r>
      <w:r w:rsidR="002C4947" w:rsidRPr="00F242DD">
        <w:rPr>
          <w:b/>
        </w:rPr>
        <w:t>1</w:t>
      </w:r>
      <w:r w:rsidRPr="00F242DD">
        <w:rPr>
          <w:b/>
        </w:rPr>
        <w:t>)</w:t>
      </w:r>
    </w:p>
    <w:p w14:paraId="23643809" w14:textId="77777777" w:rsidR="00200F20" w:rsidRPr="00F242DD" w:rsidRDefault="00040BEB" w:rsidP="00131E36">
      <w:pPr>
        <w:spacing w:before="0" w:after="0"/>
        <w:ind w:left="709"/>
        <w:contextualSpacing/>
        <w:rPr>
          <w:i/>
        </w:rPr>
      </w:pPr>
      <w:r w:rsidRPr="00F242DD">
        <w:rPr>
          <w:b/>
        </w:rPr>
        <w:t xml:space="preserve">Комментарий: </w:t>
      </w:r>
      <w:r w:rsidR="00D939A2" w:rsidRPr="00F242DD">
        <w:rPr>
          <w:i/>
        </w:rPr>
        <w:t xml:space="preserve">результаты </w:t>
      </w:r>
      <w:r w:rsidR="00200F20" w:rsidRPr="00F242DD">
        <w:rPr>
          <w:i/>
        </w:rPr>
        <w:t>крупного рандомизированного исследования APEX выявили более высокую эффективность бортезомиба</w:t>
      </w:r>
      <w:r w:rsidR="0056051E" w:rsidRPr="00F242DD">
        <w:rPr>
          <w:i/>
        </w:rPr>
        <w:t>**</w:t>
      </w:r>
      <w:r w:rsidR="00200F20" w:rsidRPr="00F242DD">
        <w:rPr>
          <w:i/>
        </w:rPr>
        <w:t xml:space="preserve"> (43</w:t>
      </w:r>
      <w:r w:rsidR="003738E6" w:rsidRPr="00F242DD">
        <w:rPr>
          <w:i/>
        </w:rPr>
        <w:t> </w:t>
      </w:r>
      <w:r w:rsidR="00200F20" w:rsidRPr="00F242DD">
        <w:rPr>
          <w:i/>
        </w:rPr>
        <w:t>%) по сравнению с дексаметазоном</w:t>
      </w:r>
      <w:r w:rsidR="0056051E" w:rsidRPr="00F242DD">
        <w:rPr>
          <w:i/>
        </w:rPr>
        <w:t>**</w:t>
      </w:r>
      <w:r w:rsidR="00200F20" w:rsidRPr="00F242DD">
        <w:rPr>
          <w:i/>
        </w:rPr>
        <w:t xml:space="preserve"> в высокой дозе (18</w:t>
      </w:r>
      <w:r w:rsidR="003738E6" w:rsidRPr="00F242DD">
        <w:rPr>
          <w:i/>
        </w:rPr>
        <w:t> </w:t>
      </w:r>
      <w:r w:rsidR="00200F20" w:rsidRPr="00F242DD">
        <w:rPr>
          <w:i/>
        </w:rPr>
        <w:t>%), а также улучшение показателей ВДП и ОВ. Добавление дексаметазона</w:t>
      </w:r>
      <w:r w:rsidR="0056051E" w:rsidRPr="00F242DD">
        <w:rPr>
          <w:i/>
        </w:rPr>
        <w:t>**</w:t>
      </w:r>
      <w:r w:rsidR="00200F20" w:rsidRPr="00F242DD">
        <w:rPr>
          <w:i/>
        </w:rPr>
        <w:t xml:space="preserve"> к терапии бортезомибом</w:t>
      </w:r>
      <w:r w:rsidR="0056051E" w:rsidRPr="00F242DD">
        <w:rPr>
          <w:i/>
        </w:rPr>
        <w:t>**</w:t>
      </w:r>
      <w:r w:rsidR="00200F20" w:rsidRPr="00F242DD">
        <w:rPr>
          <w:i/>
        </w:rPr>
        <w:t xml:space="preserve"> (VD) улучшает результаты на 12</w:t>
      </w:r>
      <w:r w:rsidR="00C43878" w:rsidRPr="00F242DD">
        <w:rPr>
          <w:i/>
        </w:rPr>
        <w:t>−</w:t>
      </w:r>
      <w:r w:rsidR="00200F20" w:rsidRPr="00F242DD">
        <w:rPr>
          <w:i/>
        </w:rPr>
        <w:t>18</w:t>
      </w:r>
      <w:r w:rsidR="00C43878" w:rsidRPr="00F242DD">
        <w:rPr>
          <w:i/>
        </w:rPr>
        <w:t> </w:t>
      </w:r>
      <w:r w:rsidR="00200F20" w:rsidRPr="00F242DD">
        <w:rPr>
          <w:i/>
        </w:rPr>
        <w:t>%. Программа VD считается одним из стандартов лечения рецидивов/рефрактерной ММ.</w:t>
      </w:r>
    </w:p>
    <w:p w14:paraId="56C67873" w14:textId="77777777" w:rsidR="00200F20" w:rsidRPr="00F242DD" w:rsidRDefault="00200F20" w:rsidP="00131E36">
      <w:pPr>
        <w:spacing w:before="0" w:after="0"/>
        <w:ind w:left="709"/>
        <w:contextualSpacing/>
        <w:rPr>
          <w:i/>
        </w:rPr>
      </w:pPr>
      <w:r w:rsidRPr="00F242DD">
        <w:rPr>
          <w:i/>
        </w:rPr>
        <w:t xml:space="preserve">В рандомизированном исследовании III фазы MMY-3021 было показано, что у </w:t>
      </w:r>
      <w:r w:rsidR="00FB03BB" w:rsidRPr="00F242DD">
        <w:rPr>
          <w:i/>
        </w:rPr>
        <w:t>пациентов</w:t>
      </w:r>
      <w:r w:rsidRPr="00F242DD">
        <w:rPr>
          <w:i/>
        </w:rPr>
        <w:t xml:space="preserve"> с рецидивами ММ бортезомиб</w:t>
      </w:r>
      <w:r w:rsidR="0056051E" w:rsidRPr="00F242DD">
        <w:rPr>
          <w:i/>
        </w:rPr>
        <w:t>**</w:t>
      </w:r>
      <w:r w:rsidRPr="00F242DD">
        <w:rPr>
          <w:i/>
        </w:rPr>
        <w:t>, вводимый подкожно, не уступает по эффективности бортезомибу</w:t>
      </w:r>
      <w:r w:rsidR="0056051E" w:rsidRPr="00F242DD">
        <w:rPr>
          <w:i/>
        </w:rPr>
        <w:t>**</w:t>
      </w:r>
      <w:r w:rsidRPr="00F242DD">
        <w:rPr>
          <w:i/>
        </w:rPr>
        <w:t>, вводимому внутривенно</w:t>
      </w:r>
      <w:r w:rsidR="002E6956" w:rsidRPr="00F242DD">
        <w:rPr>
          <w:i/>
        </w:rPr>
        <w:t xml:space="preserve"> (в/в)</w:t>
      </w:r>
      <w:r w:rsidRPr="00F242DD">
        <w:rPr>
          <w:i/>
        </w:rPr>
        <w:t>, и позволяет достичь такого же уровня ВДП и ОВ. Более того, при подкожном введении бортезомиба</w:t>
      </w:r>
      <w:r w:rsidR="0056051E" w:rsidRPr="00F242DD">
        <w:rPr>
          <w:i/>
        </w:rPr>
        <w:t>**</w:t>
      </w:r>
      <w:r w:rsidRPr="00F242DD">
        <w:rPr>
          <w:i/>
        </w:rPr>
        <w:t xml:space="preserve"> значительно реже, чем при </w:t>
      </w:r>
      <w:r w:rsidR="0023513B" w:rsidRPr="00F242DD">
        <w:rPr>
          <w:i/>
        </w:rPr>
        <w:t xml:space="preserve">в/в </w:t>
      </w:r>
      <w:r w:rsidRPr="00F242DD">
        <w:rPr>
          <w:i/>
        </w:rPr>
        <w:t>введении препарата, развивались нежелательные явления, в том числе периферическая полинейропатия. Таким образом, подкожное введение бортезомиба</w:t>
      </w:r>
      <w:r w:rsidR="00F92D50" w:rsidRPr="00F242DD">
        <w:rPr>
          <w:i/>
        </w:rPr>
        <w:t>**</w:t>
      </w:r>
      <w:r w:rsidRPr="00F242DD">
        <w:rPr>
          <w:i/>
        </w:rPr>
        <w:t xml:space="preserve"> следует рассматривать как стандартный метод введения препарата у всех пациентов с ММ.</w:t>
      </w:r>
      <w:r w:rsidR="007D4DCB" w:rsidRPr="00F242DD">
        <w:rPr>
          <w:i/>
        </w:rPr>
        <w:t xml:space="preserve"> </w:t>
      </w:r>
    </w:p>
    <w:p w14:paraId="1707C30C" w14:textId="77777777" w:rsidR="00200F20" w:rsidRPr="00F242DD" w:rsidRDefault="00200F20" w:rsidP="00131E36">
      <w:pPr>
        <w:spacing w:before="0" w:after="0"/>
        <w:ind w:left="709"/>
        <w:contextualSpacing/>
        <w:rPr>
          <w:i/>
        </w:rPr>
      </w:pPr>
      <w:r w:rsidRPr="00F242DD">
        <w:rPr>
          <w:i/>
        </w:rPr>
        <w:t>Комбинация бортезомиба</w:t>
      </w:r>
      <w:r w:rsidR="0056051E" w:rsidRPr="00F242DD">
        <w:rPr>
          <w:i/>
        </w:rPr>
        <w:t>**</w:t>
      </w:r>
      <w:r w:rsidRPr="00F242DD">
        <w:rPr>
          <w:i/>
        </w:rPr>
        <w:t xml:space="preserve"> с циклофосфамидом</w:t>
      </w:r>
      <w:r w:rsidR="0056051E" w:rsidRPr="00F242DD">
        <w:rPr>
          <w:i/>
        </w:rPr>
        <w:t>**</w:t>
      </w:r>
      <w:r w:rsidRPr="00F242DD">
        <w:rPr>
          <w:i/>
        </w:rPr>
        <w:t xml:space="preserve"> и дексаметазоном</w:t>
      </w:r>
      <w:r w:rsidR="0056051E" w:rsidRPr="00F242DD">
        <w:rPr>
          <w:i/>
        </w:rPr>
        <w:t>**</w:t>
      </w:r>
      <w:r w:rsidR="00C43878" w:rsidRPr="00F242DD">
        <w:rPr>
          <w:i/>
        </w:rPr>
        <w:t xml:space="preserve"> (VCD, CVD) эффективна у 75−</w:t>
      </w:r>
      <w:r w:rsidRPr="00F242DD">
        <w:rPr>
          <w:i/>
        </w:rPr>
        <w:t>82</w:t>
      </w:r>
      <w:r w:rsidR="00C43878" w:rsidRPr="00F242DD">
        <w:rPr>
          <w:i/>
        </w:rPr>
        <w:t> </w:t>
      </w:r>
      <w:r w:rsidRPr="00F242DD">
        <w:rPr>
          <w:i/>
        </w:rPr>
        <w:t xml:space="preserve">% пациентов с рецидивами MM, обладает умеренно выраженной токсичностью и может быть использована для проведения терапии этих </w:t>
      </w:r>
      <w:r w:rsidR="00FB03BB" w:rsidRPr="00F242DD">
        <w:rPr>
          <w:i/>
        </w:rPr>
        <w:t>пациентов</w:t>
      </w:r>
      <w:r w:rsidRPr="00F242DD">
        <w:rPr>
          <w:i/>
        </w:rPr>
        <w:t>. Для лечения рецидивов ММ также применяют другие программы с включением бортезомиба</w:t>
      </w:r>
      <w:r w:rsidR="0056051E" w:rsidRPr="00F242DD">
        <w:rPr>
          <w:i/>
        </w:rPr>
        <w:t>**</w:t>
      </w:r>
      <w:r w:rsidRPr="00F242DD">
        <w:rPr>
          <w:i/>
        </w:rPr>
        <w:t xml:space="preserve"> (VMP, PAD</w:t>
      </w:r>
      <w:r w:rsidR="00CF7A54" w:rsidRPr="00F242DD">
        <w:rPr>
          <w:i/>
        </w:rPr>
        <w:t xml:space="preserve">, </w:t>
      </w:r>
      <w:r w:rsidR="00697C98" w:rsidRPr="00F242DD">
        <w:rPr>
          <w:i/>
          <w:lang w:val="en-US"/>
        </w:rPr>
        <w:t>Vel</w:t>
      </w:r>
      <w:r w:rsidR="00697C98" w:rsidRPr="00F242DD">
        <w:rPr>
          <w:i/>
        </w:rPr>
        <w:t>-</w:t>
      </w:r>
      <w:r w:rsidR="00697C98" w:rsidRPr="00F242DD">
        <w:rPr>
          <w:i/>
          <w:lang w:val="en-US"/>
        </w:rPr>
        <w:t>PLD</w:t>
      </w:r>
      <w:r w:rsidRPr="00F242DD">
        <w:rPr>
          <w:i/>
        </w:rPr>
        <w:t>).</w:t>
      </w:r>
    </w:p>
    <w:p w14:paraId="1FD27316" w14:textId="77777777" w:rsidR="00040BEB" w:rsidRPr="00F242DD" w:rsidRDefault="00200F20" w:rsidP="00131E36">
      <w:pPr>
        <w:spacing w:before="0" w:after="0"/>
        <w:ind w:left="709"/>
        <w:contextualSpacing/>
        <w:rPr>
          <w:i/>
        </w:rPr>
      </w:pPr>
      <w:r w:rsidRPr="00F242DD">
        <w:rPr>
          <w:i/>
        </w:rPr>
        <w:t>Практическое значение имеет вопрос об эффективности повторного использования бортезомиба</w:t>
      </w:r>
      <w:r w:rsidR="0056051E" w:rsidRPr="00F242DD">
        <w:rPr>
          <w:i/>
        </w:rPr>
        <w:t>**</w:t>
      </w:r>
      <w:r w:rsidRPr="00F242DD">
        <w:rPr>
          <w:i/>
        </w:rPr>
        <w:t>. По данным проспективного исследования, возобновление лечения бортезомибом</w:t>
      </w:r>
      <w:r w:rsidR="0056051E" w:rsidRPr="00F242DD">
        <w:rPr>
          <w:i/>
        </w:rPr>
        <w:t>**</w:t>
      </w:r>
      <w:r w:rsidRPr="00F242DD">
        <w:rPr>
          <w:i/>
        </w:rPr>
        <w:t xml:space="preserve"> эффективно у 40</w:t>
      </w:r>
      <w:r w:rsidR="00C43878" w:rsidRPr="00F242DD">
        <w:rPr>
          <w:i/>
        </w:rPr>
        <w:t> </w:t>
      </w:r>
      <w:r w:rsidRPr="00F242DD">
        <w:rPr>
          <w:i/>
        </w:rPr>
        <w:t xml:space="preserve">% </w:t>
      </w:r>
      <w:r w:rsidR="00FB03BB" w:rsidRPr="00F242DD">
        <w:rPr>
          <w:i/>
        </w:rPr>
        <w:t>пациентов</w:t>
      </w:r>
      <w:r w:rsidRPr="00F242DD">
        <w:rPr>
          <w:i/>
        </w:rPr>
        <w:t>. Результаты одного из ретроспективных исследований показали, что у пациентов, ранее эффективно лечен</w:t>
      </w:r>
      <w:r w:rsidR="003144D3" w:rsidRPr="00F242DD">
        <w:rPr>
          <w:i/>
        </w:rPr>
        <w:t>н</w:t>
      </w:r>
      <w:r w:rsidRPr="00F242DD">
        <w:rPr>
          <w:i/>
        </w:rPr>
        <w:t>ых бортезомибом</w:t>
      </w:r>
      <w:r w:rsidR="0056051E" w:rsidRPr="00F242DD">
        <w:rPr>
          <w:i/>
        </w:rPr>
        <w:t>**</w:t>
      </w:r>
      <w:r w:rsidRPr="00F242DD">
        <w:rPr>
          <w:i/>
        </w:rPr>
        <w:t>, в 63</w:t>
      </w:r>
      <w:r w:rsidR="00C43878" w:rsidRPr="00F242DD">
        <w:rPr>
          <w:i/>
        </w:rPr>
        <w:t> </w:t>
      </w:r>
      <w:r w:rsidRPr="00F242DD">
        <w:rPr>
          <w:i/>
        </w:rPr>
        <w:t xml:space="preserve">% случаев возобновление лечения </w:t>
      </w:r>
      <w:r w:rsidR="006C5992" w:rsidRPr="00F242DD">
        <w:rPr>
          <w:i/>
        </w:rPr>
        <w:t>этим препаратом</w:t>
      </w:r>
      <w:r w:rsidRPr="00F242DD">
        <w:rPr>
          <w:i/>
        </w:rPr>
        <w:t xml:space="preserve"> позволило получить противоопухолевый ответ (55</w:t>
      </w:r>
      <w:r w:rsidR="006C5992" w:rsidRPr="00F242DD">
        <w:rPr>
          <w:i/>
        </w:rPr>
        <w:t> </w:t>
      </w:r>
      <w:r w:rsidRPr="00F242DD">
        <w:rPr>
          <w:i/>
        </w:rPr>
        <w:t xml:space="preserve">% </w:t>
      </w:r>
      <w:r w:rsidR="00FB03BB" w:rsidRPr="00F242DD">
        <w:rPr>
          <w:i/>
        </w:rPr>
        <w:t>пациентов</w:t>
      </w:r>
      <w:r w:rsidRPr="00F242DD">
        <w:rPr>
          <w:i/>
        </w:rPr>
        <w:t xml:space="preserve"> получали дексаметазон</w:t>
      </w:r>
      <w:r w:rsidR="00AD2477" w:rsidRPr="00F242DD">
        <w:rPr>
          <w:i/>
        </w:rPr>
        <w:t>**</w:t>
      </w:r>
      <w:r w:rsidRPr="00F242DD">
        <w:rPr>
          <w:i/>
        </w:rPr>
        <w:t>). При этом медиана ВДП достигла 9,3 мес, ОВ – 1,7 года. Эффективность повторного лечения бортезомибом</w:t>
      </w:r>
      <w:r w:rsidR="0056051E" w:rsidRPr="00F242DD">
        <w:rPr>
          <w:i/>
        </w:rPr>
        <w:t>**</w:t>
      </w:r>
      <w:r w:rsidRPr="00F242DD">
        <w:rPr>
          <w:i/>
        </w:rPr>
        <w:t xml:space="preserve"> зависела от </w:t>
      </w:r>
      <w:r w:rsidRPr="00F242DD">
        <w:rPr>
          <w:i/>
        </w:rPr>
        <w:lastRenderedPageBreak/>
        <w:t xml:space="preserve">длительности интервала без лечения после первоначальной терапии этим препаратом. У пациентов с интервалом без лечения после предшествующего лечения этим препаратом </w:t>
      </w:r>
      <w:r w:rsidR="006C5992" w:rsidRPr="00F242DD">
        <w:rPr>
          <w:i/>
        </w:rPr>
        <w:t>&gt;</w:t>
      </w:r>
      <w:r w:rsidRPr="00F242DD">
        <w:rPr>
          <w:i/>
        </w:rPr>
        <w:t>6 мес</w:t>
      </w:r>
      <w:r w:rsidR="00E778E9" w:rsidRPr="00F242DD">
        <w:rPr>
          <w:i/>
        </w:rPr>
        <w:t>.</w:t>
      </w:r>
      <w:r w:rsidRPr="00F242DD">
        <w:rPr>
          <w:i/>
        </w:rPr>
        <w:t xml:space="preserve"> общая эффективность составила 76,9</w:t>
      </w:r>
      <w:r w:rsidR="006C5992" w:rsidRPr="00F242DD">
        <w:rPr>
          <w:i/>
        </w:rPr>
        <w:t> </w:t>
      </w:r>
      <w:r w:rsidRPr="00F242DD">
        <w:rPr>
          <w:i/>
        </w:rPr>
        <w:t xml:space="preserve">%, у </w:t>
      </w:r>
      <w:r w:rsidR="00FB03BB" w:rsidRPr="00F242DD">
        <w:rPr>
          <w:i/>
        </w:rPr>
        <w:t>пациентов</w:t>
      </w:r>
      <w:r w:rsidRPr="00F242DD">
        <w:rPr>
          <w:i/>
        </w:rPr>
        <w:t xml:space="preserve"> с интервалом без лечения </w:t>
      </w:r>
      <w:r w:rsidR="003D6BFB" w:rsidRPr="00F242DD">
        <w:rPr>
          <w:i/>
        </w:rPr>
        <w:t>≤</w:t>
      </w:r>
      <w:r w:rsidRPr="00F242DD">
        <w:rPr>
          <w:i/>
        </w:rPr>
        <w:t>6 мес</w:t>
      </w:r>
      <w:r w:rsidR="00E778E9" w:rsidRPr="00F242DD">
        <w:rPr>
          <w:i/>
        </w:rPr>
        <w:t>.</w:t>
      </w:r>
      <w:r w:rsidRPr="00F242DD">
        <w:rPr>
          <w:i/>
        </w:rPr>
        <w:t xml:space="preserve"> – 38,1</w:t>
      </w:r>
      <w:r w:rsidR="003D6BFB" w:rsidRPr="00F242DD">
        <w:rPr>
          <w:i/>
        </w:rPr>
        <w:t> </w:t>
      </w:r>
      <w:r w:rsidRPr="00F242DD">
        <w:rPr>
          <w:i/>
        </w:rPr>
        <w:t xml:space="preserve">%.  </w:t>
      </w:r>
    </w:p>
    <w:p w14:paraId="6795D0A8" w14:textId="77777777" w:rsidR="00D73B3F" w:rsidRPr="00F242DD" w:rsidRDefault="00B228C7" w:rsidP="00727CDE">
      <w:pPr>
        <w:pStyle w:val="a6"/>
        <w:numPr>
          <w:ilvl w:val="0"/>
          <w:numId w:val="8"/>
        </w:numPr>
        <w:tabs>
          <w:tab w:val="clear" w:pos="348"/>
          <w:tab w:val="num" w:pos="709"/>
        </w:tabs>
        <w:spacing w:before="0" w:after="0"/>
        <w:ind w:left="709" w:hanging="709"/>
      </w:pPr>
      <w:r w:rsidRPr="00F242DD">
        <w:t>Пациентам с</w:t>
      </w:r>
      <w:r w:rsidR="004A402B" w:rsidRPr="00F242DD">
        <w:t xml:space="preserve"> рецидивом ММ</w:t>
      </w:r>
      <w:r w:rsidRPr="00F242DD">
        <w:t>, которым показана противомиеломная терапия и у которых не развилас</w:t>
      </w:r>
      <w:r w:rsidR="00006CE0" w:rsidRPr="00F242DD">
        <w:t>ь рефрактерность к</w:t>
      </w:r>
      <w:r w:rsidR="000A156C" w:rsidRPr="00F242DD">
        <w:t xml:space="preserve"> </w:t>
      </w:r>
      <w:r w:rsidRPr="00F242DD">
        <w:t>леналидомиду</w:t>
      </w:r>
      <w:r w:rsidR="0056051E" w:rsidRPr="00F242DD">
        <w:t>**</w:t>
      </w:r>
      <w:r w:rsidRPr="00F242DD">
        <w:t xml:space="preserve">, в качестве одной из возможных опций </w:t>
      </w:r>
      <w:r w:rsidR="00B657E4" w:rsidRPr="00F242DD">
        <w:rPr>
          <w:b/>
        </w:rPr>
        <w:t>рекомендуется</w:t>
      </w:r>
      <w:r w:rsidR="00D73B3F" w:rsidRPr="00F242DD">
        <w:t xml:space="preserve"> терапия с включением в схему лечения </w:t>
      </w:r>
      <w:r w:rsidR="00703049" w:rsidRPr="00F242DD">
        <w:t>леналидомида</w:t>
      </w:r>
      <w:r w:rsidR="00D73B3F" w:rsidRPr="00F242DD">
        <w:t xml:space="preserve">** в сочетании с дексаметазоном** </w:t>
      </w:r>
      <w:r w:rsidR="00032CFB" w:rsidRPr="00F242DD">
        <w:t xml:space="preserve">(описание режимов – см. приложение </w:t>
      </w:r>
      <w:r w:rsidR="00C812D6" w:rsidRPr="00F242DD">
        <w:t>А3.1</w:t>
      </w:r>
      <w:r w:rsidR="00B46790" w:rsidRPr="00F242DD">
        <w:t>.</w:t>
      </w:r>
      <w:r w:rsidR="00032CFB" w:rsidRPr="00F242DD">
        <w:t>)</w:t>
      </w:r>
      <w:r w:rsidR="00D939A2" w:rsidRPr="00F242DD">
        <w:t xml:space="preserve"> </w:t>
      </w:r>
      <w:r w:rsidR="00A96FB6" w:rsidRPr="00F242DD">
        <w:rPr>
          <w:i/>
        </w:rPr>
        <w:fldChar w:fldCharType="begin" w:fldLock="1"/>
      </w:r>
      <w:r w:rsidR="00F74B6B" w:rsidRPr="00F242DD">
        <w:rPr>
          <w:i/>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mendeley":{"formattedCitation":"[56]","plainTextFormattedCitation":"[56]","previouslyFormattedCitation":"[56]"},"properties":{"noteIndex":0},"schema":"https://github.com/citation-style-language/schema/raw/master/csl-citation.json"}</w:instrText>
      </w:r>
      <w:r w:rsidR="00A96FB6" w:rsidRPr="00F242DD">
        <w:rPr>
          <w:i/>
        </w:rPr>
        <w:fldChar w:fldCharType="separate"/>
      </w:r>
      <w:r w:rsidR="00705691" w:rsidRPr="00F242DD">
        <w:rPr>
          <w:noProof/>
        </w:rPr>
        <w:t>[56]</w:t>
      </w:r>
      <w:r w:rsidR="00A96FB6" w:rsidRPr="00F242DD">
        <w:rPr>
          <w:i/>
        </w:rPr>
        <w:fldChar w:fldCharType="end"/>
      </w:r>
      <w:r w:rsidR="0056051E" w:rsidRPr="00F242DD">
        <w:t>.</w:t>
      </w:r>
    </w:p>
    <w:p w14:paraId="7972A9AD" w14:textId="77777777" w:rsidR="00D73B3F" w:rsidRPr="00F242DD" w:rsidRDefault="00D73B3F" w:rsidP="00131E36">
      <w:pPr>
        <w:pStyle w:val="a6"/>
        <w:spacing w:before="0" w:after="0"/>
        <w:ind w:left="709"/>
        <w:rPr>
          <w:b/>
        </w:rPr>
      </w:pPr>
      <w:r w:rsidRPr="00F242DD">
        <w:rPr>
          <w:b/>
        </w:rPr>
        <w:t xml:space="preserve">Уровень убедительности рекомендаций </w:t>
      </w:r>
      <w:r w:rsidR="00B46790" w:rsidRPr="00F242DD">
        <w:rPr>
          <w:b/>
        </w:rPr>
        <w:t xml:space="preserve">− </w:t>
      </w:r>
      <w:r w:rsidR="002C4947" w:rsidRPr="00F242DD">
        <w:rPr>
          <w:b/>
          <w:lang w:val="en-US"/>
        </w:rPr>
        <w:t>A</w:t>
      </w:r>
      <w:r w:rsidR="000A156C" w:rsidRPr="00F242DD">
        <w:rPr>
          <w:b/>
        </w:rPr>
        <w:t xml:space="preserve"> </w:t>
      </w:r>
      <w:r w:rsidRPr="00F242DD">
        <w:rPr>
          <w:b/>
        </w:rPr>
        <w:t>(уровень достоверности доказательств</w:t>
      </w:r>
      <w:r w:rsidR="000A156C" w:rsidRPr="00F242DD">
        <w:rPr>
          <w:b/>
        </w:rPr>
        <w:t xml:space="preserve"> </w:t>
      </w:r>
      <w:r w:rsidR="00B46790" w:rsidRPr="00F242DD">
        <w:rPr>
          <w:b/>
        </w:rPr>
        <w:t xml:space="preserve">− </w:t>
      </w:r>
      <w:r w:rsidR="002C4947" w:rsidRPr="00F242DD">
        <w:rPr>
          <w:b/>
        </w:rPr>
        <w:t>1</w:t>
      </w:r>
      <w:r w:rsidRPr="00F242DD">
        <w:rPr>
          <w:b/>
        </w:rPr>
        <w:t>)</w:t>
      </w:r>
    </w:p>
    <w:p w14:paraId="3EE43A39" w14:textId="77777777" w:rsidR="004E08AC" w:rsidRPr="00F242DD" w:rsidRDefault="00D73B3F" w:rsidP="00E36DFA">
      <w:pPr>
        <w:pStyle w:val="a4"/>
        <w:spacing w:before="0" w:beforeAutospacing="0" w:after="0" w:afterAutospacing="0" w:line="360" w:lineRule="auto"/>
        <w:ind w:left="709"/>
        <w:contextualSpacing/>
        <w:jc w:val="both"/>
        <w:rPr>
          <w:rFonts w:eastAsia="Calibri"/>
          <w:i/>
          <w:szCs w:val="22"/>
          <w:lang w:eastAsia="en-US"/>
        </w:rPr>
      </w:pPr>
      <w:r w:rsidRPr="00F242DD">
        <w:rPr>
          <w:b/>
        </w:rPr>
        <w:t xml:space="preserve">Комментарий: </w:t>
      </w:r>
      <w:r w:rsidR="00D939A2" w:rsidRPr="00F242DD">
        <w:rPr>
          <w:rFonts w:eastAsia="Calibri"/>
          <w:i/>
          <w:szCs w:val="22"/>
          <w:lang w:eastAsia="en-US"/>
        </w:rPr>
        <w:t xml:space="preserve">в </w:t>
      </w:r>
      <w:r w:rsidR="004E08AC" w:rsidRPr="00F242DD">
        <w:rPr>
          <w:rFonts w:eastAsia="Calibri"/>
          <w:i/>
          <w:szCs w:val="22"/>
          <w:lang w:eastAsia="en-US"/>
        </w:rPr>
        <w:t>двух крупных рандомизированных исследованиях III фазы показано, что сочетание леналидомида</w:t>
      </w:r>
      <w:r w:rsidR="00A473F6" w:rsidRPr="00F242DD">
        <w:rPr>
          <w:rFonts w:eastAsia="Calibri"/>
          <w:i/>
          <w:szCs w:val="22"/>
          <w:lang w:eastAsia="en-US"/>
        </w:rPr>
        <w:t>**</w:t>
      </w:r>
      <w:r w:rsidR="004E08AC" w:rsidRPr="00F242DD">
        <w:rPr>
          <w:rFonts w:eastAsia="Calibri"/>
          <w:i/>
          <w:szCs w:val="22"/>
          <w:lang w:eastAsia="en-US"/>
        </w:rPr>
        <w:t xml:space="preserve"> с дексаметазоном</w:t>
      </w:r>
      <w:r w:rsidR="00A473F6" w:rsidRPr="00F242DD">
        <w:rPr>
          <w:rFonts w:eastAsia="Calibri"/>
          <w:i/>
          <w:szCs w:val="22"/>
          <w:lang w:eastAsia="en-US"/>
        </w:rPr>
        <w:t>**</w:t>
      </w:r>
      <w:r w:rsidR="004E08AC" w:rsidRPr="00F242DD">
        <w:rPr>
          <w:rFonts w:eastAsia="Calibri"/>
          <w:i/>
          <w:szCs w:val="22"/>
          <w:lang w:eastAsia="en-US"/>
        </w:rPr>
        <w:t xml:space="preserve"> существенно превышает по эффективности лечение дексаметазоном</w:t>
      </w:r>
      <w:r w:rsidR="00A473F6" w:rsidRPr="00F242DD">
        <w:rPr>
          <w:rFonts w:eastAsia="Calibri"/>
          <w:i/>
          <w:szCs w:val="22"/>
          <w:lang w:eastAsia="en-US"/>
        </w:rPr>
        <w:t>**</w:t>
      </w:r>
      <w:r w:rsidR="004E08AC" w:rsidRPr="00F242DD">
        <w:rPr>
          <w:rFonts w:eastAsia="Calibri"/>
          <w:i/>
          <w:szCs w:val="22"/>
          <w:lang w:eastAsia="en-US"/>
        </w:rPr>
        <w:t xml:space="preserve"> в высокой дозе. Общая эффективность терапии леналидомидом</w:t>
      </w:r>
      <w:r w:rsidR="00A473F6" w:rsidRPr="00F242DD">
        <w:rPr>
          <w:rFonts w:eastAsia="Calibri"/>
          <w:i/>
          <w:szCs w:val="22"/>
          <w:lang w:eastAsia="en-US"/>
        </w:rPr>
        <w:t>**</w:t>
      </w:r>
      <w:r w:rsidR="004E08AC" w:rsidRPr="00F242DD">
        <w:rPr>
          <w:rFonts w:eastAsia="Calibri"/>
          <w:i/>
          <w:szCs w:val="22"/>
          <w:lang w:eastAsia="en-US"/>
        </w:rPr>
        <w:t xml:space="preserve"> и дексаметазоном</w:t>
      </w:r>
      <w:r w:rsidR="00A473F6" w:rsidRPr="00F242DD">
        <w:rPr>
          <w:rFonts w:eastAsia="Calibri"/>
          <w:i/>
          <w:szCs w:val="22"/>
          <w:lang w:eastAsia="en-US"/>
        </w:rPr>
        <w:t>**</w:t>
      </w:r>
      <w:r w:rsidR="004E08AC" w:rsidRPr="00F242DD">
        <w:rPr>
          <w:rFonts w:eastAsia="Calibri"/>
          <w:i/>
          <w:szCs w:val="22"/>
          <w:lang w:eastAsia="en-US"/>
        </w:rPr>
        <w:t xml:space="preserve"> составила 61 и 60,6</w:t>
      </w:r>
      <w:r w:rsidR="00B46790" w:rsidRPr="00F242DD">
        <w:rPr>
          <w:rFonts w:eastAsia="Calibri"/>
          <w:i/>
          <w:szCs w:val="22"/>
          <w:lang w:eastAsia="en-US"/>
        </w:rPr>
        <w:t> </w:t>
      </w:r>
      <w:r w:rsidR="004E08AC" w:rsidRPr="00F242DD">
        <w:rPr>
          <w:rFonts w:eastAsia="Calibri"/>
          <w:i/>
          <w:szCs w:val="22"/>
          <w:lang w:eastAsia="en-US"/>
        </w:rPr>
        <w:t>%, а дексаметазоном</w:t>
      </w:r>
      <w:r w:rsidR="00A473F6" w:rsidRPr="00F242DD">
        <w:rPr>
          <w:rFonts w:eastAsia="Calibri"/>
          <w:i/>
          <w:szCs w:val="22"/>
          <w:lang w:eastAsia="en-US"/>
        </w:rPr>
        <w:t>**</w:t>
      </w:r>
      <w:r w:rsidR="004E08AC" w:rsidRPr="00F242DD">
        <w:rPr>
          <w:rFonts w:eastAsia="Calibri"/>
          <w:i/>
          <w:szCs w:val="22"/>
          <w:lang w:eastAsia="en-US"/>
        </w:rPr>
        <w:t xml:space="preserve"> – 19,9 и 24</w:t>
      </w:r>
      <w:r w:rsidR="00B46790" w:rsidRPr="00F242DD">
        <w:rPr>
          <w:rFonts w:eastAsia="Calibri"/>
          <w:i/>
          <w:szCs w:val="22"/>
          <w:lang w:eastAsia="en-US"/>
        </w:rPr>
        <w:t> </w:t>
      </w:r>
      <w:r w:rsidR="004E08AC" w:rsidRPr="00F242DD">
        <w:rPr>
          <w:rFonts w:eastAsia="Calibri"/>
          <w:i/>
          <w:szCs w:val="22"/>
          <w:lang w:eastAsia="en-US"/>
        </w:rPr>
        <w:t xml:space="preserve">%. </w:t>
      </w:r>
      <w:r w:rsidR="00B227A1" w:rsidRPr="00F242DD">
        <w:rPr>
          <w:rFonts w:eastAsia="Calibri"/>
          <w:i/>
          <w:szCs w:val="22"/>
          <w:lang w:eastAsia="en-US"/>
        </w:rPr>
        <w:t>ПР</w:t>
      </w:r>
      <w:r w:rsidR="004E08AC" w:rsidRPr="00F242DD">
        <w:rPr>
          <w:rFonts w:eastAsia="Calibri"/>
          <w:i/>
          <w:szCs w:val="22"/>
          <w:lang w:eastAsia="en-US"/>
        </w:rPr>
        <w:t xml:space="preserve"> и почти </w:t>
      </w:r>
      <w:r w:rsidR="00B227A1" w:rsidRPr="00F242DD">
        <w:rPr>
          <w:rFonts w:eastAsia="Calibri"/>
          <w:i/>
          <w:szCs w:val="22"/>
          <w:lang w:eastAsia="en-US"/>
        </w:rPr>
        <w:t>ПР</w:t>
      </w:r>
      <w:r w:rsidR="004E08AC" w:rsidRPr="00F242DD">
        <w:rPr>
          <w:rFonts w:eastAsia="Calibri"/>
          <w:i/>
          <w:szCs w:val="22"/>
          <w:lang w:eastAsia="en-US"/>
        </w:rPr>
        <w:t xml:space="preserve"> при лечении леналидомидом</w:t>
      </w:r>
      <w:r w:rsidR="00A473F6" w:rsidRPr="00F242DD">
        <w:rPr>
          <w:rFonts w:eastAsia="Calibri"/>
          <w:i/>
          <w:szCs w:val="22"/>
          <w:lang w:eastAsia="en-US"/>
        </w:rPr>
        <w:t>**</w:t>
      </w:r>
      <w:r w:rsidR="004E08AC" w:rsidRPr="00F242DD">
        <w:rPr>
          <w:rFonts w:eastAsia="Calibri"/>
          <w:i/>
          <w:szCs w:val="22"/>
          <w:lang w:eastAsia="en-US"/>
        </w:rPr>
        <w:t xml:space="preserve"> и дексаметазоном</w:t>
      </w:r>
      <w:r w:rsidR="00A473F6" w:rsidRPr="00F242DD">
        <w:rPr>
          <w:rFonts w:eastAsia="Calibri"/>
          <w:i/>
          <w:szCs w:val="22"/>
          <w:lang w:eastAsia="en-US"/>
        </w:rPr>
        <w:t>**</w:t>
      </w:r>
      <w:r w:rsidR="004E08AC" w:rsidRPr="00F242DD">
        <w:rPr>
          <w:rFonts w:eastAsia="Calibri"/>
          <w:i/>
          <w:szCs w:val="22"/>
          <w:lang w:eastAsia="en-US"/>
        </w:rPr>
        <w:t xml:space="preserve"> получены у 24</w:t>
      </w:r>
      <w:r w:rsidR="00B227A1" w:rsidRPr="00F242DD">
        <w:rPr>
          <w:rFonts w:eastAsia="Calibri"/>
          <w:i/>
          <w:szCs w:val="22"/>
          <w:lang w:eastAsia="en-US"/>
        </w:rPr>
        <w:t> </w:t>
      </w:r>
      <w:r w:rsidR="004E08AC" w:rsidRPr="00F242DD">
        <w:rPr>
          <w:rFonts w:eastAsia="Calibri"/>
          <w:i/>
          <w:szCs w:val="22"/>
          <w:lang w:eastAsia="en-US"/>
        </w:rPr>
        <w:t xml:space="preserve">% </w:t>
      </w:r>
      <w:r w:rsidR="00FB03BB" w:rsidRPr="00F242DD">
        <w:rPr>
          <w:rFonts w:eastAsia="Calibri"/>
          <w:i/>
          <w:szCs w:val="22"/>
          <w:lang w:eastAsia="en-US"/>
        </w:rPr>
        <w:t>пациентов</w:t>
      </w:r>
      <w:r w:rsidR="004E08AC" w:rsidRPr="00F242DD">
        <w:rPr>
          <w:rFonts w:eastAsia="Calibri"/>
          <w:i/>
          <w:szCs w:val="22"/>
          <w:lang w:eastAsia="en-US"/>
        </w:rPr>
        <w:t>. Медиана ВДП при лечении леналидомидом</w:t>
      </w:r>
      <w:r w:rsidR="00A473F6" w:rsidRPr="00F242DD">
        <w:rPr>
          <w:rFonts w:eastAsia="Calibri"/>
          <w:i/>
          <w:szCs w:val="22"/>
          <w:lang w:eastAsia="en-US"/>
        </w:rPr>
        <w:t>**</w:t>
      </w:r>
      <w:r w:rsidR="004E08AC" w:rsidRPr="00F242DD">
        <w:rPr>
          <w:rFonts w:eastAsia="Calibri"/>
          <w:i/>
          <w:szCs w:val="22"/>
          <w:lang w:eastAsia="en-US"/>
        </w:rPr>
        <w:t xml:space="preserve"> и дексаметазоном</w:t>
      </w:r>
      <w:r w:rsidR="00A473F6" w:rsidRPr="00F242DD">
        <w:rPr>
          <w:rFonts w:eastAsia="Calibri"/>
          <w:i/>
          <w:szCs w:val="22"/>
          <w:lang w:eastAsia="en-US"/>
        </w:rPr>
        <w:t>**</w:t>
      </w:r>
      <w:r w:rsidR="004E08AC" w:rsidRPr="00F242DD">
        <w:rPr>
          <w:rFonts w:eastAsia="Calibri"/>
          <w:i/>
          <w:szCs w:val="22"/>
          <w:lang w:eastAsia="en-US"/>
        </w:rPr>
        <w:t xml:space="preserve"> составила 11,2 мес</w:t>
      </w:r>
      <w:r w:rsidR="00E778E9" w:rsidRPr="00F242DD">
        <w:rPr>
          <w:rFonts w:eastAsia="Calibri"/>
          <w:i/>
          <w:szCs w:val="22"/>
          <w:lang w:eastAsia="en-US"/>
        </w:rPr>
        <w:t>.</w:t>
      </w:r>
      <w:r w:rsidR="004E08AC" w:rsidRPr="00F242DD">
        <w:rPr>
          <w:rFonts w:eastAsia="Calibri"/>
          <w:i/>
          <w:szCs w:val="22"/>
          <w:lang w:eastAsia="en-US"/>
        </w:rPr>
        <w:t xml:space="preserve"> (при лечении дексаметазоном</w:t>
      </w:r>
      <w:r w:rsidR="00A473F6" w:rsidRPr="00F242DD">
        <w:rPr>
          <w:rFonts w:eastAsia="Calibri"/>
          <w:i/>
          <w:szCs w:val="22"/>
          <w:lang w:eastAsia="en-US"/>
        </w:rPr>
        <w:t>**</w:t>
      </w:r>
      <w:r w:rsidR="00B227A1" w:rsidRPr="00F242DD">
        <w:rPr>
          <w:rFonts w:eastAsia="Calibri"/>
          <w:i/>
          <w:szCs w:val="22"/>
          <w:lang w:eastAsia="en-US"/>
        </w:rPr>
        <w:t xml:space="preserve"> − </w:t>
      </w:r>
      <w:r w:rsidR="004E08AC" w:rsidRPr="00F242DD">
        <w:rPr>
          <w:rFonts w:eastAsia="Calibri"/>
          <w:i/>
          <w:szCs w:val="22"/>
          <w:lang w:eastAsia="en-US"/>
        </w:rPr>
        <w:t xml:space="preserve"> 4,7 мес</w:t>
      </w:r>
      <w:r w:rsidR="009F1549" w:rsidRPr="00F242DD">
        <w:rPr>
          <w:rFonts w:eastAsia="Calibri"/>
          <w:i/>
          <w:szCs w:val="22"/>
          <w:lang w:eastAsia="en-US"/>
        </w:rPr>
        <w:t>.</w:t>
      </w:r>
      <w:r w:rsidR="004E08AC" w:rsidRPr="00F242DD">
        <w:rPr>
          <w:rFonts w:eastAsia="Calibri"/>
          <w:i/>
          <w:szCs w:val="22"/>
          <w:lang w:eastAsia="en-US"/>
        </w:rPr>
        <w:t>). Медиана ОВ составила соответственно 35 и 31 мес.</w:t>
      </w:r>
    </w:p>
    <w:p w14:paraId="549A7798" w14:textId="77777777" w:rsidR="004E08AC" w:rsidRPr="00F242DD" w:rsidRDefault="004E08AC" w:rsidP="00E36DFA">
      <w:pPr>
        <w:pStyle w:val="a4"/>
        <w:spacing w:before="0" w:beforeAutospacing="0" w:after="0" w:afterAutospacing="0" w:line="360" w:lineRule="auto"/>
        <w:ind w:left="709"/>
        <w:contextualSpacing/>
        <w:jc w:val="both"/>
        <w:rPr>
          <w:rFonts w:eastAsia="Calibri"/>
          <w:i/>
          <w:szCs w:val="22"/>
          <w:lang w:eastAsia="en-US"/>
        </w:rPr>
      </w:pPr>
      <w:r w:rsidRPr="00F242DD">
        <w:rPr>
          <w:rFonts w:eastAsia="Calibri"/>
          <w:i/>
          <w:szCs w:val="22"/>
          <w:lang w:eastAsia="en-US"/>
        </w:rPr>
        <w:t>Существуют данные, указывающие на то, что использование леналидомида</w:t>
      </w:r>
      <w:r w:rsidR="00A473F6" w:rsidRPr="00F242DD">
        <w:rPr>
          <w:rFonts w:eastAsia="Calibri"/>
          <w:i/>
          <w:szCs w:val="22"/>
          <w:lang w:eastAsia="en-US"/>
        </w:rPr>
        <w:t>**</w:t>
      </w:r>
      <w:r w:rsidRPr="00F242DD">
        <w:rPr>
          <w:rFonts w:eastAsia="Calibri"/>
          <w:i/>
          <w:szCs w:val="22"/>
          <w:lang w:eastAsia="en-US"/>
        </w:rPr>
        <w:t xml:space="preserve"> с дексаметазоном</w:t>
      </w:r>
      <w:r w:rsidR="00A473F6" w:rsidRPr="00F242DD">
        <w:rPr>
          <w:rFonts w:eastAsia="Calibri"/>
          <w:i/>
          <w:szCs w:val="22"/>
          <w:lang w:eastAsia="en-US"/>
        </w:rPr>
        <w:t>**</w:t>
      </w:r>
      <w:r w:rsidRPr="00F242DD">
        <w:rPr>
          <w:rFonts w:eastAsia="Calibri"/>
          <w:i/>
          <w:szCs w:val="22"/>
          <w:lang w:eastAsia="en-US"/>
        </w:rPr>
        <w:t xml:space="preserve"> при первом рецидиве более эффективно, чем их применение после многократных курсов терапии спасения. Частота ПР и ОХЧР существенно выше при использовании леналидомида</w:t>
      </w:r>
      <w:r w:rsidR="00A473F6" w:rsidRPr="00F242DD">
        <w:rPr>
          <w:rFonts w:eastAsia="Calibri"/>
          <w:i/>
          <w:szCs w:val="22"/>
          <w:lang w:eastAsia="en-US"/>
        </w:rPr>
        <w:t>**</w:t>
      </w:r>
      <w:r w:rsidRPr="00F242DD">
        <w:rPr>
          <w:rFonts w:eastAsia="Calibri"/>
          <w:i/>
          <w:szCs w:val="22"/>
          <w:lang w:eastAsia="en-US"/>
        </w:rPr>
        <w:t xml:space="preserve"> и дексаметазона</w:t>
      </w:r>
      <w:r w:rsidR="00A473F6" w:rsidRPr="00F242DD">
        <w:rPr>
          <w:rFonts w:eastAsia="Calibri"/>
          <w:i/>
          <w:szCs w:val="22"/>
          <w:lang w:eastAsia="en-US"/>
        </w:rPr>
        <w:t>**</w:t>
      </w:r>
      <w:r w:rsidRPr="00F242DD">
        <w:rPr>
          <w:rFonts w:eastAsia="Calibri"/>
          <w:i/>
          <w:szCs w:val="22"/>
          <w:lang w:eastAsia="en-US"/>
        </w:rPr>
        <w:t xml:space="preserve"> в качестве терапии </w:t>
      </w:r>
      <w:r w:rsidR="00B227A1" w:rsidRPr="00F242DD">
        <w:rPr>
          <w:rFonts w:eastAsia="Calibri"/>
          <w:i/>
          <w:szCs w:val="22"/>
          <w:lang w:eastAsia="en-US"/>
        </w:rPr>
        <w:t>2-</w:t>
      </w:r>
      <w:r w:rsidRPr="00F242DD">
        <w:rPr>
          <w:rFonts w:eastAsia="Calibri"/>
          <w:i/>
          <w:szCs w:val="22"/>
          <w:lang w:eastAsia="en-US"/>
        </w:rPr>
        <w:t xml:space="preserve">й линии, чем при назначении этой программы в качестве терапии </w:t>
      </w:r>
      <w:r w:rsidR="00B227A1" w:rsidRPr="00F242DD">
        <w:rPr>
          <w:rFonts w:eastAsia="Calibri"/>
          <w:i/>
          <w:szCs w:val="22"/>
          <w:lang w:eastAsia="en-US"/>
        </w:rPr>
        <w:t>3-й</w:t>
      </w:r>
      <w:r w:rsidRPr="00F242DD">
        <w:rPr>
          <w:rFonts w:eastAsia="Calibri"/>
          <w:i/>
          <w:szCs w:val="22"/>
          <w:lang w:eastAsia="en-US"/>
        </w:rPr>
        <w:t xml:space="preserve"> и последующих линий терапии (39,8</w:t>
      </w:r>
      <w:r w:rsidR="00B227A1" w:rsidRPr="00F242DD">
        <w:rPr>
          <w:rFonts w:eastAsia="Calibri"/>
          <w:i/>
          <w:szCs w:val="22"/>
          <w:lang w:eastAsia="en-US"/>
        </w:rPr>
        <w:t> </w:t>
      </w:r>
      <w:r w:rsidRPr="00F242DD">
        <w:rPr>
          <w:rFonts w:eastAsia="Calibri"/>
          <w:i/>
          <w:szCs w:val="22"/>
          <w:lang w:eastAsia="en-US"/>
        </w:rPr>
        <w:t>% по сравнению с 27,7</w:t>
      </w:r>
      <w:r w:rsidR="00B227A1" w:rsidRPr="00F242DD">
        <w:rPr>
          <w:rFonts w:eastAsia="Calibri"/>
          <w:i/>
          <w:szCs w:val="22"/>
          <w:lang w:eastAsia="en-US"/>
        </w:rPr>
        <w:t> </w:t>
      </w:r>
      <w:r w:rsidRPr="00F242DD">
        <w:rPr>
          <w:rFonts w:eastAsia="Calibri"/>
          <w:i/>
          <w:szCs w:val="22"/>
          <w:lang w:eastAsia="en-US"/>
        </w:rPr>
        <w:t>%).  Медиана ОВ также существенно продолжительнее, когда леналидомид</w:t>
      </w:r>
      <w:r w:rsidR="00AD2477" w:rsidRPr="00F242DD">
        <w:rPr>
          <w:rFonts w:eastAsia="Calibri"/>
          <w:i/>
          <w:szCs w:val="22"/>
          <w:lang w:eastAsia="en-US"/>
        </w:rPr>
        <w:t>**</w:t>
      </w:r>
      <w:r w:rsidRPr="00F242DD">
        <w:rPr>
          <w:rFonts w:eastAsia="Calibri"/>
          <w:i/>
          <w:szCs w:val="22"/>
          <w:lang w:eastAsia="en-US"/>
        </w:rPr>
        <w:t xml:space="preserve"> с дексаметазоном</w:t>
      </w:r>
      <w:r w:rsidR="00AD2477" w:rsidRPr="00F242DD">
        <w:rPr>
          <w:rFonts w:eastAsia="Calibri"/>
          <w:i/>
          <w:szCs w:val="22"/>
          <w:lang w:eastAsia="en-US"/>
        </w:rPr>
        <w:t>**</w:t>
      </w:r>
      <w:r w:rsidRPr="00F242DD">
        <w:rPr>
          <w:rFonts w:eastAsia="Calibri"/>
          <w:i/>
          <w:szCs w:val="22"/>
          <w:lang w:eastAsia="en-US"/>
        </w:rPr>
        <w:t xml:space="preserve"> применяли при первом рецидиве, по сравнению с ситуациями, когда данную комбинацию использовали после </w:t>
      </w:r>
      <w:r w:rsidR="006844A0" w:rsidRPr="00F242DD">
        <w:rPr>
          <w:rFonts w:eastAsia="Calibri"/>
          <w:i/>
          <w:szCs w:val="22"/>
          <w:lang w:eastAsia="en-US"/>
        </w:rPr>
        <w:t>2-</w:t>
      </w:r>
      <w:r w:rsidRPr="00F242DD">
        <w:rPr>
          <w:rFonts w:eastAsia="Calibri"/>
          <w:i/>
          <w:szCs w:val="22"/>
          <w:lang w:eastAsia="en-US"/>
        </w:rPr>
        <w:t>й и более линий химиотерапии (42 мес</w:t>
      </w:r>
      <w:r w:rsidR="00E778E9" w:rsidRPr="00F242DD">
        <w:rPr>
          <w:rFonts w:eastAsia="Calibri"/>
          <w:i/>
          <w:szCs w:val="22"/>
          <w:lang w:eastAsia="en-US"/>
        </w:rPr>
        <w:t>.</w:t>
      </w:r>
      <w:r w:rsidRPr="00F242DD">
        <w:rPr>
          <w:rFonts w:eastAsia="Calibri"/>
          <w:i/>
          <w:szCs w:val="22"/>
          <w:lang w:eastAsia="en-US"/>
        </w:rPr>
        <w:t xml:space="preserve"> по сравнению с 35,8 мес</w:t>
      </w:r>
      <w:r w:rsidR="00E778E9" w:rsidRPr="00F242DD">
        <w:rPr>
          <w:rFonts w:eastAsia="Calibri"/>
          <w:i/>
          <w:szCs w:val="22"/>
          <w:lang w:eastAsia="en-US"/>
        </w:rPr>
        <w:t>.</w:t>
      </w:r>
      <w:r w:rsidRPr="00F242DD">
        <w:rPr>
          <w:rFonts w:eastAsia="Calibri"/>
          <w:i/>
          <w:szCs w:val="22"/>
          <w:lang w:eastAsia="en-US"/>
        </w:rPr>
        <w:t>).</w:t>
      </w:r>
    </w:p>
    <w:p w14:paraId="44EAE8B8" w14:textId="77777777" w:rsidR="004E08AC" w:rsidRPr="00F242DD" w:rsidRDefault="004E08AC" w:rsidP="00E36DFA">
      <w:pPr>
        <w:pStyle w:val="a4"/>
        <w:spacing w:before="0" w:beforeAutospacing="0" w:after="0" w:afterAutospacing="0" w:line="360" w:lineRule="auto"/>
        <w:ind w:left="709"/>
        <w:contextualSpacing/>
        <w:jc w:val="both"/>
        <w:rPr>
          <w:rFonts w:eastAsia="Calibri"/>
          <w:i/>
          <w:szCs w:val="22"/>
          <w:lang w:eastAsia="en-US"/>
        </w:rPr>
      </w:pPr>
      <w:r w:rsidRPr="00F242DD">
        <w:rPr>
          <w:rFonts w:eastAsia="Calibri"/>
          <w:i/>
          <w:szCs w:val="22"/>
          <w:lang w:eastAsia="en-US"/>
        </w:rPr>
        <w:t xml:space="preserve">В клиническом исследовании VISTA было показано, что при развитии рецидива после </w:t>
      </w:r>
      <w:r w:rsidR="00D2027D" w:rsidRPr="00F242DD">
        <w:rPr>
          <w:rFonts w:eastAsia="Calibri"/>
          <w:i/>
          <w:szCs w:val="22"/>
          <w:lang w:eastAsia="en-US"/>
        </w:rPr>
        <w:t>1-</w:t>
      </w:r>
      <w:r w:rsidRPr="00F242DD">
        <w:rPr>
          <w:rFonts w:eastAsia="Calibri"/>
          <w:i/>
          <w:szCs w:val="22"/>
          <w:lang w:eastAsia="en-US"/>
        </w:rPr>
        <w:t>й линии лечения по схеме VMP эффективность программ на основе леналидомида</w:t>
      </w:r>
      <w:r w:rsidR="00A473F6" w:rsidRPr="00F242DD">
        <w:rPr>
          <w:rFonts w:eastAsia="Calibri"/>
          <w:i/>
          <w:szCs w:val="22"/>
          <w:lang w:eastAsia="en-US"/>
        </w:rPr>
        <w:t>**</w:t>
      </w:r>
      <w:r w:rsidRPr="00F242DD">
        <w:rPr>
          <w:rFonts w:eastAsia="Calibri"/>
          <w:i/>
          <w:szCs w:val="22"/>
          <w:lang w:eastAsia="en-US"/>
        </w:rPr>
        <w:t xml:space="preserve"> выше (73</w:t>
      </w:r>
      <w:r w:rsidR="00D2027D" w:rsidRPr="00F242DD">
        <w:rPr>
          <w:rFonts w:eastAsia="Calibri"/>
          <w:i/>
          <w:szCs w:val="22"/>
          <w:lang w:eastAsia="en-US"/>
        </w:rPr>
        <w:t> %) по сравнению с бортезомиб</w:t>
      </w:r>
      <w:r w:rsidRPr="00F242DD">
        <w:rPr>
          <w:rFonts w:eastAsia="Calibri"/>
          <w:i/>
          <w:szCs w:val="22"/>
          <w:lang w:eastAsia="en-US"/>
        </w:rPr>
        <w:t>содержащей терапией (41</w:t>
      </w:r>
      <w:r w:rsidR="00D2027D" w:rsidRPr="00F242DD">
        <w:rPr>
          <w:rFonts w:eastAsia="Calibri"/>
          <w:i/>
          <w:szCs w:val="22"/>
          <w:lang w:eastAsia="en-US"/>
        </w:rPr>
        <w:t> </w:t>
      </w:r>
      <w:r w:rsidRPr="00F242DD">
        <w:rPr>
          <w:rFonts w:eastAsia="Calibri"/>
          <w:i/>
          <w:szCs w:val="22"/>
          <w:lang w:eastAsia="en-US"/>
        </w:rPr>
        <w:t xml:space="preserve">%). </w:t>
      </w:r>
    </w:p>
    <w:p w14:paraId="02EEC745" w14:textId="77777777" w:rsidR="004E08AC" w:rsidRPr="00F242DD" w:rsidRDefault="004E08AC" w:rsidP="00E36DFA">
      <w:pPr>
        <w:pStyle w:val="a4"/>
        <w:spacing w:before="0" w:beforeAutospacing="0" w:after="0" w:afterAutospacing="0" w:line="360" w:lineRule="auto"/>
        <w:ind w:left="709"/>
        <w:contextualSpacing/>
        <w:jc w:val="both"/>
        <w:rPr>
          <w:rFonts w:eastAsia="Calibri"/>
          <w:i/>
          <w:szCs w:val="22"/>
          <w:lang w:eastAsia="en-US"/>
        </w:rPr>
      </w:pPr>
      <w:r w:rsidRPr="00F242DD">
        <w:rPr>
          <w:rFonts w:eastAsia="Calibri"/>
          <w:i/>
          <w:szCs w:val="22"/>
          <w:lang w:eastAsia="en-US"/>
        </w:rPr>
        <w:lastRenderedPageBreak/>
        <w:t>Перед началом терапии леналидомидом</w:t>
      </w:r>
      <w:r w:rsidR="004A402B" w:rsidRPr="00F242DD">
        <w:rPr>
          <w:rFonts w:eastAsia="Calibri"/>
          <w:i/>
          <w:szCs w:val="22"/>
          <w:lang w:eastAsia="en-US"/>
        </w:rPr>
        <w:t>**</w:t>
      </w:r>
      <w:r w:rsidRPr="00F242DD">
        <w:rPr>
          <w:rFonts w:eastAsia="Calibri"/>
          <w:i/>
          <w:szCs w:val="22"/>
          <w:lang w:eastAsia="en-US"/>
        </w:rPr>
        <w:t xml:space="preserve"> необходимо оценить функцию почек и провести соответствующую коррекцию дозы препарата</w:t>
      </w:r>
      <w:r w:rsidR="00EE1C7E" w:rsidRPr="00F242DD">
        <w:rPr>
          <w:rFonts w:eastAsia="Calibri"/>
          <w:i/>
          <w:szCs w:val="22"/>
          <w:lang w:eastAsia="en-US"/>
        </w:rPr>
        <w:t xml:space="preserve"> (см. приложение </w:t>
      </w:r>
      <w:r w:rsidR="00C812D6" w:rsidRPr="00F242DD">
        <w:rPr>
          <w:rFonts w:eastAsia="Calibri"/>
          <w:i/>
          <w:szCs w:val="22"/>
          <w:lang w:eastAsia="en-US"/>
        </w:rPr>
        <w:t>А3.2</w:t>
      </w:r>
      <w:r w:rsidR="00D2027D" w:rsidRPr="00F242DD">
        <w:rPr>
          <w:rFonts w:eastAsia="Calibri"/>
          <w:i/>
          <w:szCs w:val="22"/>
          <w:lang w:eastAsia="en-US"/>
        </w:rPr>
        <w:t>.</w:t>
      </w:r>
      <w:r w:rsidR="00EE1C7E" w:rsidRPr="00F242DD">
        <w:rPr>
          <w:rFonts w:eastAsia="Calibri"/>
          <w:i/>
          <w:szCs w:val="22"/>
          <w:lang w:eastAsia="en-US"/>
        </w:rPr>
        <w:t>)</w:t>
      </w:r>
      <w:r w:rsidRPr="00F242DD">
        <w:rPr>
          <w:rFonts w:eastAsia="Calibri"/>
          <w:i/>
          <w:szCs w:val="22"/>
          <w:lang w:eastAsia="en-US"/>
        </w:rPr>
        <w:t>.</w:t>
      </w:r>
    </w:p>
    <w:p w14:paraId="1D5F4F2D" w14:textId="77777777" w:rsidR="004E08AC" w:rsidRPr="00F242DD" w:rsidRDefault="004E08AC" w:rsidP="00E36DFA">
      <w:pPr>
        <w:pStyle w:val="a4"/>
        <w:spacing w:before="0" w:beforeAutospacing="0" w:after="0" w:afterAutospacing="0" w:line="360" w:lineRule="auto"/>
        <w:ind w:left="709"/>
        <w:contextualSpacing/>
        <w:jc w:val="both"/>
        <w:rPr>
          <w:rFonts w:eastAsia="Calibri"/>
          <w:i/>
          <w:szCs w:val="22"/>
          <w:lang w:eastAsia="en-US"/>
        </w:rPr>
      </w:pPr>
      <w:r w:rsidRPr="00F242DD">
        <w:rPr>
          <w:rFonts w:eastAsia="Calibri"/>
          <w:i/>
          <w:szCs w:val="22"/>
          <w:lang w:eastAsia="en-US"/>
        </w:rPr>
        <w:t>При лечении леналидомидом</w:t>
      </w:r>
      <w:r w:rsidR="004A402B" w:rsidRPr="00F242DD">
        <w:rPr>
          <w:rFonts w:eastAsia="Calibri"/>
          <w:i/>
          <w:szCs w:val="22"/>
          <w:lang w:eastAsia="en-US"/>
        </w:rPr>
        <w:t>**</w:t>
      </w:r>
      <w:r w:rsidR="00D2027D" w:rsidRPr="00F242DD">
        <w:rPr>
          <w:rFonts w:eastAsia="Calibri"/>
          <w:i/>
          <w:szCs w:val="22"/>
          <w:lang w:eastAsia="en-US"/>
        </w:rPr>
        <w:t xml:space="preserve"> </w:t>
      </w:r>
      <w:r w:rsidR="00FB03BB" w:rsidRPr="00F242DD">
        <w:rPr>
          <w:rFonts w:eastAsia="Calibri"/>
          <w:i/>
          <w:szCs w:val="22"/>
          <w:lang w:eastAsia="en-US"/>
        </w:rPr>
        <w:t>пациентов</w:t>
      </w:r>
      <w:r w:rsidRPr="00F242DD">
        <w:rPr>
          <w:rFonts w:eastAsia="Calibri"/>
          <w:i/>
          <w:szCs w:val="22"/>
          <w:lang w:eastAsia="en-US"/>
        </w:rPr>
        <w:t xml:space="preserve"> ММ с почечной недостаточностью необходим тщательный контроль за показателями крови из-за более часто развивающейся миелосупрессии в процессе лечения, чем при нормальной функции почек.</w:t>
      </w:r>
    </w:p>
    <w:p w14:paraId="6C6D3229" w14:textId="77777777" w:rsidR="004E08AC" w:rsidRPr="00F242DD" w:rsidRDefault="004E08AC" w:rsidP="00E36DFA">
      <w:pPr>
        <w:pStyle w:val="a4"/>
        <w:spacing w:before="0" w:beforeAutospacing="0" w:after="0" w:afterAutospacing="0" w:line="360" w:lineRule="auto"/>
        <w:ind w:left="709"/>
        <w:contextualSpacing/>
        <w:jc w:val="both"/>
        <w:rPr>
          <w:rFonts w:eastAsia="Calibri"/>
          <w:i/>
          <w:szCs w:val="22"/>
          <w:lang w:eastAsia="en-US"/>
        </w:rPr>
      </w:pPr>
      <w:r w:rsidRPr="00F242DD">
        <w:rPr>
          <w:rFonts w:eastAsia="Calibri"/>
          <w:i/>
          <w:szCs w:val="22"/>
          <w:lang w:eastAsia="en-US"/>
        </w:rPr>
        <w:t>Для уменьшения частоты развития тромбозов при лечении леналидомидом</w:t>
      </w:r>
      <w:r w:rsidR="004A402B" w:rsidRPr="00F242DD">
        <w:rPr>
          <w:rFonts w:eastAsia="Calibri"/>
          <w:i/>
          <w:szCs w:val="22"/>
          <w:lang w:eastAsia="en-US"/>
        </w:rPr>
        <w:t>**</w:t>
      </w:r>
      <w:r w:rsidRPr="00F242DD">
        <w:rPr>
          <w:rFonts w:eastAsia="Calibri"/>
          <w:i/>
          <w:szCs w:val="22"/>
          <w:lang w:eastAsia="en-US"/>
        </w:rPr>
        <w:t xml:space="preserve"> и дексаметазоном</w:t>
      </w:r>
      <w:r w:rsidR="004A402B" w:rsidRPr="00F242DD">
        <w:rPr>
          <w:rFonts w:eastAsia="Calibri"/>
          <w:i/>
          <w:szCs w:val="22"/>
          <w:lang w:eastAsia="en-US"/>
        </w:rPr>
        <w:t>**</w:t>
      </w:r>
      <w:r w:rsidRPr="00F242DD">
        <w:rPr>
          <w:rFonts w:eastAsia="Calibri"/>
          <w:i/>
          <w:szCs w:val="22"/>
          <w:lang w:eastAsia="en-US"/>
        </w:rPr>
        <w:t xml:space="preserve"> необходима антикоагулянтная профилактика. Пациентам со стандартным риском венозной тромбоэмболии назначают низкие дозы ацетилсалициловой кислоты (</w:t>
      </w:r>
      <w:r w:rsidR="00942902" w:rsidRPr="00F242DD">
        <w:rPr>
          <w:rFonts w:eastAsia="Calibri"/>
          <w:i/>
          <w:szCs w:val="22"/>
          <w:lang w:eastAsia="en-US"/>
        </w:rPr>
        <w:t>80</w:t>
      </w:r>
      <w:r w:rsidR="005248AD" w:rsidRPr="00F242DD">
        <w:rPr>
          <w:rFonts w:eastAsia="Calibri"/>
          <w:i/>
          <w:szCs w:val="22"/>
          <w:lang w:eastAsia="en-US"/>
        </w:rPr>
        <w:t>−</w:t>
      </w:r>
      <w:r w:rsidRPr="00F242DD">
        <w:rPr>
          <w:rFonts w:eastAsia="Calibri"/>
          <w:i/>
          <w:szCs w:val="22"/>
          <w:lang w:eastAsia="en-US"/>
        </w:rPr>
        <w:t xml:space="preserve">100 мг). При более высоком риске тромбозов, особенно у обездвиженных пациентов, </w:t>
      </w:r>
      <w:r w:rsidR="005248AD" w:rsidRPr="00F242DD">
        <w:rPr>
          <w:rFonts w:eastAsia="Calibri"/>
          <w:i/>
          <w:szCs w:val="22"/>
          <w:lang w:eastAsia="en-US"/>
        </w:rPr>
        <w:t>лиц</w:t>
      </w:r>
      <w:r w:rsidRPr="00F242DD">
        <w:rPr>
          <w:rFonts w:eastAsia="Calibri"/>
          <w:i/>
          <w:szCs w:val="22"/>
          <w:lang w:eastAsia="en-US"/>
        </w:rPr>
        <w:t>, имеющих тромбозы или тромбоэмболии в анамнезе</w:t>
      </w:r>
      <w:r w:rsidR="005248AD" w:rsidRPr="00F242DD">
        <w:rPr>
          <w:rFonts w:eastAsia="Calibri"/>
          <w:i/>
          <w:szCs w:val="22"/>
          <w:lang w:eastAsia="en-US"/>
        </w:rPr>
        <w:t>,</w:t>
      </w:r>
      <w:r w:rsidRPr="00F242DD">
        <w:rPr>
          <w:rFonts w:eastAsia="Calibri"/>
          <w:i/>
          <w:szCs w:val="22"/>
          <w:lang w:eastAsia="en-US"/>
        </w:rPr>
        <w:t xml:space="preserve"> или у </w:t>
      </w:r>
      <w:r w:rsidR="00534E54" w:rsidRPr="00F242DD">
        <w:rPr>
          <w:rFonts w:eastAsia="Calibri"/>
          <w:i/>
          <w:szCs w:val="22"/>
          <w:lang w:eastAsia="en-US"/>
        </w:rPr>
        <w:t>пациентов</w:t>
      </w:r>
      <w:r w:rsidRPr="00F242DD">
        <w:rPr>
          <w:rFonts w:eastAsia="Calibri"/>
          <w:i/>
          <w:szCs w:val="22"/>
          <w:lang w:eastAsia="en-US"/>
        </w:rPr>
        <w:t>, получающих эритропоэтин</w:t>
      </w:r>
      <w:r w:rsidR="00FB04F3" w:rsidRPr="00F242DD">
        <w:rPr>
          <w:rFonts w:eastAsia="Calibri"/>
          <w:i/>
          <w:szCs w:val="22"/>
          <w:lang w:eastAsia="en-US"/>
        </w:rPr>
        <w:t>**</w:t>
      </w:r>
      <w:r w:rsidRPr="00F242DD">
        <w:rPr>
          <w:rFonts w:eastAsia="Calibri"/>
          <w:i/>
          <w:szCs w:val="22"/>
          <w:lang w:eastAsia="en-US"/>
        </w:rPr>
        <w:t>, следует рассмотреть возможность использования профилактической дозы низкомолекулярного гепарина.</w:t>
      </w:r>
    </w:p>
    <w:p w14:paraId="342A444F" w14:textId="77777777" w:rsidR="00162CF5" w:rsidRPr="00F242DD" w:rsidRDefault="004E08AC" w:rsidP="00E36DFA">
      <w:pPr>
        <w:pStyle w:val="a4"/>
        <w:spacing w:before="0" w:beforeAutospacing="0" w:after="0" w:afterAutospacing="0" w:line="360" w:lineRule="auto"/>
        <w:ind w:left="709"/>
        <w:contextualSpacing/>
        <w:jc w:val="both"/>
        <w:rPr>
          <w:rFonts w:eastAsia="Calibri"/>
          <w:i/>
          <w:szCs w:val="22"/>
          <w:lang w:eastAsia="en-US"/>
        </w:rPr>
      </w:pPr>
      <w:r w:rsidRPr="00F242DD">
        <w:rPr>
          <w:rFonts w:eastAsia="Calibri"/>
          <w:i/>
          <w:szCs w:val="22"/>
          <w:lang w:eastAsia="en-US"/>
        </w:rPr>
        <w:t>В соответствии с накопленным клиническим опытом для улучшения переносимости терапии рекомендуют проводить соответствующую коррекцию дозы дексаметазона</w:t>
      </w:r>
      <w:r w:rsidR="004A402B" w:rsidRPr="00F242DD">
        <w:rPr>
          <w:rFonts w:eastAsia="Calibri"/>
          <w:i/>
          <w:szCs w:val="22"/>
          <w:lang w:eastAsia="en-US"/>
        </w:rPr>
        <w:t>**</w:t>
      </w:r>
      <w:r w:rsidRPr="00F242DD">
        <w:rPr>
          <w:rFonts w:eastAsia="Calibri"/>
          <w:i/>
          <w:szCs w:val="22"/>
          <w:lang w:eastAsia="en-US"/>
        </w:rPr>
        <w:t xml:space="preserve"> в зависимости от возраста пациентов.</w:t>
      </w:r>
    </w:p>
    <w:p w14:paraId="548B5673" w14:textId="77777777" w:rsidR="002D7F46" w:rsidRPr="00F242DD" w:rsidRDefault="00B228C7" w:rsidP="00727CDE">
      <w:pPr>
        <w:pStyle w:val="a6"/>
        <w:numPr>
          <w:ilvl w:val="0"/>
          <w:numId w:val="8"/>
        </w:numPr>
        <w:tabs>
          <w:tab w:val="clear" w:pos="348"/>
          <w:tab w:val="num" w:pos="709"/>
        </w:tabs>
        <w:spacing w:before="0" w:after="0"/>
        <w:ind w:left="709" w:hanging="709"/>
      </w:pPr>
      <w:r w:rsidRPr="00F242DD">
        <w:t>Пациентам с</w:t>
      </w:r>
      <w:r w:rsidR="00A473F6" w:rsidRPr="00F242DD">
        <w:t xml:space="preserve"> рецидивом ММ</w:t>
      </w:r>
      <w:r w:rsidRPr="00F242DD">
        <w:t>, которым показана противомиеломная терапия и у которых не развилась рефрактерность к бортезомибу</w:t>
      </w:r>
      <w:r w:rsidR="00A473F6" w:rsidRPr="00F242DD">
        <w:t>**</w:t>
      </w:r>
      <w:r w:rsidRPr="00F242DD">
        <w:t xml:space="preserve"> и леналидомиду</w:t>
      </w:r>
      <w:r w:rsidR="00A473F6" w:rsidRPr="00F242DD">
        <w:t>**</w:t>
      </w:r>
      <w:r w:rsidRPr="00F242DD">
        <w:t xml:space="preserve">, </w:t>
      </w:r>
      <w:r w:rsidR="00C86568" w:rsidRPr="00F242DD">
        <w:t>при агрессивном течении</w:t>
      </w:r>
      <w:r w:rsidR="00215D8C" w:rsidRPr="00F242DD">
        <w:t xml:space="preserve"> рецидива</w:t>
      </w:r>
      <w:r w:rsidR="002D7F46" w:rsidRPr="00F242DD">
        <w:t xml:space="preserve"> в качестве одной из возможных опций может быть </w:t>
      </w:r>
      <w:r w:rsidR="002D7F46" w:rsidRPr="00F242DD">
        <w:rPr>
          <w:b/>
        </w:rPr>
        <w:t>рекомендована</w:t>
      </w:r>
      <w:r w:rsidR="002D7F46" w:rsidRPr="00F242DD">
        <w:t xml:space="preserve"> терапия с включением в схему лечения</w:t>
      </w:r>
      <w:r w:rsidR="00C531AE" w:rsidRPr="00F242DD">
        <w:t xml:space="preserve"> </w:t>
      </w:r>
      <w:r w:rsidR="00C86568" w:rsidRPr="00F242DD">
        <w:t>бортезомиба**,</w:t>
      </w:r>
      <w:r w:rsidR="000A156C" w:rsidRPr="00F242DD">
        <w:t xml:space="preserve"> </w:t>
      </w:r>
      <w:r w:rsidR="002D7F46" w:rsidRPr="00F242DD">
        <w:t>леналидомида**</w:t>
      </w:r>
      <w:r w:rsidR="00C86568" w:rsidRPr="00F242DD">
        <w:t xml:space="preserve"> и </w:t>
      </w:r>
      <w:r w:rsidR="002D7F46" w:rsidRPr="00F242DD">
        <w:t>дексаметазон</w:t>
      </w:r>
      <w:r w:rsidR="00C86568" w:rsidRPr="00F242DD">
        <w:t>а</w:t>
      </w:r>
      <w:r w:rsidR="002D7F46" w:rsidRPr="00F242DD">
        <w:t xml:space="preserve">** </w:t>
      </w:r>
      <w:r w:rsidR="00032CFB" w:rsidRPr="00F242DD">
        <w:t xml:space="preserve">(описание режимов – см. приложение </w:t>
      </w:r>
      <w:r w:rsidR="00C812D6" w:rsidRPr="00F242DD">
        <w:t>А3.1</w:t>
      </w:r>
      <w:r w:rsidR="00C531AE" w:rsidRPr="00F242DD">
        <w:t>.</w:t>
      </w:r>
      <w:r w:rsidR="00032CFB" w:rsidRPr="00F242DD">
        <w:t>)</w:t>
      </w:r>
      <w:r w:rsidR="00D939A2" w:rsidRPr="00F242DD">
        <w:t xml:space="preserve"> </w:t>
      </w:r>
      <w:r w:rsidR="00A96FB6" w:rsidRPr="00F242DD">
        <w:rPr>
          <w:i/>
        </w:rPr>
        <w:fldChar w:fldCharType="begin" w:fldLock="1"/>
      </w:r>
      <w:r w:rsidR="00F74B6B" w:rsidRPr="00F242DD">
        <w:rPr>
          <w:i/>
        </w:rPr>
        <w:instrText>ADDIN CSL_CITATION {"citationItems":[{"id":"ITEM-1","itemData":{"DOI":"10.1200/jco.2009.27.15_suppl.8536","author":[{"dropping-particle":"","family":"Anderson","given":"K.C.","non-dropping-particle":"","parse-names":false,"suffix":""},{"dropping-particle":"","family":"Jagannath","given":"S.","non-dropping-particle":"","parse-names":false,"suffix":""},{"dropping-particle":"","family":"Jakubowiak","given":"A.","non-dropping-particle":"","parse-names":false,"suffix":""},{"dropping-particle":"","family":"Lonial","given":"S.","non-dropping-particle":"","parse-names":false,"suffix":""},{"dropping-particle":"","family":"Raje","given":"N.","non-dropping-particle":"","parse-names":false,"suffix":""},{"dropping-particle":"","family":"Alsina","given":"M.","non-dropping-particle":"","parse-names":false,"suffix":""},{"dropping-particle":"","family":"Ghobrial","given":"I.","non-dropping-particle":"","parse-names":false,"suffix":""},{"dropping-particle":"","family":"Knight","given":"R.","non-dropping-particle":"","parse-names":false,"suffix":""},{"dropping-particle":"","family":"Esseltine","given":"D.","non-dropping-particle":"","parse-names":false,"suffix":""},{"dropping-particle":"","family":"Richardson","given":"P.","non-dropping-particle":"","parse-names":false,"suffix":""}],"container-title":"Journal of Clinical Oncology","id":"ITEM-1","issue":"15 (Suppl.)","issued":{"date-parts":[["2009"]]},"page":"Abstract 8536","title":"Lenalidomide, bortezomib, and dexamethasone in relapsed/refractory multiple myeloma (MM): Encouraging outcomes and tolerability in a phase II study","type":"article-journal","volume":"27"},"uris":["http://www.mendeley.com/documents/?uuid=e626abc9-b1fb-4470-be82-facc41059486"]}],"mendeley":{"formattedCitation":"[60]","plainTextFormattedCitation":"[60]","previouslyFormattedCitation":"[60]"},"properties":{"noteIndex":0},"schema":"https://github.com/citation-style-language/schema/raw/master/csl-citation.json"}</w:instrText>
      </w:r>
      <w:r w:rsidR="00A96FB6" w:rsidRPr="00F242DD">
        <w:rPr>
          <w:i/>
        </w:rPr>
        <w:fldChar w:fldCharType="separate"/>
      </w:r>
      <w:r w:rsidR="00705691" w:rsidRPr="00F242DD">
        <w:rPr>
          <w:noProof/>
        </w:rPr>
        <w:t>[60]</w:t>
      </w:r>
      <w:r w:rsidR="00A96FB6" w:rsidRPr="00F242DD">
        <w:rPr>
          <w:i/>
        </w:rPr>
        <w:fldChar w:fldCharType="end"/>
      </w:r>
      <w:r w:rsidR="004A402B" w:rsidRPr="00F242DD">
        <w:t>.</w:t>
      </w:r>
    </w:p>
    <w:p w14:paraId="00806C1F" w14:textId="77777777" w:rsidR="002D7F46" w:rsidRPr="00F242DD" w:rsidRDefault="002D7F46" w:rsidP="00131E36">
      <w:pPr>
        <w:pStyle w:val="a6"/>
        <w:spacing w:before="0" w:after="0"/>
        <w:ind w:left="709"/>
        <w:rPr>
          <w:b/>
        </w:rPr>
      </w:pPr>
      <w:r w:rsidRPr="00F242DD">
        <w:rPr>
          <w:b/>
        </w:rPr>
        <w:t xml:space="preserve">Уровень убедительности рекомендаций </w:t>
      </w:r>
      <w:r w:rsidR="00C531AE" w:rsidRPr="00F242DD">
        <w:rPr>
          <w:b/>
        </w:rPr>
        <w:t xml:space="preserve">− </w:t>
      </w:r>
      <w:r w:rsidR="006A50CD" w:rsidRPr="00F242DD">
        <w:rPr>
          <w:b/>
        </w:rPr>
        <w:t xml:space="preserve">С </w:t>
      </w:r>
      <w:r w:rsidRPr="00F242DD">
        <w:rPr>
          <w:b/>
        </w:rPr>
        <w:t>(уровень достоверности доказательств</w:t>
      </w:r>
      <w:r w:rsidR="000A156C" w:rsidRPr="00F242DD">
        <w:rPr>
          <w:b/>
        </w:rPr>
        <w:t xml:space="preserve"> </w:t>
      </w:r>
      <w:r w:rsidR="00C531AE" w:rsidRPr="00F242DD">
        <w:rPr>
          <w:b/>
        </w:rPr>
        <w:t xml:space="preserve">− </w:t>
      </w:r>
      <w:r w:rsidR="006A50CD" w:rsidRPr="00F242DD">
        <w:rPr>
          <w:b/>
        </w:rPr>
        <w:t>4</w:t>
      </w:r>
      <w:r w:rsidR="006E390F" w:rsidRPr="00F242DD">
        <w:rPr>
          <w:b/>
        </w:rPr>
        <w:t>)</w:t>
      </w:r>
    </w:p>
    <w:p w14:paraId="59C09BC8" w14:textId="77777777" w:rsidR="00970CB0" w:rsidRPr="00F242DD" w:rsidRDefault="004A402B" w:rsidP="00727CDE">
      <w:pPr>
        <w:pStyle w:val="a6"/>
        <w:numPr>
          <w:ilvl w:val="0"/>
          <w:numId w:val="8"/>
        </w:numPr>
        <w:tabs>
          <w:tab w:val="clear" w:pos="348"/>
          <w:tab w:val="num" w:pos="709"/>
        </w:tabs>
        <w:spacing w:before="0" w:after="0"/>
        <w:ind w:left="709" w:hanging="709"/>
      </w:pPr>
      <w:r w:rsidRPr="00F242DD">
        <w:t>Пациентам с рецидивом ММ</w:t>
      </w:r>
      <w:r w:rsidR="00B228C7" w:rsidRPr="00F242DD">
        <w:t>, которым показана противомиеломная терапия и у которых не развилась рефрактерность к бортезомибу</w:t>
      </w:r>
      <w:r w:rsidRPr="00F242DD">
        <w:t>**</w:t>
      </w:r>
      <w:r w:rsidR="00B228C7" w:rsidRPr="00F242DD">
        <w:t xml:space="preserve"> и леналидомиду</w:t>
      </w:r>
      <w:r w:rsidRPr="00F242DD">
        <w:t>**</w:t>
      </w:r>
      <w:r w:rsidR="00B228C7" w:rsidRPr="00F242DD">
        <w:t>, в качестве одн</w:t>
      </w:r>
      <w:r w:rsidR="00B657E4" w:rsidRPr="00F242DD">
        <w:t xml:space="preserve">ой из возможных опций </w:t>
      </w:r>
      <w:r w:rsidR="00B657E4" w:rsidRPr="00F242DD">
        <w:rPr>
          <w:b/>
        </w:rPr>
        <w:t>рекомендуется</w:t>
      </w:r>
      <w:r w:rsidR="00970CB0" w:rsidRPr="00F242DD">
        <w:t xml:space="preserve"> терапия с </w:t>
      </w:r>
      <w:r w:rsidR="009D3FBB" w:rsidRPr="00F242DD">
        <w:t>применением комбинированной</w:t>
      </w:r>
      <w:r w:rsidR="00970CB0" w:rsidRPr="00F242DD">
        <w:t xml:space="preserve"> </w:t>
      </w:r>
      <w:r w:rsidR="009D3FBB" w:rsidRPr="00F242DD">
        <w:t xml:space="preserve">схемы </w:t>
      </w:r>
      <w:r w:rsidR="00970CB0" w:rsidRPr="00F242DD">
        <w:t xml:space="preserve">лечения </w:t>
      </w:r>
      <w:r w:rsidR="003446C4" w:rsidRPr="00F242DD">
        <w:t>карфилзомиба</w:t>
      </w:r>
      <w:r w:rsidR="00C86568" w:rsidRPr="00F242DD">
        <w:t>**</w:t>
      </w:r>
      <w:r w:rsidR="003446C4" w:rsidRPr="00F242DD">
        <w:t xml:space="preserve">, </w:t>
      </w:r>
      <w:r w:rsidR="00970CB0" w:rsidRPr="00F242DD">
        <w:t xml:space="preserve">леналидомида** </w:t>
      </w:r>
      <w:r w:rsidR="003446C4" w:rsidRPr="00F242DD">
        <w:t xml:space="preserve">и </w:t>
      </w:r>
      <w:r w:rsidR="00970CB0" w:rsidRPr="00F242DD">
        <w:t>дексаметазон</w:t>
      </w:r>
      <w:r w:rsidR="003446C4" w:rsidRPr="00F242DD">
        <w:t>а</w:t>
      </w:r>
      <w:r w:rsidR="00970CB0" w:rsidRPr="00F242DD">
        <w:t xml:space="preserve">** </w:t>
      </w:r>
      <w:r w:rsidR="00032CFB" w:rsidRPr="00F242DD">
        <w:t xml:space="preserve">(описание режимов – см. приложение </w:t>
      </w:r>
      <w:r w:rsidR="00C812D6" w:rsidRPr="00F242DD">
        <w:t>А3.1</w:t>
      </w:r>
      <w:r w:rsidR="004B6355" w:rsidRPr="00F242DD">
        <w:t>.</w:t>
      </w:r>
      <w:r w:rsidR="001D1AA5" w:rsidRPr="00F242DD">
        <w:t xml:space="preserve">) </w:t>
      </w:r>
      <w:r w:rsidR="00A96FB6" w:rsidRPr="00F242DD">
        <w:rPr>
          <w:i/>
        </w:rPr>
        <w:fldChar w:fldCharType="begin" w:fldLock="1"/>
      </w:r>
      <w:r w:rsidR="00F74B6B" w:rsidRPr="00F242DD">
        <w:rPr>
          <w:i/>
        </w:rPr>
        <w:instrText>ADDIN CSL_CITATION {"citationItems":[{"id":"ITEM-1","itemData":{"DOI":"10.18632/oncotarget.25281","ISSN":"19492553","abstract":"© Shah et al. Objective: Carfilzomib (Carf) is a second-generation proteasome inhibitor approved for patients with relapsed and/or refractory multiple myeloma (RRMM) who failed ≥ 1 prior lines of therapy. We performed a systematic review of Carf literature with meta-analysis to determine the efficacy and safety in RRMM patients. Methods: Based on literature search, we included a total of 14 eligible phase I/ II, phase II and phase III Carf based clinical trials. The cumulative incidence and odds ratios (OR) were calculated with random effect model, using ''R'' software with metaphor package. Results: 2906 evaluable RRMM patients from published clinical trials included. The pooled overall response rate (ORR) was 45% (95% CI: 29-62). The pooled clinical benefit rate (CBR) was 56% (95% CI: 41-71). OR from 3 randomized clinical trials showed that Carf significantly improved ORR and CBR compared to control groups (OR 2.4, P &lt; 0.0001; 2.02, P = 0.0007, respectively). Subgroup analysis showed significantly better ORR (P &lt; 0.0001) and CBR (P &lt; 0.001) with combination regimens compared to monotherapy. Response was significantly higher with high dose of Carf (&gt; 20/27 mg/m2) compared to standard dose (ORR 65% vs. 35%, P = 0.03). Compared to control group, the OR of developing cardiotoxicity (P = 0.002) and hypertension (P &lt; 0.0001) were significantly higher with Carf, while no difference in peripheral neuropathy (P = 0.28). Conclusions: Carf produces significantly better responses with acceptable safety profile in RRMM patients. Combination regimens and higher dose Carf offers better response with no significant extra toxicity. Its efficacy is regardless of cytogenetics or disease stage. Incidences of cardiotoxicity and hypertension seem higher with Carf.","author":[{"dropping-particle":"","family":"Shah","given":"Chintan","non-dropping-particle":"","parse-names":false,"suffix":""},{"dropping-particle":"","family":"Bishnoi","given":"Rohit","non-dropping-particle":"","parse-names":false,"suffix":""},{"dropping-particle":"","family":"Wang","given":"Yu","non-dropping-particle":"","parse-names":false,"suffix":""},{"dropping-particle":"","family":"Zou","given":"Fei","non-dropping-particle":"","parse-names":false,"suffix":""},{"dropping-particle":"","family":"Bejjanki","given":"Harini","non-dropping-particle":"","parse-names":false,"suffix":""},{"dropping-particle":"","family":"Master","given":"Samip","non-dropping-particle":"","parse-names":false,"suffix":""},{"dropping-particle":"","family":"Moreb","given":"Jan S.","non-dropping-particle":"","parse-names":false,"suffix":""}],"container-title":"Oncotarget","id":"ITEM-1","issue":"34","issued":{"date-parts":[["2018","5","1"]]},"page":"23704-23717","publisher":"Impact Journals LLC","title":"Efficacy and safety of carfilzomib in relapsed and/or refractory multiple myeloma: Systematic review and meta-analysis of 14 trials","type":"article-journal","volume":"9"},"uris":["http://www.mendeley.com/documents/?uuid=7eecef4a-18ac-3907-997e-dffa8592d14d"]}],"mendeley":{"formattedCitation":"[61]","plainTextFormattedCitation":"[61]","previouslyFormattedCitation":"[61]"},"properties":{"noteIndex":0},"schema":"https://github.com/citation-style-language/schema/raw/master/csl-citation.json"}</w:instrText>
      </w:r>
      <w:r w:rsidR="00A96FB6" w:rsidRPr="00F242DD">
        <w:rPr>
          <w:i/>
        </w:rPr>
        <w:fldChar w:fldCharType="separate"/>
      </w:r>
      <w:r w:rsidR="00705691" w:rsidRPr="00F242DD">
        <w:rPr>
          <w:noProof/>
        </w:rPr>
        <w:t>[61]</w:t>
      </w:r>
      <w:r w:rsidR="00A96FB6" w:rsidRPr="00F242DD">
        <w:rPr>
          <w:i/>
        </w:rPr>
        <w:fldChar w:fldCharType="end"/>
      </w:r>
      <w:r w:rsidRPr="00F242DD">
        <w:t>.</w:t>
      </w:r>
    </w:p>
    <w:p w14:paraId="4D251C2D" w14:textId="77777777" w:rsidR="00970CB0" w:rsidRPr="00F242DD" w:rsidRDefault="00970CB0" w:rsidP="00131E36">
      <w:pPr>
        <w:pStyle w:val="a6"/>
        <w:spacing w:before="0" w:after="0"/>
        <w:ind w:left="709"/>
        <w:rPr>
          <w:b/>
        </w:rPr>
      </w:pPr>
      <w:r w:rsidRPr="00F242DD">
        <w:rPr>
          <w:b/>
        </w:rPr>
        <w:t xml:space="preserve">Уровень убедительности рекомендаций </w:t>
      </w:r>
      <w:r w:rsidR="004B6355" w:rsidRPr="00F242DD">
        <w:rPr>
          <w:b/>
        </w:rPr>
        <w:t xml:space="preserve">− </w:t>
      </w:r>
      <w:r w:rsidR="004A402B" w:rsidRPr="00F242DD">
        <w:rPr>
          <w:b/>
          <w:lang w:val="en-US"/>
        </w:rPr>
        <w:t>A</w:t>
      </w:r>
      <w:r w:rsidR="00D939A2" w:rsidRPr="00F242DD">
        <w:rPr>
          <w:b/>
        </w:rPr>
        <w:t xml:space="preserve"> </w:t>
      </w:r>
      <w:r w:rsidRPr="00F242DD">
        <w:rPr>
          <w:b/>
        </w:rPr>
        <w:t>(уровень достоверности доказательств</w:t>
      </w:r>
      <w:r w:rsidR="00D939A2" w:rsidRPr="00F242DD">
        <w:rPr>
          <w:b/>
        </w:rPr>
        <w:t xml:space="preserve"> </w:t>
      </w:r>
      <w:r w:rsidR="004B6355" w:rsidRPr="00F242DD">
        <w:rPr>
          <w:b/>
        </w:rPr>
        <w:t xml:space="preserve">− </w:t>
      </w:r>
      <w:r w:rsidR="004A402B" w:rsidRPr="00F242DD">
        <w:rPr>
          <w:b/>
        </w:rPr>
        <w:t>1</w:t>
      </w:r>
      <w:r w:rsidRPr="00F242DD">
        <w:rPr>
          <w:b/>
        </w:rPr>
        <w:t>)</w:t>
      </w:r>
    </w:p>
    <w:p w14:paraId="23B6CB75" w14:textId="77777777" w:rsidR="001F641D" w:rsidRPr="00F242DD" w:rsidRDefault="00970CB0" w:rsidP="00131E36">
      <w:pPr>
        <w:pStyle w:val="a6"/>
        <w:spacing w:before="0" w:after="0"/>
        <w:ind w:left="709"/>
        <w:rPr>
          <w:i/>
        </w:rPr>
      </w:pPr>
      <w:r w:rsidRPr="00F242DD">
        <w:rPr>
          <w:b/>
        </w:rPr>
        <w:t xml:space="preserve">Комментарий: </w:t>
      </w:r>
      <w:r w:rsidR="00D939A2" w:rsidRPr="00F242DD">
        <w:rPr>
          <w:i/>
        </w:rPr>
        <w:t xml:space="preserve">в </w:t>
      </w:r>
      <w:r w:rsidR="002D7F46" w:rsidRPr="00F242DD">
        <w:rPr>
          <w:i/>
        </w:rPr>
        <w:t>крупном рандомизированном исследовании III фазы ASPIRE было показано, что добавление карфилзомиба</w:t>
      </w:r>
      <w:r w:rsidR="004A402B" w:rsidRPr="00F242DD">
        <w:rPr>
          <w:i/>
        </w:rPr>
        <w:t>**</w:t>
      </w:r>
      <w:r w:rsidR="002D7F46" w:rsidRPr="00F242DD">
        <w:rPr>
          <w:i/>
        </w:rPr>
        <w:t xml:space="preserve"> к сочетанию леналидомида</w:t>
      </w:r>
      <w:r w:rsidR="00AD2477" w:rsidRPr="00F242DD">
        <w:rPr>
          <w:i/>
        </w:rPr>
        <w:t>**</w:t>
      </w:r>
      <w:r w:rsidR="002D7F46" w:rsidRPr="00F242DD">
        <w:rPr>
          <w:i/>
        </w:rPr>
        <w:t xml:space="preserve"> и </w:t>
      </w:r>
      <w:r w:rsidR="002D7F46" w:rsidRPr="00F242DD">
        <w:rPr>
          <w:i/>
        </w:rPr>
        <w:lastRenderedPageBreak/>
        <w:t>дексаметазона</w:t>
      </w:r>
      <w:r w:rsidR="00AD2477" w:rsidRPr="00F242DD">
        <w:rPr>
          <w:i/>
        </w:rPr>
        <w:t>**</w:t>
      </w:r>
      <w:r w:rsidR="002D7F46" w:rsidRPr="00F242DD">
        <w:rPr>
          <w:i/>
        </w:rPr>
        <w:t xml:space="preserve"> значительно улучшает ВБП и ОВ у пациентов с рецидивами ММ. Медиана ВБП составила 26,3 мес</w:t>
      </w:r>
      <w:r w:rsidR="00E778E9" w:rsidRPr="00F242DD">
        <w:rPr>
          <w:i/>
        </w:rPr>
        <w:t>.</w:t>
      </w:r>
      <w:r w:rsidR="002D7F46" w:rsidRPr="00F242DD">
        <w:rPr>
          <w:i/>
        </w:rPr>
        <w:t xml:space="preserve"> в группе </w:t>
      </w:r>
      <w:r w:rsidR="00FB03BB" w:rsidRPr="00F242DD">
        <w:rPr>
          <w:i/>
        </w:rPr>
        <w:t>пациентов</w:t>
      </w:r>
      <w:r w:rsidR="002D7F46" w:rsidRPr="00F242DD">
        <w:rPr>
          <w:i/>
        </w:rPr>
        <w:t>, получавших карфилзомиб</w:t>
      </w:r>
      <w:r w:rsidR="004A402B" w:rsidRPr="00F242DD">
        <w:rPr>
          <w:i/>
        </w:rPr>
        <w:t>**</w:t>
      </w:r>
      <w:r w:rsidR="002D7F46" w:rsidRPr="00F242DD">
        <w:rPr>
          <w:i/>
        </w:rPr>
        <w:t xml:space="preserve"> и 17,6 мес</w:t>
      </w:r>
      <w:r w:rsidR="00E778E9" w:rsidRPr="00F242DD">
        <w:rPr>
          <w:i/>
        </w:rPr>
        <w:t>.</w:t>
      </w:r>
      <w:r w:rsidR="002D7F46" w:rsidRPr="00F242DD">
        <w:rPr>
          <w:i/>
        </w:rPr>
        <w:t xml:space="preserve"> у пациентов, получавших только леналидомид</w:t>
      </w:r>
      <w:r w:rsidR="004A402B" w:rsidRPr="00F242DD">
        <w:rPr>
          <w:i/>
        </w:rPr>
        <w:t>**</w:t>
      </w:r>
      <w:r w:rsidR="002D7F46" w:rsidRPr="00F242DD">
        <w:rPr>
          <w:i/>
        </w:rPr>
        <w:t xml:space="preserve"> с дексаметазоном</w:t>
      </w:r>
      <w:r w:rsidR="004A402B" w:rsidRPr="00F242DD">
        <w:rPr>
          <w:i/>
        </w:rPr>
        <w:t>**</w:t>
      </w:r>
      <w:r w:rsidR="002D7F46" w:rsidRPr="00F242DD">
        <w:rPr>
          <w:i/>
        </w:rPr>
        <w:t>; медиана ОВ – 48,3 мес</w:t>
      </w:r>
      <w:r w:rsidR="00E778E9" w:rsidRPr="00F242DD">
        <w:rPr>
          <w:i/>
        </w:rPr>
        <w:t>.</w:t>
      </w:r>
      <w:r w:rsidR="002D7F46" w:rsidRPr="00F242DD">
        <w:rPr>
          <w:i/>
        </w:rPr>
        <w:t xml:space="preserve"> против 40,4 мес</w:t>
      </w:r>
      <w:r w:rsidR="00E778E9" w:rsidRPr="00F242DD">
        <w:rPr>
          <w:i/>
        </w:rPr>
        <w:t>.</w:t>
      </w:r>
      <w:r w:rsidR="002D7F46" w:rsidRPr="00F242DD">
        <w:rPr>
          <w:i/>
        </w:rPr>
        <w:t xml:space="preserve"> соответственно. Частота ремиссий также была значительно выше в группе </w:t>
      </w:r>
      <w:r w:rsidR="00FB03BB" w:rsidRPr="00F242DD">
        <w:rPr>
          <w:i/>
        </w:rPr>
        <w:t>пациентов</w:t>
      </w:r>
      <w:r w:rsidR="002D7F46" w:rsidRPr="00F242DD">
        <w:rPr>
          <w:i/>
        </w:rPr>
        <w:t>, получавших карфилзомиб</w:t>
      </w:r>
      <w:r w:rsidR="004A402B" w:rsidRPr="00F242DD">
        <w:rPr>
          <w:i/>
        </w:rPr>
        <w:t>**</w:t>
      </w:r>
      <w:r w:rsidR="002D7F46" w:rsidRPr="00F242DD">
        <w:rPr>
          <w:i/>
        </w:rPr>
        <w:t>, и составила 87,1</w:t>
      </w:r>
      <w:r w:rsidR="004B6355" w:rsidRPr="00F242DD">
        <w:rPr>
          <w:i/>
        </w:rPr>
        <w:t> </w:t>
      </w:r>
      <w:r w:rsidR="002D7F46" w:rsidRPr="00F242DD">
        <w:rPr>
          <w:i/>
        </w:rPr>
        <w:t>% (по сравнению с 66,7</w:t>
      </w:r>
      <w:r w:rsidR="004B6355" w:rsidRPr="00F242DD">
        <w:rPr>
          <w:i/>
        </w:rPr>
        <w:t> </w:t>
      </w:r>
      <w:r w:rsidR="002D7F46" w:rsidRPr="00F242DD">
        <w:rPr>
          <w:i/>
        </w:rPr>
        <w:t xml:space="preserve">% в контрольной группе), а частота </w:t>
      </w:r>
      <w:r w:rsidR="004B6355" w:rsidRPr="00F242DD">
        <w:rPr>
          <w:i/>
        </w:rPr>
        <w:t>ПР</w:t>
      </w:r>
      <w:r w:rsidR="002D7F46" w:rsidRPr="00F242DD">
        <w:rPr>
          <w:i/>
        </w:rPr>
        <w:t xml:space="preserve"> составила 31,8</w:t>
      </w:r>
      <w:r w:rsidR="004B6355" w:rsidRPr="00F242DD">
        <w:rPr>
          <w:i/>
        </w:rPr>
        <w:t> </w:t>
      </w:r>
      <w:r w:rsidR="002D7F46" w:rsidRPr="00F242DD">
        <w:rPr>
          <w:i/>
        </w:rPr>
        <w:t>% (9,3</w:t>
      </w:r>
      <w:r w:rsidR="004B6355" w:rsidRPr="00F242DD">
        <w:rPr>
          <w:i/>
        </w:rPr>
        <w:t> </w:t>
      </w:r>
      <w:r w:rsidR="002D7F46" w:rsidRPr="00F242DD">
        <w:rPr>
          <w:i/>
        </w:rPr>
        <w:t>% в контрольной группе). Частота периферической нейропатии была практически одинаковой в обеих группах. Другие негематологические осложнения 3</w:t>
      </w:r>
      <w:r w:rsidR="004B6355" w:rsidRPr="00F242DD">
        <w:rPr>
          <w:i/>
        </w:rPr>
        <w:t>−</w:t>
      </w:r>
      <w:r w:rsidR="002D7F46" w:rsidRPr="00F242DD">
        <w:rPr>
          <w:i/>
        </w:rPr>
        <w:t>4</w:t>
      </w:r>
      <w:r w:rsidR="004B6355" w:rsidRPr="00F242DD">
        <w:rPr>
          <w:i/>
        </w:rPr>
        <w:t>-й</w:t>
      </w:r>
      <w:r w:rsidR="002D7F46" w:rsidRPr="00F242DD">
        <w:rPr>
          <w:i/>
        </w:rPr>
        <w:t xml:space="preserve"> степени встречались чаще при лечении карфилзомибом</w:t>
      </w:r>
      <w:r w:rsidR="00AD2477" w:rsidRPr="00F242DD">
        <w:rPr>
          <w:i/>
        </w:rPr>
        <w:t>**</w:t>
      </w:r>
      <w:r w:rsidR="002D7F46" w:rsidRPr="00F242DD">
        <w:rPr>
          <w:i/>
        </w:rPr>
        <w:t xml:space="preserve"> и включали одышку (2,8 и 1,8</w:t>
      </w:r>
      <w:r w:rsidR="004B6355" w:rsidRPr="00F242DD">
        <w:rPr>
          <w:i/>
        </w:rPr>
        <w:t> </w:t>
      </w:r>
      <w:r w:rsidR="002D7F46" w:rsidRPr="00F242DD">
        <w:rPr>
          <w:i/>
        </w:rPr>
        <w:t>% соответственно), сердечную недостаточность (3,8 и 1,8</w:t>
      </w:r>
      <w:r w:rsidR="004B6355" w:rsidRPr="00F242DD">
        <w:rPr>
          <w:i/>
        </w:rPr>
        <w:t> </w:t>
      </w:r>
      <w:r w:rsidR="002D7F46" w:rsidRPr="00F242DD">
        <w:rPr>
          <w:i/>
        </w:rPr>
        <w:t>% соответственно) и гипертензию (4,3 и 1,8</w:t>
      </w:r>
      <w:r w:rsidR="004B6355" w:rsidRPr="00F242DD">
        <w:rPr>
          <w:i/>
        </w:rPr>
        <w:t> </w:t>
      </w:r>
      <w:r w:rsidR="002D7F46" w:rsidRPr="00F242DD">
        <w:rPr>
          <w:i/>
        </w:rPr>
        <w:t>%). Лечение по схеме KRd рекомендуется при агрессивном течении рецидива</w:t>
      </w:r>
      <w:r w:rsidR="00194E63" w:rsidRPr="00F242DD">
        <w:rPr>
          <w:i/>
        </w:rPr>
        <w:t>,</w:t>
      </w:r>
      <w:r w:rsidR="002D7F46" w:rsidRPr="00F242DD">
        <w:rPr>
          <w:i/>
        </w:rPr>
        <w:t xml:space="preserve"> и его продолжают до прогрессирования или развития неприемлемой токсичности.</w:t>
      </w:r>
    </w:p>
    <w:p w14:paraId="36A80A91" w14:textId="77777777" w:rsidR="002D7F46" w:rsidRPr="00F242DD" w:rsidRDefault="00B228C7" w:rsidP="00727CDE">
      <w:pPr>
        <w:pStyle w:val="a6"/>
        <w:numPr>
          <w:ilvl w:val="0"/>
          <w:numId w:val="8"/>
        </w:numPr>
        <w:tabs>
          <w:tab w:val="clear" w:pos="348"/>
          <w:tab w:val="num" w:pos="709"/>
        </w:tabs>
        <w:spacing w:before="0" w:after="0"/>
        <w:ind w:left="709" w:hanging="709"/>
      </w:pPr>
      <w:r w:rsidRPr="00F242DD">
        <w:t>Пациентам с</w:t>
      </w:r>
      <w:r w:rsidR="00DB0580" w:rsidRPr="00F242DD">
        <w:t xml:space="preserve"> рецидивом ММ</w:t>
      </w:r>
      <w:r w:rsidRPr="00F242DD">
        <w:t>, которым показана противомиеломная терапия и у которых не развилась рефр</w:t>
      </w:r>
      <w:r w:rsidR="001D4417" w:rsidRPr="00F242DD">
        <w:t>а</w:t>
      </w:r>
      <w:r w:rsidRPr="00F242DD">
        <w:t>ктерность к бортезомибу</w:t>
      </w:r>
      <w:r w:rsidR="002603E3" w:rsidRPr="00F242DD">
        <w:t>**</w:t>
      </w:r>
      <w:r w:rsidRPr="00F242DD">
        <w:t xml:space="preserve"> и леналидомиду</w:t>
      </w:r>
      <w:r w:rsidR="002603E3" w:rsidRPr="00F242DD">
        <w:t>**</w:t>
      </w:r>
      <w:r w:rsidRPr="00F242DD">
        <w:t>, в качестве од</w:t>
      </w:r>
      <w:r w:rsidR="00B657E4" w:rsidRPr="00F242DD">
        <w:t xml:space="preserve">ной из возможных опций </w:t>
      </w:r>
      <w:r w:rsidR="00B657E4" w:rsidRPr="00F242DD">
        <w:rPr>
          <w:b/>
        </w:rPr>
        <w:t>рекомендуется</w:t>
      </w:r>
      <w:r w:rsidR="002D7F46" w:rsidRPr="00F242DD">
        <w:t xml:space="preserve"> терапия </w:t>
      </w:r>
      <w:r w:rsidR="009D3FBB" w:rsidRPr="00F242DD">
        <w:t xml:space="preserve">применением комбинированной схемы </w:t>
      </w:r>
      <w:r w:rsidR="002D7F46" w:rsidRPr="00F242DD">
        <w:t>лечения карфилзомиба</w:t>
      </w:r>
      <w:r w:rsidR="00C86568" w:rsidRPr="00F242DD">
        <w:t>**</w:t>
      </w:r>
      <w:r w:rsidR="002D7F46" w:rsidRPr="00F242DD">
        <w:t xml:space="preserve"> и дексаметазона** </w:t>
      </w:r>
      <w:r w:rsidR="00032CFB" w:rsidRPr="00F242DD">
        <w:t xml:space="preserve">(описание режимов – см. приложение </w:t>
      </w:r>
      <w:r w:rsidR="00C812D6" w:rsidRPr="00F242DD">
        <w:t>А3.1</w:t>
      </w:r>
      <w:r w:rsidR="00194E63" w:rsidRPr="00F242DD">
        <w:t>.</w:t>
      </w:r>
      <w:r w:rsidR="00032CFB" w:rsidRPr="00F242DD">
        <w:t>)</w:t>
      </w:r>
      <w:r w:rsidR="00F2291F" w:rsidRPr="00F242DD">
        <w:t xml:space="preserve"> </w:t>
      </w:r>
      <w:r w:rsidR="00F2291F" w:rsidRPr="00F242DD">
        <w:fldChar w:fldCharType="begin" w:fldLock="1"/>
      </w:r>
      <w:r w:rsidR="00F74B6B" w:rsidRPr="00F242DD">
        <w:instrText>ADDIN CSL_CITATION {"citationItems":[{"id":"ITEM-1","itemData":{"DOI":"10.18632/oncotarget.25281","ISSN":"19492553","abstract":"© Shah et al. Objective: Carfilzomib (Carf) is a second-generation proteasome inhibitor approved for patients with relapsed and/or refractory multiple myeloma (RRMM) who failed ≥ 1 prior lines of therapy. We performed a systematic review of Carf literature with meta-analysis to determine the efficacy and safety in RRMM patients. Methods: Based on literature search, we included a total of 14 eligible phase I/ II, phase II and phase III Carf based clinical trials. The cumulative incidence and odds ratios (OR) were calculated with random effect model, using ''R'' software with metaphor package. Results: 2906 evaluable RRMM patients from published clinical trials included. The pooled overall response rate (ORR) was 45% (95% CI: 29-62). The pooled clinical benefit rate (CBR) was 56% (95% CI: 41-71). OR from 3 randomized clinical trials showed that Carf significantly improved ORR and CBR compared to control groups (OR 2.4, P &lt; 0.0001; 2.02, P = 0.0007, respectively). Subgroup analysis showed significantly better ORR (P &lt; 0.0001) and CBR (P &lt; 0.001) with combination regimens compared to monotherapy. Response was significantly higher with high dose of Carf (&gt; 20/27 mg/m2) compared to standard dose (ORR 65% vs. 35%, P = 0.03). Compared to control group, the OR of developing cardiotoxicity (P = 0.002) and hypertension (P &lt; 0.0001) were significantly higher with Carf, while no difference in peripheral neuropathy (P = 0.28). Conclusions: Carf produces significantly better responses with acceptable safety profile in RRMM patients. Combination regimens and higher dose Carf offers better response with no significant extra toxicity. Its efficacy is regardless of cytogenetics or disease stage. Incidences of cardiotoxicity and hypertension seem higher with Carf.","author":[{"dropping-particle":"","family":"Shah","given":"Chintan","non-dropping-particle":"","parse-names":false,"suffix":""},{"dropping-particle":"","family":"Bishnoi","given":"Rohit","non-dropping-particle":"","parse-names":false,"suffix":""},{"dropping-particle":"","family":"Wang","given":"Yu","non-dropping-particle":"","parse-names":false,"suffix":""},{"dropping-particle":"","family":"Zou","given":"Fei","non-dropping-particle":"","parse-names":false,"suffix":""},{"dropping-particle":"","family":"Bejjanki","given":"Harini","non-dropping-particle":"","parse-names":false,"suffix":""},{"dropping-particle":"","family":"Master","given":"Samip","non-dropping-particle":"","parse-names":false,"suffix":""},{"dropping-particle":"","family":"Moreb","given":"Jan S.","non-dropping-particle":"","parse-names":false,"suffix":""}],"container-title":"Oncotarget","id":"ITEM-1","issue":"34","issued":{"date-parts":[["2018","5","1"]]},"page":"23704-23717","publisher":"Impact Journals LLC","title":"Efficacy and safety of carfilzomib in relapsed and/or refractory multiple myeloma: Systematic review and meta-analysis of 14 trials","type":"article-journal","volume":"9"},"uris":["http://www.mendeley.com/documents/?uuid=7eecef4a-18ac-3907-997e-dffa8592d14d"]}],"mendeley":{"formattedCitation":"[61]","plainTextFormattedCitation":"[61]","previouslyFormattedCitation":"[61]"},"properties":{"noteIndex":0},"schema":"https://github.com/citation-style-language/schema/raw/master/csl-citation.json"}</w:instrText>
      </w:r>
      <w:r w:rsidR="00F2291F" w:rsidRPr="00F242DD">
        <w:fldChar w:fldCharType="separate"/>
      </w:r>
      <w:r w:rsidR="00705691" w:rsidRPr="00F242DD">
        <w:rPr>
          <w:noProof/>
        </w:rPr>
        <w:t>[61]</w:t>
      </w:r>
      <w:r w:rsidR="00F2291F" w:rsidRPr="00F242DD">
        <w:fldChar w:fldCharType="end"/>
      </w:r>
      <w:r w:rsidR="009A5168" w:rsidRPr="00F242DD">
        <w:t>.</w:t>
      </w:r>
    </w:p>
    <w:p w14:paraId="67AA25F4" w14:textId="77777777" w:rsidR="009E099B" w:rsidRPr="00F242DD" w:rsidRDefault="002D7F46" w:rsidP="00131E36">
      <w:pPr>
        <w:pStyle w:val="a6"/>
        <w:spacing w:before="0" w:after="0"/>
        <w:ind w:left="709"/>
        <w:rPr>
          <w:b/>
        </w:rPr>
      </w:pPr>
      <w:r w:rsidRPr="00F242DD">
        <w:rPr>
          <w:b/>
        </w:rPr>
        <w:t xml:space="preserve">Уровень убедительности рекомендаций </w:t>
      </w:r>
      <w:r w:rsidR="00194E63" w:rsidRPr="00F242DD">
        <w:rPr>
          <w:b/>
        </w:rPr>
        <w:t xml:space="preserve">− </w:t>
      </w:r>
      <w:r w:rsidR="00BD6788" w:rsidRPr="00F242DD">
        <w:rPr>
          <w:b/>
          <w:lang w:val="en-US"/>
        </w:rPr>
        <w:t>A</w:t>
      </w:r>
      <w:r w:rsidR="00D939A2" w:rsidRPr="00F242DD">
        <w:rPr>
          <w:b/>
        </w:rPr>
        <w:t xml:space="preserve"> </w:t>
      </w:r>
      <w:r w:rsidRPr="00F242DD">
        <w:rPr>
          <w:b/>
        </w:rPr>
        <w:t>(уровень достоверности доказательств</w:t>
      </w:r>
      <w:r w:rsidR="00D939A2" w:rsidRPr="00F242DD">
        <w:rPr>
          <w:b/>
        </w:rPr>
        <w:t xml:space="preserve"> </w:t>
      </w:r>
      <w:r w:rsidR="00194E63" w:rsidRPr="00F242DD">
        <w:rPr>
          <w:b/>
        </w:rPr>
        <w:t xml:space="preserve">− </w:t>
      </w:r>
      <w:r w:rsidR="006E390F" w:rsidRPr="00F242DD">
        <w:rPr>
          <w:b/>
        </w:rPr>
        <w:t>1)</w:t>
      </w:r>
    </w:p>
    <w:p w14:paraId="057EF436" w14:textId="77777777" w:rsidR="002D7F46" w:rsidRPr="00F242DD" w:rsidRDefault="002D7F46" w:rsidP="00131E36">
      <w:pPr>
        <w:pStyle w:val="a6"/>
        <w:spacing w:before="0" w:after="0"/>
        <w:ind w:left="709"/>
        <w:rPr>
          <w:i/>
        </w:rPr>
      </w:pPr>
      <w:r w:rsidRPr="00F242DD">
        <w:rPr>
          <w:b/>
        </w:rPr>
        <w:t xml:space="preserve">Комментарий: </w:t>
      </w:r>
      <w:r w:rsidR="00D939A2" w:rsidRPr="00F242DD">
        <w:rPr>
          <w:i/>
        </w:rPr>
        <w:t xml:space="preserve">в </w:t>
      </w:r>
      <w:r w:rsidRPr="00F242DD">
        <w:rPr>
          <w:i/>
        </w:rPr>
        <w:t>исследовании III фазы ENDEAVOR было показано, что применение комбинации карфилзомиба</w:t>
      </w:r>
      <w:r w:rsidR="006B6D8A" w:rsidRPr="00F242DD">
        <w:rPr>
          <w:i/>
        </w:rPr>
        <w:t>**</w:t>
      </w:r>
      <w:r w:rsidRPr="00F242DD">
        <w:rPr>
          <w:i/>
        </w:rPr>
        <w:t xml:space="preserve"> с дексаметазоном</w:t>
      </w:r>
      <w:r w:rsidR="006B6D8A" w:rsidRPr="00F242DD">
        <w:rPr>
          <w:i/>
        </w:rPr>
        <w:t>**</w:t>
      </w:r>
      <w:r w:rsidRPr="00F242DD">
        <w:rPr>
          <w:i/>
        </w:rPr>
        <w:t xml:space="preserve"> в 2 раза увеличивает ВБП по сравнению с комбинацией бортезомиба</w:t>
      </w:r>
      <w:r w:rsidR="006B6D8A" w:rsidRPr="00F242DD">
        <w:rPr>
          <w:i/>
        </w:rPr>
        <w:t>**</w:t>
      </w:r>
      <w:r w:rsidRPr="00F242DD">
        <w:rPr>
          <w:i/>
        </w:rPr>
        <w:t xml:space="preserve"> с дексаметазоном</w:t>
      </w:r>
      <w:r w:rsidR="006B6D8A" w:rsidRPr="00F242DD">
        <w:rPr>
          <w:i/>
        </w:rPr>
        <w:t>**</w:t>
      </w:r>
      <w:r w:rsidRPr="00F242DD">
        <w:rPr>
          <w:i/>
        </w:rPr>
        <w:t xml:space="preserve"> в </w:t>
      </w:r>
      <w:r w:rsidR="00362C51" w:rsidRPr="00F242DD">
        <w:rPr>
          <w:i/>
        </w:rPr>
        <w:t>этой группе пациентов (18,7 мес</w:t>
      </w:r>
      <w:r w:rsidR="00E778E9" w:rsidRPr="00F242DD">
        <w:rPr>
          <w:i/>
        </w:rPr>
        <w:t>.</w:t>
      </w:r>
      <w:r w:rsidRPr="00F242DD">
        <w:rPr>
          <w:i/>
        </w:rPr>
        <w:t xml:space="preserve"> против 9,4 мес</w:t>
      </w:r>
      <w:r w:rsidR="00E778E9" w:rsidRPr="00F242DD">
        <w:rPr>
          <w:i/>
        </w:rPr>
        <w:t>.</w:t>
      </w:r>
      <w:r w:rsidRPr="00F242DD">
        <w:rPr>
          <w:i/>
        </w:rPr>
        <w:t>); увеличение ОВ при применении карфилзомиба</w:t>
      </w:r>
      <w:r w:rsidR="00B657E4" w:rsidRPr="00F242DD">
        <w:rPr>
          <w:i/>
        </w:rPr>
        <w:t>**</w:t>
      </w:r>
      <w:r w:rsidRPr="00F242DD">
        <w:rPr>
          <w:i/>
        </w:rPr>
        <w:t xml:space="preserve"> также было значимым (47,6 мес</w:t>
      </w:r>
      <w:r w:rsidR="00E778E9" w:rsidRPr="00F242DD">
        <w:rPr>
          <w:i/>
        </w:rPr>
        <w:t>.</w:t>
      </w:r>
      <w:r w:rsidRPr="00F242DD">
        <w:rPr>
          <w:i/>
        </w:rPr>
        <w:t xml:space="preserve"> против 40,0 мес</w:t>
      </w:r>
      <w:r w:rsidR="00E778E9" w:rsidRPr="00F242DD">
        <w:rPr>
          <w:i/>
        </w:rPr>
        <w:t>.</w:t>
      </w:r>
      <w:r w:rsidRPr="00F242DD">
        <w:rPr>
          <w:i/>
        </w:rPr>
        <w:t>). Частота нежелательных явлений 3</w:t>
      </w:r>
      <w:r w:rsidR="00362C51" w:rsidRPr="00F242DD">
        <w:rPr>
          <w:i/>
        </w:rPr>
        <w:t>−</w:t>
      </w:r>
      <w:r w:rsidRPr="00F242DD">
        <w:rPr>
          <w:i/>
        </w:rPr>
        <w:t>4</w:t>
      </w:r>
      <w:r w:rsidR="00362C51" w:rsidRPr="00F242DD">
        <w:rPr>
          <w:i/>
        </w:rPr>
        <w:t>-й</w:t>
      </w:r>
      <w:r w:rsidRPr="00F242DD">
        <w:rPr>
          <w:i/>
        </w:rPr>
        <w:t xml:space="preserve"> степени в группе карфилзомиба</w:t>
      </w:r>
      <w:r w:rsidR="006B6D8A" w:rsidRPr="00F242DD">
        <w:rPr>
          <w:i/>
        </w:rPr>
        <w:t>**</w:t>
      </w:r>
      <w:r w:rsidRPr="00F242DD">
        <w:rPr>
          <w:i/>
        </w:rPr>
        <w:t xml:space="preserve"> была выше по сравнению с группой бортезомиба</w:t>
      </w:r>
      <w:r w:rsidR="006B6D8A" w:rsidRPr="00F242DD">
        <w:rPr>
          <w:i/>
        </w:rPr>
        <w:t>**</w:t>
      </w:r>
      <w:r w:rsidRPr="00F242DD">
        <w:rPr>
          <w:i/>
        </w:rPr>
        <w:t>: гипертензия встречалась у 8,9 и 2,6</w:t>
      </w:r>
      <w:r w:rsidR="00362C51" w:rsidRPr="00F242DD">
        <w:rPr>
          <w:i/>
        </w:rPr>
        <w:t> </w:t>
      </w:r>
      <w:r w:rsidRPr="00F242DD">
        <w:rPr>
          <w:i/>
        </w:rPr>
        <w:t>% пациентов соответственно, одышка – у 5,6 и 2,2</w:t>
      </w:r>
      <w:r w:rsidR="00362C51" w:rsidRPr="00F242DD">
        <w:rPr>
          <w:i/>
        </w:rPr>
        <w:t> </w:t>
      </w:r>
      <w:r w:rsidRPr="00F242DD">
        <w:rPr>
          <w:i/>
        </w:rPr>
        <w:t>%, сердечная недостаточность – у 4,8 и 1,8</w:t>
      </w:r>
      <w:r w:rsidR="00362C51" w:rsidRPr="00F242DD">
        <w:rPr>
          <w:i/>
        </w:rPr>
        <w:t> </w:t>
      </w:r>
      <w:r w:rsidRPr="00F242DD">
        <w:rPr>
          <w:i/>
        </w:rPr>
        <w:t>%, острая почечная недостаточность – у 4,1 и 2,6</w:t>
      </w:r>
      <w:r w:rsidR="00362C51" w:rsidRPr="00F242DD">
        <w:rPr>
          <w:i/>
        </w:rPr>
        <w:t> </w:t>
      </w:r>
      <w:r w:rsidRPr="00F242DD">
        <w:rPr>
          <w:i/>
        </w:rPr>
        <w:t>%. При этом следует обратить внимание на то, что в группе лечения карфилзомибом</w:t>
      </w:r>
      <w:r w:rsidR="006B6D8A" w:rsidRPr="00F242DD">
        <w:rPr>
          <w:i/>
        </w:rPr>
        <w:t>**</w:t>
      </w:r>
      <w:r w:rsidRPr="00F242DD">
        <w:rPr>
          <w:i/>
        </w:rPr>
        <w:t xml:space="preserve"> частота периферической полинейропатии 2</w:t>
      </w:r>
      <w:r w:rsidR="00362C51" w:rsidRPr="00F242DD">
        <w:rPr>
          <w:i/>
        </w:rPr>
        <w:t>-й</w:t>
      </w:r>
      <w:r w:rsidRPr="00F242DD">
        <w:rPr>
          <w:i/>
        </w:rPr>
        <w:t xml:space="preserve"> степени и более была значительно ниже (6</w:t>
      </w:r>
      <w:r w:rsidR="00815D8E" w:rsidRPr="00F242DD">
        <w:rPr>
          <w:i/>
        </w:rPr>
        <w:t> </w:t>
      </w:r>
      <w:r w:rsidRPr="00F242DD">
        <w:rPr>
          <w:i/>
        </w:rPr>
        <w:t xml:space="preserve">%), чем в группе </w:t>
      </w:r>
      <w:r w:rsidR="00FB03BB" w:rsidRPr="00F242DD">
        <w:rPr>
          <w:i/>
        </w:rPr>
        <w:t>пациентов</w:t>
      </w:r>
      <w:r w:rsidRPr="00F242DD">
        <w:rPr>
          <w:i/>
        </w:rPr>
        <w:t>, получавших бортезомиб</w:t>
      </w:r>
      <w:r w:rsidR="006B6D8A" w:rsidRPr="00F242DD">
        <w:rPr>
          <w:i/>
        </w:rPr>
        <w:t>**</w:t>
      </w:r>
      <w:r w:rsidRPr="00F242DD">
        <w:rPr>
          <w:i/>
        </w:rPr>
        <w:t xml:space="preserve"> (32</w:t>
      </w:r>
      <w:r w:rsidR="00815D8E" w:rsidRPr="00F242DD">
        <w:rPr>
          <w:i/>
        </w:rPr>
        <w:t> </w:t>
      </w:r>
      <w:r w:rsidRPr="00F242DD">
        <w:rPr>
          <w:i/>
        </w:rPr>
        <w:t>%).</w:t>
      </w:r>
    </w:p>
    <w:p w14:paraId="726B64AD" w14:textId="77777777" w:rsidR="00C86568" w:rsidRPr="00F242DD" w:rsidRDefault="00B228C7" w:rsidP="00727CDE">
      <w:pPr>
        <w:pStyle w:val="a6"/>
        <w:numPr>
          <w:ilvl w:val="0"/>
          <w:numId w:val="8"/>
        </w:numPr>
        <w:tabs>
          <w:tab w:val="clear" w:pos="348"/>
          <w:tab w:val="num" w:pos="709"/>
        </w:tabs>
        <w:spacing w:before="0" w:after="0"/>
        <w:ind w:left="709" w:hanging="709"/>
      </w:pPr>
      <w:r w:rsidRPr="00F242DD">
        <w:t>Пациентам с</w:t>
      </w:r>
      <w:r w:rsidR="00DB0580" w:rsidRPr="00F242DD">
        <w:t xml:space="preserve"> рецидивом ММ</w:t>
      </w:r>
      <w:r w:rsidRPr="00F242DD">
        <w:t>, которым показана противомиеломная терапия и у которых не развилась рефрактерность к бортезомибу</w:t>
      </w:r>
      <w:r w:rsidR="002B59AA" w:rsidRPr="00F242DD">
        <w:t>**</w:t>
      </w:r>
      <w:r w:rsidRPr="00F242DD">
        <w:t xml:space="preserve"> и леналидомиду</w:t>
      </w:r>
      <w:r w:rsidR="002B59AA" w:rsidRPr="00F242DD">
        <w:t>**</w:t>
      </w:r>
      <w:r w:rsidRPr="00F242DD">
        <w:t xml:space="preserve">, в </w:t>
      </w:r>
      <w:r w:rsidRPr="00F242DD">
        <w:lastRenderedPageBreak/>
        <w:t>качестве одн</w:t>
      </w:r>
      <w:r w:rsidR="00B657E4" w:rsidRPr="00F242DD">
        <w:t>ой из возможных опций</w:t>
      </w:r>
      <w:r w:rsidR="00BA7503" w:rsidRPr="00F242DD">
        <w:t xml:space="preserve"> </w:t>
      </w:r>
      <w:r w:rsidR="00B657E4" w:rsidRPr="00F242DD">
        <w:rPr>
          <w:b/>
        </w:rPr>
        <w:t>рекомендуется</w:t>
      </w:r>
      <w:r w:rsidR="00C86568" w:rsidRPr="00F242DD">
        <w:t xml:space="preserve"> терапия с включением в схему лечения иксазомиба**, леналидомида** и дексаметазона** </w:t>
      </w:r>
      <w:r w:rsidR="00032CFB" w:rsidRPr="00F242DD">
        <w:t xml:space="preserve">(описание режимов – см. приложение </w:t>
      </w:r>
      <w:r w:rsidR="00C812D6" w:rsidRPr="00F242DD">
        <w:t>А3.1</w:t>
      </w:r>
      <w:r w:rsidR="00815D8E" w:rsidRPr="00F242DD">
        <w:t>.</w:t>
      </w:r>
      <w:r w:rsidR="00032CFB" w:rsidRPr="00F242DD">
        <w:t>)</w:t>
      </w:r>
      <w:r w:rsidR="00D939A2" w:rsidRPr="00F242DD">
        <w:t xml:space="preserve"> </w:t>
      </w:r>
      <w:r w:rsidR="00A96FB6" w:rsidRPr="00F242DD">
        <w:rPr>
          <w:i/>
        </w:rPr>
        <w:fldChar w:fldCharType="begin" w:fldLock="1"/>
      </w:r>
      <w:r w:rsidR="00F74B6B" w:rsidRPr="00F242DD">
        <w:rPr>
          <w:i/>
        </w:rPr>
        <w:instrText>ADDIN CSL_CITATION {"citationItems":[{"id":"ITEM-1","itemData":{"DOI":"10.1056/NEJMoa1516282","ISSN":"0028-4793","author":[{"dropping-particle":"","family":"Moreau","given":"Philippe","non-dropping-particle":"","parse-names":false,"suffix":""},{"dropping-particle":"","family":"Masszi","given":"Tamás","non-dropping-particle":"","parse-names":false,"suffix":""},{"dropping-particle":"","family":"Grzasko","given":"Norbert","non-dropping-particle":"","parse-names":false,"suffix":""},{"dropping-particle":"","family":"Bahlis","given":"Nizar J.","non-dropping-particle":"","parse-names":false,"suffix":""},{"dropping-particle":"","family":"Hansson","given":"Markus","non-dropping-particle":"","parse-names":false,"suffix":""},{"dropping-particle":"","family":"Pour","given":"Ludek","non-dropping-particle":"","parse-names":false,"suffix":""},{"dropping-particle":"","family":"Sandhu","given":"Irwindeep","non-dropping-particle":"","parse-names":false,"suffix":""},{"dropping-particle":"","family":"Ganly","given":"Peter","non-dropping-particle":"","parse-names":false,"suffix":""},{"dropping-particle":"","family":"Baker","given":"Bartrum W.","non-dropping-particle":"","parse-names":false,"suffix":""},{"dropping-particle":"","family":"Jackson","given":"Sharon R.","non-dropping-particle":"","parse-names":false,"suffix":""},{"dropping-particle":"","family":"Stoppa","given":"Anne-Marie","non-dropping-particle":"","parse-names":false,"suffix":""},{"dropping-particle":"","family":"Simpson","given":"David R.","non-dropping-particle":"","parse-names":false,"suffix":""},{"dropping-particle":"","family":"Gimsing","given":"Peter","non-dropping-particle":"","parse-names":false,"suffix":""},{"dropping-particle":"","family":"Palumbo","given":"Antonio","non-dropping-particle":"","parse-names":false,"suffix":""},{"dropping-particle":"","family":"Garderet","given":"Laurent","non-dropping-particle":"","parse-names":false,"suffix":""},{"dropping-particle":"","family":"Cavo","given":"Michele","non-dropping-particle":"","parse-names":false,"suffix":""},{"dropping-particle":"","family":"Kumar","given":"Shaji","non-dropping-particle":"","parse-names":false,"suffix":""},{"dropping-particle":"","family":"Touzeau","given":"Cyrille","non-dropping-particle":"","parse-names":false,"suffix":""},{"dropping-particle":"","family":"Buadi","given":"Francis K.","non-dropping-particle":"","parse-names":false,"suffix":""},{"dropping-particle":"","family":"Laubach","given":"Jacob P.","non-dropping-particle":"","parse-names":false,"suffix":""},{"dropping-particle":"","family":"Berg","given":"Deborah T.","non-dropping-particle":"","parse-names":false,"suffix":""},{"dropping-particle":"","family":"Lin","given":"Jianchang","non-dropping-particle":"","parse-names":false,"suffix":""},{"dropping-particle":"","family":"Bacco","given":"Alessandra","non-dropping-particle":"Di","parse-names":false,"suffix":""},{"dropping-particle":"","family":"Hui","given":"Ai-Min","non-dropping-particle":"","parse-names":false,"suffix":""},{"dropping-particle":"","family":"Velde","given":"Helgi","non-dropping-particle":"van de","parse-names":false,"suffix":""},{"dropping-particle":"","family":"Richardson","given":"Paul G.","non-dropping-particle":"","parse-names":false,"suffix":""}],"container-title":"New England Journal of Medicine","id":"ITEM-1","issue":"17","issued":{"date-parts":[["2016","4","28"]]},"page":"1621-1634","title":"Oral Ixazomib, Lenalidomide, and Dexamethasone for Multiple Myeloma","type":"article-journal","volume":"374"},"uris":["http://www.mendeley.com/documents/?uuid=4ccb25a7-fe89-3814-923e-66ad0de36099"]}],"mendeley":{"formattedCitation":"[62]","plainTextFormattedCitation":"[62]","previouslyFormattedCitation":"[62]"},"properties":{"noteIndex":0},"schema":"https://github.com/citation-style-language/schema/raw/master/csl-citation.json"}</w:instrText>
      </w:r>
      <w:r w:rsidR="00A96FB6" w:rsidRPr="00F242DD">
        <w:rPr>
          <w:i/>
        </w:rPr>
        <w:fldChar w:fldCharType="separate"/>
      </w:r>
      <w:r w:rsidR="00705691" w:rsidRPr="00F242DD">
        <w:rPr>
          <w:noProof/>
        </w:rPr>
        <w:t>[62]</w:t>
      </w:r>
      <w:r w:rsidR="00A96FB6" w:rsidRPr="00F242DD">
        <w:rPr>
          <w:i/>
        </w:rPr>
        <w:fldChar w:fldCharType="end"/>
      </w:r>
      <w:r w:rsidR="00032CFB" w:rsidRPr="00F242DD">
        <w:t>.</w:t>
      </w:r>
    </w:p>
    <w:p w14:paraId="1D022F5F" w14:textId="77777777" w:rsidR="00C86568" w:rsidRPr="00F242DD" w:rsidRDefault="00C86568" w:rsidP="00131E36">
      <w:pPr>
        <w:pStyle w:val="a6"/>
        <w:spacing w:before="0" w:after="0"/>
        <w:ind w:left="709"/>
        <w:rPr>
          <w:b/>
        </w:rPr>
      </w:pPr>
      <w:r w:rsidRPr="00F242DD">
        <w:rPr>
          <w:b/>
        </w:rPr>
        <w:t xml:space="preserve">Уровень убедительности рекомендаций </w:t>
      </w:r>
      <w:r w:rsidR="00815D8E" w:rsidRPr="00F242DD">
        <w:rPr>
          <w:b/>
        </w:rPr>
        <w:t xml:space="preserve">− </w:t>
      </w:r>
      <w:r w:rsidR="00F2291F" w:rsidRPr="00F242DD">
        <w:rPr>
          <w:b/>
          <w:lang w:val="en-US"/>
        </w:rPr>
        <w:t>B</w:t>
      </w:r>
      <w:r w:rsidR="00F2291F" w:rsidRPr="00F242DD">
        <w:rPr>
          <w:b/>
        </w:rPr>
        <w:t xml:space="preserve"> </w:t>
      </w:r>
      <w:r w:rsidRPr="00F242DD">
        <w:rPr>
          <w:b/>
        </w:rPr>
        <w:t>(уровень достоверности доказательств</w:t>
      </w:r>
      <w:r w:rsidR="00286688" w:rsidRPr="00F242DD">
        <w:rPr>
          <w:b/>
        </w:rPr>
        <w:t xml:space="preserve"> </w:t>
      </w:r>
      <w:r w:rsidR="00815D8E" w:rsidRPr="00F242DD">
        <w:rPr>
          <w:b/>
        </w:rPr>
        <w:t xml:space="preserve">− </w:t>
      </w:r>
      <w:r w:rsidR="009D3FBB" w:rsidRPr="00F242DD">
        <w:rPr>
          <w:b/>
        </w:rPr>
        <w:t>2</w:t>
      </w:r>
      <w:r w:rsidR="006E390F" w:rsidRPr="00F242DD">
        <w:rPr>
          <w:b/>
        </w:rPr>
        <w:t>)</w:t>
      </w:r>
    </w:p>
    <w:p w14:paraId="77DFFFFD" w14:textId="77777777" w:rsidR="00C86568" w:rsidRPr="00F242DD" w:rsidRDefault="00C86568" w:rsidP="00131E36">
      <w:pPr>
        <w:pStyle w:val="a6"/>
        <w:spacing w:before="0" w:after="0"/>
        <w:ind w:left="709"/>
        <w:rPr>
          <w:i/>
        </w:rPr>
      </w:pPr>
      <w:r w:rsidRPr="00F242DD">
        <w:rPr>
          <w:b/>
        </w:rPr>
        <w:t xml:space="preserve">Комментарий: </w:t>
      </w:r>
      <w:r w:rsidR="00815D8E" w:rsidRPr="00F242DD">
        <w:rPr>
          <w:i/>
        </w:rPr>
        <w:t>р</w:t>
      </w:r>
      <w:r w:rsidRPr="00F242DD">
        <w:rPr>
          <w:i/>
        </w:rPr>
        <w:t>езультаты крупного рандомизированного исследования TOURMALINE-MM1 выявили, что добавление иксазомиба</w:t>
      </w:r>
      <w:r w:rsidR="0085596B" w:rsidRPr="00F242DD">
        <w:rPr>
          <w:i/>
        </w:rPr>
        <w:t>**</w:t>
      </w:r>
      <w:r w:rsidRPr="00F242DD">
        <w:rPr>
          <w:i/>
        </w:rPr>
        <w:t xml:space="preserve"> к комбинации леналидомида</w:t>
      </w:r>
      <w:r w:rsidR="0085596B" w:rsidRPr="00F242DD">
        <w:rPr>
          <w:i/>
        </w:rPr>
        <w:t>**</w:t>
      </w:r>
      <w:r w:rsidRPr="00F242DD">
        <w:rPr>
          <w:i/>
        </w:rPr>
        <w:t xml:space="preserve"> с дексаметазоном</w:t>
      </w:r>
      <w:r w:rsidR="0085596B" w:rsidRPr="00F242DD">
        <w:rPr>
          <w:i/>
        </w:rPr>
        <w:t>**</w:t>
      </w:r>
      <w:r w:rsidRPr="00F242DD">
        <w:rPr>
          <w:i/>
        </w:rPr>
        <w:t xml:space="preserve"> увеличивает ВБП у </w:t>
      </w:r>
      <w:r w:rsidR="00FB03BB" w:rsidRPr="00F242DD">
        <w:rPr>
          <w:i/>
        </w:rPr>
        <w:t>пациентов</w:t>
      </w:r>
      <w:r w:rsidRPr="00F242DD">
        <w:rPr>
          <w:i/>
        </w:rPr>
        <w:t xml:space="preserve"> с рецидивами и рефрактерной ММ по сравнению с контрольной группой.  Медианы ВБП составили 20,6 и 14,7 мес</w:t>
      </w:r>
      <w:r w:rsidR="00E778E9" w:rsidRPr="00F242DD">
        <w:rPr>
          <w:i/>
        </w:rPr>
        <w:t>.</w:t>
      </w:r>
      <w:r w:rsidRPr="00F242DD">
        <w:rPr>
          <w:i/>
        </w:rPr>
        <w:t xml:space="preserve"> соответственно. Общая эффективность лечения была выше в группе иксазомиба</w:t>
      </w:r>
      <w:r w:rsidR="0085596B" w:rsidRPr="00F242DD">
        <w:rPr>
          <w:i/>
        </w:rPr>
        <w:t>**</w:t>
      </w:r>
      <w:r w:rsidRPr="00F242DD">
        <w:rPr>
          <w:i/>
        </w:rPr>
        <w:t xml:space="preserve"> (78</w:t>
      </w:r>
      <w:r w:rsidR="00815D8E" w:rsidRPr="00F242DD">
        <w:rPr>
          <w:i/>
        </w:rPr>
        <w:t> </w:t>
      </w:r>
      <w:r w:rsidRPr="00F242DD">
        <w:rPr>
          <w:i/>
        </w:rPr>
        <w:t>%), чем в группе плацебо (72</w:t>
      </w:r>
      <w:r w:rsidR="00815D8E" w:rsidRPr="00F242DD">
        <w:rPr>
          <w:i/>
        </w:rPr>
        <w:t> </w:t>
      </w:r>
      <w:r w:rsidRPr="00F242DD">
        <w:rPr>
          <w:i/>
        </w:rPr>
        <w:t xml:space="preserve">%). </w:t>
      </w:r>
      <w:r w:rsidR="00815D8E" w:rsidRPr="00F242DD">
        <w:rPr>
          <w:i/>
        </w:rPr>
        <w:t>ПР</w:t>
      </w:r>
      <w:r w:rsidRPr="00F242DD">
        <w:rPr>
          <w:i/>
        </w:rPr>
        <w:t xml:space="preserve"> в группе иксазомиба</w:t>
      </w:r>
      <w:r w:rsidR="0085596B" w:rsidRPr="00F242DD">
        <w:rPr>
          <w:i/>
        </w:rPr>
        <w:t>**</w:t>
      </w:r>
      <w:r w:rsidRPr="00F242DD">
        <w:rPr>
          <w:i/>
        </w:rPr>
        <w:t xml:space="preserve"> достигли 12</w:t>
      </w:r>
      <w:r w:rsidR="00815D8E" w:rsidRPr="00F242DD">
        <w:rPr>
          <w:i/>
        </w:rPr>
        <w:t> </w:t>
      </w:r>
      <w:r w:rsidRPr="00F242DD">
        <w:rPr>
          <w:i/>
        </w:rPr>
        <w:t xml:space="preserve">% </w:t>
      </w:r>
      <w:r w:rsidR="00FB03BB" w:rsidRPr="00F242DD">
        <w:rPr>
          <w:i/>
        </w:rPr>
        <w:t>пациентов</w:t>
      </w:r>
      <w:r w:rsidRPr="00F242DD">
        <w:rPr>
          <w:i/>
        </w:rPr>
        <w:t xml:space="preserve">, в группе плацебо </w:t>
      </w:r>
      <w:r w:rsidR="00815D8E" w:rsidRPr="00F242DD">
        <w:rPr>
          <w:i/>
        </w:rPr>
        <w:t>–</w:t>
      </w:r>
      <w:r w:rsidRPr="00F242DD">
        <w:rPr>
          <w:i/>
        </w:rPr>
        <w:t xml:space="preserve"> 7</w:t>
      </w:r>
      <w:r w:rsidR="00815D8E" w:rsidRPr="00F242DD">
        <w:rPr>
          <w:i/>
        </w:rPr>
        <w:t> </w:t>
      </w:r>
      <w:r w:rsidRPr="00F242DD">
        <w:rPr>
          <w:i/>
        </w:rPr>
        <w:t>%. Переносимость комбинации иксазомиба</w:t>
      </w:r>
      <w:r w:rsidR="0085596B" w:rsidRPr="00F242DD">
        <w:rPr>
          <w:i/>
        </w:rPr>
        <w:t>**</w:t>
      </w:r>
      <w:r w:rsidRPr="00F242DD">
        <w:rPr>
          <w:i/>
        </w:rPr>
        <w:t xml:space="preserve"> с леналидомидом</w:t>
      </w:r>
      <w:r w:rsidR="0085596B" w:rsidRPr="00F242DD">
        <w:rPr>
          <w:i/>
        </w:rPr>
        <w:t>**</w:t>
      </w:r>
      <w:r w:rsidRPr="00F242DD">
        <w:rPr>
          <w:i/>
        </w:rPr>
        <w:t xml:space="preserve"> и дексаметазоном</w:t>
      </w:r>
      <w:r w:rsidR="0085596B" w:rsidRPr="00F242DD">
        <w:rPr>
          <w:i/>
        </w:rPr>
        <w:t>**</w:t>
      </w:r>
      <w:r w:rsidRPr="00F242DD">
        <w:rPr>
          <w:i/>
        </w:rPr>
        <w:t xml:space="preserve"> была удовлетворительной. Частота серьезных нежелательных явлений в обеих группах была схожей. Тромбоцитопения 3 и 4</w:t>
      </w:r>
      <w:r w:rsidR="00AE4430" w:rsidRPr="00F242DD">
        <w:rPr>
          <w:i/>
        </w:rPr>
        <w:t>-й</w:t>
      </w:r>
      <w:r w:rsidRPr="00F242DD">
        <w:rPr>
          <w:i/>
        </w:rPr>
        <w:t xml:space="preserve"> степени чаще встречалась в группе иксазомиба</w:t>
      </w:r>
      <w:r w:rsidR="0085596B" w:rsidRPr="00F242DD">
        <w:rPr>
          <w:i/>
        </w:rPr>
        <w:t>**</w:t>
      </w:r>
      <w:r w:rsidRPr="00F242DD">
        <w:rPr>
          <w:i/>
        </w:rPr>
        <w:t xml:space="preserve"> (19</w:t>
      </w:r>
      <w:r w:rsidR="00AE4430" w:rsidRPr="00F242DD">
        <w:rPr>
          <w:i/>
        </w:rPr>
        <w:t> </w:t>
      </w:r>
      <w:r w:rsidRPr="00F242DD">
        <w:rPr>
          <w:i/>
        </w:rPr>
        <w:t>%), чем в группе плацебо (9</w:t>
      </w:r>
      <w:r w:rsidR="00AE4430" w:rsidRPr="00F242DD">
        <w:rPr>
          <w:i/>
        </w:rPr>
        <w:t> </w:t>
      </w:r>
      <w:r w:rsidRPr="00F242DD">
        <w:rPr>
          <w:i/>
        </w:rPr>
        <w:t>%). Частота развития периферической нейропатии составила 27</w:t>
      </w:r>
      <w:r w:rsidR="00AE4430" w:rsidRPr="00F242DD">
        <w:rPr>
          <w:i/>
        </w:rPr>
        <w:t> </w:t>
      </w:r>
      <w:r w:rsidRPr="00F242DD">
        <w:rPr>
          <w:i/>
        </w:rPr>
        <w:t>% в группе иксазомиба</w:t>
      </w:r>
      <w:r w:rsidR="0085596B" w:rsidRPr="00F242DD">
        <w:rPr>
          <w:i/>
        </w:rPr>
        <w:t>**</w:t>
      </w:r>
      <w:r w:rsidRPr="00F242DD">
        <w:rPr>
          <w:i/>
        </w:rPr>
        <w:t xml:space="preserve"> и 22</w:t>
      </w:r>
      <w:r w:rsidR="00AE4430" w:rsidRPr="00F242DD">
        <w:rPr>
          <w:i/>
        </w:rPr>
        <w:t> </w:t>
      </w:r>
      <w:r w:rsidRPr="00F242DD">
        <w:rPr>
          <w:i/>
        </w:rPr>
        <w:t>% в группе плацебо (нейропатия 3</w:t>
      </w:r>
      <w:r w:rsidR="00AE4430" w:rsidRPr="00F242DD">
        <w:rPr>
          <w:i/>
        </w:rPr>
        <w:t>-й</w:t>
      </w:r>
      <w:r w:rsidRPr="00F242DD">
        <w:rPr>
          <w:i/>
        </w:rPr>
        <w:t xml:space="preserve"> степени наблюдалась у 2</w:t>
      </w:r>
      <w:r w:rsidR="00AE4430" w:rsidRPr="00F242DD">
        <w:rPr>
          <w:i/>
        </w:rPr>
        <w:t> </w:t>
      </w:r>
      <w:r w:rsidRPr="00F242DD">
        <w:rPr>
          <w:i/>
        </w:rPr>
        <w:t xml:space="preserve">% </w:t>
      </w:r>
      <w:r w:rsidR="00FB03BB" w:rsidRPr="00F242DD">
        <w:rPr>
          <w:i/>
        </w:rPr>
        <w:t>пациентов</w:t>
      </w:r>
      <w:r w:rsidRPr="00F242DD">
        <w:rPr>
          <w:i/>
        </w:rPr>
        <w:t xml:space="preserve"> в каждой группе). </w:t>
      </w:r>
    </w:p>
    <w:p w14:paraId="676C7AC1" w14:textId="77777777" w:rsidR="00C86568" w:rsidRPr="00F242DD" w:rsidRDefault="00C86568" w:rsidP="00131E36">
      <w:pPr>
        <w:pStyle w:val="a6"/>
        <w:spacing w:before="0" w:after="0"/>
        <w:ind w:left="709"/>
        <w:rPr>
          <w:i/>
        </w:rPr>
      </w:pPr>
      <w:r w:rsidRPr="00F242DD">
        <w:rPr>
          <w:i/>
        </w:rPr>
        <w:t>По фармакокинетике и фармакодинамике</w:t>
      </w:r>
      <w:r w:rsidR="00D939A2" w:rsidRPr="00F242DD">
        <w:rPr>
          <w:i/>
        </w:rPr>
        <w:t xml:space="preserve"> </w:t>
      </w:r>
      <w:r w:rsidRPr="00F242DD">
        <w:rPr>
          <w:i/>
        </w:rPr>
        <w:t>иксазомиб</w:t>
      </w:r>
      <w:r w:rsidR="0085596B" w:rsidRPr="00F242DD">
        <w:rPr>
          <w:i/>
        </w:rPr>
        <w:t>**</w:t>
      </w:r>
      <w:r w:rsidRPr="00F242DD">
        <w:rPr>
          <w:i/>
        </w:rPr>
        <w:t xml:space="preserve"> отличается от бортезомиба</w:t>
      </w:r>
      <w:r w:rsidR="0085596B" w:rsidRPr="00F242DD">
        <w:rPr>
          <w:i/>
        </w:rPr>
        <w:t>**</w:t>
      </w:r>
      <w:r w:rsidRPr="00F242DD">
        <w:rPr>
          <w:i/>
        </w:rPr>
        <w:t xml:space="preserve"> лучшим проникновением в ткани и более высокой биологической активностью. Фармакокинетика иксазомиба</w:t>
      </w:r>
      <w:r w:rsidR="00AD2477" w:rsidRPr="00F242DD">
        <w:rPr>
          <w:i/>
        </w:rPr>
        <w:t>**</w:t>
      </w:r>
      <w:r w:rsidRPr="00F242DD">
        <w:rPr>
          <w:i/>
        </w:rPr>
        <w:t xml:space="preserve"> была сходной у пациентов с нормальной функцией почек и при нарушении функции почек легкой или умеренной степени (клиренс креатинина ≥30 мл/мин).  Фармакокинетика также была сходной у пациентов с нормальной функцией печени и при нарушении функции печени легкой степени. При умеренном и тяжелом нарушении функции печени требуется снижение начальной дозы с 4 до 3 мг.</w:t>
      </w:r>
    </w:p>
    <w:p w14:paraId="47AE230B" w14:textId="77777777" w:rsidR="00B472C9" w:rsidRPr="00F242DD" w:rsidRDefault="00B228C7" w:rsidP="00727CDE">
      <w:pPr>
        <w:pStyle w:val="a6"/>
        <w:numPr>
          <w:ilvl w:val="0"/>
          <w:numId w:val="8"/>
        </w:numPr>
        <w:tabs>
          <w:tab w:val="clear" w:pos="348"/>
          <w:tab w:val="num" w:pos="709"/>
        </w:tabs>
        <w:spacing w:before="0" w:after="0"/>
        <w:ind w:left="709" w:hanging="709"/>
      </w:pPr>
      <w:r w:rsidRPr="00F242DD">
        <w:t>Пациентам с</w:t>
      </w:r>
      <w:r w:rsidR="00DB0580" w:rsidRPr="00F242DD">
        <w:t xml:space="preserve"> рецидивом ММ</w:t>
      </w:r>
      <w:r w:rsidRPr="00F242DD">
        <w:t>, которым показана противомиеломная терапия и у которы</w:t>
      </w:r>
      <w:r w:rsidR="005A7F3F" w:rsidRPr="00F242DD">
        <w:t>х не развилась рефрактерность к</w:t>
      </w:r>
      <w:r w:rsidR="00AE4430" w:rsidRPr="00F242DD">
        <w:t xml:space="preserve"> </w:t>
      </w:r>
      <w:r w:rsidRPr="00F242DD">
        <w:t>леналидомиду</w:t>
      </w:r>
      <w:r w:rsidR="00AD2477" w:rsidRPr="00F242DD">
        <w:t>**</w:t>
      </w:r>
      <w:r w:rsidRPr="00F242DD">
        <w:t>, в качестве одной из в</w:t>
      </w:r>
      <w:r w:rsidR="00B657E4" w:rsidRPr="00F242DD">
        <w:t>озможных опций</w:t>
      </w:r>
      <w:r w:rsidR="009D3B20" w:rsidRPr="00F242DD">
        <w:t xml:space="preserve"> </w:t>
      </w:r>
      <w:r w:rsidR="00B657E4" w:rsidRPr="00F242DD">
        <w:rPr>
          <w:b/>
        </w:rPr>
        <w:t>рекомендуется</w:t>
      </w:r>
      <w:r w:rsidR="00B472C9" w:rsidRPr="00F242DD">
        <w:t xml:space="preserve"> терапия с включением в схему лечения даратумумаба**, леналидомида** и дексаметазона** </w:t>
      </w:r>
      <w:r w:rsidR="00032CFB" w:rsidRPr="00F242DD">
        <w:t xml:space="preserve">(описание режимов – см. приложение </w:t>
      </w:r>
      <w:r w:rsidR="00C812D6" w:rsidRPr="00F242DD">
        <w:t>А3.1</w:t>
      </w:r>
      <w:r w:rsidR="00AE4430" w:rsidRPr="00F242DD">
        <w:t>.</w:t>
      </w:r>
      <w:r w:rsidR="00032CFB" w:rsidRPr="00F242DD">
        <w:t>)</w:t>
      </w:r>
      <w:r w:rsidR="00286688" w:rsidRPr="00F242DD">
        <w:t xml:space="preserve"> </w:t>
      </w:r>
      <w:r w:rsidR="00A96FB6" w:rsidRPr="00F242DD">
        <w:rPr>
          <w:i/>
        </w:rPr>
        <w:fldChar w:fldCharType="begin" w:fldLock="1"/>
      </w:r>
      <w:r w:rsidR="00F74B6B" w:rsidRPr="00F242DD">
        <w:rPr>
          <w:i/>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myeloma","type":"article","volume":"35"},"uris":["http://www.mendeley.com/documents/?uuid=4b51abe8-b4d6-30ad-bad9-00468e013c00"]},{"id":"ITEM-2","itemData":{"DOI":"10.1016/j.clml.2017.12.011","ISSN":"21522669","abstract":"A systematic review and network meta-analysis were conducted to compare the clinical efficacy of immunomodulatory drug-containing regimens in patients with relapsed or refractory multiple myeloma. Daratumumab plus lenalidomide and dexamethasone had a significant advantage in improving progression-free survival of patients compared with other immunomodulatory drug-containing regimens. Background: Previous network meta-analyses combined studies of immunomodulatory drug (IMiD)–containing and IMiD-free regimens, despite a lack of head-to-head randomized controlled trials to robustly link them. However, patients with relapsed or refractory multiple myeloma (RRMM) treated with IMiD-containing regimens differ from those treated with IMiD-free regimens, especially relating to treatment history, which is an important treatment-effect modifier requiring clinical consideration when evaluating the most appropriate subsequent treatment options. A need exists to separately assess the efficacy of treatment regimens for patients who are suitable candidates for IMiD-containing and IMiD-free regimens. The presented analyses will enable clinicians to assess the best regimens to use in patients suitable for IMiD-containing regimens. Materials and Methods: We used a Bayesian network meta-analysis to compare IMiD-containing regimens in patients with RRMM. Additionally, subgroup analyses were conducted stratified by previous therapy line, previous bortezomib therapy, and previous lenalidomide therapy. Results: The results indicated that triplet combinations are more effective than doublet combinations. Of the triplet combinations, daratumumab, lenalidomide, dexamethasone (DRd) was significantly better in improving progression-free survival in patients with RRMM than were other IMiD-containing regimens (lenalidomide, dexamethasone [Rd]: hazard ratio [HR], 0.37; carfilzomib, Rd: HR, 0.54; elotuzumab, Rd: HR, 0.54; ixazomib, Rd: HR, 0.50). Similar trends were observed for overall survival and overall response. DRd showed the greatest probability of being the best treatment for all clinical efficacy outcomes. The subgroup analyses results were consistent with the base-case results. Conclusion: In patients with RRMM who are suitable for an IMiD-containing regimen, DRd showed clear advantages in survival and response outcomes compared with other IMiD-containing regimens.","author":[{"dropping-particle":"","family":"Dimopoulos","given":"Meletios Athanasios","non-dropping-particle":"","parse-names":false,"suffix":""},{"dropping-particle":"","family":"Kaufman","given":"Jonathan L.","non-dropping-particle":"","parse-names":false,"suffix":""},{"dropping-particle":"","family":"White","given":"Darrell","non-dropping-particle":"","parse-names":false,"suffix":""},{"dropping-particle":"","family":"Cook","given":"Gordon","non-dropping-particle":"","parse-names":false,"suffix":""},{"dropping-particle":"","family":"Rizzo","given":"Maria","non-dropping-particle":"","parse-names":false,"suffix":""},{"dropping-particle":"","family":"Xu","given":"Yingxin","non-dropping-particle":"","parse-names":false,"suffix":""},{"dropping-particle":"","family":"Fahrbach","given":"Kyle","non-dropping-particle":"","parse-names":false,"suffix":""},{"dropping-particle":"","family":"Gaudig","given":"Maren","non-dropping-particle":"","parse-names":false,"suffix":""},{"dropping-particle":"","family":"Slavcev","given":"Mary","non-dropping-particle":"","parse-names":false,"suffix":""},{"dropping-particle":"","family":"Dearden","given":"Lindsay","non-dropping-particle":"","parse-names":false,"suffix":""},{"dropping-particle":"","family":"Lam","given":"Annette","non-dropping-particle":"","parse-names":false,"suffix":""}],"container-title":"Clinical Lymphoma, Myeloma and Leukemia","id":"ITEM-2","issue":"3","issued":{"date-parts":[["2018","3","1"]]},"page":"163-173.e6","publisher":"Elsevier Inc.","title":"A Comparison of the Efficacy of Immunomodulatory-containing Regimens in Relapsed/Refractory Multiple Myeloma: A Network Meta-analysis","type":"article-journal","volume":"18"},"uris":["http://www.mendeley.com/documents/?uuid=4543af21-4b82-3645-8d1e-52cee5a8b951"]}],"mendeley":{"formattedCitation":"[56,59]","plainTextFormattedCitation":"[56,59]","previouslyFormattedCitation":"[56,59]"},"properties":{"noteIndex":0},"schema":"https://github.com/citation-style-language/schema/raw/master/csl-citation.json"}</w:instrText>
      </w:r>
      <w:r w:rsidR="00A96FB6" w:rsidRPr="00F242DD">
        <w:rPr>
          <w:i/>
        </w:rPr>
        <w:fldChar w:fldCharType="separate"/>
      </w:r>
      <w:r w:rsidR="00705691" w:rsidRPr="00F242DD">
        <w:rPr>
          <w:noProof/>
        </w:rPr>
        <w:t>[56,59]</w:t>
      </w:r>
      <w:r w:rsidR="00A96FB6" w:rsidRPr="00F242DD">
        <w:rPr>
          <w:i/>
        </w:rPr>
        <w:fldChar w:fldCharType="end"/>
      </w:r>
      <w:r w:rsidR="00DB0580" w:rsidRPr="00F242DD">
        <w:t>.</w:t>
      </w:r>
    </w:p>
    <w:p w14:paraId="7E832A2B" w14:textId="77777777" w:rsidR="00B472C9" w:rsidRPr="00F242DD" w:rsidRDefault="00B472C9" w:rsidP="00131E36">
      <w:pPr>
        <w:pStyle w:val="a6"/>
        <w:spacing w:before="0" w:after="0"/>
        <w:ind w:left="709"/>
        <w:rPr>
          <w:b/>
        </w:rPr>
      </w:pPr>
      <w:r w:rsidRPr="00F242DD">
        <w:rPr>
          <w:b/>
        </w:rPr>
        <w:t xml:space="preserve">Уровень убедительности рекомендаций </w:t>
      </w:r>
      <w:r w:rsidR="00AE4430" w:rsidRPr="00F242DD">
        <w:rPr>
          <w:b/>
        </w:rPr>
        <w:t xml:space="preserve">− </w:t>
      </w:r>
      <w:r w:rsidR="00BD6788" w:rsidRPr="00F242DD">
        <w:rPr>
          <w:b/>
          <w:lang w:val="en-US"/>
        </w:rPr>
        <w:t>A</w:t>
      </w:r>
      <w:r w:rsidR="000A156C" w:rsidRPr="00F242DD">
        <w:rPr>
          <w:b/>
        </w:rPr>
        <w:t xml:space="preserve"> </w:t>
      </w:r>
      <w:r w:rsidRPr="00F242DD">
        <w:rPr>
          <w:b/>
        </w:rPr>
        <w:t>(уровень достоверности доказательств</w:t>
      </w:r>
      <w:r w:rsidR="000A156C" w:rsidRPr="00F242DD">
        <w:rPr>
          <w:b/>
        </w:rPr>
        <w:t xml:space="preserve"> </w:t>
      </w:r>
      <w:r w:rsidR="00AE4430" w:rsidRPr="00F242DD">
        <w:rPr>
          <w:b/>
        </w:rPr>
        <w:t xml:space="preserve">− </w:t>
      </w:r>
      <w:r w:rsidR="006E390F" w:rsidRPr="00F242DD">
        <w:rPr>
          <w:b/>
        </w:rPr>
        <w:t>1)</w:t>
      </w:r>
    </w:p>
    <w:p w14:paraId="08F5B746" w14:textId="77777777" w:rsidR="00CF7A54" w:rsidRPr="00F242DD" w:rsidRDefault="00B472C9" w:rsidP="00131E36">
      <w:pPr>
        <w:pStyle w:val="a6"/>
        <w:spacing w:before="0" w:after="0"/>
        <w:ind w:left="709"/>
        <w:rPr>
          <w:i/>
        </w:rPr>
      </w:pPr>
      <w:r w:rsidRPr="00F242DD">
        <w:rPr>
          <w:b/>
        </w:rPr>
        <w:lastRenderedPageBreak/>
        <w:t xml:space="preserve">Комментарий: </w:t>
      </w:r>
      <w:r w:rsidR="00286688" w:rsidRPr="00F242DD">
        <w:rPr>
          <w:i/>
        </w:rPr>
        <w:t xml:space="preserve">эффективность </w:t>
      </w:r>
      <w:r w:rsidR="00CF7A54" w:rsidRPr="00F242DD">
        <w:rPr>
          <w:i/>
        </w:rPr>
        <w:t>комбинации анти-CD38 моноклонального антитела даратумумаба</w:t>
      </w:r>
      <w:r w:rsidR="00B657E4" w:rsidRPr="00F242DD">
        <w:rPr>
          <w:i/>
        </w:rPr>
        <w:t>**</w:t>
      </w:r>
      <w:r w:rsidR="00CF7A54" w:rsidRPr="00F242DD">
        <w:rPr>
          <w:i/>
        </w:rPr>
        <w:t xml:space="preserve"> с леналидомидом</w:t>
      </w:r>
      <w:r w:rsidR="00B657E4" w:rsidRPr="00F242DD">
        <w:rPr>
          <w:i/>
        </w:rPr>
        <w:t>**</w:t>
      </w:r>
      <w:r w:rsidR="00CF7A54" w:rsidRPr="00F242DD">
        <w:rPr>
          <w:i/>
        </w:rPr>
        <w:t xml:space="preserve"> и дексаметазоном</w:t>
      </w:r>
      <w:r w:rsidR="00B657E4" w:rsidRPr="00F242DD">
        <w:rPr>
          <w:i/>
        </w:rPr>
        <w:t>**</w:t>
      </w:r>
      <w:r w:rsidR="00CF7A54" w:rsidRPr="00F242DD">
        <w:rPr>
          <w:i/>
        </w:rPr>
        <w:t xml:space="preserve"> у пациентов с рецидивирующей ММ, получивших по крайней мере одну предшествующую линию терапии, была продемонстрирована в крупном рандомизированном иследовании III</w:t>
      </w:r>
      <w:r w:rsidR="003B2F2C" w:rsidRPr="00F242DD">
        <w:rPr>
          <w:i/>
        </w:rPr>
        <w:t> </w:t>
      </w:r>
      <w:r w:rsidR="00CF7A54" w:rsidRPr="00F242DD">
        <w:rPr>
          <w:i/>
        </w:rPr>
        <w:t>фазы POLLUX. В исследуемой группе (DRd) достоверно чаще достигались ответы на терапию (93</w:t>
      </w:r>
      <w:r w:rsidR="003B2F2C" w:rsidRPr="00F242DD">
        <w:rPr>
          <w:i/>
        </w:rPr>
        <w:t> </w:t>
      </w:r>
      <w:r w:rsidR="00CF7A54" w:rsidRPr="00F242DD">
        <w:rPr>
          <w:i/>
        </w:rPr>
        <w:t>%), чем в контрольной группе (Rd) (76</w:t>
      </w:r>
      <w:r w:rsidR="003B2F2C" w:rsidRPr="00F242DD">
        <w:rPr>
          <w:i/>
        </w:rPr>
        <w:t> </w:t>
      </w:r>
      <w:r w:rsidR="00CF7A54" w:rsidRPr="00F242DD">
        <w:rPr>
          <w:i/>
        </w:rPr>
        <w:t>%), более чем в 2 раза чаще достигались как минимум ПР (57</w:t>
      </w:r>
      <w:r w:rsidR="003B2F2C" w:rsidRPr="00F242DD">
        <w:rPr>
          <w:i/>
        </w:rPr>
        <w:t> </w:t>
      </w:r>
      <w:r w:rsidR="00CF7A54" w:rsidRPr="00F242DD">
        <w:rPr>
          <w:i/>
        </w:rPr>
        <w:t>% против 23</w:t>
      </w:r>
      <w:r w:rsidR="003B2F2C" w:rsidRPr="00F242DD">
        <w:rPr>
          <w:i/>
        </w:rPr>
        <w:t> </w:t>
      </w:r>
      <w:r w:rsidR="00CF7A54" w:rsidRPr="00F242DD">
        <w:rPr>
          <w:i/>
        </w:rPr>
        <w:t>%) и в 6 раз больше пациентов достигали МОБ-негативности при пороге чувствительности 10</w:t>
      </w:r>
      <w:r w:rsidR="003B2F2C" w:rsidRPr="00F242DD">
        <w:rPr>
          <w:i/>
        </w:rPr>
        <w:t>−</w:t>
      </w:r>
      <w:r w:rsidR="00CF7A54" w:rsidRPr="00F242DD">
        <w:rPr>
          <w:i/>
        </w:rPr>
        <w:t>5 (30</w:t>
      </w:r>
      <w:r w:rsidR="003B2F2C" w:rsidRPr="00F242DD">
        <w:rPr>
          <w:i/>
        </w:rPr>
        <w:t> </w:t>
      </w:r>
      <w:r w:rsidR="00CF7A54" w:rsidRPr="00F242DD">
        <w:rPr>
          <w:i/>
        </w:rPr>
        <w:t>% против 5</w:t>
      </w:r>
      <w:r w:rsidR="003B2F2C" w:rsidRPr="00F242DD">
        <w:rPr>
          <w:i/>
        </w:rPr>
        <w:t> </w:t>
      </w:r>
      <w:r w:rsidR="00CF7A54" w:rsidRPr="00F242DD">
        <w:rPr>
          <w:i/>
        </w:rPr>
        <w:t>%). Медиана ВБП составила 44,5 мес</w:t>
      </w:r>
      <w:r w:rsidR="00E778E9" w:rsidRPr="00F242DD">
        <w:rPr>
          <w:i/>
        </w:rPr>
        <w:t>.</w:t>
      </w:r>
      <w:r w:rsidR="00CF7A54" w:rsidRPr="00F242DD">
        <w:rPr>
          <w:i/>
        </w:rPr>
        <w:t xml:space="preserve"> в группе DRd и 17,5 мес</w:t>
      </w:r>
      <w:r w:rsidR="00E778E9" w:rsidRPr="00F242DD">
        <w:rPr>
          <w:i/>
        </w:rPr>
        <w:t>.</w:t>
      </w:r>
      <w:r w:rsidR="00CF7A54" w:rsidRPr="00F242DD">
        <w:rPr>
          <w:i/>
        </w:rPr>
        <w:t xml:space="preserve"> в группе Rd.</w:t>
      </w:r>
    </w:p>
    <w:p w14:paraId="5584B173" w14:textId="77777777" w:rsidR="007D5C85" w:rsidRPr="00F242DD" w:rsidRDefault="00CF7A54" w:rsidP="00131E36">
      <w:pPr>
        <w:pStyle w:val="a6"/>
        <w:spacing w:before="0" w:after="0"/>
        <w:ind w:left="709"/>
        <w:rPr>
          <w:i/>
        </w:rPr>
      </w:pPr>
      <w:r w:rsidRPr="00F242DD">
        <w:rPr>
          <w:i/>
        </w:rPr>
        <w:t>Добавление даратумумаба</w:t>
      </w:r>
      <w:r w:rsidR="00B657E4" w:rsidRPr="00F242DD">
        <w:rPr>
          <w:i/>
        </w:rPr>
        <w:t>**</w:t>
      </w:r>
      <w:r w:rsidRPr="00F242DD">
        <w:rPr>
          <w:i/>
        </w:rPr>
        <w:t xml:space="preserve"> к режиму Rd не приводило к повышению токсичности: частота отмены терапии была сопоставима в об</w:t>
      </w:r>
      <w:r w:rsidR="003B2F2C" w:rsidRPr="00F242DD">
        <w:rPr>
          <w:i/>
        </w:rPr>
        <w:t>е</w:t>
      </w:r>
      <w:r w:rsidRPr="00F242DD">
        <w:rPr>
          <w:i/>
        </w:rPr>
        <w:t xml:space="preserve">их группах (15% в </w:t>
      </w:r>
      <w:r w:rsidR="003B2F2C" w:rsidRPr="00F242DD">
        <w:rPr>
          <w:i/>
        </w:rPr>
        <w:t>каждой из</w:t>
      </w:r>
      <w:r w:rsidRPr="00F242DD">
        <w:rPr>
          <w:i/>
        </w:rPr>
        <w:t xml:space="preserve"> групп). Профиль безопасности комбинации DRd соответствовал описанному в предшествовавших исследованиях даратумумаба</w:t>
      </w:r>
      <w:r w:rsidR="00B657E4" w:rsidRPr="00F242DD">
        <w:rPr>
          <w:i/>
        </w:rPr>
        <w:t>**</w:t>
      </w:r>
      <w:r w:rsidRPr="00F242DD">
        <w:rPr>
          <w:i/>
        </w:rPr>
        <w:t xml:space="preserve"> и леналидомида</w:t>
      </w:r>
      <w:r w:rsidR="00B657E4" w:rsidRPr="00F242DD">
        <w:rPr>
          <w:i/>
        </w:rPr>
        <w:t>**</w:t>
      </w:r>
      <w:r w:rsidRPr="00F242DD">
        <w:rPr>
          <w:i/>
        </w:rPr>
        <w:t xml:space="preserve"> с низкими дозами дексаметазона</w:t>
      </w:r>
      <w:r w:rsidR="00B657E4" w:rsidRPr="00F242DD">
        <w:rPr>
          <w:i/>
        </w:rPr>
        <w:t>**</w:t>
      </w:r>
      <w:r w:rsidRPr="00F242DD">
        <w:rPr>
          <w:i/>
        </w:rPr>
        <w:t>.</w:t>
      </w:r>
    </w:p>
    <w:p w14:paraId="5E986B62" w14:textId="77777777" w:rsidR="007D5C85" w:rsidRPr="00F242DD" w:rsidRDefault="00B228C7" w:rsidP="00727CDE">
      <w:pPr>
        <w:pStyle w:val="a6"/>
        <w:numPr>
          <w:ilvl w:val="0"/>
          <w:numId w:val="8"/>
        </w:numPr>
        <w:tabs>
          <w:tab w:val="clear" w:pos="348"/>
          <w:tab w:val="num" w:pos="709"/>
        </w:tabs>
        <w:spacing w:before="0" w:after="0"/>
        <w:ind w:left="709" w:hanging="709"/>
      </w:pPr>
      <w:r w:rsidRPr="00F242DD">
        <w:t>Пациентам с</w:t>
      </w:r>
      <w:r w:rsidR="00DB0580" w:rsidRPr="00F242DD">
        <w:t xml:space="preserve"> рецидивом ММ</w:t>
      </w:r>
      <w:r w:rsidRPr="00F242DD">
        <w:t>, которым показана противомиеломная терапия и у которых не развилась рефрактерно</w:t>
      </w:r>
      <w:r w:rsidR="005A7F3F" w:rsidRPr="00F242DD">
        <w:t>сть к бортезомибу</w:t>
      </w:r>
      <w:r w:rsidR="0085596B" w:rsidRPr="00F242DD">
        <w:t>**</w:t>
      </w:r>
      <w:r w:rsidRPr="00F242DD">
        <w:t>, в качестве одной из возможных опций</w:t>
      </w:r>
      <w:r w:rsidR="00BA7503" w:rsidRPr="00F242DD">
        <w:t xml:space="preserve"> </w:t>
      </w:r>
      <w:r w:rsidR="00B657E4" w:rsidRPr="00F242DD">
        <w:rPr>
          <w:b/>
        </w:rPr>
        <w:t>рекомендуется</w:t>
      </w:r>
      <w:r w:rsidR="007D5C85" w:rsidRPr="00F242DD">
        <w:t xml:space="preserve"> терапия с включением в схему лечения даратумумаба**, бортезомиба** и дексаметазона** </w:t>
      </w:r>
      <w:r w:rsidR="00032CFB" w:rsidRPr="00F242DD">
        <w:t xml:space="preserve">(описание режимов – см. приложение </w:t>
      </w:r>
      <w:r w:rsidR="00C812D6" w:rsidRPr="00F242DD">
        <w:t>А3.1</w:t>
      </w:r>
      <w:r w:rsidR="00EA60BC" w:rsidRPr="00F242DD">
        <w:t>.</w:t>
      </w:r>
      <w:r w:rsidR="00032CFB" w:rsidRPr="00F242DD">
        <w:t>)</w:t>
      </w:r>
      <w:r w:rsidR="00286688" w:rsidRPr="00F242DD">
        <w:t xml:space="preserve"> </w:t>
      </w:r>
      <w:r w:rsidR="00A96FB6" w:rsidRPr="00F242DD">
        <w:rPr>
          <w:i/>
        </w:rPr>
        <w:fldChar w:fldCharType="begin" w:fldLock="1"/>
      </w:r>
      <w:r w:rsidR="00F74B6B" w:rsidRPr="00F242DD">
        <w:rPr>
          <w:i/>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mendeley":{"formattedCitation":"[56]","plainTextFormattedCitation":"[56]","previouslyFormattedCitation":"[56]"},"properties":{"noteIndex":0},"schema":"https://github.com/citation-style-language/schema/raw/master/csl-citation.json"}</w:instrText>
      </w:r>
      <w:r w:rsidR="00A96FB6" w:rsidRPr="00F242DD">
        <w:rPr>
          <w:i/>
        </w:rPr>
        <w:fldChar w:fldCharType="separate"/>
      </w:r>
      <w:r w:rsidR="00705691" w:rsidRPr="00F242DD">
        <w:rPr>
          <w:noProof/>
        </w:rPr>
        <w:t>[56]</w:t>
      </w:r>
      <w:r w:rsidR="00A96FB6" w:rsidRPr="00F242DD">
        <w:rPr>
          <w:i/>
        </w:rPr>
        <w:fldChar w:fldCharType="end"/>
      </w:r>
      <w:r w:rsidR="00BD6788" w:rsidRPr="00F242DD">
        <w:t>.</w:t>
      </w:r>
    </w:p>
    <w:p w14:paraId="185C69F1" w14:textId="77777777" w:rsidR="007D5C85" w:rsidRPr="00F242DD" w:rsidRDefault="007D5C85" w:rsidP="00131E36">
      <w:pPr>
        <w:pStyle w:val="a6"/>
        <w:spacing w:before="0" w:after="0"/>
        <w:ind w:left="709"/>
        <w:rPr>
          <w:b/>
        </w:rPr>
      </w:pPr>
      <w:r w:rsidRPr="00F242DD">
        <w:rPr>
          <w:b/>
        </w:rPr>
        <w:t xml:space="preserve">Уровень убедительности рекомендаций </w:t>
      </w:r>
      <w:r w:rsidR="004713CC" w:rsidRPr="00F242DD">
        <w:rPr>
          <w:b/>
        </w:rPr>
        <w:t xml:space="preserve">− </w:t>
      </w:r>
      <w:r w:rsidR="00BD6788" w:rsidRPr="00F242DD">
        <w:rPr>
          <w:b/>
          <w:lang w:val="en-US"/>
        </w:rPr>
        <w:t>A</w:t>
      </w:r>
      <w:r w:rsidR="000A156C" w:rsidRPr="00F242DD">
        <w:rPr>
          <w:b/>
        </w:rPr>
        <w:t xml:space="preserve"> </w:t>
      </w:r>
      <w:r w:rsidRPr="00F242DD">
        <w:rPr>
          <w:b/>
        </w:rPr>
        <w:t>(уровень достоверности доказательств</w:t>
      </w:r>
      <w:r w:rsidR="000A156C" w:rsidRPr="00F242DD">
        <w:rPr>
          <w:b/>
        </w:rPr>
        <w:t xml:space="preserve"> </w:t>
      </w:r>
      <w:r w:rsidR="004713CC" w:rsidRPr="00F242DD">
        <w:rPr>
          <w:b/>
        </w:rPr>
        <w:t xml:space="preserve">− </w:t>
      </w:r>
      <w:r w:rsidR="006E390F" w:rsidRPr="00F242DD">
        <w:rPr>
          <w:b/>
        </w:rPr>
        <w:t>1)</w:t>
      </w:r>
    </w:p>
    <w:p w14:paraId="2C590623" w14:textId="77777777" w:rsidR="00CF7A54" w:rsidRPr="00F242DD" w:rsidRDefault="007D5C85" w:rsidP="00131E36">
      <w:pPr>
        <w:pStyle w:val="a6"/>
        <w:spacing w:before="0" w:after="0"/>
        <w:ind w:left="709"/>
        <w:rPr>
          <w:i/>
        </w:rPr>
      </w:pPr>
      <w:r w:rsidRPr="00F242DD">
        <w:rPr>
          <w:b/>
        </w:rPr>
        <w:t xml:space="preserve">Комментарий: </w:t>
      </w:r>
      <w:r w:rsidR="00286688" w:rsidRPr="00F242DD">
        <w:rPr>
          <w:i/>
        </w:rPr>
        <w:t xml:space="preserve">эффективность </w:t>
      </w:r>
      <w:r w:rsidR="00CF7A54" w:rsidRPr="00F242DD">
        <w:rPr>
          <w:i/>
        </w:rPr>
        <w:t>добавления даратумумаба</w:t>
      </w:r>
      <w:r w:rsidR="00B657E4" w:rsidRPr="00F242DD">
        <w:rPr>
          <w:i/>
        </w:rPr>
        <w:t>**</w:t>
      </w:r>
      <w:r w:rsidR="00CF7A54" w:rsidRPr="00F242DD">
        <w:rPr>
          <w:i/>
        </w:rPr>
        <w:t xml:space="preserve"> к комбинации бортезомиба</w:t>
      </w:r>
      <w:r w:rsidR="00B657E4" w:rsidRPr="00F242DD">
        <w:rPr>
          <w:i/>
        </w:rPr>
        <w:t>**</w:t>
      </w:r>
      <w:r w:rsidR="00CF7A54" w:rsidRPr="00F242DD">
        <w:rPr>
          <w:i/>
        </w:rPr>
        <w:t xml:space="preserve"> с дексаметазоном</w:t>
      </w:r>
      <w:r w:rsidR="00B657E4" w:rsidRPr="00F242DD">
        <w:rPr>
          <w:i/>
        </w:rPr>
        <w:t>**</w:t>
      </w:r>
      <w:r w:rsidR="00CF7A54" w:rsidRPr="00F242DD">
        <w:rPr>
          <w:i/>
        </w:rPr>
        <w:t xml:space="preserve"> у пациентов с рецидивирующей ММ, получивших по крайней мере одну предшествующую линию терапии, была оценена в крупном рандомизированном иследовании III фазы CASTOR. В исследуемой группе (DVd) достоверно чаще достигались ответы на терапию (85</w:t>
      </w:r>
      <w:r w:rsidR="004713CC" w:rsidRPr="00F242DD">
        <w:rPr>
          <w:i/>
        </w:rPr>
        <w:t> </w:t>
      </w:r>
      <w:r w:rsidR="00CF7A54" w:rsidRPr="00F242DD">
        <w:rPr>
          <w:i/>
        </w:rPr>
        <w:t>%), чем в контрольной группе (Vd) (63</w:t>
      </w:r>
      <w:r w:rsidR="004713CC" w:rsidRPr="00F242DD">
        <w:rPr>
          <w:i/>
        </w:rPr>
        <w:t> </w:t>
      </w:r>
      <w:r w:rsidR="00CF7A54" w:rsidRPr="00F242DD">
        <w:rPr>
          <w:i/>
        </w:rPr>
        <w:t>%), в 3 раза больше пациентов достигали как минимум ПР (30</w:t>
      </w:r>
      <w:r w:rsidR="004713CC" w:rsidRPr="00F242DD">
        <w:rPr>
          <w:i/>
        </w:rPr>
        <w:t> </w:t>
      </w:r>
      <w:r w:rsidR="00CF7A54" w:rsidRPr="00F242DD">
        <w:rPr>
          <w:i/>
        </w:rPr>
        <w:t>% против 10</w:t>
      </w:r>
      <w:r w:rsidR="004713CC" w:rsidRPr="00F242DD">
        <w:rPr>
          <w:i/>
        </w:rPr>
        <w:t> </w:t>
      </w:r>
      <w:r w:rsidR="00CF7A54" w:rsidRPr="00F242DD">
        <w:rPr>
          <w:i/>
        </w:rPr>
        <w:t>%) и в 7 раз больше пациентов достигали МОБ-негативности при пороге чувствительности 10</w:t>
      </w:r>
      <w:r w:rsidR="004713CC" w:rsidRPr="00F242DD">
        <w:rPr>
          <w:i/>
        </w:rPr>
        <w:t>−</w:t>
      </w:r>
      <w:r w:rsidR="00CF7A54" w:rsidRPr="00F242DD">
        <w:rPr>
          <w:i/>
        </w:rPr>
        <w:t>5 (14</w:t>
      </w:r>
      <w:r w:rsidR="004713CC" w:rsidRPr="00F242DD">
        <w:rPr>
          <w:i/>
        </w:rPr>
        <w:t> </w:t>
      </w:r>
      <w:r w:rsidR="00CF7A54" w:rsidRPr="00F242DD">
        <w:rPr>
          <w:i/>
        </w:rPr>
        <w:t>% против 2</w:t>
      </w:r>
      <w:r w:rsidR="004713CC" w:rsidRPr="00F242DD">
        <w:rPr>
          <w:i/>
        </w:rPr>
        <w:t> </w:t>
      </w:r>
      <w:r w:rsidR="00CF7A54" w:rsidRPr="00F242DD">
        <w:rPr>
          <w:i/>
        </w:rPr>
        <w:t>%). Медиана ВБП составила 16,7 мес</w:t>
      </w:r>
      <w:r w:rsidR="00E778E9" w:rsidRPr="00F242DD">
        <w:rPr>
          <w:i/>
        </w:rPr>
        <w:t>.</w:t>
      </w:r>
      <w:r w:rsidR="00CF7A54" w:rsidRPr="00F242DD">
        <w:rPr>
          <w:i/>
        </w:rPr>
        <w:t xml:space="preserve"> в группе DVd и 7,1 мес</w:t>
      </w:r>
      <w:r w:rsidR="00E778E9" w:rsidRPr="00F242DD">
        <w:rPr>
          <w:i/>
        </w:rPr>
        <w:t>.</w:t>
      </w:r>
      <w:r w:rsidR="00CF7A54" w:rsidRPr="00F242DD">
        <w:rPr>
          <w:i/>
        </w:rPr>
        <w:t xml:space="preserve"> в группе Vd, а при применении сразу в первом рецидиве </w:t>
      </w:r>
      <w:r w:rsidR="004713CC" w:rsidRPr="00F242DD">
        <w:rPr>
          <w:i/>
        </w:rPr>
        <w:t>−</w:t>
      </w:r>
      <w:r w:rsidR="00CF7A54" w:rsidRPr="00F242DD">
        <w:rPr>
          <w:i/>
        </w:rPr>
        <w:t xml:space="preserve"> 27,0</w:t>
      </w:r>
      <w:r w:rsidR="004713CC" w:rsidRPr="00F242DD">
        <w:rPr>
          <w:i/>
        </w:rPr>
        <w:t> </w:t>
      </w:r>
      <w:r w:rsidR="00CF7A54" w:rsidRPr="00F242DD">
        <w:rPr>
          <w:i/>
        </w:rPr>
        <w:t>мес</w:t>
      </w:r>
      <w:r w:rsidR="00E778E9" w:rsidRPr="00F242DD">
        <w:rPr>
          <w:i/>
        </w:rPr>
        <w:t>.</w:t>
      </w:r>
      <w:r w:rsidR="00CF7A54" w:rsidRPr="00F242DD">
        <w:rPr>
          <w:i/>
        </w:rPr>
        <w:t xml:space="preserve"> в группе DVd и 7,9 мес</w:t>
      </w:r>
      <w:r w:rsidR="00E778E9" w:rsidRPr="00F242DD">
        <w:rPr>
          <w:i/>
        </w:rPr>
        <w:t>.</w:t>
      </w:r>
      <w:r w:rsidR="00CF7A54" w:rsidRPr="00F242DD">
        <w:rPr>
          <w:i/>
        </w:rPr>
        <w:t xml:space="preserve"> в группе Vd.</w:t>
      </w:r>
    </w:p>
    <w:p w14:paraId="6E4D4068" w14:textId="77777777" w:rsidR="007D5C85" w:rsidRPr="00F242DD" w:rsidRDefault="00CF7A54" w:rsidP="00131E36">
      <w:pPr>
        <w:pStyle w:val="a6"/>
        <w:spacing w:before="0" w:after="0"/>
        <w:ind w:left="709"/>
        <w:rPr>
          <w:i/>
        </w:rPr>
      </w:pPr>
      <w:r w:rsidRPr="00F242DD">
        <w:rPr>
          <w:i/>
        </w:rPr>
        <w:t>Добавление даратумумаба</w:t>
      </w:r>
      <w:r w:rsidR="00B657E4" w:rsidRPr="00F242DD">
        <w:rPr>
          <w:i/>
        </w:rPr>
        <w:t>**</w:t>
      </w:r>
      <w:r w:rsidRPr="00F242DD">
        <w:rPr>
          <w:i/>
        </w:rPr>
        <w:t xml:space="preserve"> к режиму Vd не приводило к повышению токсичности: частота отмены терапии была сопоставима в об</w:t>
      </w:r>
      <w:r w:rsidR="004713CC" w:rsidRPr="00F242DD">
        <w:rPr>
          <w:i/>
        </w:rPr>
        <w:t>е</w:t>
      </w:r>
      <w:r w:rsidRPr="00F242DD">
        <w:rPr>
          <w:i/>
        </w:rPr>
        <w:t>их группах (10</w:t>
      </w:r>
      <w:r w:rsidR="004713CC" w:rsidRPr="00F242DD">
        <w:rPr>
          <w:i/>
        </w:rPr>
        <w:t> </w:t>
      </w:r>
      <w:r w:rsidRPr="00F242DD">
        <w:rPr>
          <w:i/>
        </w:rPr>
        <w:t xml:space="preserve">% </w:t>
      </w:r>
      <w:r w:rsidRPr="00F242DD">
        <w:rPr>
          <w:i/>
        </w:rPr>
        <w:lastRenderedPageBreak/>
        <w:t>при применении DVd и 9</w:t>
      </w:r>
      <w:r w:rsidR="004713CC" w:rsidRPr="00F242DD">
        <w:rPr>
          <w:i/>
        </w:rPr>
        <w:t> </w:t>
      </w:r>
      <w:r w:rsidRPr="00F242DD">
        <w:rPr>
          <w:i/>
        </w:rPr>
        <w:t>% при применении Vd). Профиль безопасности комбинации DVd соответствовал описанному в предшествовавших исследованиях даратумумаба</w:t>
      </w:r>
      <w:r w:rsidR="00B657E4" w:rsidRPr="00F242DD">
        <w:rPr>
          <w:i/>
        </w:rPr>
        <w:t>**</w:t>
      </w:r>
      <w:r w:rsidRPr="00F242DD">
        <w:rPr>
          <w:i/>
        </w:rPr>
        <w:t xml:space="preserve"> и бортезомиба</w:t>
      </w:r>
      <w:r w:rsidR="00B657E4" w:rsidRPr="00F242DD">
        <w:rPr>
          <w:i/>
        </w:rPr>
        <w:t>**</w:t>
      </w:r>
      <w:r w:rsidRPr="00F242DD">
        <w:rPr>
          <w:i/>
        </w:rPr>
        <w:t xml:space="preserve"> с дексаметазоном</w:t>
      </w:r>
      <w:r w:rsidR="00B657E4" w:rsidRPr="00F242DD">
        <w:rPr>
          <w:i/>
        </w:rPr>
        <w:t>**</w:t>
      </w:r>
      <w:r w:rsidRPr="00F242DD">
        <w:rPr>
          <w:i/>
        </w:rPr>
        <w:t>.</w:t>
      </w:r>
    </w:p>
    <w:p w14:paraId="24ACD1DD" w14:textId="77777777" w:rsidR="008D36F2" w:rsidRPr="00F242DD" w:rsidRDefault="00B228C7" w:rsidP="00727CDE">
      <w:pPr>
        <w:pStyle w:val="a6"/>
        <w:numPr>
          <w:ilvl w:val="0"/>
          <w:numId w:val="10"/>
        </w:numPr>
        <w:spacing w:before="0" w:after="0"/>
        <w:ind w:left="709" w:hanging="709"/>
      </w:pPr>
      <w:r w:rsidRPr="00F242DD">
        <w:t>Пациентам с</w:t>
      </w:r>
      <w:r w:rsidR="00DB0580" w:rsidRPr="00F242DD">
        <w:t xml:space="preserve"> рецидивом ММ</w:t>
      </w:r>
      <w:r w:rsidRPr="00F242DD">
        <w:t xml:space="preserve">, которым показана противомиеломная терапия и у которых не развилась </w:t>
      </w:r>
      <w:r w:rsidR="005A7F3F" w:rsidRPr="00F242DD">
        <w:t>рефрактерность к</w:t>
      </w:r>
      <w:r w:rsidR="004713CC" w:rsidRPr="00F242DD">
        <w:t xml:space="preserve"> </w:t>
      </w:r>
      <w:r w:rsidRPr="00F242DD">
        <w:t>леналидомиду</w:t>
      </w:r>
      <w:r w:rsidR="00DB0580" w:rsidRPr="00F242DD">
        <w:t>**</w:t>
      </w:r>
      <w:r w:rsidRPr="00F242DD">
        <w:t>, в качестве одной из</w:t>
      </w:r>
      <w:r w:rsidR="00B657E4" w:rsidRPr="00F242DD">
        <w:t xml:space="preserve"> возможных опций</w:t>
      </w:r>
      <w:r w:rsidR="00BA7503" w:rsidRPr="00F242DD">
        <w:t xml:space="preserve"> </w:t>
      </w:r>
      <w:r w:rsidR="00B657E4" w:rsidRPr="00F242DD">
        <w:rPr>
          <w:b/>
        </w:rPr>
        <w:t>рекомендуется</w:t>
      </w:r>
      <w:r w:rsidR="008D36F2" w:rsidRPr="00F242DD">
        <w:t xml:space="preserve"> терапия с включением в схему лечения элотузумаба, леналидомида** и дексаметазона** </w:t>
      </w:r>
      <w:r w:rsidR="00032CFB" w:rsidRPr="00F242DD">
        <w:t xml:space="preserve">(описание режимов – см. приложение </w:t>
      </w:r>
      <w:r w:rsidR="00C812D6" w:rsidRPr="00F242DD">
        <w:t>А3.1</w:t>
      </w:r>
      <w:r w:rsidR="004713CC" w:rsidRPr="00F242DD">
        <w:t>.</w:t>
      </w:r>
      <w:r w:rsidR="00032CFB" w:rsidRPr="00F242DD">
        <w:t>)</w:t>
      </w:r>
      <w:r w:rsidR="00286688" w:rsidRPr="00F242DD">
        <w:t xml:space="preserve"> </w:t>
      </w:r>
      <w:r w:rsidR="00A96FB6" w:rsidRPr="00F242DD">
        <w:rPr>
          <w:i/>
        </w:rPr>
        <w:fldChar w:fldCharType="begin" w:fldLock="1"/>
      </w:r>
      <w:r w:rsidR="00F74B6B" w:rsidRPr="00F242DD">
        <w:rPr>
          <w:i/>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myeloma","type":"article","volume":"35"},"uris":["http://www.mendeley.com/documents/?uuid=4b51abe8-b4d6-30ad-bad9-00468e013c00"]},{"id":"ITEM-2","itemData":{"DOI":"10.1016/j.clml.2017.12.011","ISSN":"21522669","abstract":"A systematic review and network meta-analysis were conducted to compare the clinical efficacy of immunomodulatory drug-containing regimens in patients with relapsed or refractory multiple myeloma. Daratumumab plus lenalidomide and dexamethasone had a significant advantage in improving progression-free survival of patients compared with other immunomodulatory drug-containing regimens. Background: Previous network meta-analyses combined studies of immunomodulatory drug (IMiD)–containing and IMiD-free regimens, despite a lack of head-to-head randomized controlled trials to robustly link them. However, patients with relapsed or refractory multiple myeloma (RRMM) treated with IMiD-containing regimens differ from those treated with IMiD-free regimens, especially relating to treatment history, which is an important treatment-effect modifier requiring clinical consideration when evaluating the most appropriate subsequent treatment options. A need exists to separately assess the efficacy of treatment regimens for patients who are suitable candidates for IMiD-containing and IMiD-free regimens. The presented analyses will enable clinicians to assess the best regimens to use in patients suitable for IMiD-containing regimens. Materials and Methods: We used a Bayesian network meta-analysis to compare IMiD-containing regimens in patients with RRMM. Additionally, subgroup analyses were conducted stratified by previous therapy line, previous bortezomib therapy, and previous lenalidomide therapy. Results: The results indicated that triplet combinations are more effective than doublet combinations. Of the triplet combinations, daratumumab, lenalidomide, dexamethasone (DRd) was significantly better in improving progression-free survival in patients with RRMM than were other IMiD-containing regimens (lenalidomide, dexamethasone [Rd]: hazard ratio [HR], 0.37; carfilzomib, Rd: HR, 0.54; elotuzumab, Rd: HR, 0.54; ixazomib, Rd: HR, 0.50). Similar trends were observed for overall survival and overall response. DRd showed the greatest probability of being the best treatment for all clinical efficacy outcomes. The subgroup analyses results were consistent with the base-case results. Conclusion: In patients with RRMM who are suitable for an IMiD-containing regimen, DRd showed clear advantages in survival and response outcomes compared with other IMiD-containing regimens.","author":[{"dropping-particle":"","family":"Dimopoulos","given":"Meletios Athanasios","non-dropping-particle":"","parse-names":false,"suffix":""},{"dropping-particle":"","family":"Kaufman","given":"Jonathan L.","non-dropping-particle":"","parse-names":false,"suffix":""},{"dropping-particle":"","family":"White","given":"Darrell","non-dropping-particle":"","parse-names":false,"suffix":""},{"dropping-particle":"","family":"Cook","given":"Gordon","non-dropping-particle":"","parse-names":false,"suffix":""},{"dropping-particle":"","family":"Rizzo","given":"Maria","non-dropping-particle":"","parse-names":false,"suffix":""},{"dropping-particle":"","family":"Xu","given":"Yingxin","non-dropping-particle":"","parse-names":false,"suffix":""},{"dropping-particle":"","family":"Fahrbach","given":"Kyle","non-dropping-particle":"","parse-names":false,"suffix":""},{"dropping-particle":"","family":"Gaudig","given":"Maren","non-dropping-particle":"","parse-names":false,"suffix":""},{"dropping-particle":"","family":"Slavcev","given":"Mary","non-dropping-particle":"","parse-names":false,"suffix":""},{"dropping-particle":"","family":"Dearden","given":"Lindsay","non-dropping-particle":"","parse-names":false,"suffix":""},{"dropping-particle":"","family":"Lam","given":"Annette","non-dropping-particle":"","parse-names":false,"suffix":""}],"container-title":"Clinical Lymphoma, Myeloma and Leukemia","id":"ITEM-2","issue":"3","issued":{"date-parts":[["2018","3","1"]]},"page":"163-173.e6","publisher":"Elsevier Inc.","title":"A Comparison of the Efficacy of Immunomodulatory-containing Regimens in Relapsed/Refractory Multiple Myeloma: A Network Meta-analysis","type":"article-journal","volume":"18"},"uris":["http://www.mendeley.com/documents/?uuid=4543af21-4b82-3645-8d1e-52cee5a8b951"]}],"mendeley":{"formattedCitation":"[56,59]","plainTextFormattedCitation":"[56,59]","previouslyFormattedCitation":"[56,59]"},"properties":{"noteIndex":0},"schema":"https://github.com/citation-style-language/schema/raw/master/csl-citation.json"}</w:instrText>
      </w:r>
      <w:r w:rsidR="00A96FB6" w:rsidRPr="00F242DD">
        <w:rPr>
          <w:i/>
        </w:rPr>
        <w:fldChar w:fldCharType="separate"/>
      </w:r>
      <w:r w:rsidR="00705691" w:rsidRPr="00F242DD">
        <w:rPr>
          <w:noProof/>
        </w:rPr>
        <w:t>[56,59]</w:t>
      </w:r>
      <w:r w:rsidR="00A96FB6" w:rsidRPr="00F242DD">
        <w:rPr>
          <w:i/>
        </w:rPr>
        <w:fldChar w:fldCharType="end"/>
      </w:r>
      <w:r w:rsidR="004F07FA" w:rsidRPr="00F242DD">
        <w:t>.</w:t>
      </w:r>
    </w:p>
    <w:p w14:paraId="14FBDD56" w14:textId="77777777" w:rsidR="008D36F2" w:rsidRPr="00F242DD" w:rsidRDefault="008D36F2" w:rsidP="00131E36">
      <w:pPr>
        <w:pStyle w:val="a6"/>
        <w:spacing w:before="0" w:after="0"/>
        <w:ind w:left="709"/>
        <w:rPr>
          <w:b/>
        </w:rPr>
      </w:pPr>
      <w:r w:rsidRPr="00F242DD">
        <w:rPr>
          <w:b/>
        </w:rPr>
        <w:t xml:space="preserve">Уровень убедительности рекомендаций </w:t>
      </w:r>
      <w:r w:rsidR="004713CC" w:rsidRPr="00F242DD">
        <w:rPr>
          <w:b/>
        </w:rPr>
        <w:t xml:space="preserve">− </w:t>
      </w:r>
      <w:r w:rsidR="006E390F" w:rsidRPr="00F242DD">
        <w:rPr>
          <w:b/>
        </w:rPr>
        <w:t>А</w:t>
      </w:r>
      <w:r w:rsidR="000A156C" w:rsidRPr="00F242DD">
        <w:rPr>
          <w:b/>
        </w:rPr>
        <w:t xml:space="preserve"> </w:t>
      </w:r>
      <w:r w:rsidRPr="00F242DD">
        <w:rPr>
          <w:b/>
        </w:rPr>
        <w:t>(уровень достоверности доказательств</w:t>
      </w:r>
      <w:r w:rsidR="000A156C" w:rsidRPr="00F242DD">
        <w:rPr>
          <w:b/>
        </w:rPr>
        <w:t xml:space="preserve"> </w:t>
      </w:r>
      <w:r w:rsidR="004713CC" w:rsidRPr="00F242DD">
        <w:rPr>
          <w:b/>
        </w:rPr>
        <w:t xml:space="preserve">− </w:t>
      </w:r>
      <w:r w:rsidR="006E390F" w:rsidRPr="00F242DD">
        <w:rPr>
          <w:b/>
        </w:rPr>
        <w:t>1)</w:t>
      </w:r>
    </w:p>
    <w:p w14:paraId="1D66DBC0" w14:textId="77777777" w:rsidR="008D36F2" w:rsidRPr="00F242DD" w:rsidRDefault="008D36F2" w:rsidP="00131E36">
      <w:pPr>
        <w:pStyle w:val="a6"/>
        <w:spacing w:before="0" w:after="0"/>
        <w:ind w:left="709"/>
        <w:rPr>
          <w:i/>
        </w:rPr>
      </w:pPr>
      <w:r w:rsidRPr="00F242DD">
        <w:rPr>
          <w:b/>
        </w:rPr>
        <w:t xml:space="preserve">Комментарий: </w:t>
      </w:r>
      <w:r w:rsidR="004713CC" w:rsidRPr="00F242DD">
        <w:rPr>
          <w:i/>
        </w:rPr>
        <w:t>э</w:t>
      </w:r>
      <w:r w:rsidRPr="00F242DD">
        <w:rPr>
          <w:i/>
        </w:rPr>
        <w:t>ффективность анти-SLAMF7 моноклонального антитела элотузумаба</w:t>
      </w:r>
      <w:r w:rsidR="006E416B" w:rsidRPr="00F242DD">
        <w:rPr>
          <w:i/>
        </w:rPr>
        <w:t>**</w:t>
      </w:r>
      <w:r w:rsidRPr="00F242DD">
        <w:rPr>
          <w:i/>
        </w:rPr>
        <w:t xml:space="preserve"> была показана в рандомизированном исследовании III фазы ELOQUENT-2, в котором сравнивали элотузумаб</w:t>
      </w:r>
      <w:r w:rsidR="006E416B" w:rsidRPr="00F242DD">
        <w:rPr>
          <w:i/>
        </w:rPr>
        <w:t>**</w:t>
      </w:r>
      <w:r w:rsidRPr="00F242DD">
        <w:rPr>
          <w:i/>
        </w:rPr>
        <w:t xml:space="preserve"> и плацебо в комбинации с леналидомидом</w:t>
      </w:r>
      <w:r w:rsidR="002B59AA" w:rsidRPr="00F242DD">
        <w:rPr>
          <w:i/>
        </w:rPr>
        <w:t>**</w:t>
      </w:r>
      <w:r w:rsidRPr="00F242DD">
        <w:rPr>
          <w:i/>
        </w:rPr>
        <w:t xml:space="preserve"> и дексаметазоном</w:t>
      </w:r>
      <w:r w:rsidR="002B59AA" w:rsidRPr="00F242DD">
        <w:rPr>
          <w:i/>
        </w:rPr>
        <w:t>**</w:t>
      </w:r>
      <w:r w:rsidRPr="00F242DD">
        <w:rPr>
          <w:i/>
        </w:rPr>
        <w:t xml:space="preserve"> у пациентов с рецидивами и рефрактерной ММ. В исследование включали пациент</w:t>
      </w:r>
      <w:r w:rsidR="00CD49B5" w:rsidRPr="00F242DD">
        <w:rPr>
          <w:i/>
        </w:rPr>
        <w:t>ов</w:t>
      </w:r>
      <w:r w:rsidRPr="00F242DD">
        <w:rPr>
          <w:i/>
        </w:rPr>
        <w:t xml:space="preserve"> без документированной рефрактерности к леналидомиду</w:t>
      </w:r>
      <w:r w:rsidR="002B59AA" w:rsidRPr="00F242DD">
        <w:rPr>
          <w:i/>
        </w:rPr>
        <w:t>**</w:t>
      </w:r>
      <w:r w:rsidRPr="00F242DD">
        <w:rPr>
          <w:i/>
        </w:rPr>
        <w:t>. Общая эффективность в группе, получавшей элотузумаб</w:t>
      </w:r>
      <w:r w:rsidR="006E416B" w:rsidRPr="00F242DD">
        <w:rPr>
          <w:i/>
        </w:rPr>
        <w:t>**</w:t>
      </w:r>
      <w:r w:rsidRPr="00F242DD">
        <w:rPr>
          <w:i/>
        </w:rPr>
        <w:t>, составила 79</w:t>
      </w:r>
      <w:r w:rsidR="002D414E" w:rsidRPr="00F242DD">
        <w:rPr>
          <w:i/>
        </w:rPr>
        <w:t> </w:t>
      </w:r>
      <w:r w:rsidRPr="00F242DD">
        <w:rPr>
          <w:i/>
        </w:rPr>
        <w:t>%, в группе без элотузумаба</w:t>
      </w:r>
      <w:r w:rsidR="006E416B" w:rsidRPr="00F242DD">
        <w:rPr>
          <w:i/>
        </w:rPr>
        <w:t>**</w:t>
      </w:r>
      <w:r w:rsidRPr="00F242DD">
        <w:rPr>
          <w:i/>
        </w:rPr>
        <w:t xml:space="preserve"> – 66</w:t>
      </w:r>
      <w:r w:rsidR="002D414E" w:rsidRPr="00F242DD">
        <w:rPr>
          <w:i/>
        </w:rPr>
        <w:t> </w:t>
      </w:r>
      <w:r w:rsidRPr="00F242DD">
        <w:rPr>
          <w:i/>
        </w:rPr>
        <w:t>%; медианы ВБП – 19,4 и 14,9 мес</w:t>
      </w:r>
      <w:r w:rsidR="00267DE2" w:rsidRPr="00F242DD">
        <w:rPr>
          <w:i/>
        </w:rPr>
        <w:t>.</w:t>
      </w:r>
      <w:r w:rsidRPr="00F242DD">
        <w:rPr>
          <w:i/>
        </w:rPr>
        <w:t xml:space="preserve"> соответственно. Наиболее частыми нежелательными явлениями 3 и 4</w:t>
      </w:r>
      <w:r w:rsidR="002D414E" w:rsidRPr="00F242DD">
        <w:rPr>
          <w:i/>
        </w:rPr>
        <w:t>-й</w:t>
      </w:r>
      <w:r w:rsidRPr="00F242DD">
        <w:rPr>
          <w:i/>
        </w:rPr>
        <w:t xml:space="preserve"> степени в обеих группах были лимфоцитопения, нейтропения, пневмония и утомляемость. Инфузионные реакции (в большинстве случаев 1 и 2</w:t>
      </w:r>
      <w:r w:rsidR="002D414E" w:rsidRPr="00F242DD">
        <w:rPr>
          <w:i/>
        </w:rPr>
        <w:t>-й</w:t>
      </w:r>
      <w:r w:rsidRPr="00F242DD">
        <w:rPr>
          <w:i/>
        </w:rPr>
        <w:t xml:space="preserve"> степени) развились у 10</w:t>
      </w:r>
      <w:r w:rsidR="002D414E" w:rsidRPr="00F242DD">
        <w:rPr>
          <w:i/>
        </w:rPr>
        <w:t> </w:t>
      </w:r>
      <w:r w:rsidRPr="00F242DD">
        <w:rPr>
          <w:i/>
        </w:rPr>
        <w:t>%</w:t>
      </w:r>
      <w:r w:rsidR="002D414E" w:rsidRPr="00F242DD">
        <w:rPr>
          <w:i/>
        </w:rPr>
        <w:t xml:space="preserve"> </w:t>
      </w:r>
      <w:r w:rsidR="00FB03BB" w:rsidRPr="00F242DD">
        <w:rPr>
          <w:i/>
        </w:rPr>
        <w:t>пациентов</w:t>
      </w:r>
      <w:r w:rsidR="002B59AA" w:rsidRPr="00F242DD">
        <w:rPr>
          <w:i/>
        </w:rPr>
        <w:t>, получавших элотузумаб</w:t>
      </w:r>
      <w:r w:rsidR="006E416B" w:rsidRPr="00F242DD">
        <w:rPr>
          <w:i/>
        </w:rPr>
        <w:t>**</w:t>
      </w:r>
      <w:r w:rsidRPr="00F242DD">
        <w:rPr>
          <w:i/>
        </w:rPr>
        <w:t>.</w:t>
      </w:r>
    </w:p>
    <w:p w14:paraId="0E090E60" w14:textId="77777777" w:rsidR="0018717A" w:rsidRPr="00F242DD" w:rsidRDefault="008D36F2" w:rsidP="00131E36">
      <w:pPr>
        <w:pStyle w:val="a6"/>
        <w:spacing w:before="0" w:after="0"/>
        <w:ind w:left="709"/>
        <w:rPr>
          <w:i/>
        </w:rPr>
      </w:pPr>
      <w:r w:rsidRPr="00F242DD">
        <w:rPr>
          <w:i/>
        </w:rPr>
        <w:t xml:space="preserve">Следует отметить, </w:t>
      </w:r>
      <w:r w:rsidR="002D414E" w:rsidRPr="00F242DD">
        <w:rPr>
          <w:i/>
        </w:rPr>
        <w:t>что отличительными чертами иммуно</w:t>
      </w:r>
      <w:r w:rsidRPr="00F242DD">
        <w:rPr>
          <w:i/>
        </w:rPr>
        <w:t>онкологических препаратов явля</w:t>
      </w:r>
      <w:r w:rsidR="002D414E" w:rsidRPr="00F242DD">
        <w:rPr>
          <w:i/>
        </w:rPr>
        <w:t>ю</w:t>
      </w:r>
      <w:r w:rsidRPr="00F242DD">
        <w:rPr>
          <w:i/>
        </w:rPr>
        <w:t>тся отсроченный эффект и его длительное сохранение. Поэтому необходимо оценивать не только медиану, но и отдаленные результаты лечения. На сегодняшний день доступны данные 4-летнего наблюдения пациентов из исследования ELOQUENT-2. В группе элотузумаба</w:t>
      </w:r>
      <w:r w:rsidR="006E416B" w:rsidRPr="00F242DD">
        <w:rPr>
          <w:i/>
        </w:rPr>
        <w:t>**</w:t>
      </w:r>
      <w:r w:rsidRPr="00F242DD">
        <w:rPr>
          <w:i/>
        </w:rPr>
        <w:t xml:space="preserve"> почти вдвое большее число пациентов все еще находились на лечении (17</w:t>
      </w:r>
      <w:r w:rsidR="0018717A" w:rsidRPr="00F242DD">
        <w:rPr>
          <w:i/>
        </w:rPr>
        <w:t> </w:t>
      </w:r>
      <w:r w:rsidRPr="00F242DD">
        <w:rPr>
          <w:i/>
        </w:rPr>
        <w:t>% по сравнению с 9</w:t>
      </w:r>
      <w:r w:rsidR="0018717A" w:rsidRPr="00F242DD">
        <w:rPr>
          <w:i/>
        </w:rPr>
        <w:t> </w:t>
      </w:r>
      <w:r w:rsidRPr="00F242DD">
        <w:rPr>
          <w:i/>
        </w:rPr>
        <w:t xml:space="preserve">%). Преимущество в ВБП сохранялось в течение 4 лет наблюдения: </w:t>
      </w:r>
      <w:r w:rsidR="0018717A" w:rsidRPr="00F242DD">
        <w:rPr>
          <w:i/>
        </w:rPr>
        <w:t>числ</w:t>
      </w:r>
      <w:r w:rsidRPr="00F242DD">
        <w:rPr>
          <w:i/>
        </w:rPr>
        <w:t>о пациентов без прогрессии составило 21</w:t>
      </w:r>
      <w:r w:rsidR="0018717A" w:rsidRPr="00F242DD">
        <w:rPr>
          <w:i/>
        </w:rPr>
        <w:t> </w:t>
      </w:r>
      <w:r w:rsidRPr="00F242DD">
        <w:rPr>
          <w:i/>
        </w:rPr>
        <w:t>% в группе элотузумаба</w:t>
      </w:r>
      <w:r w:rsidR="006E416B" w:rsidRPr="00F242DD">
        <w:rPr>
          <w:i/>
        </w:rPr>
        <w:t>**</w:t>
      </w:r>
      <w:r w:rsidRPr="00F242DD">
        <w:rPr>
          <w:i/>
        </w:rPr>
        <w:t xml:space="preserve"> и 14</w:t>
      </w:r>
      <w:r w:rsidR="0018717A" w:rsidRPr="00F242DD">
        <w:rPr>
          <w:i/>
        </w:rPr>
        <w:t> </w:t>
      </w:r>
      <w:r w:rsidRPr="00F242DD">
        <w:rPr>
          <w:i/>
        </w:rPr>
        <w:t>% в контрольной группе (относительное улучшение на 50</w:t>
      </w:r>
      <w:r w:rsidR="0018717A" w:rsidRPr="00F242DD">
        <w:rPr>
          <w:i/>
        </w:rPr>
        <w:t> </w:t>
      </w:r>
      <w:r w:rsidRPr="00F242DD">
        <w:rPr>
          <w:i/>
        </w:rPr>
        <w:t>%). Время до начала следующей терапии отличалось на 12 мес</w:t>
      </w:r>
      <w:r w:rsidR="00E778E9" w:rsidRPr="00F242DD">
        <w:rPr>
          <w:i/>
        </w:rPr>
        <w:t>.</w:t>
      </w:r>
      <w:r w:rsidRPr="00F242DD">
        <w:rPr>
          <w:i/>
        </w:rPr>
        <w:t xml:space="preserve"> в пользу пациентов, по</w:t>
      </w:r>
      <w:r w:rsidR="0018717A" w:rsidRPr="00F242DD">
        <w:rPr>
          <w:i/>
        </w:rPr>
        <w:t>лучавших элотузумаб</w:t>
      </w:r>
      <w:r w:rsidR="006E416B" w:rsidRPr="00F242DD">
        <w:rPr>
          <w:i/>
        </w:rPr>
        <w:t>**</w:t>
      </w:r>
      <w:r w:rsidR="0018717A" w:rsidRPr="00F242DD">
        <w:rPr>
          <w:i/>
        </w:rPr>
        <w:t xml:space="preserve"> (33 и 21 мес</w:t>
      </w:r>
      <w:r w:rsidR="00267DE2" w:rsidRPr="00F242DD">
        <w:rPr>
          <w:i/>
        </w:rPr>
        <w:t>.</w:t>
      </w:r>
      <w:r w:rsidRPr="00F242DD">
        <w:rPr>
          <w:i/>
        </w:rPr>
        <w:t xml:space="preserve"> соответственно).</w:t>
      </w:r>
    </w:p>
    <w:p w14:paraId="0C792024" w14:textId="77777777" w:rsidR="00241DE1" w:rsidRPr="00F242DD" w:rsidRDefault="00241DE1" w:rsidP="00E36DFA">
      <w:pPr>
        <w:pStyle w:val="a4"/>
        <w:spacing w:before="0" w:beforeAutospacing="0" w:after="0" w:afterAutospacing="0" w:line="360" w:lineRule="auto"/>
        <w:ind w:firstLine="709"/>
        <w:outlineLvl w:val="1"/>
        <w:rPr>
          <w:rStyle w:val="ac"/>
          <w:rFonts w:eastAsia="Calibri"/>
          <w:szCs w:val="22"/>
          <w:u w:val="single"/>
          <w:lang w:eastAsia="en-US"/>
        </w:rPr>
      </w:pPr>
      <w:bookmarkStart w:id="33" w:name="_Toc53140904"/>
      <w:r w:rsidRPr="00F242DD">
        <w:rPr>
          <w:rStyle w:val="ac"/>
          <w:u w:val="single"/>
        </w:rPr>
        <w:t>3.4.2</w:t>
      </w:r>
      <w:r w:rsidR="0018717A" w:rsidRPr="00F242DD">
        <w:rPr>
          <w:rStyle w:val="ac"/>
          <w:u w:val="single"/>
        </w:rPr>
        <w:t xml:space="preserve"> </w:t>
      </w:r>
      <w:r w:rsidRPr="00F242DD">
        <w:rPr>
          <w:rStyle w:val="ac"/>
          <w:u w:val="single"/>
        </w:rPr>
        <w:t>Лечение рецидива ММ, отягощенного двойной рефрактерностью</w:t>
      </w:r>
      <w:bookmarkEnd w:id="33"/>
    </w:p>
    <w:p w14:paraId="1DD2BF73" w14:textId="77777777" w:rsidR="00D14A54" w:rsidRPr="00F242DD" w:rsidRDefault="00D14A54" w:rsidP="00727CDE">
      <w:pPr>
        <w:pStyle w:val="a6"/>
        <w:numPr>
          <w:ilvl w:val="0"/>
          <w:numId w:val="8"/>
        </w:numPr>
        <w:tabs>
          <w:tab w:val="clear" w:pos="348"/>
          <w:tab w:val="num" w:pos="709"/>
        </w:tabs>
        <w:spacing w:before="0" w:after="0"/>
        <w:ind w:left="709" w:hanging="709"/>
      </w:pPr>
      <w:r w:rsidRPr="00F242DD">
        <w:lastRenderedPageBreak/>
        <w:t xml:space="preserve">Пациентам с </w:t>
      </w:r>
      <w:r w:rsidR="00B15365" w:rsidRPr="00F242DD">
        <w:t>рецидивом ММ</w:t>
      </w:r>
      <w:r w:rsidRPr="00F242DD">
        <w:t>, которы</w:t>
      </w:r>
      <w:r w:rsidR="00155D8D" w:rsidRPr="00F242DD">
        <w:t>е ра</w:t>
      </w:r>
      <w:r w:rsidR="00610FE7" w:rsidRPr="00F242DD">
        <w:t>ньше получали терапию ингибиторами</w:t>
      </w:r>
      <w:r w:rsidR="00155D8D" w:rsidRPr="00F242DD">
        <w:t xml:space="preserve"> проте</w:t>
      </w:r>
      <w:r w:rsidR="000C2F12" w:rsidRPr="00F242DD">
        <w:t>а</w:t>
      </w:r>
      <w:r w:rsidR="00155D8D" w:rsidRPr="00F242DD">
        <w:t>сом и леналидомид</w:t>
      </w:r>
      <w:r w:rsidR="00610FE7" w:rsidRPr="00F242DD">
        <w:t>ом</w:t>
      </w:r>
      <w:r w:rsidR="00B15365" w:rsidRPr="00F242DD">
        <w:t>**</w:t>
      </w:r>
      <w:r w:rsidR="006F0CFC" w:rsidRPr="00F242DD">
        <w:t>,</w:t>
      </w:r>
      <w:r w:rsidR="00155D8D" w:rsidRPr="00F242DD">
        <w:t xml:space="preserve"> и у которых наблюдалось прогрессирование заболевания на фоне предшествующей терапии, </w:t>
      </w:r>
      <w:r w:rsidRPr="00F242DD">
        <w:t>в качестве одн</w:t>
      </w:r>
      <w:r w:rsidR="00B657E4" w:rsidRPr="00F242DD">
        <w:t>ой из возможных опций</w:t>
      </w:r>
      <w:r w:rsidR="000A156C" w:rsidRPr="00F242DD">
        <w:t xml:space="preserve"> </w:t>
      </w:r>
      <w:r w:rsidR="00B657E4" w:rsidRPr="00F242DD">
        <w:rPr>
          <w:b/>
        </w:rPr>
        <w:t>рекомендуется</w:t>
      </w:r>
      <w:r w:rsidRPr="00F242DD">
        <w:t xml:space="preserve"> терапия с включением в схему лечения </w:t>
      </w:r>
      <w:r w:rsidR="00155D8D" w:rsidRPr="00F242DD">
        <w:t>помалидомида</w:t>
      </w:r>
      <w:r w:rsidRPr="00F242DD">
        <w:t xml:space="preserve"> и дексаметазона** </w:t>
      </w:r>
      <w:r w:rsidR="00032CFB" w:rsidRPr="00F242DD">
        <w:t xml:space="preserve">(описание режимов – см. приложение </w:t>
      </w:r>
      <w:r w:rsidR="00C812D6" w:rsidRPr="00F242DD">
        <w:t>А3.1</w:t>
      </w:r>
      <w:r w:rsidR="00E137CF" w:rsidRPr="00F242DD">
        <w:t>.</w:t>
      </w:r>
      <w:r w:rsidR="00032CFB" w:rsidRPr="00F242DD">
        <w:t>)</w:t>
      </w:r>
      <w:r w:rsidR="00286688" w:rsidRPr="00F242DD">
        <w:t xml:space="preserve"> </w:t>
      </w:r>
      <w:r w:rsidR="00A96FB6" w:rsidRPr="00F242DD">
        <w:fldChar w:fldCharType="begin" w:fldLock="1"/>
      </w:r>
      <w:r w:rsidR="00F74B6B" w:rsidRPr="00F242DD">
        <w:instrText>ADDIN CSL_CITATION {"citationItems":[{"id":"ITEM-1","itemData":{"DOI":"10.1016/S1470-2045(13)70380-2","ISSN":"14702045","abstract":"Background: Few effective treatments exist for patients with refractory or relapsed and refractory multiple myeloma not responding to treatment with bortezomib and lenalidomide. Pomalidomide alone has shown limited efficacy in patients with relapsed multiple myeloma, but synergistic effects have been noted when combined with dexamethasone. We compared the efficacy and safety of pomalidomide plus low-dose dexamethasone with high-dose dexamethasone alone in these patients. Methods: This multicentre, open-label, randomised phase 3 trial was undertaken in Australia, Canada, Europe, Russia, and the USA. Patients were eligible if they had been diagnosed with refractory or relapsed and refractory multiple myeloma, and had failed at least two previous treatments of bortezomib and lenalidomide. They were assigned in a 2:1 ratio with a validated interactive voice and internet response system to either 28 day cycles of pomalidomide (4 mg/day on days 1-21, orally) plus low-dose dexamethasone (40 mg/day on days 1, 8, 15, and 22, orally) or high-dose dexamethasone (40 mg/day on days 1-4, 9-12, and 17-20, orally) until disease progression or unacceptable toxicity. Stratification factors were age (≤75 years vs &gt;75 years), disease population (refractory vs relapsed and refractory vs bortezomib intolerant), and number of previous treatments (two vs more than two). The primary endpoint was progression-free survival (PFS). Analysis was by intention to treat. This trial is registered with ClinicalTrials.gov, number NCT01311687, and with EudraCT, number 2010-019820-30. Findings: The accrual for the study has been completed and the analyses are presented. 302 patients were randomly assigned to receive pomalidomide plus low-dose dexamethasone and 153 high-dose dexamethasone. After a median follow-up of 10·0 months (IQR 7·2-13·2), median PFS with pomalidomide plus low-dose dexamethasone was 4·0 months (95% CI 3·6-4·7) versus 1·9 months (1·9-2·2) with high-dose dexamethasone (hazard ratio 0·48 [95% CI 0·39-0·60]; p&lt;0·0001). The most common grade 3-4 haematological adverse events in the pomalidomide plus low-dose dexamethasone and high-dose dexamethasone groups were neutropenia (143 [48%] of 300 vs 24 [16%] of 150, respectively), anaemia (99 [33%] vs 55 [37%], respectively), and thrombocytopenia (67 [22%] vs 39 [26%], respectively). Grade 3-4 non-haematological adverse events in the pomalidomide plus low-dose dexamethasone and high-dose dexamethasone groups included pneumonia (38…","author":[{"dropping-particle":"","family":"Miguel","given":"Jesus San","non-dropping-particle":"","parse-names":false,"suffix":""},{"dropping-particle":"","family":"Weisel","given":"Katja","non-dropping-particle":"","parse-names":false,"suffix":""},{"dropping-particle":"","family":"Moreau","given":"Philippe","non-dropping-particle":"","parse-names":false,"suffix":""},{"dropping-particle":"","family":"Lacy","given":"Martha","non-dropping-particle":"","parse-names":false,"suffix":""},{"dropping-particle":"","family":"Song","given":"Kevin","non-dropping-particle":"","parse-names":false,"suffix":""},{"dropping-particle":"","family":"Delforge","given":"Michel","non-dropping-particle":"","parse-names":false,"suffix":""},{"dropping-particle":"","family":"Karlin","given":"Lionel","non-dropping-particle":"","parse-names":false,"suffix":""},{"dropping-particle":"","family":"Goldschmidt","given":"Hartmut","non-dropping-particle":"","parse-names":false,"suffix":""},{"dropping-particle":"","family":"Banos","given":"Anne","non-dropping-particle":"","parse-names":false,"suffix":""},{"dropping-particle":"","family":"Oriol","given":"Albert","non-dropping-particle":"","parse-names":false,"suffix":""},{"dropping-particle":"","family":"Alegre","given":"Adrian","non-dropping-particle":"","parse-names":false,"suffix":""},{"dropping-particle":"","family":"Chen","given":"Christine","non-dropping-particle":"","parse-names":false,"suffix":""},{"dropping-particle":"","family":"Cavo","given":"Michele","non-dropping-particle":"","parse-names":false,"suffix":""},{"dropping-particle":"","family":"Garderet","given":"Laurent","non-dropping-particle":"","parse-names":false,"suffix":""},{"dropping-particle":"","family":"Ivanova","given":"Valentina","non-dropping-particle":"","parse-names":false,"suffix":""},{"dropping-particle":"","family":"Martinez-Lopez","given":"Joaquin","non-dropping-particle":"","parse-names":false,"suffix":""},{"dropping-particle":"","family":"Belch","given":"Andrew","non-dropping-particle":"","parse-names":false,"suffix":""},{"dropping-particle":"","family":"Palumbo","given":"Antonio","non-dropping-particle":"","parse-names":false,"suffix":""},{"dropping-particle":"","family":"Schey","given":"Stephen","non-dropping-particle":"","parse-names":false,"suffix":""},{"dropping-particle":"","family":"Sonneveld","given":"Pieter","non-dropping-particle":"","parse-names":false,"suffix":""},{"dropping-particle":"","family":"Yu","given":"Xin","non-dropping-particle":"","parse-names":false,"suffix":""},{"dropping-particle":"","family":"Sternas","given":"Lars","non-dropping-particle":"","parse-names":false,"suffix":""},{"dropping-particle":"","family":"Jacques","given":"Christian","non-dropping-particle":"","parse-names":false,"suffix":""},{"dropping-particle":"","family":"Zaki","given":"Mohamed","non-dropping-particle":"","parse-names":false,"suffix":""},{"dropping-particle":"","family":"Dimopoulos","given":"Meletios","non-dropping-particle":"","parse-names":false,"suffix":""}],"container-title":"The Lancet Oncology","id":"ITEM-1","issue":"11","issued":{"date-parts":[["2013","10"]]},"page":"1055-1066","title":"Pomalidomide plus low-dose dexamethasone versus high-dose dexamethasone alone for patients with relapsed and refractory multiple myeloma (MM-003): A randomised, open-label, phase 3 trial","type":"article-journal","volume":"14"},"uris":["http://www.mendeley.com/documents/?uuid=212c99f9-e3b6-332f-a2d2-503dd0b7864a"]}],"mendeley":{"formattedCitation":"[63]","plainTextFormattedCitation":"[63]","previouslyFormattedCitation":"[63]"},"properties":{"noteIndex":0},"schema":"https://github.com/citation-style-language/schema/raw/master/csl-citation.json"}</w:instrText>
      </w:r>
      <w:r w:rsidR="00A96FB6" w:rsidRPr="00F242DD">
        <w:fldChar w:fldCharType="separate"/>
      </w:r>
      <w:r w:rsidR="00705691" w:rsidRPr="00F242DD">
        <w:rPr>
          <w:noProof/>
        </w:rPr>
        <w:t>[63]</w:t>
      </w:r>
      <w:r w:rsidR="00A96FB6" w:rsidRPr="00F242DD">
        <w:fldChar w:fldCharType="end"/>
      </w:r>
      <w:r w:rsidR="002B59AA" w:rsidRPr="00F242DD">
        <w:t>.</w:t>
      </w:r>
    </w:p>
    <w:p w14:paraId="3907655C" w14:textId="77777777" w:rsidR="00D14A54" w:rsidRPr="00F242DD" w:rsidRDefault="00D14A54" w:rsidP="00131E36">
      <w:pPr>
        <w:pStyle w:val="a6"/>
        <w:spacing w:before="0" w:after="0"/>
        <w:ind w:left="709"/>
        <w:rPr>
          <w:b/>
        </w:rPr>
      </w:pPr>
      <w:r w:rsidRPr="00F242DD">
        <w:rPr>
          <w:b/>
        </w:rPr>
        <w:t xml:space="preserve">Уровень убедительности рекомендаций </w:t>
      </w:r>
      <w:r w:rsidR="00E137CF" w:rsidRPr="00F242DD">
        <w:rPr>
          <w:b/>
        </w:rPr>
        <w:t xml:space="preserve">− </w:t>
      </w:r>
      <w:r w:rsidR="00BD6788" w:rsidRPr="00F242DD">
        <w:rPr>
          <w:b/>
          <w:lang w:val="en-US"/>
        </w:rPr>
        <w:t>A</w:t>
      </w:r>
      <w:r w:rsidR="00286688" w:rsidRPr="00F242DD">
        <w:rPr>
          <w:b/>
        </w:rPr>
        <w:t xml:space="preserve"> </w:t>
      </w:r>
      <w:r w:rsidRPr="00F242DD">
        <w:rPr>
          <w:b/>
        </w:rPr>
        <w:t>(уровень достоверности доказательств</w:t>
      </w:r>
      <w:r w:rsidR="00286688" w:rsidRPr="00F242DD">
        <w:rPr>
          <w:b/>
        </w:rPr>
        <w:t xml:space="preserve"> </w:t>
      </w:r>
      <w:r w:rsidR="00E137CF" w:rsidRPr="00F242DD">
        <w:rPr>
          <w:b/>
        </w:rPr>
        <w:t xml:space="preserve">− </w:t>
      </w:r>
      <w:r w:rsidR="00BD6788" w:rsidRPr="00F242DD">
        <w:rPr>
          <w:b/>
        </w:rPr>
        <w:t>2</w:t>
      </w:r>
      <w:r w:rsidRPr="00F242DD">
        <w:rPr>
          <w:b/>
        </w:rPr>
        <w:t>)</w:t>
      </w:r>
    </w:p>
    <w:p w14:paraId="6BC8584E" w14:textId="77777777" w:rsidR="00023729" w:rsidRPr="00F242DD" w:rsidRDefault="00D14A54" w:rsidP="00E36DFA">
      <w:pPr>
        <w:pStyle w:val="a4"/>
        <w:spacing w:before="0" w:beforeAutospacing="0" w:after="0" w:afterAutospacing="0" w:line="360" w:lineRule="auto"/>
        <w:ind w:left="709"/>
        <w:contextualSpacing/>
        <w:jc w:val="both"/>
        <w:rPr>
          <w:i/>
        </w:rPr>
      </w:pPr>
      <w:r w:rsidRPr="00F242DD">
        <w:rPr>
          <w:b/>
        </w:rPr>
        <w:t xml:space="preserve">Комментарий: </w:t>
      </w:r>
      <w:r w:rsidR="00286688" w:rsidRPr="00F242DD">
        <w:rPr>
          <w:i/>
        </w:rPr>
        <w:t xml:space="preserve">в </w:t>
      </w:r>
      <w:r w:rsidR="00023729" w:rsidRPr="00F242DD">
        <w:rPr>
          <w:i/>
        </w:rPr>
        <w:t>крупном рандомизированном исследовании III фазы ММ-003 участвовал</w:t>
      </w:r>
      <w:r w:rsidR="00E137CF" w:rsidRPr="00F242DD">
        <w:rPr>
          <w:i/>
        </w:rPr>
        <w:t>и</w:t>
      </w:r>
      <w:r w:rsidR="00023729" w:rsidRPr="00F242DD">
        <w:rPr>
          <w:i/>
        </w:rPr>
        <w:t xml:space="preserve"> 445 пациентов с рецидивами и рефрактерной ММ, у большинства из которых (75</w:t>
      </w:r>
      <w:r w:rsidR="00E137CF" w:rsidRPr="00F242DD">
        <w:rPr>
          <w:i/>
        </w:rPr>
        <w:t> </w:t>
      </w:r>
      <w:r w:rsidR="00023729" w:rsidRPr="00F242DD">
        <w:rPr>
          <w:i/>
        </w:rPr>
        <w:t>%) отмечалась резистентность к бортезомибу</w:t>
      </w:r>
      <w:r w:rsidR="00B15365" w:rsidRPr="00F242DD">
        <w:rPr>
          <w:i/>
        </w:rPr>
        <w:t>**</w:t>
      </w:r>
      <w:r w:rsidR="00023729" w:rsidRPr="00F242DD">
        <w:rPr>
          <w:i/>
        </w:rPr>
        <w:t xml:space="preserve"> и леналидомиду</w:t>
      </w:r>
      <w:r w:rsidR="00B15365" w:rsidRPr="00F242DD">
        <w:rPr>
          <w:i/>
        </w:rPr>
        <w:t>**</w:t>
      </w:r>
      <w:r w:rsidR="00023729" w:rsidRPr="00F242DD">
        <w:rPr>
          <w:i/>
        </w:rPr>
        <w:t>. В этом исследовании проведено сравнение эффективности комбинации помалидомида с дексаметазоном</w:t>
      </w:r>
      <w:r w:rsidR="00B15365" w:rsidRPr="00F242DD">
        <w:rPr>
          <w:i/>
        </w:rPr>
        <w:t>**</w:t>
      </w:r>
      <w:r w:rsidR="00023729" w:rsidRPr="00F242DD">
        <w:rPr>
          <w:i/>
        </w:rPr>
        <w:t xml:space="preserve"> в низкой дозе и только дексаметазона</w:t>
      </w:r>
      <w:r w:rsidR="00B15365" w:rsidRPr="00F242DD">
        <w:rPr>
          <w:i/>
        </w:rPr>
        <w:t>**</w:t>
      </w:r>
      <w:r w:rsidR="00023729" w:rsidRPr="00F242DD">
        <w:rPr>
          <w:i/>
        </w:rPr>
        <w:t xml:space="preserve"> в высокой дозе. До включения в исследование </w:t>
      </w:r>
      <w:r w:rsidR="00E94D41" w:rsidRPr="00F242DD">
        <w:rPr>
          <w:i/>
        </w:rPr>
        <w:t>пациенты</w:t>
      </w:r>
      <w:r w:rsidR="00E137CF" w:rsidRPr="00F242DD">
        <w:rPr>
          <w:i/>
        </w:rPr>
        <w:t xml:space="preserve"> </w:t>
      </w:r>
      <w:r w:rsidR="00023729" w:rsidRPr="00F242DD">
        <w:rPr>
          <w:i/>
        </w:rPr>
        <w:t>получили от 2 до 17 линий терапии (медиана 5). Общая эффективность лечения помалидомидом и дексаметазоном</w:t>
      </w:r>
      <w:r w:rsidR="00B15365" w:rsidRPr="00F242DD">
        <w:rPr>
          <w:i/>
        </w:rPr>
        <w:t>**</w:t>
      </w:r>
      <w:r w:rsidR="00023729" w:rsidRPr="00F242DD">
        <w:rPr>
          <w:i/>
        </w:rPr>
        <w:t xml:space="preserve"> была значительно выше (31</w:t>
      </w:r>
      <w:r w:rsidR="00E137CF" w:rsidRPr="00F242DD">
        <w:rPr>
          <w:i/>
        </w:rPr>
        <w:t xml:space="preserve"> </w:t>
      </w:r>
      <w:r w:rsidR="00023729" w:rsidRPr="00F242DD">
        <w:rPr>
          <w:i/>
        </w:rPr>
        <w:t>%), чем при использовании дексаметазона</w:t>
      </w:r>
      <w:r w:rsidR="00B15365" w:rsidRPr="00F242DD">
        <w:rPr>
          <w:i/>
        </w:rPr>
        <w:t>**</w:t>
      </w:r>
      <w:r w:rsidR="00023729" w:rsidRPr="00F242DD">
        <w:rPr>
          <w:i/>
        </w:rPr>
        <w:t xml:space="preserve"> в высокой дозе (10</w:t>
      </w:r>
      <w:r w:rsidR="00E137CF" w:rsidRPr="00F242DD">
        <w:rPr>
          <w:i/>
        </w:rPr>
        <w:t> </w:t>
      </w:r>
      <w:r w:rsidR="00023729" w:rsidRPr="00F242DD">
        <w:rPr>
          <w:i/>
        </w:rPr>
        <w:t>%). Также показано улучшение показателей выживаемости при использовании сочетания препаратов по сравнению с лечением дексаметазоном</w:t>
      </w:r>
      <w:r w:rsidR="00B15365" w:rsidRPr="00F242DD">
        <w:rPr>
          <w:i/>
        </w:rPr>
        <w:t>**</w:t>
      </w:r>
      <w:r w:rsidR="00023729" w:rsidRPr="00F242DD">
        <w:rPr>
          <w:i/>
        </w:rPr>
        <w:t xml:space="preserve"> в высокой дозе. При медиане наблюдения 15,4 мес</w:t>
      </w:r>
      <w:r w:rsidR="00E778E9" w:rsidRPr="00F242DD">
        <w:rPr>
          <w:i/>
        </w:rPr>
        <w:t>.</w:t>
      </w:r>
      <w:r w:rsidR="00023729" w:rsidRPr="00F242DD">
        <w:rPr>
          <w:i/>
        </w:rPr>
        <w:t xml:space="preserve"> медианы ВБП составили 4 и 1,9 мес, ОВ </w:t>
      </w:r>
      <w:r w:rsidR="0093772A" w:rsidRPr="00F242DD">
        <w:rPr>
          <w:i/>
        </w:rPr>
        <w:t>−</w:t>
      </w:r>
      <w:r w:rsidR="00023729" w:rsidRPr="00F242DD">
        <w:rPr>
          <w:i/>
        </w:rPr>
        <w:t xml:space="preserve"> 13,1</w:t>
      </w:r>
      <w:r w:rsidR="0093772A" w:rsidRPr="00F242DD">
        <w:rPr>
          <w:i/>
        </w:rPr>
        <w:t xml:space="preserve"> </w:t>
      </w:r>
      <w:r w:rsidR="00023729" w:rsidRPr="00F242DD">
        <w:rPr>
          <w:i/>
        </w:rPr>
        <w:t>и 8,1 мес</w:t>
      </w:r>
      <w:r w:rsidR="00E778E9" w:rsidRPr="00F242DD">
        <w:rPr>
          <w:i/>
        </w:rPr>
        <w:t>.</w:t>
      </w:r>
      <w:r w:rsidR="00023729" w:rsidRPr="00F242DD">
        <w:rPr>
          <w:i/>
        </w:rPr>
        <w:t xml:space="preserve"> соответственно. Улучшение </w:t>
      </w:r>
      <w:r w:rsidR="0093772A" w:rsidRPr="00F242DD">
        <w:rPr>
          <w:i/>
        </w:rPr>
        <w:t>ОВ</w:t>
      </w:r>
      <w:r w:rsidR="00023729" w:rsidRPr="00F242DD">
        <w:rPr>
          <w:i/>
        </w:rPr>
        <w:t xml:space="preserve"> при лечении помалидомидом и дексаметазоном</w:t>
      </w:r>
      <w:r w:rsidR="00B15365" w:rsidRPr="00F242DD">
        <w:rPr>
          <w:i/>
        </w:rPr>
        <w:t>**</w:t>
      </w:r>
      <w:r w:rsidR="00023729" w:rsidRPr="00F242DD">
        <w:rPr>
          <w:i/>
        </w:rPr>
        <w:t xml:space="preserve"> в низкой дозе было значительным, несмотря на то что ко времени проведения анализа 50</w:t>
      </w:r>
      <w:r w:rsidR="0093772A" w:rsidRPr="00F242DD">
        <w:rPr>
          <w:i/>
        </w:rPr>
        <w:t> </w:t>
      </w:r>
      <w:r w:rsidR="00023729" w:rsidRPr="00F242DD">
        <w:rPr>
          <w:i/>
        </w:rPr>
        <w:t>% пациентов, рандомизированных для получения дексаметазона</w:t>
      </w:r>
      <w:r w:rsidR="00B15365" w:rsidRPr="00F242DD">
        <w:rPr>
          <w:i/>
        </w:rPr>
        <w:t>**</w:t>
      </w:r>
      <w:r w:rsidR="00023729" w:rsidRPr="00F242DD">
        <w:rPr>
          <w:i/>
        </w:rPr>
        <w:t>, уже получали помалидомид. У пациентов, достигших минимального ответа на терапию, включавшую помалидомид, ОВ составила 17,2</w:t>
      </w:r>
      <w:r w:rsidR="00F168F7" w:rsidRPr="00F242DD">
        <w:rPr>
          <w:i/>
        </w:rPr>
        <w:t> </w:t>
      </w:r>
      <w:r w:rsidR="00023729" w:rsidRPr="00F242DD">
        <w:rPr>
          <w:i/>
        </w:rPr>
        <w:t>мес</w:t>
      </w:r>
      <w:r w:rsidR="00F168F7" w:rsidRPr="00F242DD">
        <w:rPr>
          <w:i/>
        </w:rPr>
        <w:t>,</w:t>
      </w:r>
      <w:r w:rsidR="00023729" w:rsidRPr="00F242DD">
        <w:rPr>
          <w:i/>
        </w:rPr>
        <w:t xml:space="preserve"> при достижении частичного ответа – 19,9</w:t>
      </w:r>
      <w:r w:rsidR="00F168F7" w:rsidRPr="00F242DD">
        <w:rPr>
          <w:i/>
        </w:rPr>
        <w:t> </w:t>
      </w:r>
      <w:r w:rsidR="00023729" w:rsidRPr="00F242DD">
        <w:rPr>
          <w:i/>
        </w:rPr>
        <w:t>мес.</w:t>
      </w:r>
    </w:p>
    <w:p w14:paraId="7FF09906" w14:textId="77777777" w:rsidR="00023729" w:rsidRPr="00F242DD" w:rsidRDefault="00023729" w:rsidP="00E36DFA">
      <w:pPr>
        <w:pStyle w:val="a4"/>
        <w:spacing w:before="0" w:beforeAutospacing="0" w:after="0" w:afterAutospacing="0" w:line="360" w:lineRule="auto"/>
        <w:ind w:left="709"/>
        <w:contextualSpacing/>
        <w:jc w:val="both"/>
        <w:rPr>
          <w:i/>
        </w:rPr>
      </w:pPr>
      <w:r w:rsidRPr="00F242DD">
        <w:rPr>
          <w:i/>
        </w:rPr>
        <w:t>Помалидомид</w:t>
      </w:r>
      <w:r w:rsidR="00F168F7" w:rsidRPr="00F242DD">
        <w:rPr>
          <w:i/>
        </w:rPr>
        <w:t xml:space="preserve"> </w:t>
      </w:r>
      <w:r w:rsidRPr="00F242DD">
        <w:rPr>
          <w:i/>
        </w:rPr>
        <w:t>метаболизируется в печени</w:t>
      </w:r>
      <w:r w:rsidR="00F168F7" w:rsidRPr="00F242DD">
        <w:rPr>
          <w:i/>
        </w:rPr>
        <w:t>,</w:t>
      </w:r>
      <w:r w:rsidRPr="00F242DD">
        <w:rPr>
          <w:i/>
        </w:rPr>
        <w:t xml:space="preserve"> и в отличие от леналидомида</w:t>
      </w:r>
      <w:r w:rsidR="00B15365" w:rsidRPr="00F242DD">
        <w:rPr>
          <w:i/>
        </w:rPr>
        <w:t>**</w:t>
      </w:r>
      <w:r w:rsidRPr="00F242DD">
        <w:rPr>
          <w:i/>
        </w:rPr>
        <w:t xml:space="preserve"> только 2</w:t>
      </w:r>
      <w:r w:rsidR="00F168F7" w:rsidRPr="00F242DD">
        <w:rPr>
          <w:i/>
        </w:rPr>
        <w:t> </w:t>
      </w:r>
      <w:r w:rsidRPr="00F242DD">
        <w:rPr>
          <w:i/>
        </w:rPr>
        <w:t xml:space="preserve">% неизмененного препарата выводится с мочой. У </w:t>
      </w:r>
      <w:r w:rsidR="00FB03BB" w:rsidRPr="00F242DD">
        <w:rPr>
          <w:i/>
        </w:rPr>
        <w:t>пациентов</w:t>
      </w:r>
      <w:r w:rsidRPr="00F242DD">
        <w:rPr>
          <w:i/>
        </w:rPr>
        <w:t xml:space="preserve"> с любой степенью почечной недостаточности не требуется изменения дозы помалидомида. В дни гемодиализа препарат следует принимать после выполнения процедуры.</w:t>
      </w:r>
    </w:p>
    <w:p w14:paraId="4C2B8293" w14:textId="77777777" w:rsidR="00023729" w:rsidRPr="00F242DD" w:rsidRDefault="00023729" w:rsidP="00E36DFA">
      <w:pPr>
        <w:pStyle w:val="a4"/>
        <w:spacing w:before="0" w:beforeAutospacing="0" w:after="0" w:afterAutospacing="0" w:line="360" w:lineRule="auto"/>
        <w:ind w:left="709"/>
        <w:contextualSpacing/>
        <w:jc w:val="both"/>
        <w:rPr>
          <w:i/>
        </w:rPr>
      </w:pPr>
      <w:r w:rsidRPr="00F242DD">
        <w:rPr>
          <w:i/>
        </w:rPr>
        <w:t>Применение помалидомида требует профилактики тромботических осложнений. При наличии хотя бы одного фактора риска развития венозных тромбоэмболических осложнений рекомендуется антикоагулянтная терапия низкомолекулярными гепаринами.</w:t>
      </w:r>
    </w:p>
    <w:p w14:paraId="3C3D23EF" w14:textId="77777777" w:rsidR="00241DE1" w:rsidRPr="00F242DD" w:rsidRDefault="00023729" w:rsidP="00E36DFA">
      <w:pPr>
        <w:pStyle w:val="a4"/>
        <w:spacing w:before="0" w:beforeAutospacing="0" w:after="0" w:afterAutospacing="0" w:line="360" w:lineRule="auto"/>
        <w:ind w:left="709"/>
        <w:contextualSpacing/>
        <w:jc w:val="both"/>
        <w:rPr>
          <w:i/>
        </w:rPr>
      </w:pPr>
      <w:r w:rsidRPr="00F242DD">
        <w:rPr>
          <w:i/>
        </w:rPr>
        <w:lastRenderedPageBreak/>
        <w:t>Терапию помалидомидом в сочетании с низкими дозами дексаметазона</w:t>
      </w:r>
      <w:r w:rsidR="00B15365" w:rsidRPr="00F242DD">
        <w:rPr>
          <w:i/>
        </w:rPr>
        <w:t>**</w:t>
      </w:r>
      <w:r w:rsidRPr="00F242DD">
        <w:rPr>
          <w:i/>
        </w:rPr>
        <w:t xml:space="preserve"> рекомендуется проводить до прогрессирования заболевания. При достижении плато ответа следует рассмотреть возможность снижения дозы дексаметазона</w:t>
      </w:r>
      <w:r w:rsidR="00B15365" w:rsidRPr="00F242DD">
        <w:rPr>
          <w:i/>
        </w:rPr>
        <w:t>**</w:t>
      </w:r>
      <w:r w:rsidRPr="00F242DD">
        <w:rPr>
          <w:i/>
        </w:rPr>
        <w:t xml:space="preserve"> для улучшения переносимости длительного лечения.</w:t>
      </w:r>
    </w:p>
    <w:p w14:paraId="10985C32" w14:textId="77777777" w:rsidR="00023729" w:rsidRPr="00F242DD" w:rsidRDefault="00023729" w:rsidP="00727CDE">
      <w:pPr>
        <w:pStyle w:val="a6"/>
        <w:numPr>
          <w:ilvl w:val="0"/>
          <w:numId w:val="8"/>
        </w:numPr>
        <w:tabs>
          <w:tab w:val="clear" w:pos="348"/>
          <w:tab w:val="num" w:pos="709"/>
        </w:tabs>
        <w:spacing w:before="0" w:after="0"/>
        <w:ind w:left="709" w:hanging="709"/>
      </w:pPr>
      <w:r w:rsidRPr="00F242DD">
        <w:t xml:space="preserve">Пациентам с </w:t>
      </w:r>
      <w:r w:rsidR="00B15365" w:rsidRPr="00F242DD">
        <w:t>рецидивом ММ</w:t>
      </w:r>
      <w:r w:rsidRPr="00F242DD">
        <w:t>, которые раньше получали терапию</w:t>
      </w:r>
      <w:r w:rsidR="00610FE7" w:rsidRPr="00F242DD">
        <w:t xml:space="preserve"> ингибиторами</w:t>
      </w:r>
      <w:r w:rsidRPr="00F242DD">
        <w:t xml:space="preserve"> проте</w:t>
      </w:r>
      <w:r w:rsidR="000C2F12" w:rsidRPr="00F242DD">
        <w:t>а</w:t>
      </w:r>
      <w:r w:rsidRPr="00F242DD">
        <w:t>сом и леналидомид</w:t>
      </w:r>
      <w:r w:rsidR="00610FE7" w:rsidRPr="00F242DD">
        <w:t>ом</w:t>
      </w:r>
      <w:r w:rsidR="00B15365" w:rsidRPr="00F242DD">
        <w:t>**</w:t>
      </w:r>
      <w:r w:rsidRPr="00F242DD">
        <w:t xml:space="preserve"> и у которых наблюдалось прогрессирование заболевания на фоне предшествующей терапии, в качестве</w:t>
      </w:r>
      <w:r w:rsidR="00277FD3" w:rsidRPr="00F242DD">
        <w:t xml:space="preserve"> одной из возможных опций</w:t>
      </w:r>
      <w:r w:rsidR="00286688" w:rsidRPr="00F242DD">
        <w:t xml:space="preserve"> </w:t>
      </w:r>
      <w:r w:rsidR="00277FD3" w:rsidRPr="00F242DD">
        <w:rPr>
          <w:b/>
        </w:rPr>
        <w:t>рекомендуется</w:t>
      </w:r>
      <w:r w:rsidR="00286688" w:rsidRPr="00F242DD">
        <w:rPr>
          <w:b/>
        </w:rPr>
        <w:t xml:space="preserve"> </w:t>
      </w:r>
      <w:r w:rsidRPr="00F242DD">
        <w:t>монотерапия</w:t>
      </w:r>
      <w:r w:rsidR="009D3B20" w:rsidRPr="00F242DD">
        <w:t xml:space="preserve"> </w:t>
      </w:r>
      <w:r w:rsidRPr="00F242DD">
        <w:t xml:space="preserve">даратумумабом** </w:t>
      </w:r>
      <w:r w:rsidR="00032CFB" w:rsidRPr="00F242DD">
        <w:t xml:space="preserve">(описание режимов – см. приложение </w:t>
      </w:r>
      <w:r w:rsidR="00C812D6" w:rsidRPr="00F242DD">
        <w:t>А3.1</w:t>
      </w:r>
      <w:r w:rsidR="008B576F" w:rsidRPr="00F242DD">
        <w:t>.</w:t>
      </w:r>
      <w:r w:rsidR="00032CFB" w:rsidRPr="00F242DD">
        <w:t>)</w:t>
      </w:r>
      <w:r w:rsidR="00286688" w:rsidRPr="00F242DD">
        <w:t xml:space="preserve"> </w:t>
      </w:r>
      <w:r w:rsidR="00A96FB6" w:rsidRPr="00F242DD">
        <w:fldChar w:fldCharType="begin" w:fldLock="1"/>
      </w:r>
      <w:r w:rsidR="00F74B6B" w:rsidRPr="00F242DD">
        <w:instrText>ADDIN CSL_CITATION {"citationItems":[{"id":"ITEM-1","itemData":{"DOI":"10.1056/NEJMoa1506348","ISSN":"1533-4406","PMID":"26308596","abstract":"BACKGROUND Multiple myeloma cells uniformly overexpress CD38. We studied daratumumab, a CD38-targeting, human IgG1κ monoclonal antibody, in a phase 1-2 trial involving patients with relapsed myeloma or relapsed myeloma that was refractory to two or more prior lines of therapy. METHODS In part 1, the dose-escalation phase, we administered daratumumab at doses of 0.005 to 24 mg per kilogram of body weight. In part 2, the dose-expansion phase, 30 patients received 8 mg per kilogram of daratumumab and 42 received 16 mg per kilogram, administered once weekly (8 doses), twice monthly (8 doses), and monthly for up to 24 months. End points included safety, efficacy, and pharmacokinetics. RESULTS No maximum tolerated dose was identified in part 1. In part 2, the median time since diagnosis was 5.7 years. Patients had received a median of four prior treatments; 79% of the patients had disease that was refractory to the last therapy received (64% had disease refractory to proteasome inhibitors and immunomodulatory drugs and 64% had disease refractory to bortezomib and lenalidomide), and 76% had received autologous stem-cell transplants. Infusion-related reactions in part 2 were mild (71% of patients had an event of any grade, and 1% had an event of grade 3), with no dose-dependent adverse events. The most common adverse events of grade 3 or 4 (in ≥ 5% of patients) were pneumonia and thrombocytopenia. The overall response rate was 36% in the cohort that received 16 mg per kilogram (15 patients had a partial response or better, including 2 with a complete response and 2 with a very good partial response) and 10% in the cohort that received 8 mg per kilogram (3 had a partial response). In the cohort that received 16 mg per kilogram, the median progression-free survival was 5.6 months (95% confidence interval [CI], 4.2 to 8.1), and 65% (95% CI, 28 to 86) of the patients who had a response did not have progression at 12 months. CONCLUSIONS Daratumumab monotherapy had a favorable safety profile and encouraging efficacy in patients with heavily pretreated and refractory myeloma. (Funded by Janssen Research and Development and Genmab; ClinicalTrials.gov number, NCT00574288.).","author":[{"dropping-particle":"","family":"Lokhorst","given":"Henk M","non-dropping-particle":"","parse-names":false,"suffix":""},{"dropping-particle":"","family":"Plesner","given":"Torben","non-dropping-particle":"","parse-names":false,"suffix":""},{"dropping-particle":"","family":"Laubach","given":"Jacob P","non-dropping-particle":"","parse-names":false,"suffix":""},{"dropping-particle":"","family":"Nahi","given":"Hareth","non-dropping-particle":"","parse-names":false,"suffix":""},{"dropping-particle":"","family":"Gimsing","given":"Peter","non-dropping-particle":"","parse-names":false,"suffix":""},{"dropping-particle":"","family":"Hansson","given":"Markus","non-dropping-particle":"","parse-names":false,"suffix":""},{"dropping-particle":"","family":"Minnema","given":"Monique C","non-dropping-particle":"","parse-names":false,"suffix":""},{"dropping-particle":"","family":"Lassen","given":"Ulrik","non-dropping-particle":"","parse-names":false,"suffix":""},{"dropping-particle":"","family":"Krejcik","given":"Jakub","non-dropping-particle":"","parse-names":false,"suffix":""},{"dropping-particle":"","family":"Palumbo","given":"Antonio","non-dropping-particle":"","parse-names":false,"suffix":""},{"dropping-particle":"","family":"Donk","given":"Niels W C J","non-dropping-particle":"van de","parse-names":false,"suffix":""},{"dropping-particle":"","family":"Ahmadi","given":"Tahamtan","non-dropping-particle":"","parse-names":false,"suffix":""},{"dropping-particle":"","family":"Khan","given":"Imran","non-dropping-particle":"","parse-names":false,"suffix":""},{"dropping-particle":"","family":"Uhlar","given":"Clarissa M","non-dropping-particle":"","parse-names":false,"suffix":""},{"dropping-particle":"","family":"Wang","given":"Jianping","non-dropping-particle":"","parse-names":false,"suffix":""},{"dropping-particle":"","family":"Sasser","given":"A Kate","non-dropping-particle":"","parse-names":false,"suffix":""},{"dropping-particle":"","family":"Losic","given":"Nedjad","non-dropping-particle":"","parse-names":false,"suffix":""},{"dropping-particle":"","family":"Lisby","given":"Steen","non-dropping-particle":"","parse-names":false,"suffix":""},{"dropping-particle":"","family":"Basse","given":"Linda","non-dropping-particle":"","parse-names":false,"suffix":""},{"dropping-particle":"","family":"Brun","given":"Nikolai","non-dropping-particle":"","parse-names":false,"suffix":""},{"dropping-particle":"","family":"Richardson","given":"Paul G","non-dropping-particle":"","parse-names":false,"suffix":""}],"container-title":"The New England journal of medicine","id":"ITEM-1","issue":"13","issued":{"date-parts":[["2015","9","24"]]},"page":"1207-19","title":"Targeting CD38 with Daratumumab Monotherapy in Multiple Myeloma.","type":"article-journal","volume":"373"},"uris":["http://www.mendeley.com/documents/?uuid=a85ca09c-7df4-31f2-b664-6c5d1d05c57c"]},{"id":"ITEM-2","itemData":{"DOI":"10.1016/S0140-6736(15)01120-4","ISSN":"1474547X","abstract":"Background New treatment options are needed for patients with multiple myeloma that is refractory to proteasome inhibitors and immunomodulatory drugs. We assessed daratumumab, a novel CD38-targeted monoclonal antibody, in patients with refractory multiple myeloma. Methods In this open-label, multicentre, phase 2 trial done in Canada, Spain, and the USA, patients (age ≥18 years) with multiple myeloma who were previously treated with at least three lines of therapy (including proteasome inhibitors and immunomodulatory drugs), or were refractory to both proteasome inhibitors and immunomodulatory drugs, were randomly allocated in a 1:1 ratio to receive intravenous daratumumab 8 mg/kg or 16 mg/kg in part 1 stage 1 of the study, to decide the dose for further assessment in part 2. Patients received 8 mg/kg every 4 weeks, or 16 mg/kg per week for 8 weeks (cycles 1 and 2), then every 2 weeks for 16 weeks (cycles 3-6), and then every 4 weeks thereafter (cycle 7 and higher). The allocation schedule was computer-generated and randomisation, with permuted blocks, was done centrally with an interactive web response system. In part 1 stage 2 and part 2, patients received 16 mg/kg dosed as in part 1 stage 1. The primary endpoint was overall response rate (partial response [PR] + very good PR + complete response [CR] + stringent CR). All patients who received at least one dose of daratumumab were included in the analysis. The trial is registered with ClinicalTrials.gov, number NCT01985126. Findings The study is ongoing. In part 1 stage 1 of the study, 18 patients were randomly allocated to the 8 mg/kg group and 16 to the 16 mg/kg group. Findings are reported for the 106 patients who received daratumumab 16 mg/kg in parts 1 and 2. Patients received a median of five previous lines of therapy (range 2-14). 85 (80%) patients had previously received autologous stem cell transplantation, 101 (95%) were refractory to the most recent proteasome inhibitors and immunomodulatory drugs used, and 103 (97%) were refractory to the last line of therapy. Overall responses were noted in 31 patients (29·2%, 95% CI 20·8-38·9) - three (2·8%, 0·6-8·0) had a stringent CR, ten (9·4%, 4·6-16·7) had a very good PR, and 18 (17·0%, 10·4-25·5) had a PR. The median time to first response was 1·0 month (range 0·9-5·6). Median duration of response was 7·4 months (95% CI 5·5-not estimable) and progression-free survival was 3·7 months (95% CI 2·8-4·6). The 12-month overall survival was 64·8% (95% CI 51…","author":[{"dropping-particle":"","family":"Lonial","given":"Sagar","non-dropping-particle":"","parse-names":false,"suffix":""},{"dropping-particle":"","family":"Weiss","given":"Brendan M.","non-dropping-particle":"","parse-names":false,"suffix":""},{"dropping-particle":"","family":"Usmani","given":"Saad Z.","non-dropping-particle":"","parse-names":false,"suffix":""},{"dropping-particle":"","family":"Singhal","given":"Seema","non-dropping-particle":"","parse-names":false,"suffix":""},{"dropping-particle":"","family":"Chari","given":"Ajai","non-dropping-particle":"","parse-names":false,"suffix":""},{"dropping-particle":"","family":"Bahlis","given":"Nizar J.","non-dropping-particle":"","parse-names":false,"suffix":""},{"dropping-particle":"","family":"Belch","given":"Andrew","non-dropping-particle":"","parse-names":false,"suffix":""},{"dropping-particle":"","family":"Krishnan","given":"Amrita","non-dropping-particle":"","parse-names":false,"suffix":""},{"dropping-particle":"","family":"Vescio","given":"Robert A.","non-dropping-particle":"","parse-names":false,"suffix":""},{"dropping-particle":"","family":"Mateos","given":"Maria Victoria","non-dropping-particle":"","parse-names":false,"suffix":""},{"dropping-particle":"","family":"Mazumder","given":"Amitabha","non-dropping-particle":"","parse-names":false,"suffix":""},{"dropping-particle":"","family":"Orlowski","given":"Robert Z.","non-dropping-particle":"","parse-names":false,"suffix":""},{"dropping-particle":"","family":"Sutherland","given":"Heather J.","non-dropping-particle":"","parse-names":false,"suffix":""},{"dropping-particle":"","family":"Bladé","given":"Joan","non-dropping-particle":"","parse-names":false,"suffix":""},{"dropping-particle":"","family":"Scott","given":"Emma C.","non-dropping-particle":"","parse-names":false,"suffix":""},{"dropping-particle":"","family":"Oriol","given":"Albert","non-dropping-particle":"","parse-names":false,"suffix":""},{"dropping-particle":"","family":"Berdeja","given":"Jesus","non-dropping-particle":"","parse-names":false,"suffix":""},{"dropping-particle":"","family":"Gharibo","given":"Mecide","non-dropping-particle":"","parse-names":false,"suffix":""},{"dropping-particle":"","family":"Stevens","given":"Don A.","non-dropping-particle":"","parse-names":false,"suffix":""},{"dropping-particle":"","family":"Leblanc","given":"Richard","non-dropping-particle":"","parse-names":false,"suffix":""},{"dropping-particle":"","family":"Sebag","given":"Michael","non-dropping-particle":"","parse-names":false,"suffix":""},{"dropping-particle":"","family":"Callander","given":"Natalie","non-dropping-particle":"","parse-names":false,"suffix":""},{"dropping-particle":"","family":"Jakubowiak","given":"Andrzej","non-dropping-particle":"","parse-names":false,"suffix":""},{"dropping-particle":"","family":"White","given":"Darrell","non-dropping-particle":"","parse-names":false,"suffix":""},{"dropping-particle":"","family":"La Rubia","given":"Javier","non-dropping-particle":"De","parse-names":false,"suffix":""},{"dropping-particle":"","family":"Richardson","given":"Paul G.","non-dropping-particle":"","parse-names":false,"suffix":""},{"dropping-particle":"","family":"Lisby","given":"Steen","non-dropping-particle":"","parse-names":false,"suffix":""},{"dropping-particle":"","family":"Feng","given":"Huaibao","non-dropping-particle":"","parse-names":false,"suffix":""},{"dropping-particle":"","family":"Uhlar","given":"Clarissa M.","non-dropping-particle":"","parse-names":false,"suffix":""},{"dropping-particle":"","family":"Khan","given":"Imran","non-dropping-particle":"","parse-names":false,"suffix":""},{"dropping-particle":"","family":"Ahmadi","given":"Tahamtan","non-dropping-particle":"","parse-names":false,"suffix":""},{"dropping-particle":"","family":"Voorhees","given":"Peter M.","non-dropping-particle":"","parse-names":false,"suffix":""}],"container-title":"The Lancet","id":"ITEM-2","issue":"10027","issued":{"date-parts":[["2016","4","9"]]},"page":"1551-1560","publisher":"Lancet Publishing Group","title":"Daratumumab monotherapy in patients with treatment-refractory multiple myeloma (SIRIUS): An open-label, randomised, phase 2 trial","type":"article-journal","volume":"387"},"uris":["http://www.mendeley.com/documents/?uuid=5e02dc22-bbb8-33a8-9133-7012835ce425"]}],"mendeley":{"formattedCitation":"[64,65]","plainTextFormattedCitation":"[64,65]","previouslyFormattedCitation":"[64,65]"},"properties":{"noteIndex":0},"schema":"https://github.com/citation-style-language/schema/raw/master/csl-citation.json"}</w:instrText>
      </w:r>
      <w:r w:rsidR="00A96FB6" w:rsidRPr="00F242DD">
        <w:fldChar w:fldCharType="separate"/>
      </w:r>
      <w:r w:rsidR="00705691" w:rsidRPr="00F242DD">
        <w:rPr>
          <w:noProof/>
        </w:rPr>
        <w:t>[64,65]</w:t>
      </w:r>
      <w:r w:rsidR="00A96FB6" w:rsidRPr="00F242DD">
        <w:fldChar w:fldCharType="end"/>
      </w:r>
      <w:r w:rsidR="00B15365" w:rsidRPr="00F242DD">
        <w:t>.</w:t>
      </w:r>
    </w:p>
    <w:p w14:paraId="4015B1DF" w14:textId="77777777" w:rsidR="00023729" w:rsidRPr="00F242DD" w:rsidRDefault="00023729" w:rsidP="00131E36">
      <w:pPr>
        <w:pStyle w:val="a6"/>
        <w:spacing w:before="0" w:after="0"/>
        <w:ind w:left="709"/>
        <w:rPr>
          <w:b/>
        </w:rPr>
      </w:pPr>
      <w:r w:rsidRPr="00F242DD">
        <w:rPr>
          <w:b/>
        </w:rPr>
        <w:t xml:space="preserve">Уровень убедительности рекомендаций </w:t>
      </w:r>
      <w:r w:rsidR="00616C15" w:rsidRPr="00F242DD">
        <w:rPr>
          <w:b/>
        </w:rPr>
        <w:t xml:space="preserve">− </w:t>
      </w:r>
      <w:r w:rsidR="005B2EF9" w:rsidRPr="00F242DD">
        <w:rPr>
          <w:b/>
          <w:lang w:val="en-US"/>
        </w:rPr>
        <w:t>C</w:t>
      </w:r>
      <w:r w:rsidR="005B2EF9" w:rsidRPr="00F242DD">
        <w:rPr>
          <w:b/>
        </w:rPr>
        <w:t xml:space="preserve"> </w:t>
      </w:r>
      <w:r w:rsidRPr="00F242DD">
        <w:rPr>
          <w:b/>
        </w:rPr>
        <w:t>(уровень достоверности доказательств</w:t>
      </w:r>
      <w:r w:rsidR="00286688" w:rsidRPr="00F242DD">
        <w:rPr>
          <w:b/>
        </w:rPr>
        <w:t xml:space="preserve"> </w:t>
      </w:r>
      <w:r w:rsidR="00616C15" w:rsidRPr="00F242DD">
        <w:rPr>
          <w:b/>
        </w:rPr>
        <w:t xml:space="preserve">− </w:t>
      </w:r>
      <w:r w:rsidR="005B2EF9" w:rsidRPr="00F242DD">
        <w:rPr>
          <w:b/>
        </w:rPr>
        <w:t>4</w:t>
      </w:r>
      <w:r w:rsidRPr="00F242DD">
        <w:rPr>
          <w:b/>
        </w:rPr>
        <w:t>)</w:t>
      </w:r>
    </w:p>
    <w:p w14:paraId="1B558B56" w14:textId="77777777" w:rsidR="00023729" w:rsidRPr="00F242DD" w:rsidRDefault="00023729" w:rsidP="00E36DFA">
      <w:pPr>
        <w:pStyle w:val="a4"/>
        <w:spacing w:before="0" w:beforeAutospacing="0" w:after="0" w:afterAutospacing="0" w:line="360" w:lineRule="auto"/>
        <w:ind w:left="709"/>
        <w:contextualSpacing/>
        <w:jc w:val="both"/>
        <w:rPr>
          <w:i/>
        </w:rPr>
      </w:pPr>
      <w:r w:rsidRPr="00F242DD">
        <w:rPr>
          <w:b/>
        </w:rPr>
        <w:t xml:space="preserve">Комментарий: </w:t>
      </w:r>
      <w:r w:rsidR="00616C15" w:rsidRPr="00F242DD">
        <w:rPr>
          <w:i/>
        </w:rPr>
        <w:t>э</w:t>
      </w:r>
      <w:r w:rsidR="00BC4092" w:rsidRPr="00F242DD">
        <w:rPr>
          <w:i/>
        </w:rPr>
        <w:t>ффективность монотерапии даратумумабом</w:t>
      </w:r>
      <w:r w:rsidR="00B15365" w:rsidRPr="00F242DD">
        <w:rPr>
          <w:i/>
        </w:rPr>
        <w:t>**</w:t>
      </w:r>
      <w:r w:rsidR="00BC4092" w:rsidRPr="00F242DD">
        <w:rPr>
          <w:i/>
        </w:rPr>
        <w:t xml:space="preserve"> была показана в двух клинических исследованиях SIRIUS и GEN501. По объединенным данным этих исследований</w:t>
      </w:r>
      <w:r w:rsidR="00616C15" w:rsidRPr="00F242DD">
        <w:rPr>
          <w:i/>
        </w:rPr>
        <w:t>,</w:t>
      </w:r>
      <w:r w:rsidR="00BC4092" w:rsidRPr="00F242DD">
        <w:rPr>
          <w:i/>
        </w:rPr>
        <w:t xml:space="preserve"> общая эффективность лечения даратумумабом</w:t>
      </w:r>
      <w:r w:rsidR="00B15365" w:rsidRPr="00F242DD">
        <w:rPr>
          <w:i/>
        </w:rPr>
        <w:t>**</w:t>
      </w:r>
      <w:r w:rsidR="00BC4092" w:rsidRPr="00F242DD">
        <w:rPr>
          <w:i/>
        </w:rPr>
        <w:t xml:space="preserve"> у </w:t>
      </w:r>
      <w:r w:rsidR="00FB03BB" w:rsidRPr="00F242DD">
        <w:rPr>
          <w:i/>
        </w:rPr>
        <w:t>пациентов</w:t>
      </w:r>
      <w:r w:rsidR="00BC4092" w:rsidRPr="00F242DD">
        <w:rPr>
          <w:i/>
        </w:rPr>
        <w:t xml:space="preserve"> с рецидивирующей и рефрактерной к ингибиторам протеасом и иммуномодулирующим препаратам ММ, получивших массивную терапию, составила 31</w:t>
      </w:r>
      <w:r w:rsidR="00522C8E" w:rsidRPr="00F242DD">
        <w:rPr>
          <w:i/>
        </w:rPr>
        <w:t> </w:t>
      </w:r>
      <w:r w:rsidR="00BC4092" w:rsidRPr="00F242DD">
        <w:rPr>
          <w:i/>
        </w:rPr>
        <w:t>%, медиана длительности сохранения ответа на терапию – 7,5 мес, медиана ОВ – 20,1 мес. При достижении стабилизации заболевания или минимального клинического ответа отмечено повышение показателя ОВ до 18</w:t>
      </w:r>
      <w:r w:rsidR="00522C8E" w:rsidRPr="00F242DD">
        <w:rPr>
          <w:i/>
        </w:rPr>
        <w:t> </w:t>
      </w:r>
      <w:r w:rsidR="00BC4092" w:rsidRPr="00F242DD">
        <w:rPr>
          <w:i/>
        </w:rPr>
        <w:t>мес; 36,5</w:t>
      </w:r>
      <w:r w:rsidR="00522C8E" w:rsidRPr="00F242DD">
        <w:rPr>
          <w:i/>
        </w:rPr>
        <w:t> </w:t>
      </w:r>
      <w:r w:rsidR="00BC4092" w:rsidRPr="00F242DD">
        <w:rPr>
          <w:i/>
        </w:rPr>
        <w:t>% пациентов оставались живы в течение 3 лет после начала терапии даратумумабом</w:t>
      </w:r>
      <w:r w:rsidR="00B15365" w:rsidRPr="00F242DD">
        <w:rPr>
          <w:i/>
        </w:rPr>
        <w:t>**</w:t>
      </w:r>
      <w:r w:rsidR="00BC4092" w:rsidRPr="00F242DD">
        <w:rPr>
          <w:i/>
        </w:rPr>
        <w:t>. Переносимость даратумумаба</w:t>
      </w:r>
      <w:r w:rsidR="00B15365" w:rsidRPr="00F242DD">
        <w:rPr>
          <w:i/>
        </w:rPr>
        <w:t>**</w:t>
      </w:r>
      <w:r w:rsidR="00BC4092" w:rsidRPr="00F242DD">
        <w:rPr>
          <w:i/>
        </w:rPr>
        <w:t xml:space="preserve"> была удовлетворительной. Среди нежелательных явлений 3</w:t>
      </w:r>
      <w:r w:rsidR="00522C8E" w:rsidRPr="00F242DD">
        <w:rPr>
          <w:i/>
        </w:rPr>
        <w:t>-й</w:t>
      </w:r>
      <w:r w:rsidR="00BC4092" w:rsidRPr="00F242DD">
        <w:rPr>
          <w:i/>
        </w:rPr>
        <w:t xml:space="preserve"> степени и выше наиболее частыми были анемия (17,6</w:t>
      </w:r>
      <w:r w:rsidR="002E6956" w:rsidRPr="00F242DD">
        <w:rPr>
          <w:i/>
        </w:rPr>
        <w:t> </w:t>
      </w:r>
      <w:r w:rsidR="00BC4092" w:rsidRPr="00F242DD">
        <w:rPr>
          <w:i/>
        </w:rPr>
        <w:t>%), тромбоцитопения (14,2</w:t>
      </w:r>
      <w:r w:rsidR="002E6956" w:rsidRPr="00F242DD">
        <w:rPr>
          <w:i/>
        </w:rPr>
        <w:t> </w:t>
      </w:r>
      <w:r w:rsidR="00BC4092" w:rsidRPr="00F242DD">
        <w:rPr>
          <w:i/>
        </w:rPr>
        <w:t>%) и нейтропения (10,1</w:t>
      </w:r>
      <w:r w:rsidR="002E6956" w:rsidRPr="00F242DD">
        <w:rPr>
          <w:i/>
        </w:rPr>
        <w:t> </w:t>
      </w:r>
      <w:r w:rsidR="00BC4092" w:rsidRPr="00F242DD">
        <w:rPr>
          <w:i/>
        </w:rPr>
        <w:t>%). Инфузионные реакции развились у 48</w:t>
      </w:r>
      <w:r w:rsidR="002E6956" w:rsidRPr="00F242DD">
        <w:rPr>
          <w:i/>
        </w:rPr>
        <w:t> </w:t>
      </w:r>
      <w:r w:rsidR="00BC4092" w:rsidRPr="00F242DD">
        <w:rPr>
          <w:i/>
        </w:rPr>
        <w:t xml:space="preserve">% </w:t>
      </w:r>
      <w:r w:rsidR="00FB03BB" w:rsidRPr="00F242DD">
        <w:rPr>
          <w:i/>
        </w:rPr>
        <w:t>пациентов</w:t>
      </w:r>
      <w:r w:rsidR="00BC4092" w:rsidRPr="00F242DD">
        <w:rPr>
          <w:i/>
        </w:rPr>
        <w:t>, в большинстве случаев 1</w:t>
      </w:r>
      <w:r w:rsidR="002E6956" w:rsidRPr="00F242DD">
        <w:rPr>
          <w:i/>
        </w:rPr>
        <w:t>−</w:t>
      </w:r>
      <w:r w:rsidR="00BC4092" w:rsidRPr="00F242DD">
        <w:rPr>
          <w:i/>
        </w:rPr>
        <w:t>2</w:t>
      </w:r>
      <w:r w:rsidR="002E6956" w:rsidRPr="00F242DD">
        <w:rPr>
          <w:i/>
        </w:rPr>
        <w:t>-й</w:t>
      </w:r>
      <w:r w:rsidR="00BC4092" w:rsidRPr="00F242DD">
        <w:rPr>
          <w:i/>
        </w:rPr>
        <w:t xml:space="preserve"> степени. С целью снижения риска возникновения инфузионных реакций все пациенты должны получать премедикацию примерно за </w:t>
      </w:r>
      <w:r w:rsidR="002E6956" w:rsidRPr="00F242DD">
        <w:rPr>
          <w:i/>
        </w:rPr>
        <w:t xml:space="preserve">1 </w:t>
      </w:r>
      <w:r w:rsidR="00BC4092" w:rsidRPr="00F242DD">
        <w:rPr>
          <w:i/>
        </w:rPr>
        <w:t>ч</w:t>
      </w:r>
      <w:r w:rsidR="002E6956" w:rsidRPr="00F242DD">
        <w:rPr>
          <w:i/>
        </w:rPr>
        <w:t xml:space="preserve"> </w:t>
      </w:r>
      <w:r w:rsidR="00BC4092" w:rsidRPr="00F242DD">
        <w:rPr>
          <w:i/>
        </w:rPr>
        <w:t>до каждой инфузии даратумумаба</w:t>
      </w:r>
      <w:r w:rsidR="00B15365" w:rsidRPr="00F242DD">
        <w:rPr>
          <w:i/>
        </w:rPr>
        <w:t>**</w:t>
      </w:r>
      <w:r w:rsidR="00BC4092" w:rsidRPr="00F242DD">
        <w:rPr>
          <w:i/>
        </w:rPr>
        <w:t>: кортикостероиды (в/в), жаропонижающий препарат (энтерально), антигистаминный препарат (в/в или энтерально).</w:t>
      </w:r>
    </w:p>
    <w:p w14:paraId="3BCF151E" w14:textId="77777777" w:rsidR="00EA6A32" w:rsidRPr="00F242DD" w:rsidRDefault="00EA6A32" w:rsidP="00727CDE">
      <w:pPr>
        <w:pStyle w:val="a6"/>
        <w:numPr>
          <w:ilvl w:val="0"/>
          <w:numId w:val="8"/>
        </w:numPr>
        <w:tabs>
          <w:tab w:val="clear" w:pos="348"/>
          <w:tab w:val="num" w:pos="709"/>
        </w:tabs>
        <w:spacing w:before="0" w:after="0"/>
        <w:ind w:left="709" w:hanging="709"/>
      </w:pPr>
      <w:r w:rsidRPr="00F242DD">
        <w:t>Пациентам с</w:t>
      </w:r>
      <w:r w:rsidR="00B15365" w:rsidRPr="00F242DD">
        <w:t xml:space="preserve"> рецидивом ММ</w:t>
      </w:r>
      <w:r w:rsidRPr="00F242DD">
        <w:t>, которые раньше получали терапию инги</w:t>
      </w:r>
      <w:r w:rsidR="00610FE7" w:rsidRPr="00F242DD">
        <w:t>биторами</w:t>
      </w:r>
      <w:r w:rsidRPr="00F242DD">
        <w:t xml:space="preserve"> проте</w:t>
      </w:r>
      <w:r w:rsidR="000C2F12" w:rsidRPr="00F242DD">
        <w:t>а</w:t>
      </w:r>
      <w:r w:rsidRPr="00F242DD">
        <w:t>сом и леналидомид</w:t>
      </w:r>
      <w:r w:rsidR="00610FE7" w:rsidRPr="00F242DD">
        <w:t>ом</w:t>
      </w:r>
      <w:r w:rsidR="00B15365" w:rsidRPr="00F242DD">
        <w:t>**</w:t>
      </w:r>
      <w:r w:rsidRPr="00F242DD">
        <w:t xml:space="preserve"> и у которых наблюдалось прогрессирование заболевания на фоне предшествующей терапии, в качестве одн</w:t>
      </w:r>
      <w:r w:rsidR="00277FD3" w:rsidRPr="00F242DD">
        <w:t>ой из возможных опций</w:t>
      </w:r>
      <w:r w:rsidR="000A156C" w:rsidRPr="00F242DD">
        <w:t xml:space="preserve"> </w:t>
      </w:r>
      <w:r w:rsidR="00277FD3" w:rsidRPr="00F242DD">
        <w:rPr>
          <w:b/>
        </w:rPr>
        <w:t>рекомендуется</w:t>
      </w:r>
      <w:r w:rsidR="000A156C" w:rsidRPr="00F242DD">
        <w:rPr>
          <w:b/>
        </w:rPr>
        <w:t xml:space="preserve"> </w:t>
      </w:r>
      <w:r w:rsidRPr="00F242DD">
        <w:t>монотерапия</w:t>
      </w:r>
      <w:r w:rsidR="009D3B20" w:rsidRPr="00F242DD">
        <w:t xml:space="preserve"> </w:t>
      </w:r>
      <w:r w:rsidRPr="00F242DD">
        <w:t xml:space="preserve">карфилзомибом** </w:t>
      </w:r>
      <w:r w:rsidR="00032CFB" w:rsidRPr="00F242DD">
        <w:t xml:space="preserve">(описание режимов – см. приложение </w:t>
      </w:r>
      <w:r w:rsidR="00C812D6" w:rsidRPr="00F242DD">
        <w:t>А3.1</w:t>
      </w:r>
      <w:r w:rsidR="007D4DCB" w:rsidRPr="00F242DD">
        <w:t>.</w:t>
      </w:r>
      <w:r w:rsidR="00032CFB" w:rsidRPr="00F242DD">
        <w:t>)</w:t>
      </w:r>
      <w:r w:rsidR="00286688" w:rsidRPr="00F242DD">
        <w:t xml:space="preserve"> </w:t>
      </w:r>
      <w:r w:rsidR="00A96FB6" w:rsidRPr="00F242DD">
        <w:fldChar w:fldCharType="begin" w:fldLock="1"/>
      </w:r>
      <w:r w:rsidR="00F74B6B" w:rsidRPr="00F242DD">
        <w:instrText>ADDIN CSL_CITATION {"citationItems":[{"id":"ITEM-1","itemData":{"DOI":"10.18632/oncotarget.25281","ISSN":"19492553","abstract":"© Shah et al. Objective: Carfilzomib (Carf) is a second-generation proteasome inhibitor approved for patients with relapsed and/or refractory multiple myeloma (RRMM) who failed ≥ 1 prior lines of therapy. We performed a systematic review of Carf literature with meta-analysis to determine the efficacy and safety in RRMM patients. Methods: Based on literature search, we included a total of 14 eligible phase I/ II, phase II and phase III Carf based clinical trials. The cumulative incidence and odds ratios (OR) were calculated with random effect model, using ''R'' software with metaphor package. Results: 2906 evaluable RRMM patients from published clinical trials included. The pooled overall response rate (ORR) was 45% (95% CI: 29-62). The pooled clinical benefit rate (CBR) was 56% (95% CI: 41-71). OR from 3 randomized clinical trials showed that Carf significantly improved ORR and CBR compared to control groups (OR 2.4, P &lt; 0.0001; 2.02, P = 0.0007, respectively). Subgroup analysis showed significantly better ORR (P &lt; 0.0001) and CBR (P &lt; 0.001) with combination regimens compared to monotherapy. Response was significantly higher with high dose of Carf (&gt; 20/27 mg/m2) compared to standard dose (ORR 65% vs. 35%, P = 0.03). Compared to control group, the OR of developing cardiotoxicity (P = 0.002) and hypertension (P &lt; 0.0001) were significantly higher with Carf, while no difference in peripheral neuropathy (P = 0.28). Conclusions: Carf produces significantly better responses with acceptable safety profile in RRMM patients. Combination regimens and higher dose Carf offers better response with no significant extra toxicity. Its efficacy is regardless of cytogenetics or disease stage. Incidences of cardiotoxicity and hypertension seem higher with Carf.","author":[{"dropping-particle":"","family":"Shah","given":"Chintan","non-dropping-particle":"","parse-names":false,"suffix":""},{"dropping-particle":"","family":"Bishnoi","given":"Rohit","non-dropping-particle":"","parse-names":false,"suffix":""},{"dropping-particle":"","family":"Wang","given":"Yu","non-dropping-particle":"","parse-names":false,"suffix":""},{"dropping-particle":"","family":"Zou","given":"Fei","non-dropping-particle":"","parse-names":false,"suffix":""},{"dropping-particle":"","family":"Bejjanki","given":"Harini","non-dropping-particle":"","parse-names":false,"suffix":""},{"dropping-particle":"","family":"Master","given":"Samip","non-dropping-particle":"","parse-names":false,"suffix":""},{"dropping-particle":"","family":"Moreb","given":"Jan S.","non-dropping-particle":"","parse-names":false,"suffix":""}],"container-title":"Oncotarget","id":"ITEM-1","issue":"34","issued":{"date-parts":[["2018","5","1"]]},"page":"23704-23717","publisher":"Impact Journals LLC","title":"Efficacy and safety of carfilzomib in relapsed and/or refractory multiple myeloma: Systematic review and meta-analysis of 14 trials","type":"article-journal","volume":"9"},"uris":["http://www.mendeley.com/documents/?uuid=7eecef4a-18ac-3907-997e-dffa8592d14d"]}],"mendeley":{"formattedCitation":"[61]","plainTextFormattedCitation":"[61]","previouslyFormattedCitation":"[61]"},"properties":{"noteIndex":0},"schema":"https://github.com/citation-style-language/schema/raw/master/csl-citation.json"}</w:instrText>
      </w:r>
      <w:r w:rsidR="00A96FB6" w:rsidRPr="00F242DD">
        <w:fldChar w:fldCharType="separate"/>
      </w:r>
      <w:r w:rsidR="00705691" w:rsidRPr="00F242DD">
        <w:rPr>
          <w:noProof/>
        </w:rPr>
        <w:t>[61]</w:t>
      </w:r>
      <w:r w:rsidR="00A96FB6" w:rsidRPr="00F242DD">
        <w:fldChar w:fldCharType="end"/>
      </w:r>
      <w:r w:rsidR="00B15365" w:rsidRPr="00F242DD">
        <w:t>.</w:t>
      </w:r>
    </w:p>
    <w:p w14:paraId="126A068E" w14:textId="77777777" w:rsidR="0085596B" w:rsidRPr="00F242DD" w:rsidRDefault="00EA6A32" w:rsidP="00131E36">
      <w:pPr>
        <w:pStyle w:val="a6"/>
        <w:spacing w:before="0" w:after="0"/>
        <w:ind w:left="709"/>
        <w:rPr>
          <w:b/>
        </w:rPr>
      </w:pPr>
      <w:r w:rsidRPr="00F242DD">
        <w:rPr>
          <w:b/>
        </w:rPr>
        <w:lastRenderedPageBreak/>
        <w:t xml:space="preserve">Уровень убедительности рекомендаций </w:t>
      </w:r>
      <w:r w:rsidR="007D4DCB" w:rsidRPr="00F242DD">
        <w:rPr>
          <w:b/>
        </w:rPr>
        <w:t xml:space="preserve">− </w:t>
      </w:r>
      <w:r w:rsidR="00BD6788" w:rsidRPr="00F242DD">
        <w:rPr>
          <w:b/>
          <w:lang w:val="en-US"/>
        </w:rPr>
        <w:t>A</w:t>
      </w:r>
      <w:r w:rsidR="000A156C" w:rsidRPr="00F242DD">
        <w:rPr>
          <w:b/>
        </w:rPr>
        <w:t xml:space="preserve"> </w:t>
      </w:r>
      <w:r w:rsidRPr="00F242DD">
        <w:rPr>
          <w:b/>
        </w:rPr>
        <w:t>(уровень достоверности доказательств</w:t>
      </w:r>
      <w:r w:rsidR="000A156C" w:rsidRPr="00F242DD">
        <w:rPr>
          <w:b/>
        </w:rPr>
        <w:t xml:space="preserve"> </w:t>
      </w:r>
      <w:r w:rsidR="007D4DCB" w:rsidRPr="00F242DD">
        <w:rPr>
          <w:b/>
        </w:rPr>
        <w:t xml:space="preserve">− </w:t>
      </w:r>
      <w:r w:rsidR="00BD6788" w:rsidRPr="00F242DD">
        <w:rPr>
          <w:b/>
        </w:rPr>
        <w:t>2</w:t>
      </w:r>
      <w:r w:rsidRPr="00F242DD">
        <w:rPr>
          <w:b/>
        </w:rPr>
        <w:t>)</w:t>
      </w:r>
    </w:p>
    <w:p w14:paraId="088A2339" w14:textId="77777777" w:rsidR="0038589B" w:rsidRPr="00F242DD" w:rsidRDefault="0038589B" w:rsidP="00727CDE">
      <w:pPr>
        <w:pStyle w:val="a6"/>
        <w:numPr>
          <w:ilvl w:val="0"/>
          <w:numId w:val="10"/>
        </w:numPr>
        <w:spacing w:before="0" w:after="0"/>
        <w:ind w:left="709" w:hanging="709"/>
        <w:rPr>
          <w:b/>
        </w:rPr>
      </w:pPr>
      <w:r w:rsidRPr="00F242DD">
        <w:t>Отдельным пациентам с</w:t>
      </w:r>
      <w:r w:rsidR="00B15365" w:rsidRPr="00F242DD">
        <w:t xml:space="preserve"> рецидивом ММ</w:t>
      </w:r>
      <w:r w:rsidRPr="00F242DD">
        <w:t>, которым не могут быть назначены современные таргетные препараты, в качестве одн</w:t>
      </w:r>
      <w:r w:rsidR="00277FD3" w:rsidRPr="00F242DD">
        <w:t xml:space="preserve">ой из возможных опций </w:t>
      </w:r>
      <w:r w:rsidR="00277FD3" w:rsidRPr="00F242DD">
        <w:rPr>
          <w:b/>
        </w:rPr>
        <w:t>рекомендуется</w:t>
      </w:r>
      <w:r w:rsidR="00286688" w:rsidRPr="00F242DD">
        <w:rPr>
          <w:b/>
        </w:rPr>
        <w:t xml:space="preserve"> </w:t>
      </w:r>
      <w:r w:rsidRPr="00F242DD">
        <w:t>традиционная противомиеломная</w:t>
      </w:r>
      <w:r w:rsidR="00286688" w:rsidRPr="00F242DD">
        <w:t xml:space="preserve"> </w:t>
      </w:r>
      <w:r w:rsidRPr="00F242DD">
        <w:t xml:space="preserve">полихимиотерапия (режим </w:t>
      </w:r>
      <w:r w:rsidRPr="00F242DD">
        <w:rPr>
          <w:lang w:val="en-US"/>
        </w:rPr>
        <w:t>VMVP</w:t>
      </w:r>
      <w:r w:rsidRPr="00F242DD">
        <w:t xml:space="preserve">, режим </w:t>
      </w:r>
      <w:r w:rsidRPr="00F242DD">
        <w:rPr>
          <w:lang w:val="en-US"/>
        </w:rPr>
        <w:t>M</w:t>
      </w:r>
      <w:r w:rsidRPr="00F242DD">
        <w:t>2</w:t>
      </w:r>
      <w:r w:rsidR="009E099B" w:rsidRPr="00F242DD">
        <w:t xml:space="preserve">, режимы </w:t>
      </w:r>
      <w:r w:rsidR="009E099B" w:rsidRPr="00F242DD">
        <w:rPr>
          <w:lang w:val="en-US"/>
        </w:rPr>
        <w:t>DHAP</w:t>
      </w:r>
      <w:r w:rsidR="009E099B" w:rsidRPr="00F242DD">
        <w:t xml:space="preserve">, </w:t>
      </w:r>
      <w:r w:rsidR="009E099B" w:rsidRPr="00F242DD">
        <w:rPr>
          <w:lang w:val="en-US"/>
        </w:rPr>
        <w:t>DCEP</w:t>
      </w:r>
      <w:r w:rsidR="00141FB9" w:rsidRPr="00F242DD">
        <w:t xml:space="preserve">, </w:t>
      </w:r>
      <w:r w:rsidR="00141FB9" w:rsidRPr="00F242DD">
        <w:rPr>
          <w:lang w:val="en-US"/>
        </w:rPr>
        <w:t>VD</w:t>
      </w:r>
      <w:r w:rsidR="00141FB9" w:rsidRPr="00F242DD">
        <w:t>-</w:t>
      </w:r>
      <w:r w:rsidR="00141FB9" w:rsidRPr="00F242DD">
        <w:rPr>
          <w:lang w:val="en-US"/>
        </w:rPr>
        <w:t>PACE</w:t>
      </w:r>
      <w:r w:rsidR="00E27D31" w:rsidRPr="00F242DD">
        <w:t xml:space="preserve">; </w:t>
      </w:r>
      <w:r w:rsidR="00032CFB" w:rsidRPr="00F242DD">
        <w:t xml:space="preserve">описание режимов – см. приложение </w:t>
      </w:r>
      <w:r w:rsidR="00C812D6" w:rsidRPr="00F242DD">
        <w:t>А3.1</w:t>
      </w:r>
      <w:r w:rsidR="00E27D31" w:rsidRPr="00F242DD">
        <w:t>.</w:t>
      </w:r>
      <w:r w:rsidR="00032CFB" w:rsidRPr="00F242DD">
        <w:t>)</w:t>
      </w:r>
      <w:r w:rsidR="00286688" w:rsidRPr="00F242DD">
        <w:t xml:space="preserve"> </w:t>
      </w:r>
      <w:r w:rsidR="00A96FB6" w:rsidRPr="00F242DD">
        <w:fldChar w:fldCharType="begin" w:fldLock="1"/>
      </w:r>
      <w:r w:rsidR="00286688"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rsidRPr="00F242DD">
        <w:fldChar w:fldCharType="separate"/>
      </w:r>
      <w:r w:rsidR="00286688" w:rsidRPr="00F242DD">
        <w:rPr>
          <w:noProof/>
        </w:rPr>
        <w:t>[1]</w:t>
      </w:r>
      <w:r w:rsidR="00A96FB6" w:rsidRPr="00F242DD">
        <w:fldChar w:fldCharType="end"/>
      </w:r>
      <w:r w:rsidR="00B15365" w:rsidRPr="00F242DD">
        <w:t>.</w:t>
      </w:r>
    </w:p>
    <w:p w14:paraId="3675E693" w14:textId="77777777" w:rsidR="0038589B" w:rsidRPr="00F242DD" w:rsidRDefault="0038589B" w:rsidP="00131E36">
      <w:pPr>
        <w:pStyle w:val="a6"/>
        <w:spacing w:before="0" w:after="0"/>
        <w:ind w:left="709"/>
        <w:rPr>
          <w:b/>
        </w:rPr>
      </w:pPr>
      <w:r w:rsidRPr="00F242DD">
        <w:rPr>
          <w:b/>
        </w:rPr>
        <w:t xml:space="preserve">Уровень убедительности рекомендаций </w:t>
      </w:r>
      <w:r w:rsidR="00E27D31" w:rsidRPr="00F242DD">
        <w:rPr>
          <w:b/>
        </w:rPr>
        <w:t xml:space="preserve">− </w:t>
      </w:r>
      <w:r w:rsidR="00BD6788" w:rsidRPr="00F242DD">
        <w:rPr>
          <w:b/>
          <w:lang w:val="en-US"/>
        </w:rPr>
        <w:t>C</w:t>
      </w:r>
      <w:r w:rsidR="000A156C" w:rsidRPr="00F242DD">
        <w:rPr>
          <w:b/>
        </w:rPr>
        <w:t xml:space="preserve"> </w:t>
      </w:r>
      <w:r w:rsidRPr="00F242DD">
        <w:rPr>
          <w:b/>
        </w:rPr>
        <w:t>(уровень достоверности доказательств</w:t>
      </w:r>
      <w:r w:rsidR="000A156C" w:rsidRPr="00F242DD">
        <w:rPr>
          <w:b/>
        </w:rPr>
        <w:t xml:space="preserve"> </w:t>
      </w:r>
      <w:r w:rsidR="00E27D31" w:rsidRPr="00F242DD">
        <w:rPr>
          <w:b/>
        </w:rPr>
        <w:t xml:space="preserve">− </w:t>
      </w:r>
      <w:r w:rsidR="00BD6788" w:rsidRPr="00F242DD">
        <w:rPr>
          <w:b/>
        </w:rPr>
        <w:t>5</w:t>
      </w:r>
      <w:r w:rsidRPr="00F242DD">
        <w:rPr>
          <w:b/>
        </w:rPr>
        <w:t>)</w:t>
      </w:r>
    </w:p>
    <w:p w14:paraId="641B56F6" w14:textId="77777777" w:rsidR="0038589B" w:rsidRPr="00F242DD" w:rsidRDefault="0038589B" w:rsidP="00727CDE">
      <w:pPr>
        <w:pStyle w:val="a6"/>
        <w:numPr>
          <w:ilvl w:val="0"/>
          <w:numId w:val="8"/>
        </w:numPr>
        <w:tabs>
          <w:tab w:val="clear" w:pos="348"/>
          <w:tab w:val="num" w:pos="709"/>
        </w:tabs>
        <w:spacing w:before="0" w:after="0"/>
        <w:ind w:left="709" w:hanging="709"/>
      </w:pPr>
      <w:r w:rsidRPr="00F242DD">
        <w:t>Пациентам с</w:t>
      </w:r>
      <w:r w:rsidR="00B15365" w:rsidRPr="00F242DD">
        <w:t xml:space="preserve"> рецидивом ММ</w:t>
      </w:r>
      <w:r w:rsidRPr="00F242DD">
        <w:t xml:space="preserve"> старше 80 лет и/или с плохим физическим состоянием с паллиативной цел</w:t>
      </w:r>
      <w:r w:rsidR="00277FD3" w:rsidRPr="00F242DD">
        <w:t>ью</w:t>
      </w:r>
      <w:r w:rsidR="000A156C" w:rsidRPr="00F242DD">
        <w:t xml:space="preserve"> </w:t>
      </w:r>
      <w:r w:rsidR="00277FD3" w:rsidRPr="00F242DD">
        <w:rPr>
          <w:b/>
        </w:rPr>
        <w:t>рекомендуется</w:t>
      </w:r>
      <w:r w:rsidRPr="00F242DD">
        <w:t xml:space="preserve"> терапия циклофосфамидом</w:t>
      </w:r>
      <w:r w:rsidR="00B15365" w:rsidRPr="00F242DD">
        <w:t>**</w:t>
      </w:r>
      <w:r w:rsidRPr="00F242DD">
        <w:t xml:space="preserve"> по 50 мг внутрь ежедневно или через день в сочетании с преднизолоном</w:t>
      </w:r>
      <w:r w:rsidR="00B15365" w:rsidRPr="00F242DD">
        <w:t>**</w:t>
      </w:r>
      <w:r w:rsidRPr="00F242DD">
        <w:t xml:space="preserve"> по 30 мг через день или дексаметазоном</w:t>
      </w:r>
      <w:r w:rsidR="00B15365" w:rsidRPr="00F242DD">
        <w:t>**</w:t>
      </w:r>
      <w:r w:rsidRPr="00F242DD">
        <w:t xml:space="preserve"> по 20 мг внутрь 1 раз в неделю</w:t>
      </w:r>
      <w:r w:rsidR="0094380E" w:rsidRPr="00F242DD">
        <w:t xml:space="preserve"> </w:t>
      </w:r>
      <w:r w:rsidR="00FD2995" w:rsidRPr="00F242DD">
        <w:t xml:space="preserve">(описание режимов – см. приложение </w:t>
      </w:r>
      <w:r w:rsidR="00C812D6" w:rsidRPr="00F242DD">
        <w:t>А3.1</w:t>
      </w:r>
      <w:r w:rsidR="0094380E" w:rsidRPr="00F242DD">
        <w:t>.</w:t>
      </w:r>
      <w:r w:rsidR="00FD2995" w:rsidRPr="00F242DD">
        <w:t>)</w:t>
      </w:r>
      <w:r w:rsidR="00286688" w:rsidRPr="00F242DD">
        <w:t xml:space="preserve"> </w:t>
      </w:r>
      <w:r w:rsidR="00A96FB6" w:rsidRPr="00F242DD">
        <w:fldChar w:fldCharType="begin" w:fldLock="1"/>
      </w:r>
      <w:r w:rsidR="009D0748"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rsidRPr="00F242DD">
        <w:fldChar w:fldCharType="separate"/>
      </w:r>
      <w:r w:rsidR="00286688" w:rsidRPr="00F242DD">
        <w:rPr>
          <w:noProof/>
        </w:rPr>
        <w:t>[1]</w:t>
      </w:r>
      <w:r w:rsidR="00A96FB6" w:rsidRPr="00F242DD">
        <w:fldChar w:fldCharType="end"/>
      </w:r>
      <w:r w:rsidR="00B15365" w:rsidRPr="00F242DD">
        <w:t>.</w:t>
      </w:r>
    </w:p>
    <w:p w14:paraId="07E4191A" w14:textId="77777777" w:rsidR="0038589B" w:rsidRPr="00F242DD" w:rsidRDefault="0038589B" w:rsidP="00131E36">
      <w:pPr>
        <w:pStyle w:val="a6"/>
        <w:spacing w:before="0" w:after="0"/>
        <w:ind w:left="709"/>
        <w:rPr>
          <w:b/>
        </w:rPr>
      </w:pPr>
      <w:r w:rsidRPr="00F242DD">
        <w:rPr>
          <w:b/>
        </w:rPr>
        <w:t xml:space="preserve">Уровень убедительности рекомендаций </w:t>
      </w:r>
      <w:r w:rsidR="0094380E" w:rsidRPr="00F242DD">
        <w:rPr>
          <w:b/>
        </w:rPr>
        <w:t xml:space="preserve">− </w:t>
      </w:r>
      <w:r w:rsidR="00BD6788" w:rsidRPr="00F242DD">
        <w:rPr>
          <w:b/>
          <w:lang w:val="en-US"/>
        </w:rPr>
        <w:t>C</w:t>
      </w:r>
      <w:r w:rsidR="000A156C" w:rsidRPr="00F242DD">
        <w:rPr>
          <w:b/>
        </w:rPr>
        <w:t xml:space="preserve"> </w:t>
      </w:r>
      <w:r w:rsidRPr="00F242DD">
        <w:rPr>
          <w:b/>
        </w:rPr>
        <w:t>(уровень достоверности доказательств</w:t>
      </w:r>
      <w:r w:rsidR="009A45EF" w:rsidRPr="00F242DD">
        <w:rPr>
          <w:b/>
        </w:rPr>
        <w:t xml:space="preserve"> </w:t>
      </w:r>
      <w:r w:rsidR="0094380E" w:rsidRPr="00F242DD">
        <w:rPr>
          <w:b/>
        </w:rPr>
        <w:t xml:space="preserve">− </w:t>
      </w:r>
      <w:r w:rsidR="00BD6788" w:rsidRPr="00F242DD">
        <w:rPr>
          <w:b/>
        </w:rPr>
        <w:t>5</w:t>
      </w:r>
      <w:r w:rsidRPr="00F242DD">
        <w:rPr>
          <w:b/>
        </w:rPr>
        <w:t>)</w:t>
      </w:r>
    </w:p>
    <w:p w14:paraId="54A3A5FA" w14:textId="77777777" w:rsidR="00D02CBC" w:rsidRPr="00F242DD" w:rsidRDefault="00B15365" w:rsidP="00727CDE">
      <w:pPr>
        <w:pStyle w:val="a6"/>
        <w:numPr>
          <w:ilvl w:val="0"/>
          <w:numId w:val="8"/>
        </w:numPr>
        <w:tabs>
          <w:tab w:val="clear" w:pos="348"/>
          <w:tab w:val="num" w:pos="709"/>
        </w:tabs>
        <w:spacing w:before="0" w:after="0"/>
        <w:ind w:left="709" w:hanging="709"/>
      </w:pPr>
      <w:r w:rsidRPr="00F242DD">
        <w:t xml:space="preserve">Пациентам </w:t>
      </w:r>
      <w:r w:rsidR="0094380E" w:rsidRPr="00F242DD">
        <w:t xml:space="preserve">с </w:t>
      </w:r>
      <w:r w:rsidRPr="00F242DD">
        <w:t>ММ</w:t>
      </w:r>
      <w:r w:rsidR="00D02CBC" w:rsidRPr="00F242DD">
        <w:t xml:space="preserve"> с цитопенией в качестве одн</w:t>
      </w:r>
      <w:r w:rsidR="00277FD3" w:rsidRPr="00F242DD">
        <w:t>ой из возможных опций</w:t>
      </w:r>
      <w:r w:rsidR="000A156C" w:rsidRPr="00F242DD">
        <w:t xml:space="preserve"> </w:t>
      </w:r>
      <w:r w:rsidR="00277FD3" w:rsidRPr="00F242DD">
        <w:rPr>
          <w:b/>
        </w:rPr>
        <w:t xml:space="preserve">рекомендуется </w:t>
      </w:r>
      <w:r w:rsidR="00D02CBC" w:rsidRPr="00F242DD">
        <w:t>монотерапия</w:t>
      </w:r>
      <w:r w:rsidR="000A156C" w:rsidRPr="00F242DD">
        <w:t xml:space="preserve"> </w:t>
      </w:r>
      <w:r w:rsidR="00D02CBC" w:rsidRPr="00F242DD">
        <w:t>дексаметазоном</w:t>
      </w:r>
      <w:r w:rsidR="00403D5F" w:rsidRPr="00F242DD">
        <w:t>**</w:t>
      </w:r>
      <w:r w:rsidR="00D02CBC" w:rsidRPr="00F242DD">
        <w:t xml:space="preserve"> в высоких дозах</w:t>
      </w:r>
      <w:r w:rsidR="001C2BAD" w:rsidRPr="00F242DD">
        <w:t xml:space="preserve"> (описание режимов – см. приложение </w:t>
      </w:r>
      <w:r w:rsidR="00C812D6" w:rsidRPr="00F242DD">
        <w:t>А3.1</w:t>
      </w:r>
      <w:r w:rsidR="0094380E" w:rsidRPr="00F242DD">
        <w:t>.</w:t>
      </w:r>
      <w:r w:rsidR="001C2BAD" w:rsidRPr="00F242DD">
        <w:t>) – 4 цикла, либо до восстановления показателей крови</w:t>
      </w:r>
      <w:r w:rsidR="009D0748" w:rsidRPr="00F242DD">
        <w:t xml:space="preserve"> </w:t>
      </w:r>
      <w:r w:rsidR="00A96FB6" w:rsidRPr="00F242DD">
        <w:fldChar w:fldCharType="begin" w:fldLock="1"/>
      </w:r>
      <w:r w:rsidR="0081352B"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rsidRPr="00F242DD">
        <w:fldChar w:fldCharType="separate"/>
      </w:r>
      <w:r w:rsidR="009D0748" w:rsidRPr="00F242DD">
        <w:rPr>
          <w:noProof/>
        </w:rPr>
        <w:t>[1]</w:t>
      </w:r>
      <w:r w:rsidR="00A96FB6" w:rsidRPr="00F242DD">
        <w:fldChar w:fldCharType="end"/>
      </w:r>
      <w:r w:rsidR="001C2BAD" w:rsidRPr="00F242DD">
        <w:t xml:space="preserve">. </w:t>
      </w:r>
    </w:p>
    <w:p w14:paraId="2523561E" w14:textId="77777777" w:rsidR="00D02CBC" w:rsidRPr="00F242DD" w:rsidRDefault="00D02CBC" w:rsidP="00131E36">
      <w:pPr>
        <w:pStyle w:val="a6"/>
        <w:spacing w:before="0" w:after="0"/>
        <w:ind w:left="709"/>
        <w:rPr>
          <w:b/>
        </w:rPr>
      </w:pPr>
      <w:r w:rsidRPr="00F242DD">
        <w:rPr>
          <w:b/>
        </w:rPr>
        <w:t xml:space="preserve">Уровень убедительности рекомендаций </w:t>
      </w:r>
      <w:r w:rsidR="00C21ADD" w:rsidRPr="00F242DD">
        <w:rPr>
          <w:b/>
        </w:rPr>
        <w:t xml:space="preserve">− </w:t>
      </w:r>
      <w:r w:rsidR="00BD6788" w:rsidRPr="00F242DD">
        <w:rPr>
          <w:b/>
          <w:lang w:val="en-US"/>
        </w:rPr>
        <w:t>C</w:t>
      </w:r>
      <w:r w:rsidR="009D0748" w:rsidRPr="00F242DD">
        <w:rPr>
          <w:b/>
        </w:rPr>
        <w:t xml:space="preserve"> </w:t>
      </w:r>
      <w:r w:rsidRPr="00F242DD">
        <w:rPr>
          <w:b/>
        </w:rPr>
        <w:t>(уровень достоверности доказательств</w:t>
      </w:r>
      <w:r w:rsidR="009D0748" w:rsidRPr="00F242DD">
        <w:rPr>
          <w:b/>
        </w:rPr>
        <w:t xml:space="preserve"> </w:t>
      </w:r>
      <w:r w:rsidR="00C21ADD" w:rsidRPr="00F242DD">
        <w:rPr>
          <w:b/>
        </w:rPr>
        <w:t xml:space="preserve">− </w:t>
      </w:r>
      <w:r w:rsidR="00BD6788" w:rsidRPr="00F242DD">
        <w:rPr>
          <w:b/>
        </w:rPr>
        <w:t>5</w:t>
      </w:r>
      <w:r w:rsidRPr="00F242DD">
        <w:rPr>
          <w:b/>
        </w:rPr>
        <w:t>)</w:t>
      </w:r>
    </w:p>
    <w:p w14:paraId="57AB7EC2" w14:textId="77777777" w:rsidR="009A45EF" w:rsidRPr="00F242DD" w:rsidRDefault="009A45EF" w:rsidP="00727CDE">
      <w:pPr>
        <w:pStyle w:val="a6"/>
        <w:numPr>
          <w:ilvl w:val="0"/>
          <w:numId w:val="8"/>
        </w:numPr>
        <w:tabs>
          <w:tab w:val="clear" w:pos="348"/>
          <w:tab w:val="num" w:pos="709"/>
        </w:tabs>
        <w:spacing w:before="0" w:after="0"/>
        <w:ind w:left="709" w:hanging="709"/>
      </w:pPr>
      <w:r w:rsidRPr="00F242DD">
        <w:t xml:space="preserve">Пациентам с ММ с неконтролируемым болевым синдромом, при угрозах патологического перелома или при компрессии спинного мозга </w:t>
      </w:r>
      <w:r w:rsidRPr="00F242DD">
        <w:rPr>
          <w:b/>
        </w:rPr>
        <w:t xml:space="preserve">рекомендуется </w:t>
      </w:r>
      <w:r w:rsidRPr="00F242DD">
        <w:rPr>
          <w:bCs/>
        </w:rPr>
        <w:t xml:space="preserve">рассмотреть применение дистанционной лучевой терапии с паллиативной целью </w:t>
      </w:r>
      <w:r w:rsidR="00A96FB6" w:rsidRPr="00F242DD">
        <w:rPr>
          <w:bCs/>
        </w:rPr>
        <w:fldChar w:fldCharType="begin" w:fldLock="1"/>
      </w:r>
      <w:r w:rsidR="00F74B6B" w:rsidRPr="00F242DD">
        <w:rPr>
          <w:bCs/>
        </w:rPr>
        <w:instrText>ADDIN CSL_CITATION {"citationItems":[{"id":"ITEM-1","itemData":{"DOI":"10.1016/j.ijrobp.2018.05.009","ISSN":"1879-355X","PMID":"29976492","abstract":"PURPOSE To develop guidelines for the work-up and radiation therapy (RT) management of patients with plasma cell neoplasms. METHODS AND MATERIALS A literature review was conducted covering staging, work-up, and RT management of plasma cell neoplasms. Guidelines were developed through consensus by an international panel of radiation oncologists with expertise in these diseases, from the International Lymphoma Radiation Oncology Group. RT volume definitions are based on the International Commission on Radiation Units and Measurements. RESULTS Plasma cell neoplasms account for approximately one-fifth of mature B-cell neoplasms in the United States. The majority (</w:instrText>
      </w:r>
      <w:r w:rsidR="00F74B6B" w:rsidRPr="00F242DD">
        <w:rPr>
          <w:rFonts w:ascii="Cambria Math" w:hAnsi="Cambria Math" w:cs="Cambria Math"/>
          <w:bCs/>
        </w:rPr>
        <w:instrText>∼</w:instrText>
      </w:r>
      <w:r w:rsidR="00F74B6B" w:rsidRPr="00F242DD">
        <w:rPr>
          <w:bCs/>
        </w:rPr>
        <w:instrText>95%) are diagnosed as multiple myeloma, in which there has been tremendous progress in systemic therapy approaches with novel drugs over the last 2 decades, resulting in improvements in disease control and survival. In contrast, a small proportion of patients with plasma cell neoplasms present with a localized plasmacytoma in the bone, or in extramedullary (extraosseous) soft tissues, and definitive RT is the standard treatment. RT provides long-term local control in the solitary bone plasmacytomas and is potentially curative in the extramedullary cases. This guideline reviews the diagnostic work-up, principles, and indications for RT, target volume definition, treatment planning, and follow-up procedures for solitary plasmacytoma. Specifically, detailed recommendations for RT volumes and dose/fractionation are provided, illustrated with specific case scenarios. The role of palliative RT in multiple myeloma is also discussed. CONCLUSIONS The International Lymphoma Radiation Oncology Group presents a standardized approach to the use and implementation of definitive RT in solitary plasmacytomas. The modern principles outlining the supportive role of palliative RT in multiple myeloma in an era of novel systemic therapies are also discussed.","author":[{"dropping-particle":"","family":"Tsang","given":"Richard W","non-dropping-particle":"","parse-names":false,"suffix":""},{"dropping-particle":"","family":"Campbell","given":"Belinda A","non-dropping-particle":"","parse-names":false,"suffix":""},{"dropping-particle":"","family":"Goda","given":"Jayant S","non-dropping-particle":"","parse-names":false,"suffix":""},{"dropping-particle":"","family":"Kelsey","given":"Chris R","non-dropping-particle":"","parse-names":false,"suffix":""},{"dropping-particle":"","family":"Kirova","given":"Youlia M","non-dropping-particle":"","parse-names":false,"suffix":""},{"dropping-particle":"","family":"Parikh","given":"Rahul R","non-dropping-particle":"","parse-names":false,"suffix":""},{"dropping-particle":"","family":"Ng","given":"Andrea K","non-dropping-particle":"","parse-names":false,"suffix":""},{"dropping-particle":"","family":"Ricardi","given":"Umberto","non-dropping-particle":"","parse-names":false,"suffix":""},{"dropping-particle":"","family":"Suh","given":"Chang-Ok","non-dropping-particle":"","parse-names":false,"suffix":""},{"dropping-particle":"","family":"Mauch","given":"Peter M","non-dropping-particle":"","parse-names":false,"suffix":""},{"dropping-particle":"","family":"Specht","given":"Lena","non-dropping-particle":"","parse-names":false,"suffix":""},{"dropping-particle":"","family":"Yahalom","given":"Joachim","non-dropping-particle":"","parse-names":false,"suffix":""}],"container-title":"International journal of radiation oncology, biology, physics","id":"ITEM-1","issue":"4","issued":{"date-parts":[["2018"]]},"page":"794-808","title":"Radiation Therapy for Solitary Plasmacytoma and Multiple Myeloma: Guidelines From the International Lymphoma Radiation Oncology Group.","type":"article-journal","volume":"101"},"uris":["http://www.mendeley.com/documents/?uuid=f4bfe628-ea0d-3a70-ad32-a87028222960"]},{"id":"ITEM-2","itemData":{"DOI":"10.3389/fonc.2019.00601","ISSN":"2234-943X","PMID":"31334121","abstract":"Purpose: The objective of this study was to assess a contemporary cohort of patients with multiple myeloma referred for palliative radiation to the mobile spine for clinical and radiological responses. Materials/Methods: The records of patients treated between 2009 and 2016 with radiotherapy for multiple myeloma of the spine were retrospectively reviewed. Demographics, systemic therapy, radiation dose, number of fractions, radiographic response based upon adapted RECIST criteria, and symptomatic response were recorded. Results: Eighty eight patients and 98 treatment courses were analyzed. All courses were analyzed for symptomatic response and 61 of the treatment courses were available for radiologic follow-up. The median follow-up was 9.7 months with a median radiation dose of 25 Gy (12.5-50 Gy) delivered in a median of 10 fractions (5-25 fractions). Fifty-four percent of patients had a high-risk lesion. Symptomatic response as measured by a decrease of ≤5 points on the pain related scale was 83% and 34% of patients had a decrease of &gt;5 points. Of 35% of patients that had neurologic impairments prior to treatment, improvement was identified 83% of the time. Radiographic response was noted as 13% complete response, 16% partial response, 57% stable disease, and 13% disease progression. Specifically, high-risk lesions treated with radiation alone demonstrated no regression with only 10% demonstrating partial response. Conclusion: This retrospective series of patients treated with palliative intent for multiple myeloma using various dose and fractionation schemes showed favorable symptomatic relief in most patients. Radiographic response did not correlate with clinical response with fewer patients having radiologic disease regression. Longer follow-up is necessary to determine if the lack of radiologic response is associated with clinically relevant recurrent pain.","author":[{"dropping-particle":"","family":"Mark","given":"Daniel","non-dropping-particle":"","parse-names":false,"suffix":""},{"dropping-particle":"","family":"Gilbo","given":"Philip","non-dropping-particle":"","parse-names":false,"suffix":""},{"dropping-particle":"","family":"Meshrekey","given":"Raymond","non-dropping-particle":"","parse-names":false,"suffix":""},{"dropping-particle":"","family":"Ghaly","given":"Maged","non-dropping-particle":"","parse-names":false,"suffix":""}],"container-title":"Frontiers in oncology","id":"ITEM-2","issued":{"date-parts":[["2019"]]},"page":"601","title":"Local Radiation Therapy for Palliation in Patients With Multiple Myeloma of the Spine.","type":"article-journal","volume":"9"},"uris":["http://www.mendeley.com/documents/?uuid=16895ece-dab7-3031-ba13-5908f14424ab"]}],"mendeley":{"formattedCitation":"[66,67]","plainTextFormattedCitation":"[66,67]","previouslyFormattedCitation":"[66,67]"},"properties":{"noteIndex":0},"schema":"https://github.com/citation-style-language/schema/raw/master/csl-citation.json"}</w:instrText>
      </w:r>
      <w:r w:rsidR="00A96FB6" w:rsidRPr="00F242DD">
        <w:rPr>
          <w:bCs/>
        </w:rPr>
        <w:fldChar w:fldCharType="separate"/>
      </w:r>
      <w:r w:rsidR="00705691" w:rsidRPr="00F242DD">
        <w:rPr>
          <w:bCs/>
          <w:noProof/>
        </w:rPr>
        <w:t>[66,67]</w:t>
      </w:r>
      <w:r w:rsidR="00A96FB6" w:rsidRPr="00F242DD">
        <w:rPr>
          <w:bCs/>
        </w:rPr>
        <w:fldChar w:fldCharType="end"/>
      </w:r>
      <w:r w:rsidRPr="00F242DD">
        <w:t>.</w:t>
      </w:r>
    </w:p>
    <w:p w14:paraId="692ACBB7" w14:textId="77777777" w:rsidR="009A45EF" w:rsidRPr="00F242DD" w:rsidRDefault="009A45EF" w:rsidP="009A45EF">
      <w:pPr>
        <w:pStyle w:val="a6"/>
        <w:spacing w:before="0" w:after="0"/>
        <w:ind w:left="709"/>
        <w:rPr>
          <w:b/>
        </w:rPr>
      </w:pPr>
      <w:r w:rsidRPr="00F242DD">
        <w:rPr>
          <w:b/>
        </w:rPr>
        <w:t xml:space="preserve">Уровень убедительности рекомендаций </w:t>
      </w:r>
      <w:r w:rsidR="00C21ADD" w:rsidRPr="00F242DD">
        <w:rPr>
          <w:b/>
        </w:rPr>
        <w:t xml:space="preserve">− </w:t>
      </w:r>
      <w:r w:rsidRPr="00F242DD">
        <w:rPr>
          <w:b/>
          <w:lang w:val="en-US"/>
        </w:rPr>
        <w:t>C</w:t>
      </w:r>
      <w:r w:rsidRPr="00F242DD">
        <w:rPr>
          <w:b/>
        </w:rPr>
        <w:t xml:space="preserve"> (уровень достоверности доказательств </w:t>
      </w:r>
      <w:r w:rsidR="00C21ADD" w:rsidRPr="00F242DD">
        <w:rPr>
          <w:b/>
        </w:rPr>
        <w:t xml:space="preserve">− </w:t>
      </w:r>
      <w:r w:rsidRPr="00F242DD">
        <w:rPr>
          <w:b/>
        </w:rPr>
        <w:t>5)</w:t>
      </w:r>
    </w:p>
    <w:p w14:paraId="29D61342" w14:textId="77777777" w:rsidR="009A45EF" w:rsidRDefault="009A45EF" w:rsidP="009A45EF">
      <w:pPr>
        <w:pStyle w:val="a6"/>
        <w:spacing w:before="0" w:after="0"/>
        <w:ind w:left="709"/>
        <w:rPr>
          <w:bCs/>
          <w:i/>
          <w:iCs/>
        </w:rPr>
      </w:pPr>
      <w:r w:rsidRPr="00F242DD">
        <w:rPr>
          <w:b/>
        </w:rPr>
        <w:t xml:space="preserve">Комментарий: </w:t>
      </w:r>
      <w:r w:rsidRPr="00F242DD">
        <w:rPr>
          <w:bCs/>
          <w:i/>
          <w:iCs/>
        </w:rPr>
        <w:t xml:space="preserve">режим </w:t>
      </w:r>
      <w:r w:rsidR="00C21ADD" w:rsidRPr="00F242DD">
        <w:rPr>
          <w:bCs/>
          <w:i/>
          <w:iCs/>
        </w:rPr>
        <w:t>лучевой терапии</w:t>
      </w:r>
      <w:r w:rsidRPr="00F242DD">
        <w:rPr>
          <w:bCs/>
          <w:i/>
          <w:iCs/>
        </w:rPr>
        <w:t xml:space="preserve"> определяется клинической ситуацией, соматическим состоянием </w:t>
      </w:r>
      <w:r w:rsidR="00534E54" w:rsidRPr="00F242DD">
        <w:rPr>
          <w:bCs/>
          <w:i/>
          <w:iCs/>
        </w:rPr>
        <w:t>пациента</w:t>
      </w:r>
      <w:r w:rsidRPr="00F242DD">
        <w:rPr>
          <w:bCs/>
          <w:i/>
          <w:iCs/>
        </w:rPr>
        <w:t xml:space="preserve">: </w:t>
      </w:r>
      <w:r w:rsidR="00C21ADD" w:rsidRPr="00F242DD">
        <w:rPr>
          <w:bCs/>
          <w:i/>
          <w:iCs/>
        </w:rPr>
        <w:t>разовая очаговая доза</w:t>
      </w:r>
      <w:r w:rsidRPr="00F242DD">
        <w:rPr>
          <w:bCs/>
          <w:i/>
          <w:iCs/>
        </w:rPr>
        <w:t xml:space="preserve"> 8 Гр однократно или </w:t>
      </w:r>
      <w:r w:rsidR="007279FD" w:rsidRPr="00F242DD">
        <w:rPr>
          <w:bCs/>
          <w:i/>
          <w:iCs/>
        </w:rPr>
        <w:t xml:space="preserve">разовая очаговая доза </w:t>
      </w:r>
      <w:r w:rsidRPr="00F242DD">
        <w:rPr>
          <w:bCs/>
          <w:i/>
          <w:iCs/>
        </w:rPr>
        <w:t xml:space="preserve">2,0–3,0 Гр до </w:t>
      </w:r>
      <w:r w:rsidR="007279FD" w:rsidRPr="00F242DD">
        <w:rPr>
          <w:bCs/>
          <w:i/>
          <w:iCs/>
        </w:rPr>
        <w:t>суммарной очаговой дозы</w:t>
      </w:r>
      <w:r w:rsidRPr="00F242DD">
        <w:rPr>
          <w:bCs/>
          <w:i/>
          <w:iCs/>
        </w:rPr>
        <w:t xml:space="preserve"> 10</w:t>
      </w:r>
      <w:r w:rsidR="007279FD" w:rsidRPr="00F242DD">
        <w:rPr>
          <w:bCs/>
          <w:i/>
          <w:iCs/>
        </w:rPr>
        <w:t>−</w:t>
      </w:r>
      <w:r w:rsidRPr="00F242DD">
        <w:rPr>
          <w:bCs/>
          <w:i/>
          <w:iCs/>
        </w:rPr>
        <w:t xml:space="preserve">30 Гр. При планировании </w:t>
      </w:r>
      <w:r w:rsidR="00D71FBE" w:rsidRPr="00F242DD">
        <w:rPr>
          <w:bCs/>
          <w:i/>
          <w:iCs/>
        </w:rPr>
        <w:t>ВДХТ</w:t>
      </w:r>
      <w:r w:rsidRPr="00F242DD">
        <w:rPr>
          <w:bCs/>
          <w:i/>
          <w:iCs/>
        </w:rPr>
        <w:t xml:space="preserve"> с последующей ауто-ТГСК объем лучевой терапии должен быть ограничен с учетом необходимости проведения сбора стволовых клеток.</w:t>
      </w:r>
    </w:p>
    <w:p w14:paraId="1C52EF20" w14:textId="7A6DD674" w:rsidR="00B424E0" w:rsidRPr="00F242DD" w:rsidRDefault="00B424E0" w:rsidP="00B424E0">
      <w:pPr>
        <w:pStyle w:val="2"/>
        <w:rPr>
          <w:rStyle w:val="ac"/>
          <w:rFonts w:eastAsia="Calibri"/>
          <w:b/>
          <w:bCs w:val="0"/>
          <w:szCs w:val="22"/>
          <w:u w:val="none"/>
        </w:rPr>
      </w:pPr>
      <w:bookmarkStart w:id="34" w:name="_Toc53140905"/>
      <w:r w:rsidRPr="008F69F6">
        <w:rPr>
          <w:rStyle w:val="ac"/>
          <w:b/>
          <w:bCs w:val="0"/>
        </w:rPr>
        <w:lastRenderedPageBreak/>
        <w:t>3.5 Лечение больных множественной миеломой с почечной недостаточностью</w:t>
      </w:r>
      <w:bookmarkEnd w:id="34"/>
    </w:p>
    <w:p w14:paraId="192C627F" w14:textId="77777777" w:rsidR="00B424E0" w:rsidRPr="00B424E0" w:rsidRDefault="00B424E0" w:rsidP="00FA6648">
      <w:pPr>
        <w:spacing w:before="0" w:after="0"/>
        <w:ind w:left="709" w:hanging="709"/>
        <w:rPr>
          <w:b/>
        </w:rPr>
      </w:pPr>
      <w:r w:rsidRPr="00B424E0">
        <w:rPr>
          <w:b/>
        </w:rPr>
        <w:t xml:space="preserve">Индукционная терапия больных с почечной недостаточностью. </w:t>
      </w:r>
    </w:p>
    <w:p w14:paraId="1F6535F7" w14:textId="77777777" w:rsidR="004B0830" w:rsidRDefault="004B0830" w:rsidP="00FA6648">
      <w:pPr>
        <w:pStyle w:val="a6"/>
        <w:numPr>
          <w:ilvl w:val="0"/>
          <w:numId w:val="10"/>
        </w:numPr>
        <w:spacing w:before="0" w:after="0"/>
        <w:ind w:left="709" w:hanging="709"/>
      </w:pPr>
      <w:r>
        <w:t xml:space="preserve">Пациентам с ММ, осложненной миеломной нефропатией </w:t>
      </w:r>
      <w:r w:rsidRPr="004B0830">
        <w:rPr>
          <w:b/>
        </w:rPr>
        <w:t xml:space="preserve">рекомендуется </w:t>
      </w:r>
      <w:r w:rsidRPr="004B0830">
        <w:t>проведение</w:t>
      </w:r>
      <w:r>
        <w:rPr>
          <w:b/>
        </w:rPr>
        <w:t xml:space="preserve"> </w:t>
      </w:r>
      <w:r w:rsidRPr="004B0830">
        <w:t>противоопухолевой терапии, включающей</w:t>
      </w:r>
      <w:r>
        <w:rPr>
          <w:b/>
        </w:rPr>
        <w:t xml:space="preserve"> </w:t>
      </w:r>
      <w:r w:rsidRPr="004B0830">
        <w:t>бортезомиб</w:t>
      </w:r>
      <w:r>
        <w:rPr>
          <w:b/>
        </w:rPr>
        <w:t xml:space="preserve">. </w:t>
      </w:r>
      <w:r w:rsidRPr="00F242DD">
        <w:fldChar w:fldCharType="begin" w:fldLock="1"/>
      </w:r>
      <w:r w:rsidRPr="00F242DD">
        <w:instrText>ADDIN CSL_CITATION {"citationItems":[{"id":"ITEM-1","itemData":{"DOI":"10.1002/cncr.28325","ISSN":"0008543X","author":[{"dropping-particle":"","family":"Nooka","given":"Ajay K.","non-dropping-particle":"","parse-names":false,"suffix":""},{"dropping-particle":"","family":"Kaufman","given":"Jonathan L.","non-dropping-particle":"","parse-names":false,"suffix":""},{"dropping-particle":"","family":"Behera","given":"Madhusmita","non-dropping-particle":"","parse-names":false,"suffix":""},{"dropping-particle":"","family":"Langston","given":"Amelia","non-dropping-particle":"","parse-names":false,"suffix":""},{"dropping-particle":"","family":"Waller","given":"Edmund K.","non-dropping-particle":"","parse-names":false,"suffix":""},{"dropping-particle":"","family":"Flowers","given":"Christopher R.","non-dropping-particle":"","parse-names":false,"suffix":""},{"dropping-particle":"","family":"Gleason","given":"Charise","non-dropping-particle":"","parse-names":false,"suffix":""},{"dropping-particle":"","family":"Boise","given":"Lawrence H.","non-dropping-particle":"","parse-names":false,"suffix":""},{"dropping-particle":"","family":"Lonial","given":"Sagar","non-dropping-particle":"","parse-names":false,"suffix":""}],"container-title":"Cancer","id":"ITEM-1","issue":"23","issued":{"date-parts":[["2013","12","1"]]},"page":"4119-4128","title":"Bortezomib-containing induction regimens in transplant-eligible myeloma patients","type":"article-journal","volume":"119"},"uris":["http://www.mendeley.com/documents/?uuid=256f10f7-eef8-3ee6-82f2-127c8c710e16"]},{"id":"ITEM-2","itemData":{"DOI":"10.1111/bjh.12946","ISSN":"13652141","abstract":"Three-drug induction regimens have become the standard of care in newly diagnosed transplant-eligible multiple myeloma patients. Two frequently used protocols are bortezomib, cyclophosphamide and dexamethasone (VCD) and bortezomib, thalidomide and dexamethasone (VTD). Comparisons between the two are lacking. The present study aimed to identify the differences in response rate and toxicity between the two regimens. Databases were searched using the terms 'VTD' or 'VCD' and 'induction regimens for newly diagnosed multiple myeloma'. Prospective trials evaluating initial response in transplant eligible patients were included. The main outcome measures were response rates and adverse events. Eight clinical trials were eligible for analysis. Overall 672 patients were treated with either VCD (n = 157) or VTD (n = 515) as induction therapy. Patients treated with VTD presented with a significantly higher complete/near complete response (34% vs. 6%, P = 0·002) as well as a higher very good partial response rate or better, following induction therapy (62% vs. 27%, P &lt; 0·0001). Although grade 3-4 neurotoxicity was more frequent during VTD therapy (11% vs. 6%, P = 0·057), a higher incidence of overall grade 3-4 adverse events was found in the VCD-treated patients (74% vs. 51%, P &lt; 0·001). VTD induction therapy may be superior in achieving deeper response rate following induction therapy, and is better tolerated. © 2014 John Wiley &amp; Sons Ltd.","author":[{"dropping-particle":"","family":"Leiba","given":"Merav","non-dropping-particle":"","parse-names":false,"suffix":""},{"dropping-particle":"","family":"Kedmi","given":"Meirav","non-dropping-particle":"","parse-names":false,"suffix":""},{"dropping-particle":"","family":"Duek","given":"Adrian","non-dropping-particle":"","parse-names":false,"suffix":""},{"dropping-particle":"","family":"Freidman","given":"Tzachi","non-dropping-particle":"","parse-names":false,"suffix":""},{"dropping-particle":"","family":"Weiss","given":"Mia","non-dropping-particle":"","parse-names":false,"suffix":""},{"dropping-particle":"","family":"Leiba","given":"Ronit","non-dropping-particle":"","parse-names":false,"suffix":""},{"dropping-particle":"","family":"Nagler","given":"Arnon","non-dropping-particle":"","parse-names":false,"suffix":""},{"dropping-particle":"","family":"Avigdor","given":"Abraham","non-dropping-particle":"","parse-names":false,"suffix":""}],"container-title":"British Journal of Haematology","id":"ITEM-2","issue":"5","issued":{"date-parts":[["2014"]]},"page":"702-710","publisher":"Blackwell Publishing Ltd","title":"Bortezomib-Cyclophosphamide-Dexamethasone (VCD) versus Bortezomib-Thalidomide-Dexamethasone (VTD) -based regimens as induction therapies in newly diagnosed transplant eligible patients with multiple myeloma: A meta-analysis","type":"article-journal","volume":"166"},"uris":["http://www.mendeley.com/documents/?uuid=305ba1b6-a29e-353f-b070-b7510acc69ad"]}],"mendeley":{"formattedCitation":"[38,39]","plainTextFormattedCitation":"[38,39]","previouslyFormattedCitation":"[38,39]"},"properties":{"noteIndex":0},"schema":"https://github.com/citation-style-language/schema/raw/master/csl-citation.json"}</w:instrText>
      </w:r>
      <w:r w:rsidRPr="00F242DD">
        <w:fldChar w:fldCharType="separate"/>
      </w:r>
      <w:r w:rsidRPr="00F242DD">
        <w:rPr>
          <w:noProof/>
        </w:rPr>
        <w:t>[38,39]</w:t>
      </w:r>
      <w:r w:rsidRPr="00F242DD">
        <w:fldChar w:fldCharType="end"/>
      </w:r>
      <w:r>
        <w:t>.</w:t>
      </w:r>
    </w:p>
    <w:p w14:paraId="2CC3E668" w14:textId="77777777" w:rsidR="004B0830" w:rsidRPr="004B0830" w:rsidRDefault="004B0830" w:rsidP="004B0830">
      <w:pPr>
        <w:spacing w:before="0" w:after="0"/>
        <w:ind w:left="709"/>
        <w:rPr>
          <w:b/>
        </w:rPr>
      </w:pPr>
      <w:r w:rsidRPr="004B0830">
        <w:rPr>
          <w:b/>
        </w:rPr>
        <w:t>Уровень убедительности рекомендаций − А (уровень достоверности доказательств − 2)</w:t>
      </w:r>
    </w:p>
    <w:p w14:paraId="3AC538FC" w14:textId="77777777" w:rsidR="00B13C92" w:rsidRDefault="004B0830" w:rsidP="00B13C92">
      <w:pPr>
        <w:pStyle w:val="a6"/>
        <w:spacing w:before="0" w:after="0"/>
        <w:ind w:left="709"/>
        <w:rPr>
          <w:i/>
        </w:rPr>
      </w:pPr>
      <w:r w:rsidRPr="004B0830">
        <w:rPr>
          <w:i/>
        </w:rPr>
        <w:t xml:space="preserve">Комментарий: </w:t>
      </w:r>
      <w:r>
        <w:rPr>
          <w:i/>
        </w:rPr>
        <w:t>б</w:t>
      </w:r>
      <w:r w:rsidR="0010200D" w:rsidRPr="004B0830">
        <w:rPr>
          <w:i/>
        </w:rPr>
        <w:t xml:space="preserve">ортезомиб-содержащие схемы остаются основными в лечении пациентов с миеломной нефропатией. </w:t>
      </w:r>
      <w:r w:rsidR="00B424E0" w:rsidRPr="004B0830">
        <w:rPr>
          <w:i/>
        </w:rPr>
        <w:t>Для пациентов с сохраненной водовыделительной функцией показана гидратация в объеме 3 л/сутки или 2 л/м</w:t>
      </w:r>
      <w:r w:rsidR="00B424E0" w:rsidRPr="004B0830">
        <w:rPr>
          <w:i/>
          <w:vertAlign w:val="superscript"/>
        </w:rPr>
        <w:t>2</w:t>
      </w:r>
      <w:r w:rsidR="008F69F6" w:rsidRPr="004B0830">
        <w:rPr>
          <w:i/>
        </w:rPr>
        <w:t xml:space="preserve"> в сутки.</w:t>
      </w:r>
      <w:r>
        <w:rPr>
          <w:i/>
        </w:rPr>
        <w:t xml:space="preserve"> </w:t>
      </w:r>
      <w:r w:rsidR="00B424E0" w:rsidRPr="004B0830">
        <w:rPr>
          <w:i/>
        </w:rPr>
        <w:t>Следует начинать терапию бортезомибом в стандартной дозе 1,3 мг/м</w:t>
      </w:r>
      <w:r w:rsidR="00B424E0" w:rsidRPr="004B0830">
        <w:rPr>
          <w:i/>
          <w:vertAlign w:val="superscript"/>
        </w:rPr>
        <w:t>2</w:t>
      </w:r>
      <w:r w:rsidR="00B424E0" w:rsidRPr="004B0830">
        <w:rPr>
          <w:i/>
        </w:rPr>
        <w:t xml:space="preserve"> в 1, 4, 8 и 11 дни 3-недельного цикла. Подкожное введение бортезомиба имеет такую же эффективность, как и внутривенное. Рекомендуемая высокая доза дексаметазона – 40 мг/день (20 мг для пациентов старше 75 лет) применяется в первом цикле терапии в режиме 4 дня введения - 4 дня пауза; затем – соответственно протоколу лечения, т. е. суммарная доза дексаметазона во время 1-го курса составляет 320 мг</w:t>
      </w:r>
      <w:r w:rsidR="008F69F6" w:rsidRPr="004B0830">
        <w:rPr>
          <w:i/>
        </w:rPr>
        <w:t>.</w:t>
      </w:r>
      <w:r w:rsidR="00B424E0" w:rsidRPr="00B424E0">
        <w:t xml:space="preserve"> </w:t>
      </w:r>
      <w:r w:rsidR="00B424E0" w:rsidRPr="004B0830">
        <w:rPr>
          <w:i/>
        </w:rPr>
        <w:t>Добавление третьего препарата к VD может быть эффективным. У пациентов, подходящих для аутоТГСК, бортезомиб можно назначать в комбинации с доксорубицином или ци</w:t>
      </w:r>
      <w:r w:rsidR="008F69F6" w:rsidRPr="004B0830">
        <w:rPr>
          <w:i/>
        </w:rPr>
        <w:t>клофосфамидом и дексаметазоном</w:t>
      </w:r>
      <w:r w:rsidR="00791645">
        <w:rPr>
          <w:i/>
        </w:rPr>
        <w:t>.</w:t>
      </w:r>
    </w:p>
    <w:p w14:paraId="453810E3" w14:textId="5A12F9AC" w:rsidR="001317C7" w:rsidRPr="00B13C92" w:rsidRDefault="00B13C92" w:rsidP="00B13C92">
      <w:pPr>
        <w:pStyle w:val="a6"/>
        <w:numPr>
          <w:ilvl w:val="0"/>
          <w:numId w:val="10"/>
        </w:numPr>
        <w:spacing w:before="0" w:after="0"/>
        <w:ind w:left="709" w:hanging="709"/>
        <w:rPr>
          <w:i/>
        </w:rPr>
      </w:pPr>
      <w:r>
        <w:t xml:space="preserve">Пациентам с ММ, осложненной миеломной нефропатией </w:t>
      </w:r>
      <w:r w:rsidRPr="00B424E0">
        <w:t xml:space="preserve">(особенно у диализ-зависимых пациентов) </w:t>
      </w:r>
      <w:r w:rsidRPr="004B0830">
        <w:rPr>
          <w:b/>
        </w:rPr>
        <w:t xml:space="preserve">рекомендуется </w:t>
      </w:r>
      <w:r w:rsidRPr="00B424E0">
        <w:t>оценивать</w:t>
      </w:r>
      <w:r>
        <w:t xml:space="preserve"> </w:t>
      </w:r>
      <w:r w:rsidR="004B0830">
        <w:t>г</w:t>
      </w:r>
      <w:r w:rsidR="00B424E0" w:rsidRPr="00B424E0">
        <w:t>ематологический ответ после каждого курса терапии, при этом показатели секреции СЛЦ иммуноглобулинов должны снижаться после каждого курса. При отсутствии положительной динамики содержания СЛЦ</w:t>
      </w:r>
      <w:r>
        <w:t>, непереносимости бортезомиба</w:t>
      </w:r>
      <w:r w:rsidR="00B424E0" w:rsidRPr="00B424E0">
        <w:t xml:space="preserve"> необходима смена программы лечения</w:t>
      </w:r>
      <w:r w:rsidR="00791645">
        <w:t xml:space="preserve"> – переход на II линию терапии.</w:t>
      </w:r>
    </w:p>
    <w:p w14:paraId="4F1073D2" w14:textId="5370B3E4" w:rsidR="001317C7" w:rsidRPr="00FA6648" w:rsidRDefault="001317C7" w:rsidP="001317C7">
      <w:pPr>
        <w:spacing w:before="0" w:after="0"/>
        <w:ind w:left="709"/>
        <w:rPr>
          <w:b/>
        </w:rPr>
      </w:pPr>
      <w:r w:rsidRPr="00FA6648">
        <w:rPr>
          <w:b/>
        </w:rPr>
        <w:t xml:space="preserve">Уровень убедительности рекомендаций − </w:t>
      </w:r>
      <w:r>
        <w:rPr>
          <w:b/>
        </w:rPr>
        <w:t>А</w:t>
      </w:r>
      <w:r w:rsidRPr="00FA6648">
        <w:rPr>
          <w:b/>
        </w:rPr>
        <w:t xml:space="preserve"> (уровень достоверности доказательств − </w:t>
      </w:r>
      <w:r>
        <w:rPr>
          <w:b/>
        </w:rPr>
        <w:t>2</w:t>
      </w:r>
      <w:r w:rsidRPr="00FA6648">
        <w:rPr>
          <w:b/>
        </w:rPr>
        <w:t>)</w:t>
      </w:r>
      <w:r w:rsidR="00791645">
        <w:rPr>
          <w:b/>
        </w:rPr>
        <w:t>.</w:t>
      </w:r>
    </w:p>
    <w:p w14:paraId="6B8C461C" w14:textId="24A495A0" w:rsidR="00FA6648" w:rsidRDefault="00B13C92" w:rsidP="00FA6648">
      <w:pPr>
        <w:pStyle w:val="a6"/>
        <w:numPr>
          <w:ilvl w:val="0"/>
          <w:numId w:val="10"/>
        </w:numPr>
        <w:spacing w:before="0" w:after="0"/>
        <w:ind w:left="709" w:hanging="709"/>
      </w:pPr>
      <w:r>
        <w:t xml:space="preserve">Пациентам с ММ, осложненной миеломной нефропатией </w:t>
      </w:r>
      <w:r w:rsidRPr="004B0830">
        <w:rPr>
          <w:b/>
        </w:rPr>
        <w:t xml:space="preserve">рекомендуется </w:t>
      </w:r>
      <w:r w:rsidRPr="00B13C92">
        <w:t>проведение</w:t>
      </w:r>
      <w:r>
        <w:rPr>
          <w:b/>
        </w:rPr>
        <w:t xml:space="preserve"> </w:t>
      </w:r>
      <w:r w:rsidRPr="00B13C92">
        <w:t>противоопухолевой терапии включающей</w:t>
      </w:r>
      <w:r>
        <w:rPr>
          <w:b/>
        </w:rPr>
        <w:t xml:space="preserve"> </w:t>
      </w:r>
      <w:r w:rsidRPr="00B13C92">
        <w:t>л</w:t>
      </w:r>
      <w:r w:rsidR="00B424E0" w:rsidRPr="00B424E0">
        <w:t>еналидомид</w:t>
      </w:r>
      <w:r>
        <w:t xml:space="preserve"> в комбинации с другими противоопухолевыми препаратами в зависимости от предшествующей эффективности лечения, наличия осложнений в виде периферической полинейропатии</w:t>
      </w:r>
      <w:r w:rsidR="001317C7">
        <w:t>,</w:t>
      </w:r>
      <w:r>
        <w:t xml:space="preserve"> агрессивности рецидива. П</w:t>
      </w:r>
      <w:r w:rsidR="00B424E0" w:rsidRPr="00B424E0">
        <w:t xml:space="preserve">ри этом доза </w:t>
      </w:r>
      <w:r>
        <w:t>леналидомида</w:t>
      </w:r>
      <w:r w:rsidR="00B424E0" w:rsidRPr="00B424E0">
        <w:t xml:space="preserve"> должна корректироваться в зависимости от клиренса креатинина </w:t>
      </w:r>
      <w:r w:rsidR="008F69F6" w:rsidRPr="00F242DD">
        <w:rPr>
          <w:i/>
        </w:rPr>
        <w:fldChar w:fldCharType="begin" w:fldLock="1"/>
      </w:r>
      <w:r w:rsidR="008F69F6" w:rsidRPr="00F242DD">
        <w:rPr>
          <w:i/>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myeloma","type":"article","volume":"35"},"uris":["http://www.mendeley.com/documents/?uuid=4b51abe8-b4d6-30ad-bad9-00468e013c00"]},{"id":"ITEM-2","itemData":{"DOI":"10.1016/j.clml.2014.03.005","ISSN":"2152-2669","PMID":"25023616","abstract":"INTRODUCTION Bortezomib is administered for a finite course; thus, patients might remain sensitive to bortezomib-based therapy at relapse. We report a meta-analysis of bortezomib-based retreatment in relapsed/refractory myeloma. PATIENTS AND METHODS A systematic literature review identified studies of bortezomib-based retreatment in relapsed/refractory myeloma. Proportions of bortezomib-refractory patients and additional prognostic factors were extracted and used in weighted stratified analyses of TTP and OS. Random-effect pooled estimates were calculated for overall response rate (ORR) and rates of common AEs. RESULTS Twenty-three studies (n = 1051 patients) were identified. Bortezomib was administered intravenously in all studies. Across studies in which data were available, pooled, weighted average ORR was 39.1% (95% confidence interval, 30.8%-47.4%), and pooled, weighted average median TTP and OS were 7.5 and 16.6 months, respectively. Patients with fewer previous therapies (≤ 4) and relapsed (not refractory) patients achieved higher ORRs, of 43.4% and 57.2%, respectively. Random-effects meta-regression analysis confirmed that relapsed patients were associated with a higher ORR by 28 to 41 percentage points versus refractory patients. In relapsed patients, median TTP and OS were 8.5 and 19.7 months, respectively. Common Grade 3/4 AEs included thrombocytopenia (35%), neutropenia (15%), anemia (14%), pneumonia (10%), and peripheral neuropathy (3%). CONCLUSION Based on these findings, bortezomib retreatment is well tolerated and appears efficacious in relapsed patients. In an era of new and emerging treatment options for relapsed and/or refractory myeloma, these data indicate that bortezomib retreatment might be a highly effective option in previously treated patients.","author":[{"dropping-particle":"","family":"Knopf","given":"Kevin B","non-dropping-particle":"","parse-names":false,"suffix":""},{"dropping-particle":"","family":"Duh","given":"Mei Sheng","non-dropping-particle":"","parse-names":false,"suffix":""},{"dropping-particle":"","family":"Lafeuille","given":"Marie-Hélène","non-dropping-particle":"","parse-names":false,"suffix":""},{"dropping-particle":"","family":"Gravel","given":"Jonathan","non-dropping-particle":"","parse-names":false,"suffix":""},{"dropping-particle":"","family":"Lefebvre","given":"Patrick","non-dropping-particle":"","parse-names":false,"suffix":""},{"dropping-particle":"","family":"Niculescu","given":"Liviu","non-dropping-particle":"","parse-names":false,"suffix":""},{"dropping-particle":"","family":"Ba-Mancini","given":"Abbie","non-dropping-particle":"","parse-names":false,"suffix":""},{"dropping-particle":"","family":"Ma","given":"Esprit","non-dropping-particle":"","parse-names":false,"suffix":""},{"dropping-particle":"","family":"Shi","given":"Hongliang","non-dropping-particle":"","parse-names":false,"suffix":""},{"dropping-particle":"","family":"Comenzo","given":"Raymond L","non-dropping-particle":"","parse-names":false,"suffix":""}],"container-title":"Clinical lymphoma, myeloma &amp; leukemia","id":"ITEM-2","issue":"5","issued":{"date-parts":[["2014","10"]]},"page":"380-8","title":"Meta-analysis of the efficacy and safety of bortezomib re-treatment in patients with multiple myeloma.","type":"article-journal","volume":"14"},"uris":["http://www.mendeley.com/documents/?uuid=b3846e4f-86a4-3632-887c-068c5784518c"]},{"id":"ITEM-3","itemData":{"DOI":"10.1002/14651858.CD010816.pub2","ISSN":"1469-493X","PMID":"27096326","abstract":"BACKGROUND Multiple myeloma is a malignancy of plasma cells accounting for approximately 1% of cancers and 12% of haematological malignancies. The first-in-class proteasome inhibitor, bortezomib, is commonly used to treat newly diagnosed as well as relapsed/refractory myeloma, either as single agent or combined with other therapies. OBJECTIVES We conducted a systematic review and meta-analysis to assess the effects of bortezomib on overall survival (OS), progression-free survival (PFS), response rate (RR), health-related quality of life (HRQoL), adverse events (AEs) and treatment-related death (TRD). SEARCH METHODS We searched MEDLINE, the Cochrane Central Register of Controlled Trials and EMBASE (till 27 January 2016) as well as conference proceedings and clinical trial registries for randomised controlled trials (RCTs). SELECTION CRITERIA We included randomised controlled trials (RCTs) that compared i) bortezomib versus no bortezomib with the same background therapy in each arm; ii) bortezomib versus no bortezomib with different background therapy in each arm or compared to other agent(s) and iii) bortezomib dose comparisons and comparisons of different treatment administrations and schedules. DATA COLLECTION AND ANALYSIS Two review authors independently extracted outcomes data and assessed risk of bias. We extracted hazard ratios (HR) and their confidence intervals for OS and PFS and odds ratios (OR) for response rates, AEs and TRD. We contacted trial authors to provide summary statistics if missing. We estimated Logrank statistics which were not available. We extracted HRQoL data, where available. MAIN RESULTS We screened a total of 3667 records, identifying 16 relevant RCTs involving 5626 patients and included 12 trials in the meta-analyses. All trials were randomised and open-label studies. Two trials were published in abstract form and therefore we were unable to assess potential risk of bias in full.There is moderate-quality evidence that bortezomib prolongs OS (four studies, 1586 patients; Peto OR 0.77, 95% CI 0.65 to 0.92) and PFS (five studies, 1855 patients; Peto OR 0.65, 95% CI 0.57 to 0.74) from analysing trials of bortezomib versus no bortezomib with the same background therapy in each arm.There is high-quality evidence that bortezomib prolongs OS (five studies, 2532 patients; Peto OR 0.76, 95% CI 0.67 to 0.88) but low-quality evidence for PFS (four studies, 2489 patients; Peto OR 0.67, 95% CI 0.61 to 0.75) from analysing trials of bortez…","author":[{"dropping-particle":"","family":"Scott","given":"Kathleen","non-dropping-particle":"","parse-names":false,"suffix":""},{"dropping-particle":"","family":"Hayden","given":"Patrick J","non-dropping-particle":"","parse-names":false,"suffix":""},{"dropping-particle":"","family":"Will","given":"Andrea","non-dropping-particle":"","parse-names":false,"suffix":""},{"dropping-particle":"","family":"Wheatley","given":"Keith","non-dropping-particle":"","parse-names":false,"suffix":""},{"dropping-particle":"","family":"Coyne","given":"Imelda","non-dropping-particle":"","parse-names":false,"suffix":""}],"container-title":"The Cochrane database of systematic reviews","id":"ITEM-3","issued":{"date-parts":[["2016","4","20"]]},"page":"CD010816","title":"Bortezomib for the treatment of multiple myeloma.","type":"article-journal","volume":"4"},"uris":["http://www.mendeley.com/documents/?uuid=9ecdc7e8-5097-32cf-a812-bfc887947c9a"]}],"mendeley":{"formattedCitation":"[56–58]","plainTextFormattedCitation":"[56–58]","previouslyFormattedCitation":"[56–58]"},"properties":{"noteIndex":0},"schema":"https://github.com/citation-style-language/schema/raw/master/csl-citation.json"}</w:instrText>
      </w:r>
      <w:r w:rsidR="008F69F6" w:rsidRPr="00F242DD">
        <w:rPr>
          <w:i/>
        </w:rPr>
        <w:fldChar w:fldCharType="separate"/>
      </w:r>
      <w:r w:rsidR="008F69F6" w:rsidRPr="00F242DD">
        <w:rPr>
          <w:noProof/>
        </w:rPr>
        <w:t>[56–58]</w:t>
      </w:r>
      <w:r w:rsidR="008F69F6" w:rsidRPr="00F242DD">
        <w:rPr>
          <w:i/>
        </w:rPr>
        <w:fldChar w:fldCharType="end"/>
      </w:r>
      <w:r w:rsidR="008F69F6" w:rsidRPr="00F242DD">
        <w:t>.</w:t>
      </w:r>
    </w:p>
    <w:p w14:paraId="56BD9CB4" w14:textId="09C4E9D4" w:rsidR="00FA6648" w:rsidRPr="00FA6648" w:rsidRDefault="00FA6648" w:rsidP="008F69F6">
      <w:pPr>
        <w:spacing w:before="0" w:after="0"/>
        <w:ind w:left="709"/>
        <w:rPr>
          <w:b/>
        </w:rPr>
      </w:pPr>
      <w:r w:rsidRPr="00FA6648">
        <w:rPr>
          <w:b/>
        </w:rPr>
        <w:lastRenderedPageBreak/>
        <w:t xml:space="preserve">Уровень убедительности рекомендаций − </w:t>
      </w:r>
      <w:r w:rsidR="001317C7">
        <w:rPr>
          <w:b/>
        </w:rPr>
        <w:t>А</w:t>
      </w:r>
      <w:r w:rsidRPr="00FA6648">
        <w:rPr>
          <w:b/>
        </w:rPr>
        <w:t xml:space="preserve"> (уровень достоверности доказательств − </w:t>
      </w:r>
      <w:r w:rsidR="008F69F6">
        <w:rPr>
          <w:b/>
        </w:rPr>
        <w:t>2</w:t>
      </w:r>
      <w:r w:rsidRPr="00FA6648">
        <w:rPr>
          <w:b/>
        </w:rPr>
        <w:t>)</w:t>
      </w:r>
    </w:p>
    <w:p w14:paraId="0C38DBCD" w14:textId="1D4FCEA0" w:rsidR="00B424E0" w:rsidRPr="008F69F6" w:rsidRDefault="008F69F6" w:rsidP="0084190C">
      <w:pPr>
        <w:spacing w:before="0" w:after="0"/>
        <w:ind w:left="709"/>
        <w:contextualSpacing/>
        <w:rPr>
          <w:i/>
        </w:rPr>
      </w:pPr>
      <w:r w:rsidRPr="008F69F6">
        <w:rPr>
          <w:i/>
        </w:rPr>
        <w:t xml:space="preserve">Комментарий: </w:t>
      </w:r>
      <w:r w:rsidR="00B424E0" w:rsidRPr="008F69F6">
        <w:rPr>
          <w:i/>
        </w:rPr>
        <w:t>Леналидомид также может назначаться пациентам с тяжелой, в том числе диализ-зависимой почечной недостаточностью, в этих случаях должен проводиться тщательный мониторинг гематологической токсичности.</w:t>
      </w:r>
      <w:r>
        <w:rPr>
          <w:i/>
        </w:rPr>
        <w:t xml:space="preserve"> </w:t>
      </w:r>
      <w:r w:rsidR="00B424E0" w:rsidRPr="008F69F6">
        <w:rPr>
          <w:i/>
        </w:rPr>
        <w:t>Высокодозная химиотерапия с последующей аутоТГСК выполнима у больных ММ с почечной недостаточностью; доза мелфалана должны</w:t>
      </w:r>
      <w:r w:rsidR="00791645">
        <w:rPr>
          <w:i/>
        </w:rPr>
        <w:t xml:space="preserve"> быть ограничена 100-140 мг/м2.</w:t>
      </w:r>
    </w:p>
    <w:p w14:paraId="6689186A" w14:textId="60FC7CA5" w:rsidR="004B0830" w:rsidRDefault="0084190C" w:rsidP="001317C7">
      <w:pPr>
        <w:pStyle w:val="a6"/>
        <w:numPr>
          <w:ilvl w:val="0"/>
          <w:numId w:val="10"/>
        </w:numPr>
        <w:spacing w:before="0" w:after="0"/>
        <w:ind w:left="709" w:hanging="709"/>
      </w:pPr>
      <w:r>
        <w:t>Пациентам с ММ, осложненной миеломной нефропатией, д</w:t>
      </w:r>
      <w:r w:rsidR="00B424E0" w:rsidRPr="00B424E0">
        <w:t xml:space="preserve">ля лечения рецидивирующей/рефрактерной ММ с почечной недостаточностью </w:t>
      </w:r>
      <w:r w:rsidR="004B0830" w:rsidRPr="0084190C">
        <w:rPr>
          <w:b/>
        </w:rPr>
        <w:t xml:space="preserve">рекомендуется </w:t>
      </w:r>
      <w:r w:rsidR="004B0830">
        <w:t>применять</w:t>
      </w:r>
      <w:r w:rsidR="00B424E0" w:rsidRPr="00B424E0">
        <w:t xml:space="preserve"> </w:t>
      </w:r>
      <w:r w:rsidR="004B0830">
        <w:t>следующие противоопухолевые препараты</w:t>
      </w:r>
      <w:r w:rsidR="001317C7">
        <w:t>:</w:t>
      </w:r>
      <w:r w:rsidR="004B0830">
        <w:t xml:space="preserve"> </w:t>
      </w:r>
      <w:r w:rsidR="001317C7">
        <w:t xml:space="preserve">бортезомиб, леналидомид, </w:t>
      </w:r>
      <w:r w:rsidR="004B0830">
        <w:t xml:space="preserve">иксазомиб, карфилзомиб, элотузумаб, </w:t>
      </w:r>
      <w:r w:rsidR="004F3F23">
        <w:t xml:space="preserve">помалидомид, </w:t>
      </w:r>
      <w:r w:rsidR="004B0830">
        <w:t>даратумумаб согласно представленным в приложении А 3.1 схемам терапии.</w:t>
      </w:r>
      <w:r w:rsidR="004B0830" w:rsidRPr="004B0830">
        <w:t xml:space="preserve"> </w:t>
      </w:r>
      <w:r w:rsidR="004B0830" w:rsidRPr="008F69F6">
        <w:t>[</w:t>
      </w:r>
      <w:r w:rsidR="004B0830" w:rsidRPr="001317C7">
        <w:t>56, 59, 60, 61, 63-65]</w:t>
      </w:r>
    </w:p>
    <w:p w14:paraId="3F9F8A4A" w14:textId="347A8B0D" w:rsidR="004B0830" w:rsidRPr="008F69F6" w:rsidRDefault="004B0830" w:rsidP="004B0830">
      <w:pPr>
        <w:spacing w:before="0" w:after="0"/>
        <w:ind w:left="709"/>
        <w:rPr>
          <w:b/>
        </w:rPr>
      </w:pPr>
      <w:r w:rsidRPr="008F69F6">
        <w:rPr>
          <w:b/>
        </w:rPr>
        <w:t>Уровень убедительности рекомендаций − А (уровень достоверности доказательств − 2)</w:t>
      </w:r>
    </w:p>
    <w:p w14:paraId="375698E7" w14:textId="5BE27C89" w:rsidR="0084190C" w:rsidRPr="0084190C" w:rsidRDefault="004B0830" w:rsidP="0084190C">
      <w:pPr>
        <w:pStyle w:val="a6"/>
        <w:spacing w:before="0" w:after="0"/>
        <w:ind w:left="709"/>
        <w:rPr>
          <w:i/>
        </w:rPr>
      </w:pPr>
      <w:r w:rsidRPr="001317C7">
        <w:rPr>
          <w:i/>
        </w:rPr>
        <w:t xml:space="preserve">Комментарий: </w:t>
      </w:r>
      <w:r w:rsidR="0084190C" w:rsidRPr="0084190C">
        <w:rPr>
          <w:i/>
        </w:rPr>
        <w:t>Выбор терапии рецидива зависит от эффективности предшествующей линии терапии, клинических особенностей пациента (наличие полинейропатии, тромбозы в анамнезе и др.), а также от предпочтений и опыта центра и лечащего врача. У пациентов, у которых не развилась рефрактерность к бортезомибу** и леналидомиду**, могут применяться следующие варианты лечения (описание режимов – см. приложение А3.1.) [56–60]:</w:t>
      </w:r>
    </w:p>
    <w:p w14:paraId="1034B30F" w14:textId="77777777" w:rsidR="0084190C" w:rsidRPr="0084190C" w:rsidRDefault="0084190C" w:rsidP="0084190C">
      <w:pPr>
        <w:pStyle w:val="a6"/>
        <w:spacing w:before="0" w:after="0"/>
        <w:ind w:left="709"/>
        <w:rPr>
          <w:i/>
        </w:rPr>
      </w:pPr>
      <w:r w:rsidRPr="0084190C">
        <w:rPr>
          <w:i/>
        </w:rPr>
        <w:t>•</w:t>
      </w:r>
      <w:r w:rsidRPr="0084190C">
        <w:rPr>
          <w:i/>
        </w:rPr>
        <w:tab/>
        <w:t>Бортезомибсодержащие** режимы</w:t>
      </w:r>
    </w:p>
    <w:p w14:paraId="50C5F175" w14:textId="77777777" w:rsidR="0084190C" w:rsidRPr="0084190C" w:rsidRDefault="0084190C" w:rsidP="0084190C">
      <w:pPr>
        <w:pStyle w:val="a6"/>
        <w:spacing w:before="0" w:after="0"/>
        <w:ind w:left="709"/>
        <w:rPr>
          <w:i/>
        </w:rPr>
      </w:pPr>
      <w:r w:rsidRPr="0084190C">
        <w:rPr>
          <w:i/>
        </w:rPr>
        <w:t>•</w:t>
      </w:r>
      <w:r w:rsidRPr="0084190C">
        <w:rPr>
          <w:i/>
        </w:rPr>
        <w:tab/>
        <w:t>Леналидомидсодержащие** режимы</w:t>
      </w:r>
    </w:p>
    <w:p w14:paraId="54CCF962" w14:textId="77777777" w:rsidR="0084190C" w:rsidRPr="0084190C" w:rsidRDefault="0084190C" w:rsidP="0084190C">
      <w:pPr>
        <w:pStyle w:val="a6"/>
        <w:spacing w:before="0" w:after="0"/>
        <w:ind w:left="709"/>
        <w:rPr>
          <w:i/>
        </w:rPr>
      </w:pPr>
      <w:r w:rsidRPr="0084190C">
        <w:rPr>
          <w:i/>
        </w:rPr>
        <w:t>•</w:t>
      </w:r>
      <w:r w:rsidRPr="0084190C">
        <w:rPr>
          <w:i/>
        </w:rPr>
        <w:tab/>
        <w:t>Комбинация бортезомиба**, леналидомида** и дексаметазона**</w:t>
      </w:r>
    </w:p>
    <w:p w14:paraId="5688034F" w14:textId="77777777" w:rsidR="0084190C" w:rsidRPr="0084190C" w:rsidRDefault="0084190C" w:rsidP="0084190C">
      <w:pPr>
        <w:pStyle w:val="a6"/>
        <w:spacing w:before="0" w:after="0"/>
        <w:ind w:left="709"/>
        <w:rPr>
          <w:i/>
        </w:rPr>
      </w:pPr>
      <w:r w:rsidRPr="0084190C">
        <w:rPr>
          <w:i/>
        </w:rPr>
        <w:t>•</w:t>
      </w:r>
      <w:r w:rsidRPr="0084190C">
        <w:rPr>
          <w:i/>
        </w:rPr>
        <w:tab/>
        <w:t>Комбинация карфилзомиба**, леналидомида** и дексаметазона**</w:t>
      </w:r>
    </w:p>
    <w:p w14:paraId="3AF3DE51" w14:textId="77777777" w:rsidR="0084190C" w:rsidRPr="0084190C" w:rsidRDefault="0084190C" w:rsidP="0084190C">
      <w:pPr>
        <w:pStyle w:val="a6"/>
        <w:spacing w:before="0" w:after="0"/>
        <w:ind w:left="709"/>
        <w:rPr>
          <w:i/>
        </w:rPr>
      </w:pPr>
      <w:r w:rsidRPr="0084190C">
        <w:rPr>
          <w:i/>
        </w:rPr>
        <w:t>•</w:t>
      </w:r>
      <w:r w:rsidRPr="0084190C">
        <w:rPr>
          <w:i/>
        </w:rPr>
        <w:tab/>
        <w:t>Комбинация иксазомиба**, леналидомида** и дексаметазона**</w:t>
      </w:r>
    </w:p>
    <w:p w14:paraId="38A4A37E" w14:textId="77777777" w:rsidR="0084190C" w:rsidRPr="0084190C" w:rsidRDefault="0084190C" w:rsidP="0084190C">
      <w:pPr>
        <w:pStyle w:val="a6"/>
        <w:spacing w:before="0" w:after="0"/>
        <w:ind w:left="709"/>
        <w:rPr>
          <w:i/>
        </w:rPr>
      </w:pPr>
      <w:r w:rsidRPr="0084190C">
        <w:rPr>
          <w:i/>
        </w:rPr>
        <w:t>•</w:t>
      </w:r>
      <w:r w:rsidRPr="0084190C">
        <w:rPr>
          <w:i/>
        </w:rPr>
        <w:tab/>
        <w:t>Комбинация даратумумаба**, леналидомида** и дексаметазона**</w:t>
      </w:r>
    </w:p>
    <w:p w14:paraId="1F20D8FD" w14:textId="77777777" w:rsidR="0084190C" w:rsidRPr="0084190C" w:rsidRDefault="0084190C" w:rsidP="0084190C">
      <w:pPr>
        <w:pStyle w:val="a6"/>
        <w:spacing w:before="0" w:after="0"/>
        <w:ind w:left="709"/>
        <w:rPr>
          <w:i/>
        </w:rPr>
      </w:pPr>
      <w:r w:rsidRPr="0084190C">
        <w:rPr>
          <w:i/>
        </w:rPr>
        <w:t>•</w:t>
      </w:r>
      <w:r w:rsidRPr="0084190C">
        <w:rPr>
          <w:i/>
        </w:rPr>
        <w:tab/>
        <w:t>Комбинация даратумумаба**, бортезомиба** и дексаметазона**</w:t>
      </w:r>
    </w:p>
    <w:p w14:paraId="1AD07B53" w14:textId="77777777" w:rsidR="0084190C" w:rsidRDefault="0084190C" w:rsidP="0084190C">
      <w:pPr>
        <w:pStyle w:val="a6"/>
        <w:spacing w:before="0" w:after="0"/>
        <w:ind w:left="709"/>
        <w:rPr>
          <w:i/>
        </w:rPr>
      </w:pPr>
      <w:r w:rsidRPr="0084190C">
        <w:rPr>
          <w:i/>
        </w:rPr>
        <w:t>•</w:t>
      </w:r>
      <w:r w:rsidRPr="0084190C">
        <w:rPr>
          <w:i/>
        </w:rPr>
        <w:tab/>
        <w:t>Комбинация элотузумаба**, леналидомида** и дексаметазона**</w:t>
      </w:r>
    </w:p>
    <w:p w14:paraId="7C54ECB5" w14:textId="350294C1" w:rsidR="00B424E0" w:rsidRPr="001317C7" w:rsidRDefault="0084190C" w:rsidP="0084190C">
      <w:pPr>
        <w:pStyle w:val="a6"/>
        <w:spacing w:before="0" w:after="0"/>
        <w:ind w:left="709"/>
        <w:rPr>
          <w:i/>
        </w:rPr>
      </w:pPr>
      <w:r>
        <w:rPr>
          <w:i/>
        </w:rPr>
        <w:t>К</w:t>
      </w:r>
      <w:r w:rsidR="00B424E0" w:rsidRPr="001317C7">
        <w:rPr>
          <w:i/>
        </w:rPr>
        <w:t xml:space="preserve">арфилзомиб не требует модификации дозы и показывает похожие результаты у пациентов с почечной недостаточностью: уровень доказательности А - у пациентов с клиренсом креатинина ≥ 15 мл/мин и В - у пациентов с клиренсом креатинина &lt;15 мл/мин. Иксазомиб назначают в дозе 4 мг 1 раз в неделю при СКФ </w:t>
      </w:r>
      <w:r w:rsidR="00B424E0" w:rsidRPr="001317C7">
        <w:rPr>
          <w:i/>
        </w:rPr>
        <w:lastRenderedPageBreak/>
        <w:t>&gt;30 мл/мин. Препарат может быть использован и при СКФ &lt;3</w:t>
      </w:r>
      <w:r w:rsidR="008F69F6" w:rsidRPr="001317C7">
        <w:rPr>
          <w:i/>
        </w:rPr>
        <w:t xml:space="preserve">0 мл/мин в стартовой дозе 3 мг. </w:t>
      </w:r>
    </w:p>
    <w:p w14:paraId="6109E685" w14:textId="198063D1" w:rsidR="00B424E0" w:rsidRPr="00B424E0" w:rsidRDefault="0084190C" w:rsidP="0084190C">
      <w:pPr>
        <w:pStyle w:val="a6"/>
        <w:numPr>
          <w:ilvl w:val="0"/>
          <w:numId w:val="10"/>
        </w:numPr>
        <w:spacing w:before="0" w:after="0"/>
        <w:ind w:left="709" w:hanging="709"/>
      </w:pPr>
      <w:r>
        <w:t xml:space="preserve">Пациентам с ММ, осложненной миеломной нефропатией, </w:t>
      </w:r>
      <w:r w:rsidRPr="0084190C">
        <w:rPr>
          <w:b/>
        </w:rPr>
        <w:t xml:space="preserve">рекомендуется </w:t>
      </w:r>
      <w:r>
        <w:t>проводить д</w:t>
      </w:r>
      <w:r w:rsidR="00B424E0" w:rsidRPr="00B424E0">
        <w:t xml:space="preserve">ополнительные методы обследования: </w:t>
      </w:r>
    </w:p>
    <w:p w14:paraId="53DD6571" w14:textId="77777777" w:rsidR="00B424E0" w:rsidRPr="00B424E0" w:rsidRDefault="00B424E0" w:rsidP="00B424E0">
      <w:pPr>
        <w:spacing w:before="0" w:after="0"/>
        <w:ind w:firstLine="709"/>
      </w:pPr>
      <w:r w:rsidRPr="00B424E0">
        <w:t xml:space="preserve">• определение кислотно-щелочного состояния (наличие и степень выраженности метаболического ацидоза); </w:t>
      </w:r>
    </w:p>
    <w:p w14:paraId="6F8973D1" w14:textId="77777777" w:rsidR="00B424E0" w:rsidRPr="00B424E0" w:rsidRDefault="00B424E0" w:rsidP="00B424E0">
      <w:pPr>
        <w:spacing w:before="0" w:after="0"/>
        <w:ind w:firstLine="709"/>
      </w:pPr>
      <w:r w:rsidRPr="00B424E0">
        <w:t xml:space="preserve">• исследование характера протеинурии (для миеломной нефропатии характерен канальцевый тип протеинурии; при клубочковой и смешанной протеинурии необходимо исключить наличие амилоидоза почек или болезнь депозитов легких цепей). </w:t>
      </w:r>
    </w:p>
    <w:p w14:paraId="072D1BFB" w14:textId="0102E90C" w:rsidR="00B424E0" w:rsidRPr="0084190C" w:rsidRDefault="0084190C" w:rsidP="00B424E0">
      <w:pPr>
        <w:spacing w:before="0" w:after="0"/>
        <w:ind w:firstLine="709"/>
        <w:rPr>
          <w:i/>
        </w:rPr>
      </w:pPr>
      <w:r w:rsidRPr="0084190C">
        <w:rPr>
          <w:i/>
        </w:rPr>
        <w:t xml:space="preserve">Комментарий: </w:t>
      </w:r>
      <w:r>
        <w:rPr>
          <w:i/>
        </w:rPr>
        <w:t xml:space="preserve">к общим рекомендациям </w:t>
      </w:r>
      <w:r w:rsidR="00B424E0" w:rsidRPr="0084190C">
        <w:rPr>
          <w:i/>
        </w:rPr>
        <w:t xml:space="preserve">по лечению </w:t>
      </w:r>
      <w:r>
        <w:rPr>
          <w:i/>
        </w:rPr>
        <w:t>ММ с почечной недостаточностью отностяся:</w:t>
      </w:r>
    </w:p>
    <w:p w14:paraId="689713D2" w14:textId="77777777" w:rsidR="00B424E0" w:rsidRPr="0084190C" w:rsidRDefault="00B424E0" w:rsidP="00B424E0">
      <w:pPr>
        <w:spacing w:before="0" w:after="0"/>
        <w:ind w:firstLine="709"/>
        <w:rPr>
          <w:i/>
        </w:rPr>
      </w:pPr>
      <w:r w:rsidRPr="0084190C">
        <w:rPr>
          <w:i/>
        </w:rPr>
        <w:t xml:space="preserve">• коррекция дегидратации, исключение диуретиков; </w:t>
      </w:r>
    </w:p>
    <w:p w14:paraId="06E03C81" w14:textId="77777777" w:rsidR="00B424E0" w:rsidRPr="0084190C" w:rsidRDefault="00B424E0" w:rsidP="00B424E0">
      <w:pPr>
        <w:spacing w:before="0" w:after="0"/>
        <w:ind w:firstLine="709"/>
        <w:rPr>
          <w:i/>
        </w:rPr>
      </w:pPr>
      <w:r w:rsidRPr="0084190C">
        <w:rPr>
          <w:i/>
        </w:rPr>
        <w:t xml:space="preserve">• исключение нефротоксичных препаратов; </w:t>
      </w:r>
    </w:p>
    <w:p w14:paraId="637DD2D7" w14:textId="1EFEF845" w:rsidR="00B424E0" w:rsidRPr="0084190C" w:rsidRDefault="00B424E0" w:rsidP="00B424E0">
      <w:pPr>
        <w:spacing w:before="0" w:after="0"/>
        <w:ind w:firstLine="709"/>
        <w:rPr>
          <w:i/>
        </w:rPr>
      </w:pPr>
      <w:r w:rsidRPr="0084190C">
        <w:rPr>
          <w:i/>
        </w:rPr>
        <w:t>• коррекция электролитных нарушений и кислотно-щел</w:t>
      </w:r>
      <w:r w:rsidR="00FA6648" w:rsidRPr="0084190C">
        <w:rPr>
          <w:i/>
        </w:rPr>
        <w:t>очного состояния.</w:t>
      </w:r>
    </w:p>
    <w:p w14:paraId="61A63C72" w14:textId="2D8CBE82" w:rsidR="00FA6648" w:rsidRPr="00FA6648" w:rsidRDefault="00FA6648" w:rsidP="00FA6648">
      <w:pPr>
        <w:spacing w:before="0" w:after="0"/>
        <w:ind w:firstLine="709"/>
        <w:rPr>
          <w:b/>
        </w:rPr>
      </w:pPr>
      <w:r w:rsidRPr="00FA6648">
        <w:rPr>
          <w:b/>
        </w:rPr>
        <w:t xml:space="preserve">Уровень убедительности рекомендаций − </w:t>
      </w:r>
      <w:r w:rsidR="008F69F6">
        <w:rPr>
          <w:b/>
          <w:lang w:val="en-US"/>
        </w:rPr>
        <w:t>C</w:t>
      </w:r>
      <w:r w:rsidRPr="00FA6648">
        <w:rPr>
          <w:b/>
        </w:rPr>
        <w:t xml:space="preserve"> (уровень достоверности доказательств − </w:t>
      </w:r>
      <w:r w:rsidR="008F69F6" w:rsidRPr="008F69F6">
        <w:rPr>
          <w:b/>
        </w:rPr>
        <w:t>5</w:t>
      </w:r>
      <w:r w:rsidRPr="00FA6648">
        <w:rPr>
          <w:b/>
        </w:rPr>
        <w:t>)</w:t>
      </w:r>
    </w:p>
    <w:p w14:paraId="6D0E61DD" w14:textId="76A5C6D9" w:rsidR="00B424E0" w:rsidRPr="00B424E0" w:rsidRDefault="0084190C" w:rsidP="0084190C">
      <w:pPr>
        <w:pStyle w:val="a6"/>
        <w:numPr>
          <w:ilvl w:val="0"/>
          <w:numId w:val="10"/>
        </w:numPr>
        <w:spacing w:before="0" w:after="0"/>
        <w:ind w:left="709" w:hanging="709"/>
      </w:pPr>
      <w:r>
        <w:t xml:space="preserve">Пациентам с ММ, осложненной миеломной нефропатией, </w:t>
      </w:r>
      <w:r w:rsidRPr="0084190C">
        <w:rPr>
          <w:b/>
        </w:rPr>
        <w:t xml:space="preserve">рекомендуется </w:t>
      </w:r>
      <w:r w:rsidR="00B424E0" w:rsidRPr="00B424E0">
        <w:t>оцен</w:t>
      </w:r>
      <w:r>
        <w:t xml:space="preserve">ивать </w:t>
      </w:r>
      <w:r w:rsidR="00B424E0" w:rsidRPr="00B424E0">
        <w:t xml:space="preserve">эффективности терапии </w:t>
      </w:r>
      <w:r>
        <w:t>с учетом критериев</w:t>
      </w:r>
      <w:r w:rsidR="00B424E0" w:rsidRPr="00B424E0">
        <w:t xml:space="preserve"> почечного ответа (табл. </w:t>
      </w:r>
      <w:r w:rsidR="00B424E0">
        <w:t>7</w:t>
      </w:r>
      <w:r w:rsidR="00B424E0" w:rsidRPr="00B424E0">
        <w:t>).</w:t>
      </w:r>
    </w:p>
    <w:p w14:paraId="6B451551" w14:textId="46B7769E" w:rsidR="00B424E0" w:rsidRPr="00B424E0" w:rsidRDefault="00B424E0" w:rsidP="00B424E0">
      <w:pPr>
        <w:spacing w:before="0" w:after="0"/>
      </w:pPr>
      <w:r w:rsidRPr="00B424E0">
        <w:rPr>
          <w:b/>
        </w:rPr>
        <w:t xml:space="preserve">Таблица </w:t>
      </w:r>
      <w:r>
        <w:rPr>
          <w:b/>
        </w:rPr>
        <w:t>7</w:t>
      </w:r>
      <w:r w:rsidRPr="00B424E0">
        <w:t>.Критерии почечного ответа на противомиеломную терапию (IMWG)</w:t>
      </w:r>
      <w:r w:rsidR="008F69F6" w:rsidRPr="008F69F6">
        <w:t xml:space="preserve"> </w:t>
      </w:r>
      <w:r w:rsidR="008F69F6" w:rsidRPr="00F242DD">
        <w:fldChar w:fldCharType="begin" w:fldLock="1"/>
      </w:r>
      <w:r w:rsidR="008F69F6" w:rsidRPr="00F242DD">
        <w:instrText>ADDIN CSL_CITATION {"citationItems":[{"id":"ITEM-1","itemData":{"DOI":"10.1038/sj.leu.2404284","ISSN":"14765551","abstract":"New uniform response criteria are required to adequately assess clinical outcomes in myeloma. The European Group for Blood and Bone Marrow Transplant/International Bone Marrow Transplant Registry criteria have been expanded, clarified and updated to provide a new comprehensive evaluation system. Categories for stringent complete response and very good partial response are added. The serum free light-chain assay is included to allow evaluation of patients with oligo-secretory disease. Inconsistencies in prior criteria are clarified making confirmation of response and disease progression easier to perform. Emphasis is placed upon time to event and duration of response as critical end points. The requirements necessary to use overall survival duration as the ultimate end point are discussed. It is anticipated that the International Response Criteria for multiple myeloma will be widely used in future clinical trials of myeloma.","author":[{"dropping-particle":"","family":"Durie","given":"B. G.M.","non-dropping-particle":"","parse-names":false,"suffix":""},{"dropping-particle":"","family":"Harousseau","given":"J. L.","non-dropping-particle":"","parse-names":false,"suffix":""},{"dropping-particle":"","family":"Miguel","given":"J. S.","non-dropping-particle":"","parse-names":false,"suffix":""},{"dropping-particle":"","family":"Bladé","given":"J.","non-dropping-particle":"","parse-names":false,"suffix":""},{"dropping-particle":"","family":"Barlogie","given":"B.","non-dropping-particle":"","parse-names":false,"suffix":""},{"dropping-particle":"","family":"Anderson","given":"K.","non-dropping-particle":"","parse-names":false,"suffix":""},{"dropping-particle":"","family":"Gertz","given":"M.","non-dropping-particle":"","parse-names":false,"suffix":""},{"dropping-particle":"","family":"Dimopoulos","given":"M.","non-dropping-particle":"","parse-names":false,"suffix":""},{"dropping-particle":"","family":"Westin","given":"J.","non-dropping-particle":"","parse-names":false,"suffix":""},{"dropping-particle":"","family":"Sonneveld","given":"P.","non-dropping-particle":"","parse-names":false,"suffix":""},{"dropping-particle":"","family":"Ludwig","given":"H.","non-dropping-particle":"","parse-names":false,"suffix":""},{"dropping-particle":"","family":"Gahrton","given":"G.","non-dropping-particle":"","parse-names":false,"suffix":""},{"dropping-particle":"","family":"Beksac","given":"M.","non-dropping-particle":"","parse-names":false,"suffix":""},{"dropping-particle":"","family":"Crowley","given":"J.","non-dropping-particle":"","parse-names":false,"suffix":""},{"dropping-particle":"","family":"Belch","given":"A.","non-dropping-particle":"","parse-names":false,"suffix":""},{"dropping-particle":"","family":"Boccadaro","given":"M.","non-dropping-particle":"","parse-names":false,"suffix":""},{"dropping-particle":"","family":"Cavo","given":"M.","non-dropping-particle":"","parse-names":false,"suffix":""},{"dropping-particle":"","family":"Turesson","given":"I.","non-dropping-particle":"","parse-names":false,"suffix":""},{"dropping-particle":"","family":"Joshua","given":"D.","non-dropping-particle":"","parse-names":false,"suffix":""},{"dropping-particle":"","family":"Vesole","given":"D.","non-dropping-particle":"","parse-names":false,"suffix":""},{"dropping-particle":"","family":"Kyle","given":"R.","non-dropping-particle":"","parse-names":false,"suffix":""},{"dropping-particle":"","family":"Tricot","given":"G.","non-dropping-particle":"","parse-names":false,"suffix":""},{"dropping-particle":"","family":"Alexanian","given":"R.","non-dropping-particle":"","parse-names":false,"suffix":""},{"dropping-particle":"","family":"Attal","given":"M.","non-dropping-particle":"","parse-names":false,"suffix":""},{"dropping-particle":"","family":"Merlini","given":"G.","non-dropping-particle":"","parse-names":false,"suffix":""},{"dropping-particle":"","family":"Powles","given":"R.","non-dropping-particle":"","parse-names":false,"suffix":""},{"dropping-particle":"","family":"Richardson","given":"P.","non-dropping-particle":"","parse-names":false,"suffix":""},{"dropping-particle":"","family":"Shimizu","given":"K.","non-dropping-particle":"","parse-names":false,"suffix":""},{"dropping-particle":"","family":"Tosi","given":"P.","non-dropping-particle":"","parse-names":false,"suffix":""},{"dropping-particle":"V.","family":"Rajkumar","given":"S.","non-dropping-particle":"","parse-names":false,"suffix":""},{"dropping-particle":"","family":"Morgan","given":"G.","non-dropping-particle":"","parse-names":false,"suffix":""}],"container-title":"Leukemia","id":"ITEM-1","issue":"9","issued":{"date-parts":[["2006","9","1"]]},"page":"1467-1473","publisher":"Nature Publishing Group","title":"International uniform response criteria for multiple myeloma","type":"article-journal","volume":"20"},"uris":["http://www.mendeley.com/documents/?uuid=aebf3721-d8f9-331d-a8a6-ba12b64a133b"]},{"id":"ITEM-2","itemData":{"DOI":"10.1182/blood-2010-10-299487","ISSN":"00064971","abstract":"It is essential that there be consistency in the conduct, analysis, and reporting of clinical trial results in myeloma. The goal of the International Myeloma Workshop Consensus Panel 1 was to develop a set of guidelines for the uniform reporting of clinical trial results in myeloma. This paper provides a summary of the current response criteria in myeloma, detailed definitions for patient populations, lines of therapy, and specific endpoints. We propose that future clinical trials in myeloma follow the guidelines for reporting results proposed in this manuscript.","author":[{"dropping-particle":"","family":"Rajkumar","given":"S. Vincent","non-dropping-particle":"","parse-names":false,"suffix":""},{"dropping-particle":"","family":"Harousseau","given":"Jean Luc","non-dropping-particle":"","parse-names":false,"suffix":""},{"dropping-particle":"","family":"Durie","given":"Brian","non-dropping-particle":"","parse-names":false,"suffix":""},{"dropping-particle":"","family":"Anderson","given":"Kenneth C.","non-dropping-particle":"","parse-names":false,"suffix":""},{"dropping-particle":"","family":"Dimopoulos","given":"Meletios","non-dropping-particle":"","parse-names":false,"suffix":""},{"dropping-particle":"","family":"Kyle","given":"Robert","non-dropping-particle":"","parse-names":false,"suffix":""},{"dropping-particle":"","family":"Blade","given":"Joan","non-dropping-particle":"","parse-names":false,"suffix":""},{"dropping-particle":"","family":"Richardson","given":"Paul","non-dropping-particle":"","parse-names":false,"suffix":""},{"dropping-particle":"","family":"Orlowski","given":"Robert","non-dropping-particle":"","parse-names":false,"suffix":""},{"dropping-particle":"","family":"Siegel","given":"David","non-dropping-particle":"","parse-names":false,"suffix":""},{"dropping-particle":"","family":"Jagannath","given":"Sundar","non-dropping-particle":"","parse-names":false,"suffix":""},{"dropping-particle":"","family":"Facon","given":"Thierry","non-dropping-particle":"","parse-names":false,"suffix":""},{"dropping-particle":"","family":"Avet-Loiseau","given":"Hervé","non-dropping-particle":"","parse-names":false,"suffix":""},{"dropping-particle":"","family":"Lonial","given":"Sagar","non-dropping-particle":"","parse-names":false,"suffix":""},{"dropping-particle":"","family":"Palumbo","given":"Antonio","non-dropping-particle":"","parse-names":false,"suffix":""},{"dropping-particle":"","family":"Zonder","given":"Jeffrey","non-dropping-particle":"","parse-names":false,"suffix":""},{"dropping-particle":"","family":"Ludwig","given":"Heinz","non-dropping-particle":"","parse-names":false,"suffix":""},{"dropping-particle":"","family":"Vesole","given":"David","non-dropping-particle":"","parse-names":false,"suffix":""},{"dropping-particle":"","family":"Sezer","given":"Orhan","non-dropping-particle":"","parse-names":false,"suffix":""},{"dropping-particle":"","family":"Munshi","given":"Nikhil C.","non-dropping-particle":"","parse-names":false,"suffix":""},{"dropping-particle":"","family":"San Miguel","given":"Jesus","non-dropping-particle":"","parse-names":false,"suffix":""}],"container-title":"Blood","id":"ITEM-2","issue":"18","issued":{"date-parts":[["2011","5","5"]]},"page":"4691-4695","title":"Consensus recommendations for the uniform reporting of clinical trials: Report of the International Myeloma Workshop Consensus Panel 1","type":"paper-conference","volume":"117"},"uris":["http://www.mendeley.com/documents/?uuid=0db91df9-fa07-385d-b4a7-0a85a73875a2"]},{"id":"ITEM-3","itemData":{"DOI":"10.1016/S1470-2045(16)30206-6","ISSN":"14745488","abstract":"Treatment of multiple myeloma has substantially changed over the past decade with the introduction of several classes of new effective drugs that have greatly improved the rates and depth of response. Response criteria in multiple myeloma were developed to use serum and urine assessment of monoclonal proteins and bone marrow assessment (which is relatively insensitive). Given the high rates of complete response seen in patients with multiple myeloma with new treatment approaches, new response categories need to be defined that can identify responses that are deeper than those conventionally defined as complete response. Recent attempts have focused on the identification of residual tumour cells in the bone marrow using flow cytometry or gene sequencing. Furthermore, sensitive imaging techniques can be used to detect the presence of residual disease outside of the bone marrow. Combining these new methods, the International Myeloma Working Group has defined new response categories of minimal residual disease negativity, with or without imaging-based absence of extramedullary disease, to allow uniform reporting within and outside clinical trials. In this Review, we clarify several aspects of disease response assessment, along with endpoints for clinical trials, and highlight future directions for disease response assessments.","author":[{"dropping-particle":"","family":"Kumar","given":"Shaji","non-dropping-particle":"","parse-names":false,"suffix":""},{"dropping-particle":"","family":"Paiva","given":"Bruno","non-dropping-particle":"","parse-names":false,"suffix":""},{"dropping-particle":"","family":"Anderson","given":"Kenneth C.","non-dropping-particle":"","parse-names":false,"suffix":""},{"dropping-particle":"","family":"Durie","given":"Brian","non-dropping-particle":"","parse-names":false,"suffix":""},{"dropping-particle":"","family":"Landgren","given":"Ola","non-dropping-particle":"","parse-names":false,"suffix":""},{"dropping-particle":"","family":"Moreau","given":"Philippe","non-dropping-particle":"","parse-names":false,"suffix":""},{"dropping-particle":"","family":"Munshi","given":"Nikhil","non-dropping-particle":"","parse-names":false,"suffix":""},{"dropping-particle":"","family":"Lonial","given":"Sagar","non-dropping-particle":"","parse-names":false,"suffix":""},{"dropping-particle":"","family":"Bladé","given":"Joan","non-dropping-particle":"","parse-names":false,"suffix":""},{"dropping-particle":"","family":"Mateos","given":"Maria Victoria","non-dropping-particle":"","parse-names":false,"suffix":""},{"dropping-particle":"","family":"Dimopoulos","given":"Meletios","non-dropping-particle":"","parse-names":false,"suffix":""},{"dropping-particle":"","family":"Kastritis","given":"Efstathios","non-dropping-particle":"","parse-names":false,"suffix":""},{"dropping-particle":"","family":"Boccadoro","given":"Mario","non-dropping-particle":"","parse-names":false,"suffix":""},{"dropping-particle":"","family":"Orlowski","given":"Robert","non-dropping-particle":"","parse-names":false,"suffix":""},{"dropping-particle":"","family":"Goldschmidt","given":"Hartmut","non-dropping-particle":"","parse-names":false,"suffix":""},{"dropping-particle":"","family":"Spencer","given":"Andrew","non-dropping-particle":"","parse-names":false,"suffix":""},{"dropping-particle":"","family":"Hou","given":"Jian","non-dropping-particle":"","parse-names":false,"suffix":""},{"dropping-particle":"","family":"Chng","given":"Wee Joo","non-dropping-particle":"","parse-names":false,"suffix":""},{"dropping-particle":"","family":"Usmani","given":"Saad Z.","non-dropping-particle":"","parse-names":false,"suffix":""},{"dropping-particle":"","family":"Zamagni","given":"Elena","non-dropping-particle":"","parse-names":false,"suffix":""},{"dropping-particle":"","family":"Shimizu","given":"Kazuyuki","non-dropping-particle":"","parse-names":false,"suffix":""},{"dropping-particle":"","family":"Jagannath","given":"Sundar","non-dropping-particle":"","parse-names":false,"suffix":""},{"dropping-particle":"","family":"Johnsen","given":"Hans E.","non-dropping-particle":"","parse-names":false,"suffix":""},{"dropping-particle":"","family":"Terpos","given":"Evangelos","non-dropping-particle":"","parse-names":false,"suffix":""},{"dropping-particle":"","family":"Reiman","given":"Anthony","non-dropping-particle":"","parse-names":false,"suffix":""},{"dropping-particle":"","family":"Kyle","given":"Robert A.","non-dropping-particle":"","parse-names":false,"suffix":""},{"dropping-particle":"","family":"Sonneveld","given":"Pieter","non-dropping-particle":"","parse-names":false,"suffix":""},{"dropping-particle":"","family":"Richardson","given":"Paul G.","non-dropping-particle":"","parse-names":false,"suffix":""},{"dropping-particle":"","family":"McCarthy","given":"Philip","non-dropping-particle":"","parse-names":false,"suffix":""},{"dropping-particle":"","family":"Ludwig","given":"Heinz","non-dropping-particle":"","parse-names":false,"suffix":""},{"dropping-particle":"","family":"Chen","given":"Wenming","non-dropping-particle":"","parse-names":false,"suffix":""},{"dropping-particle":"","family":"Cavo","given":"Michele","non-dropping-particle":"","parse-names":false,"suffix":""},{"dropping-particle":"","family":"Harousseau","given":"Jean Luc","non-dropping-particle":"","parse-names":false,"suffix":""},{"dropping-particle":"","family":"Lentzsch","given":"Suzanne","non-dropping-particle":"","parse-names":false,"suffix":""},{"dropping-particle":"","family":"Hillengass","given":"Jens","non-dropping-particle":"","parse-names":false,"suffix":""},{"dropping-particle":"","family":"Palumbo","given":"Antonio","non-dropping-particle":"","parse-names":false,"suffix":""},{"dropping-particle":"","family":"Orfao","given":"Alberto","non-dropping-particle":"","parse-names":false,"suffix":""},{"dropping-particle":"","family":"Rajkumar","given":"S. Vincent","non-dropping-particle":"","parse-names":false,"suffix":""},{"dropping-particle":"","family":"Miguel","given":"Jesus San","non-dropping-particle":"","parse-names":false,"suffix":""},{"dropping-particle":"","family":"Avet-Loiseau","given":"Herve","non-dropping-particle":"","parse-names":false,"suffix":""}],"container-title":"The Lancet Oncology","id":"ITEM-3","issue":"8","issued":{"date-parts":[["2016","8","1"]]},"page":"e328-e346","publisher":"Lancet Publishing Group","title":"International Myeloma Working Group consensus criteria for response and minimal residual disease assessment in multiple myeloma","type":"article","volume":"17"},"uris":["http://www.mendeley.com/documents/?uuid=530a8544-f504-385c-8004-3a945290d1b0"]}],"mendeley":{"formattedCitation":"[72–74]","plainTextFormattedCitation":"[72–74]","previouslyFormattedCitation":"[72–74]"},"properties":{"noteIndex":0},"schema":"https://github.com/citation-style-language/schema/raw/master/csl-citation.json"}</w:instrText>
      </w:r>
      <w:r w:rsidR="008F69F6" w:rsidRPr="00F242DD">
        <w:fldChar w:fldCharType="separate"/>
      </w:r>
      <w:r w:rsidR="008F69F6" w:rsidRPr="00F242DD">
        <w:rPr>
          <w:noProof/>
        </w:rPr>
        <w:t>[72–74]</w:t>
      </w:r>
      <w:r w:rsidR="008F69F6" w:rsidRPr="00F242DD">
        <w:fldChar w:fldCharType="end"/>
      </w:r>
      <w:r w:rsidR="008F69F6" w:rsidRPr="00F242DD">
        <w:t>.</w:t>
      </w:r>
    </w:p>
    <w:tbl>
      <w:tblPr>
        <w:tblStyle w:val="22"/>
        <w:tblW w:w="0" w:type="auto"/>
        <w:tblLook w:val="04A0" w:firstRow="1" w:lastRow="0" w:firstColumn="1" w:lastColumn="0" w:noHBand="0" w:noVBand="1"/>
      </w:tblPr>
      <w:tblGrid>
        <w:gridCol w:w="2376"/>
        <w:gridCol w:w="3573"/>
        <w:gridCol w:w="3396"/>
      </w:tblGrid>
      <w:tr w:rsidR="00B424E0" w:rsidRPr="00B424E0" w14:paraId="1B82B053" w14:textId="77777777" w:rsidTr="00B424E0">
        <w:tc>
          <w:tcPr>
            <w:tcW w:w="2376" w:type="dxa"/>
          </w:tcPr>
          <w:p w14:paraId="544FB737" w14:textId="77777777" w:rsidR="00B424E0" w:rsidRPr="00B424E0" w:rsidRDefault="00B424E0" w:rsidP="00B424E0">
            <w:pPr>
              <w:spacing w:before="0" w:after="0"/>
            </w:pPr>
            <w:r w:rsidRPr="00B424E0">
              <w:t xml:space="preserve">Почечный ответ </w:t>
            </w:r>
          </w:p>
          <w:p w14:paraId="11349D50" w14:textId="77777777" w:rsidR="00B424E0" w:rsidRPr="00B424E0" w:rsidRDefault="00B424E0" w:rsidP="00B424E0">
            <w:pPr>
              <w:spacing w:before="0" w:after="0"/>
            </w:pPr>
          </w:p>
        </w:tc>
        <w:tc>
          <w:tcPr>
            <w:tcW w:w="3573" w:type="dxa"/>
          </w:tcPr>
          <w:p w14:paraId="2A83C1DB" w14:textId="77777777" w:rsidR="00B424E0" w:rsidRPr="00B424E0" w:rsidRDefault="00B424E0" w:rsidP="00B424E0">
            <w:pPr>
              <w:spacing w:before="0" w:after="0"/>
            </w:pPr>
            <w:r w:rsidRPr="00B424E0">
              <w:t xml:space="preserve">Исходная СКФ (мл/мин/1,73 м2) </w:t>
            </w:r>
          </w:p>
          <w:p w14:paraId="1BB0C674" w14:textId="77777777" w:rsidR="00B424E0" w:rsidRPr="00B424E0" w:rsidRDefault="00B424E0" w:rsidP="00B424E0">
            <w:pPr>
              <w:spacing w:before="0" w:after="0"/>
            </w:pPr>
          </w:p>
        </w:tc>
        <w:tc>
          <w:tcPr>
            <w:tcW w:w="3396" w:type="dxa"/>
          </w:tcPr>
          <w:p w14:paraId="67BA0616" w14:textId="77777777" w:rsidR="00B424E0" w:rsidRPr="00B424E0" w:rsidRDefault="00B424E0" w:rsidP="00B424E0">
            <w:pPr>
              <w:spacing w:before="0" w:after="0"/>
            </w:pPr>
            <w:r w:rsidRPr="00B424E0">
              <w:t xml:space="preserve">СКФ после терапии (мл/мин/1,73 м2) </w:t>
            </w:r>
          </w:p>
          <w:p w14:paraId="668871CD" w14:textId="77777777" w:rsidR="00B424E0" w:rsidRPr="00B424E0" w:rsidRDefault="00B424E0" w:rsidP="00B424E0">
            <w:pPr>
              <w:spacing w:before="0" w:after="0"/>
            </w:pPr>
          </w:p>
        </w:tc>
      </w:tr>
      <w:tr w:rsidR="00B424E0" w:rsidRPr="00B424E0" w14:paraId="0D5585D5" w14:textId="77777777" w:rsidTr="00B424E0">
        <w:tc>
          <w:tcPr>
            <w:tcW w:w="2376" w:type="dxa"/>
          </w:tcPr>
          <w:p w14:paraId="142197DF" w14:textId="3C8E0C28" w:rsidR="00B424E0" w:rsidRPr="00B424E0" w:rsidRDefault="00B424E0" w:rsidP="00B424E0">
            <w:pPr>
              <w:spacing w:before="0" w:after="0"/>
            </w:pPr>
            <w:r w:rsidRPr="00B424E0">
              <w:t xml:space="preserve">Полный ответ </w:t>
            </w:r>
          </w:p>
        </w:tc>
        <w:tc>
          <w:tcPr>
            <w:tcW w:w="3573" w:type="dxa"/>
          </w:tcPr>
          <w:p w14:paraId="67CBF630" w14:textId="77777777" w:rsidR="00B424E0" w:rsidRPr="00B424E0" w:rsidRDefault="00B424E0" w:rsidP="00B424E0">
            <w:pPr>
              <w:spacing w:before="0" w:after="0"/>
            </w:pPr>
            <w:r w:rsidRPr="00B424E0">
              <w:t>&lt;50</w:t>
            </w:r>
          </w:p>
        </w:tc>
        <w:tc>
          <w:tcPr>
            <w:tcW w:w="3396" w:type="dxa"/>
          </w:tcPr>
          <w:p w14:paraId="16B087C6" w14:textId="77777777" w:rsidR="00B424E0" w:rsidRPr="00B424E0" w:rsidRDefault="00B424E0" w:rsidP="00B424E0">
            <w:pPr>
              <w:spacing w:before="0" w:after="0"/>
            </w:pPr>
            <w:r w:rsidRPr="00B424E0">
              <w:t>≥60</w:t>
            </w:r>
          </w:p>
        </w:tc>
      </w:tr>
      <w:tr w:rsidR="00B424E0" w:rsidRPr="00B424E0" w14:paraId="2C777F0B" w14:textId="77777777" w:rsidTr="00B424E0">
        <w:tc>
          <w:tcPr>
            <w:tcW w:w="2376" w:type="dxa"/>
          </w:tcPr>
          <w:p w14:paraId="71B74483" w14:textId="307529A8" w:rsidR="00B424E0" w:rsidRPr="00B424E0" w:rsidRDefault="00B424E0" w:rsidP="00B424E0">
            <w:pPr>
              <w:spacing w:before="0" w:after="0"/>
            </w:pPr>
            <w:r w:rsidRPr="00B424E0">
              <w:t xml:space="preserve">Частичный ответ </w:t>
            </w:r>
          </w:p>
        </w:tc>
        <w:tc>
          <w:tcPr>
            <w:tcW w:w="3573" w:type="dxa"/>
          </w:tcPr>
          <w:p w14:paraId="1ECC39D9" w14:textId="77777777" w:rsidR="00B424E0" w:rsidRPr="00B424E0" w:rsidRDefault="00B424E0" w:rsidP="00B424E0">
            <w:pPr>
              <w:spacing w:before="0" w:after="0"/>
            </w:pPr>
            <w:r w:rsidRPr="00B424E0">
              <w:t>&lt;15</w:t>
            </w:r>
          </w:p>
        </w:tc>
        <w:tc>
          <w:tcPr>
            <w:tcW w:w="3396" w:type="dxa"/>
          </w:tcPr>
          <w:p w14:paraId="1BD3EEA9" w14:textId="77777777" w:rsidR="00B424E0" w:rsidRPr="00B424E0" w:rsidRDefault="00B424E0" w:rsidP="00B424E0">
            <w:pPr>
              <w:spacing w:before="0" w:after="0"/>
            </w:pPr>
            <w:r w:rsidRPr="00B424E0">
              <w:t>30-59</w:t>
            </w:r>
          </w:p>
        </w:tc>
      </w:tr>
      <w:tr w:rsidR="00B424E0" w:rsidRPr="00B424E0" w14:paraId="79D8C79C" w14:textId="77777777" w:rsidTr="00B424E0">
        <w:tc>
          <w:tcPr>
            <w:tcW w:w="2376" w:type="dxa"/>
          </w:tcPr>
          <w:p w14:paraId="7A3139CA" w14:textId="19CBE4AE" w:rsidR="00B424E0" w:rsidRPr="00B424E0" w:rsidRDefault="00B424E0" w:rsidP="00B424E0">
            <w:pPr>
              <w:spacing w:before="0" w:after="0"/>
            </w:pPr>
            <w:r w:rsidRPr="00B424E0">
              <w:t xml:space="preserve">Минимальный ответ </w:t>
            </w:r>
          </w:p>
        </w:tc>
        <w:tc>
          <w:tcPr>
            <w:tcW w:w="3573" w:type="dxa"/>
          </w:tcPr>
          <w:p w14:paraId="4D82F9D6" w14:textId="77777777" w:rsidR="00B424E0" w:rsidRPr="00B424E0" w:rsidRDefault="00B424E0" w:rsidP="00B424E0">
            <w:pPr>
              <w:spacing w:before="0" w:after="0"/>
            </w:pPr>
            <w:r w:rsidRPr="00B424E0">
              <w:t>&lt;15</w:t>
            </w:r>
          </w:p>
        </w:tc>
        <w:tc>
          <w:tcPr>
            <w:tcW w:w="3396" w:type="dxa"/>
          </w:tcPr>
          <w:p w14:paraId="34B75F89" w14:textId="77777777" w:rsidR="00B424E0" w:rsidRPr="00B424E0" w:rsidRDefault="00B424E0" w:rsidP="00B424E0">
            <w:pPr>
              <w:spacing w:before="0" w:after="0"/>
            </w:pPr>
            <w:r w:rsidRPr="00B424E0">
              <w:t>15-29</w:t>
            </w:r>
          </w:p>
        </w:tc>
      </w:tr>
    </w:tbl>
    <w:p w14:paraId="1458FFDA" w14:textId="778F1B0D" w:rsidR="0084190C" w:rsidRPr="0084190C" w:rsidRDefault="0084190C" w:rsidP="0084190C">
      <w:pPr>
        <w:spacing w:before="0" w:after="0"/>
        <w:ind w:firstLine="709"/>
        <w:rPr>
          <w:rStyle w:val="ac"/>
          <w:bCs w:val="0"/>
        </w:rPr>
      </w:pPr>
      <w:r w:rsidRPr="00FA6648">
        <w:rPr>
          <w:b/>
        </w:rPr>
        <w:t xml:space="preserve">Уровень убедительности рекомендаций − </w:t>
      </w:r>
      <w:r>
        <w:rPr>
          <w:b/>
        </w:rPr>
        <w:t xml:space="preserve">В </w:t>
      </w:r>
      <w:r w:rsidRPr="00FA6648">
        <w:rPr>
          <w:b/>
        </w:rPr>
        <w:t xml:space="preserve">(уровень достоверности доказательств − </w:t>
      </w:r>
      <w:r>
        <w:rPr>
          <w:b/>
        </w:rPr>
        <w:t>2)</w:t>
      </w:r>
    </w:p>
    <w:p w14:paraId="14AD9469" w14:textId="4317E2F5" w:rsidR="009D0748" w:rsidRPr="00F242DD" w:rsidRDefault="009D0748" w:rsidP="00E36DFA">
      <w:pPr>
        <w:pStyle w:val="2"/>
        <w:rPr>
          <w:rStyle w:val="ac"/>
          <w:rFonts w:eastAsia="Calibri"/>
          <w:b/>
          <w:bCs w:val="0"/>
          <w:szCs w:val="22"/>
          <w:u w:val="none"/>
        </w:rPr>
      </w:pPr>
      <w:bookmarkStart w:id="35" w:name="_Toc53140906"/>
      <w:r w:rsidRPr="00F242DD">
        <w:rPr>
          <w:rStyle w:val="ac"/>
          <w:b/>
          <w:bCs w:val="0"/>
        </w:rPr>
        <w:t>3.</w:t>
      </w:r>
      <w:r w:rsidR="00B424E0">
        <w:rPr>
          <w:rStyle w:val="ac"/>
          <w:b/>
          <w:bCs w:val="0"/>
        </w:rPr>
        <w:t>6</w:t>
      </w:r>
      <w:r w:rsidRPr="00F242DD">
        <w:rPr>
          <w:rStyle w:val="ac"/>
          <w:b/>
          <w:bCs w:val="0"/>
        </w:rPr>
        <w:t xml:space="preserve"> Сопроводительная терапия</w:t>
      </w:r>
      <w:bookmarkEnd w:id="35"/>
    </w:p>
    <w:p w14:paraId="622333EB" w14:textId="77777777" w:rsidR="009D0748" w:rsidRPr="00F242DD" w:rsidRDefault="009D0748" w:rsidP="00727CDE">
      <w:pPr>
        <w:pStyle w:val="a4"/>
        <w:numPr>
          <w:ilvl w:val="0"/>
          <w:numId w:val="58"/>
        </w:numPr>
        <w:spacing w:before="0" w:beforeAutospacing="0" w:after="0" w:afterAutospacing="0" w:line="360" w:lineRule="auto"/>
        <w:contextualSpacing/>
        <w:jc w:val="both"/>
      </w:pPr>
      <w:r w:rsidRPr="00F242DD">
        <w:rPr>
          <w:rStyle w:val="ac"/>
          <w:b w:val="0"/>
        </w:rPr>
        <w:t xml:space="preserve">Пациентам с ММ, получающим эметогенную терапию, </w:t>
      </w:r>
      <w:r w:rsidRPr="00F242DD">
        <w:rPr>
          <w:rStyle w:val="ac"/>
        </w:rPr>
        <w:t xml:space="preserve">рекомендуется </w:t>
      </w:r>
      <w:r w:rsidRPr="00F242DD">
        <w:t xml:space="preserve">профилактика тошноты и рвоты в соответствии с существующими профильными рекомендациями </w:t>
      </w:r>
      <w:r w:rsidR="00A96FB6" w:rsidRPr="00F242DD">
        <w:fldChar w:fldCharType="begin" w:fldLock="1"/>
      </w:r>
      <w:r w:rsidR="00F74B6B" w:rsidRPr="00F242DD">
        <w:instrText>ADDIN CSL_CITATION {"citationItems":[{"id":"ITEM-1","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онкологии.","id":"ITEM-1","issued":{"date-parts":[["2018"]]},"page":"502-511","title":"Практические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[68]","plainTextFormattedCitation":"[68]","previouslyFormattedCitation":"[68]"},"properties":{"noteIndex":0},"schema":"https://github.com/citation-style-language/schema/raw/master/csl-citation.json"}</w:instrText>
      </w:r>
      <w:r w:rsidR="00A96FB6" w:rsidRPr="00F242DD">
        <w:fldChar w:fldCharType="separate"/>
      </w:r>
      <w:r w:rsidR="00705691" w:rsidRPr="00F242DD">
        <w:rPr>
          <w:noProof/>
        </w:rPr>
        <w:t>[68]</w:t>
      </w:r>
      <w:r w:rsidR="00A96FB6" w:rsidRPr="00F242DD">
        <w:fldChar w:fldCharType="end"/>
      </w:r>
      <w:r w:rsidRPr="00F242DD">
        <w:t xml:space="preserve"> .</w:t>
      </w:r>
    </w:p>
    <w:p w14:paraId="7B8BABEA" w14:textId="77777777" w:rsidR="009D0748" w:rsidRPr="00F242DD" w:rsidRDefault="009D0748" w:rsidP="00E36DFA">
      <w:pPr>
        <w:pStyle w:val="a4"/>
        <w:spacing w:beforeAutospacing="0" w:afterAutospacing="0" w:line="360" w:lineRule="auto"/>
        <w:ind w:firstLine="709"/>
        <w:contextualSpacing/>
        <w:jc w:val="both"/>
        <w:rPr>
          <w:rStyle w:val="ac"/>
        </w:rPr>
      </w:pPr>
      <w:r w:rsidRPr="00F242DD">
        <w:rPr>
          <w:rStyle w:val="ac"/>
        </w:rPr>
        <w:t xml:space="preserve">Уровень убедительности рекомендаций </w:t>
      </w:r>
      <w:r w:rsidR="007279FD" w:rsidRPr="00F242DD">
        <w:rPr>
          <w:rStyle w:val="ac"/>
        </w:rPr>
        <w:t xml:space="preserve">− </w:t>
      </w:r>
      <w:r w:rsidR="0081352B" w:rsidRPr="00F242DD">
        <w:rPr>
          <w:rStyle w:val="ac"/>
        </w:rPr>
        <w:t>С</w:t>
      </w:r>
      <w:r w:rsidRPr="00F242DD">
        <w:rPr>
          <w:rStyle w:val="ac"/>
        </w:rPr>
        <w:t xml:space="preserve"> (уровень достоверности доказательств – </w:t>
      </w:r>
      <w:r w:rsidR="0081352B" w:rsidRPr="00F242DD">
        <w:rPr>
          <w:rStyle w:val="ac"/>
        </w:rPr>
        <w:t>5</w:t>
      </w:r>
      <w:r w:rsidRPr="00F242DD">
        <w:rPr>
          <w:rStyle w:val="ac"/>
        </w:rPr>
        <w:t>)</w:t>
      </w:r>
    </w:p>
    <w:p w14:paraId="384F1F47" w14:textId="77777777" w:rsidR="00FF1FD9" w:rsidRPr="00F242DD" w:rsidRDefault="00FF1FD9" w:rsidP="00727CDE">
      <w:pPr>
        <w:pStyle w:val="a6"/>
        <w:numPr>
          <w:ilvl w:val="0"/>
          <w:numId w:val="59"/>
        </w:numPr>
        <w:ind w:left="709" w:hanging="709"/>
      </w:pPr>
      <w:r w:rsidRPr="00F242DD">
        <w:lastRenderedPageBreak/>
        <w:t xml:space="preserve">Пациентам </w:t>
      </w:r>
      <w:r w:rsidRPr="00F242DD">
        <w:rPr>
          <w:lang w:val="en-US"/>
        </w:rPr>
        <w:t>c</w:t>
      </w:r>
      <w:r w:rsidRPr="00F242DD">
        <w:t xml:space="preserve"> ММ, у которых выявляется уровень иммуноглобулина G </w:t>
      </w:r>
      <w:r w:rsidR="007279FD" w:rsidRPr="00F242DD">
        <w:t>&lt;</w:t>
      </w:r>
      <w:r w:rsidRPr="00F242DD">
        <w:t xml:space="preserve">5 г/л и отмечаются рецидивирующие бактериальные инфекции, </w:t>
      </w:r>
      <w:r w:rsidRPr="00F242DD">
        <w:rPr>
          <w:b/>
        </w:rPr>
        <w:t>рекомендовано</w:t>
      </w:r>
      <w:r w:rsidRPr="00F242DD">
        <w:t xml:space="preserve"> при наличии возможности проведение постоянной заместительной терапии внутривенным иммуноглобулином для снижения риска инфекционных осложнений</w:t>
      </w:r>
      <w:r w:rsidR="00E51C95" w:rsidRPr="00F242DD">
        <w:t xml:space="preserve"> </w:t>
      </w:r>
      <w:r w:rsidR="00E51C95" w:rsidRPr="00F242DD">
        <w:fldChar w:fldCharType="begin" w:fldLock="1"/>
      </w:r>
      <w:r w:rsidR="00F74B6B" w:rsidRPr="00F242DD">
        <w:instrText>ADDIN CSL_CITATION {"citationItems":[{"id":"ITEM-1","itemData":{"DOI":"10.3389/fimmu.2014.00626","ISSN":"16643224","abstract":"Immunoglobulin (Ig) replacement therapy dramatically changed the clinical course of primary hypogammaglobulinemias, significantly reducing the incidence of infectious events. Over the last two decades its use has been extended to secondary antibody deficiencies, particularly those related to hematological disorders as lymphoproliferative diseases (LPDs) and multiple myeloma. In these malignancies, hypogammaglobulinemia can be an intrinsic aspect of the disease or follow chemo-immunotherapy regimens, including anti-CD20 treatment. Other than in LPDs the broadening use of immunotherapy (e.g., rituximab) and immune-suppressive therapy (steroids, sulfasalazine, and mycophenolate mofetil) has extended the occurrence of iatrogenic hypogammaglobulinemia. In particular, in both autoimmune diseases and solid organ transplantation Ig replacement therapy has been shown to reduce the rate of infectious events. Here, we review the existing literature about Ig replacement therapy in secondary hypogammaglobulinemia, with special regard for subcutaneous administration route, a safe, effective, and well-tolerated treatment approach, currently well established in primary immunodeficiencies and secondary hypogammaglobulinemias.","author":[{"dropping-particle":"","family":"Compagno","given":"Nicolò","non-dropping-particle":"","parse-names":false,"suffix":""},{"dropping-particle":"","family":"Malipiero","given":"Giacomo","non-dropping-particle":"","parse-names":false,"suffix":""},{"dropping-particle":"","family":"Cinetto","given":"Francesco","non-dropping-particle":"","parse-names":false,"suffix":""},{"dropping-particle":"","family":"Agostini","given":"Carlo","non-dropping-particle":"","parse-names":false,"suffix":""}],"container-title":"Frontiers in Immunology","id":"ITEM-1","issue":"DEC","issued":{"date-parts":[["2014"]]},"publisher":"Frontiers Media S.A.","title":"Immunoglobulin replacement therapy in secondary hypogammaglobulinemia","type":"article","volume":"5"},"uris":["http://www.mendeley.com/documents/?uuid=8b24ca24-7105-34a2-a377-64592ae36126"]},{"id":"ITEM-2","itemData":{"author":[{"dropping-particle":"","family":"Константинова","given":"Т.С.","non-dropping-particle":"","parse-names":false,"suffix":""},{"dropping-particle":"","family":"Клясова","given":"Г.А.","non-dropping-particle":"","parse-names":false,"suffix":""},{"dropping-particle":"","family":"Капланов","given":"К.Д.","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Савченко.","id":"ITEM-2","issued":{"date-parts":[["2018"]]},"page":"289-311","title":"Лечение и профилактика инфекционных осложнений у пациентов с лимфопролиферативными заболеваниями.","type":"chapter"},"uris":["http://www.mendeley.com/documents/?uuid=b8826e3f-ec9d-405b-84e4-56b1a1300212"]}],"mendeley":{"formattedCitation":"[69,70]","plainTextFormattedCitation":"[69,70]","previouslyFormattedCitation":"[69,70]"},"properties":{"noteIndex":0},"schema":"https://github.com/citation-style-language/schema/raw/master/csl-citation.json"}</w:instrText>
      </w:r>
      <w:r w:rsidR="00E51C95" w:rsidRPr="00F242DD">
        <w:fldChar w:fldCharType="separate"/>
      </w:r>
      <w:r w:rsidR="00705691" w:rsidRPr="00F242DD">
        <w:rPr>
          <w:noProof/>
        </w:rPr>
        <w:t>[69,70]</w:t>
      </w:r>
      <w:r w:rsidR="00E51C95" w:rsidRPr="00F242DD">
        <w:fldChar w:fldCharType="end"/>
      </w:r>
      <w:r w:rsidRPr="00F242DD">
        <w:t xml:space="preserve">. </w:t>
      </w:r>
    </w:p>
    <w:p w14:paraId="4E6FB697" w14:textId="77777777" w:rsidR="00177503" w:rsidRPr="00F242DD" w:rsidRDefault="00FF1FD9" w:rsidP="00FF1FD9">
      <w:pPr>
        <w:ind w:left="709"/>
        <w:rPr>
          <w:b/>
        </w:rPr>
      </w:pPr>
      <w:r w:rsidRPr="00F242DD">
        <w:rPr>
          <w:b/>
        </w:rPr>
        <w:t xml:space="preserve">Уровень убедительности рекомендаций </w:t>
      </w:r>
      <w:r w:rsidR="007279FD" w:rsidRPr="00F242DD">
        <w:rPr>
          <w:b/>
        </w:rPr>
        <w:t xml:space="preserve">− </w:t>
      </w:r>
      <w:r w:rsidR="00E51C95" w:rsidRPr="00F242DD">
        <w:rPr>
          <w:b/>
        </w:rPr>
        <w:t xml:space="preserve">С </w:t>
      </w:r>
      <w:r w:rsidRPr="00F242DD">
        <w:rPr>
          <w:b/>
        </w:rPr>
        <w:t xml:space="preserve">(уровень достоверности доказательств </w:t>
      </w:r>
      <w:r w:rsidR="007279FD" w:rsidRPr="00F242DD">
        <w:rPr>
          <w:b/>
        </w:rPr>
        <w:t xml:space="preserve">− </w:t>
      </w:r>
      <w:r w:rsidR="00E51C95" w:rsidRPr="00F242DD">
        <w:rPr>
          <w:b/>
        </w:rPr>
        <w:t>5</w:t>
      </w:r>
      <w:r w:rsidRPr="00F242DD">
        <w:rPr>
          <w:b/>
        </w:rPr>
        <w:t>)</w:t>
      </w:r>
    </w:p>
    <w:p w14:paraId="2EBCA9DB" w14:textId="77777777" w:rsidR="00FF1FD9" w:rsidRPr="00F242DD" w:rsidRDefault="00177503" w:rsidP="00FF1FD9">
      <w:pPr>
        <w:ind w:left="709"/>
        <w:rPr>
          <w:b/>
          <w:u w:val="single"/>
        </w:rPr>
      </w:pPr>
      <w:r w:rsidRPr="00F242DD">
        <w:rPr>
          <w:b/>
          <w:u w:val="single"/>
        </w:rPr>
        <w:t>Обезболивание</w:t>
      </w:r>
    </w:p>
    <w:p w14:paraId="16CCF8B9" w14:textId="77777777" w:rsidR="00202DE5" w:rsidRPr="00F242DD" w:rsidRDefault="00202DE5" w:rsidP="00727CDE">
      <w:pPr>
        <w:pStyle w:val="a4"/>
        <w:numPr>
          <w:ilvl w:val="0"/>
          <w:numId w:val="58"/>
        </w:numPr>
        <w:spacing w:before="0" w:beforeAutospacing="0" w:after="0" w:afterAutospacing="0" w:line="360" w:lineRule="auto"/>
        <w:contextualSpacing/>
        <w:jc w:val="both"/>
      </w:pPr>
      <w:bookmarkStart w:id="36" w:name="_Hlk18315511"/>
      <w:r w:rsidRPr="00F242DD">
        <w:rPr>
          <w:rStyle w:val="ac"/>
          <w:b w:val="0"/>
          <w:bCs w:val="0"/>
        </w:rPr>
        <w:t xml:space="preserve">Пациентам с ММ при возникновении острого или хронического болевого синдрома </w:t>
      </w:r>
      <w:r w:rsidRPr="00F242DD">
        <w:rPr>
          <w:rStyle w:val="ac"/>
        </w:rPr>
        <w:t xml:space="preserve">рекомендуется </w:t>
      </w:r>
      <w:r w:rsidRPr="00F242DD">
        <w:rPr>
          <w:rStyle w:val="ac"/>
          <w:b w:val="0"/>
          <w:bCs w:val="0"/>
        </w:rPr>
        <w:t>уточнение этиологии боли; при выявлении очага воспаления – проведение необходимых мероприятий по лечению очага воспаления согласно соответствующим клиническим рекомендациям (включая при необходимости хирургическое лечение); при исключении инфекционно-воспалительной природы болевого синдрома рекомендуется проведение обезболивающ</w:t>
      </w:r>
      <w:r w:rsidR="00341C10" w:rsidRPr="00F242DD">
        <w:rPr>
          <w:rStyle w:val="ac"/>
          <w:b w:val="0"/>
          <w:bCs w:val="0"/>
        </w:rPr>
        <w:t>ей</w:t>
      </w:r>
      <w:r w:rsidRPr="00F242DD">
        <w:rPr>
          <w:rStyle w:val="ac"/>
          <w:b w:val="0"/>
          <w:bCs w:val="0"/>
        </w:rPr>
        <w:t xml:space="preserve"> терапи</w:t>
      </w:r>
      <w:r w:rsidR="00341C10" w:rsidRPr="00F242DD">
        <w:rPr>
          <w:rStyle w:val="ac"/>
          <w:b w:val="0"/>
          <w:bCs w:val="0"/>
        </w:rPr>
        <w:t>и</w:t>
      </w:r>
      <w:r w:rsidRPr="00F242DD">
        <w:rPr>
          <w:rStyle w:val="ac"/>
          <w:b w:val="0"/>
          <w:bCs w:val="0"/>
        </w:rPr>
        <w:t xml:space="preserve"> согласно существующим протоколам обезболивания (см. соответствующие  клинические рекомендации по хронической боли, клинические рекомендации по анестезиологии), в том числе по показаниям </w:t>
      </w:r>
      <w:r w:rsidR="00341C10" w:rsidRPr="00F242DD">
        <w:rPr>
          <w:rStyle w:val="ac"/>
          <w:b w:val="0"/>
          <w:bCs w:val="0"/>
        </w:rPr>
        <w:t>−</w:t>
      </w:r>
      <w:r w:rsidRPr="00F242DD">
        <w:rPr>
          <w:rStyle w:val="ac"/>
          <w:b w:val="0"/>
          <w:bCs w:val="0"/>
        </w:rPr>
        <w:t xml:space="preserve"> с применением наркотических и психотропных лекарственных препаратов с учетом возможных противопоказаний, связанных с цитопенией, иными клиническими ситуациями</w:t>
      </w:r>
      <w:r w:rsidRPr="00F242DD">
        <w:rPr>
          <w:rStyle w:val="ac"/>
        </w:rPr>
        <w:t xml:space="preserve"> </w:t>
      </w:r>
      <w:r w:rsidR="00A96FB6" w:rsidRPr="00F242DD">
        <w:rPr>
          <w:rStyle w:val="ac"/>
          <w:b w:val="0"/>
        </w:rPr>
        <w:fldChar w:fldCharType="begin" w:fldLock="1"/>
      </w:r>
      <w:r w:rsidR="00F74B6B" w:rsidRPr="00F242DD">
        <w:rPr>
          <w:rStyle w:val="ac"/>
          <w:b w:val="0"/>
        </w:rPr>
        <w:instrText>ADDIN CSL_CITATION {"citationItems":[{"id":"ITEM-1","itemData":{"author":[{"dropping-particle":"","family":"Абузарова","given":"Г.Р.","non-dropping-particle":"","parse-names":false,"suffix":""},{"dropping-particle":"","family":"Невзорова","given":"Д.В.","non-dropping-particle":"","parse-names":false,"suffix":""},{"dropping-particle":"","family":"Кумирова","given":"Э.В.","non-dropping-particle":"","parse-names":false,"suffix":""},{"dropping-particle":"","family":"Савва","given":"Н.Н.","non-dropping-particle":"","parse-names":false,"suffix":""},{"dropping-particle":"","family":"Арутюнов","given":"Г.П.","non-dropping-particle":"","parse-names":false,"suffix":""},{"dropping-particle":"","family":"Багненко","given":"С.Ф.","non-dropping-particle":"","parse-names":false,"suffix":""},{"dropping-particle":"","family":"Данилов","given":"А.Б.","non-dropping-particle":"","parse-names":false,"suffix":""},{"dropping-particle":"","family":"Данилов","given":"А.Б.","non-dropping-particle":"","parse-names":false,"suffix":""},{"dropping-particle":"","family":"Куняева","given":"Т.А.","non-dropping-particle":"","parse-names":false,"suffix":""},{"dropping-particle":"","family":"Николаева","given":"Н.М.","non-dropping-particle":"","parse-names":false,"suffix":""},{"dropping-particle":"","family":"Молчанов","given":"И.В.","non-dropping-particle":"","parse-names":false,"suffix":""},{"dropping-particle":"","family":"Падалкин","given":"В.П.","non-dropping-particle":"","parse-names":false,"suffix":""},{"dropping-particle":"","family":"Поляков","given":"В.Г.","non-dropping-particle":"","parse-names":false,"suffix":""},{"dropping-particle":"","family":"Пчелинцев","given":"М.В.","non-dropping-particle":"","parse-names":false,"suffix":""},{"dropping-particle":"","family":"Степаненко","given":"С.М.","non-dropping-particle":"","parse-names":false,"suffix":""}],"id":"ITEM-1","issued":{"date-parts":[["2016"]]},"number-of-pages":"94","publisher":"ФГБОУ ВО РНИМУ им. Н.И. Пирогова Минздрава России.","title":"Обезболивание взрослых и детей при оказании медицинской помощи. Методические рекомендации.","type":"book"},"uris":["http://www.mendeley.com/documents/?uuid=b9ffed91-f776-4e2f-87c8-ff7901014151"]}],"mendeley":{"formattedCitation":"[71]","plainTextFormattedCitation":"[71]","previouslyFormattedCitation":"[71]"},"properties":{"noteIndex":0},"schema":"https://github.com/citation-style-language/schema/raw/master/csl-citation.json"}</w:instrText>
      </w:r>
      <w:r w:rsidR="00A96FB6" w:rsidRPr="00F242DD">
        <w:rPr>
          <w:rStyle w:val="ac"/>
          <w:b w:val="0"/>
        </w:rPr>
        <w:fldChar w:fldCharType="separate"/>
      </w:r>
      <w:r w:rsidR="00705691" w:rsidRPr="00F242DD">
        <w:rPr>
          <w:rStyle w:val="ac"/>
          <w:b w:val="0"/>
          <w:noProof/>
        </w:rPr>
        <w:t>[71]</w:t>
      </w:r>
      <w:r w:rsidR="00A96FB6" w:rsidRPr="00F242DD">
        <w:rPr>
          <w:rStyle w:val="ac"/>
          <w:b w:val="0"/>
        </w:rPr>
        <w:fldChar w:fldCharType="end"/>
      </w:r>
      <w:r w:rsidRPr="00F242DD">
        <w:rPr>
          <w:bCs/>
        </w:rPr>
        <w:t>.</w:t>
      </w:r>
    </w:p>
    <w:p w14:paraId="506E9398" w14:textId="77777777" w:rsidR="00202DE5" w:rsidRPr="00F242DD" w:rsidRDefault="00202DE5" w:rsidP="00E36DFA">
      <w:pPr>
        <w:pStyle w:val="a4"/>
        <w:spacing w:beforeAutospacing="0" w:afterAutospacing="0" w:line="360" w:lineRule="auto"/>
        <w:ind w:firstLine="709"/>
        <w:contextualSpacing/>
        <w:jc w:val="both"/>
        <w:rPr>
          <w:rStyle w:val="ac"/>
        </w:rPr>
      </w:pPr>
      <w:r w:rsidRPr="00F242DD">
        <w:rPr>
          <w:rStyle w:val="ac"/>
        </w:rPr>
        <w:t xml:space="preserve">Уровень убедительности рекомендаций </w:t>
      </w:r>
      <w:r w:rsidR="00341C10" w:rsidRPr="00F242DD">
        <w:rPr>
          <w:rStyle w:val="ac"/>
        </w:rPr>
        <w:t xml:space="preserve">− </w:t>
      </w:r>
      <w:r w:rsidRPr="00F242DD">
        <w:rPr>
          <w:rStyle w:val="ac"/>
          <w:lang w:val="en-US"/>
        </w:rPr>
        <w:t>C</w:t>
      </w:r>
      <w:r w:rsidRPr="00F242DD">
        <w:rPr>
          <w:rStyle w:val="ac"/>
        </w:rPr>
        <w:t xml:space="preserve"> (уровень достоверности доказательств – 5)</w:t>
      </w:r>
    </w:p>
    <w:p w14:paraId="3D210583" w14:textId="77777777" w:rsidR="00AE4F4E" w:rsidRPr="00F242DD" w:rsidRDefault="00AE4F4E" w:rsidP="00202DE5">
      <w:pPr>
        <w:pStyle w:val="a4"/>
        <w:spacing w:beforeAutospacing="0" w:afterAutospacing="0" w:line="360" w:lineRule="auto"/>
        <w:ind w:firstLine="709"/>
        <w:contextualSpacing/>
        <w:jc w:val="both"/>
        <w:rPr>
          <w:rStyle w:val="ac"/>
          <w:u w:val="single"/>
        </w:rPr>
      </w:pPr>
      <w:r w:rsidRPr="00F242DD">
        <w:rPr>
          <w:rStyle w:val="ac"/>
          <w:u w:val="single"/>
        </w:rPr>
        <w:t>Диетотерапия</w:t>
      </w:r>
    </w:p>
    <w:p w14:paraId="36DD3D85" w14:textId="77777777" w:rsidR="00AE4F4E" w:rsidRPr="00F242DD" w:rsidRDefault="00AE4F4E" w:rsidP="00202DE5">
      <w:pPr>
        <w:pStyle w:val="a4"/>
        <w:spacing w:beforeAutospacing="0" w:afterAutospacing="0" w:line="360" w:lineRule="auto"/>
        <w:ind w:firstLine="709"/>
        <w:contextualSpacing/>
        <w:jc w:val="both"/>
        <w:rPr>
          <w:rStyle w:val="ac"/>
          <w:b w:val="0"/>
          <w:bCs w:val="0"/>
          <w:i/>
          <w:iCs/>
        </w:rPr>
      </w:pPr>
      <w:r w:rsidRPr="00F242DD">
        <w:rPr>
          <w:rStyle w:val="ac"/>
          <w:b w:val="0"/>
          <w:bCs w:val="0"/>
          <w:i/>
          <w:iCs/>
        </w:rPr>
        <w:t>Не применяется</w:t>
      </w:r>
    </w:p>
    <w:p w14:paraId="608DE35E" w14:textId="4442FC7D" w:rsidR="00F63E06" w:rsidRPr="00F242DD" w:rsidRDefault="00A75A01" w:rsidP="00E36DFA">
      <w:pPr>
        <w:pStyle w:val="2"/>
        <w:rPr>
          <w:rStyle w:val="ac"/>
          <w:b/>
          <w:bCs w:val="0"/>
          <w:szCs w:val="24"/>
          <w:u w:val="none"/>
          <w:lang w:eastAsia="ru-RU"/>
        </w:rPr>
      </w:pPr>
      <w:bookmarkStart w:id="37" w:name="_Toc53140907"/>
      <w:bookmarkEnd w:id="36"/>
      <w:r w:rsidRPr="00F242DD">
        <w:rPr>
          <w:rStyle w:val="ac"/>
          <w:b/>
          <w:bCs w:val="0"/>
        </w:rPr>
        <w:t>3.</w:t>
      </w:r>
      <w:bookmarkStart w:id="38" w:name="_Hlk6482783"/>
      <w:r w:rsidR="00B424E0">
        <w:rPr>
          <w:rStyle w:val="ac"/>
          <w:b/>
          <w:bCs w:val="0"/>
        </w:rPr>
        <w:t>7</w:t>
      </w:r>
      <w:r w:rsidR="00077BDE" w:rsidRPr="00F242DD">
        <w:rPr>
          <w:rStyle w:val="ac"/>
          <w:b/>
          <w:bCs w:val="0"/>
        </w:rPr>
        <w:t xml:space="preserve"> </w:t>
      </w:r>
      <w:r w:rsidR="00857B1A" w:rsidRPr="00F242DD">
        <w:rPr>
          <w:rStyle w:val="ac"/>
          <w:b/>
          <w:bCs w:val="0"/>
        </w:rPr>
        <w:t>Определение эффективности лечения</w:t>
      </w:r>
      <w:bookmarkEnd w:id="37"/>
      <w:bookmarkEnd w:id="38"/>
    </w:p>
    <w:p w14:paraId="3E587500" w14:textId="77777777" w:rsidR="00A05B4C" w:rsidRPr="00F242DD" w:rsidRDefault="00F2308C" w:rsidP="00727CDE">
      <w:pPr>
        <w:pStyle w:val="a6"/>
        <w:numPr>
          <w:ilvl w:val="0"/>
          <w:numId w:val="8"/>
        </w:numPr>
        <w:tabs>
          <w:tab w:val="clear" w:pos="348"/>
          <w:tab w:val="num" w:pos="709"/>
        </w:tabs>
        <w:spacing w:before="0" w:after="0"/>
        <w:ind w:left="709" w:hanging="709"/>
      </w:pPr>
      <w:r w:rsidRPr="00F242DD">
        <w:t>Пациентам, завершившим запла</w:t>
      </w:r>
      <w:r w:rsidR="00403D5F" w:rsidRPr="00F242DD">
        <w:t>нированное лечение по поводу ММ</w:t>
      </w:r>
      <w:r w:rsidRPr="00F242DD">
        <w:t xml:space="preserve">, </w:t>
      </w:r>
      <w:r w:rsidR="00277FD3" w:rsidRPr="00F242DD">
        <w:rPr>
          <w:b/>
        </w:rPr>
        <w:t>рекомендуется</w:t>
      </w:r>
      <w:r w:rsidRPr="00F242DD">
        <w:t xml:space="preserve"> оценка эффекта лечения согласно</w:t>
      </w:r>
      <w:r w:rsidR="000A156C" w:rsidRPr="00F242DD">
        <w:t xml:space="preserve"> </w:t>
      </w:r>
      <w:r w:rsidR="00A05B4C" w:rsidRPr="00F242DD">
        <w:t>международным критериям, предложенным в 2006</w:t>
      </w:r>
      <w:r w:rsidR="00403D5F" w:rsidRPr="00F242DD">
        <w:t xml:space="preserve"> г. и модифицированным в 2011</w:t>
      </w:r>
      <w:r w:rsidR="004E145E" w:rsidRPr="00F242DD">
        <w:t xml:space="preserve"> и 2016</w:t>
      </w:r>
      <w:r w:rsidR="00403D5F" w:rsidRPr="00F242DD">
        <w:t xml:space="preserve"> </w:t>
      </w:r>
      <w:r w:rsidR="004E145E" w:rsidRPr="00F242DD">
        <w:t>г</w:t>
      </w:r>
      <w:r w:rsidR="00403D5F" w:rsidRPr="00F242DD">
        <w:t>г</w:t>
      </w:r>
      <w:r w:rsidR="00277FD3" w:rsidRPr="00F242DD">
        <w:t>. (</w:t>
      </w:r>
      <w:r w:rsidR="00253BC3" w:rsidRPr="00F242DD">
        <w:t>см.</w:t>
      </w:r>
      <w:r w:rsidR="00E778E9" w:rsidRPr="00F242DD">
        <w:t xml:space="preserve"> раздел 7 данных рекомендаций</w:t>
      </w:r>
      <w:r w:rsidR="00277FD3" w:rsidRPr="00F242DD">
        <w:t>)</w:t>
      </w:r>
      <w:r w:rsidR="009E0A45" w:rsidRPr="00F242DD">
        <w:t xml:space="preserve"> </w:t>
      </w:r>
      <w:r w:rsidR="00A96FB6" w:rsidRPr="00F242DD">
        <w:fldChar w:fldCharType="begin" w:fldLock="1"/>
      </w:r>
      <w:r w:rsidR="00F74B6B" w:rsidRPr="00F242DD">
        <w:instrText>ADDIN CSL_CITATION {"citationItems":[{"id":"ITEM-1","itemData":{"DOI":"10.1038/sj.leu.2404284","ISSN":"14765551","abstract":"New uniform response criteria are required to adequately assess clinical outcomes in myeloma. The European Group for Blood and Bone Marrow Transplant/International Bone Marrow Transplant Registry criteria have been expanded, clarified and updated to provide a new comprehensive evaluation system. Categories for stringent complete response and very good partial response are added. The serum free light-chain assay is included to allow evaluation of patients with oligo-secretory disease. Inconsistencies in prior criteria are clarified making confirmation of response and disease progression easier to perform. Emphasis is placed upon time to event and duration of response as critical end points. The requirements necessary to use overall survival duration as the ultimate end point are discussed. It is anticipated that the International Response Criteria for multiple myeloma will be widely used in future clinical trials of myeloma.","author":[{"dropping-particle":"","family":"Durie","given":"B. G.M.","non-dropping-particle":"","parse-names":false,"suffix":""},{"dropping-particle":"","family":"Harousseau","given":"J. L.","non-dropping-particle":"","parse-names":false,"suffix":""},{"dropping-particle":"","family":"Miguel","given":"J. S.","non-dropping-particle":"","parse-names":false,"suffix":""},{"dropping-particle":"","family":"Bladé","given":"J.","non-dropping-particle":"","parse-names":false,"suffix":""},{"dropping-particle":"","family":"Barlogie","given":"B.","non-dropping-particle":"","parse-names":false,"suffix":""},{"dropping-particle":"","family":"Anderson","given":"K.","non-dropping-particle":"","parse-names":false,"suffix":""},{"dropping-particle":"","family":"Gertz","given":"M.","non-dropping-particle":"","parse-names":false,"suffix":""},{"dropping-particle":"","family":"Dimopoulos","given":"M.","non-dropping-particle":"","parse-names":false,"suffix":""},{"dropping-particle":"","family":"Westin","given":"J.","non-dropping-particle":"","parse-names":false,"suffix":""},{"dropping-particle":"","family":"Sonneveld","given":"P.","non-dropping-particle":"","parse-names":false,"suffix":""},{"dropping-particle":"","family":"Ludwig","given":"H.","non-dropping-particle":"","parse-names":false,"suffix":""},{"dropping-particle":"","family":"Gahrton","given":"G.","non-dropping-particle":"","parse-names":false,"suffix":""},{"dropping-particle":"","family":"Beksac","given":"M.","non-dropping-particle":"","parse-names":false,"suffix":""},{"dropping-particle":"","family":"Crowley","given":"J.","non-dropping-particle":"","parse-names":false,"suffix":""},{"dropping-particle":"","family":"Belch","given":"A.","non-dropping-particle":"","parse-names":false,"suffix":""},{"dropping-particle":"","family":"Boccadaro","given":"M.","non-dropping-particle":"","parse-names":false,"suffix":""},{"dropping-particle":"","family":"Cavo","given":"M.","non-dropping-particle":"","parse-names":false,"suffix":""},{"dropping-particle":"","family":"Turesson","given":"I.","non-dropping-particle":"","parse-names":false,"suffix":""},{"dropping-particle":"","family":"Joshua","given":"D.","non-dropping-particle":"","parse-names":false,"suffix":""},{"dropping-particle":"","family":"Vesole","given":"D.","non-dropping-particle":"","parse-names":false,"suffix":""},{"dropping-particle":"","family":"Kyle","given":"R.","non-dropping-particle":"","parse-names":false,"suffix":""},{"dropping-particle":"","family":"Tricot","given":"G.","non-dropping-particle":"","parse-names":false,"suffix":""},{"dropping-particle":"","family":"Alexanian","given":"R.","non-dropping-particle":"","parse-names":false,"suffix":""},{"dropping-particle":"","family":"Attal","given":"M.","non-dropping-particle":"","parse-names":false,"suffix":""},{"dropping-particle":"","family":"Merlini","given":"G.","non-dropping-particle":"","parse-names":false,"suffix":""},{"dropping-particle":"","family":"Powles","given":"R.","non-dropping-particle":"","parse-names":false,"suffix":""},{"dropping-particle":"","family":"Richardson","given":"P.","non-dropping-particle":"","parse-names":false,"suffix":""},{"dropping-particle":"","family":"Shimizu","given":"K.","non-dropping-particle":"","parse-names":false,"suffix":""},{"dropping-particle":"","family":"Tosi","given":"P.","non-dropping-particle":"","parse-names":false,"suffix":""},{"dropping-particle":"V.","family":"Rajkumar","given":"S.","non-dropping-particle":"","parse-names":false,"suffix":""},{"dropping-particle":"","family":"Morgan","given":"G.","non-dropping-particle":"","parse-names":false,"suffix":""}],"container-title":"Leukemia","id":"ITEM-1","issue":"9","issued":{"date-parts":[["2006","9","1"]]},"page":"1467-1473","publisher":"Nature Publishing Group","title":"International uniform response criteria for multiple myeloma","type":"article-journal","volume":"20"},"uris":["http://www.mendeley.com/documents/?uuid=aebf3721-d8f9-331d-a8a6-ba12b64a133b"]},{"id":"ITEM-2","itemData":{"DOI":"10.1182/blood-2010-10-299487","ISSN":"00064971","abstract":"It is essential that there be consistency in the conduct, analysis, and reporting of clinical trial results in myeloma. The goal of the International Myeloma Workshop Consensus Panel 1 was to develop a set of guidelines for the uniform reporting of clinical trial results in myeloma. This paper provides a summary of the current response criteria in myeloma, detailed definitions for patient populations, lines of therapy, and specific endpoints. We propose that future clinical trials in myeloma follow the guidelines for reporting results proposed in this manuscript.","author":[{"dropping-particle":"","family":"Rajkumar","given":"S. Vincent","non-dropping-particle":"","parse-names":false,"suffix":""},{"dropping-particle":"","family":"Harousseau","given":"Jean Luc","non-dropping-particle":"","parse-names":false,"suffix":""},{"dropping-particle":"","family":"Durie","given":"Brian","non-dropping-particle":"","parse-names":false,"suffix":""},{"dropping-particle":"","family":"Anderson","given":"Kenneth C.","non-dropping-particle":"","parse-names":false,"suffix":""},{"dropping-particle":"","family":"Dimopoulos","given":"Meletios","non-dropping-particle":"","parse-names":false,"suffix":""},{"dropping-particle":"","family":"Kyle","given":"Robert","non-dropping-particle":"","parse-names":false,"suffix":""},{"dropping-particle":"","family":"Blade","given":"Joan","non-dropping-particle":"","parse-names":false,"suffix":""},{"dropping-particle":"","family":"Richardson","given":"Paul","non-dropping-particle":"","parse-names":false,"suffix":""},{"dropping-particle":"","family":"Orlowski","given":"Robert","non-dropping-particle":"","parse-names":false,"suffix":""},{"dropping-particle":"","family":"Siegel","given":"David","non-dropping-particle":"","parse-names":false,"suffix":""},{"dropping-particle":"","family":"Jagannath","given":"Sundar","non-dropping-particle":"","parse-names":false,"suffix":""},{"dropping-particle":"","family":"Facon","given":"Thierry","non-dropping-particle":"","parse-names":false,"suffix":""},{"dropping-particle":"","family":"Avet-Loiseau","given":"Hervé","non-dropping-particle":"","parse-names":false,"suffix":""},{"dropping-particle":"","family":"Lonial","given":"Sagar","non-dropping-particle":"","parse-names":false,"suffix":""},{"dropping-particle":"","family":"Palumbo","given":"Antonio","non-dropping-particle":"","parse-names":false,"suffix":""},{"dropping-particle":"","family":"Zonder","given":"Jeffrey","non-dropping-particle":"","parse-names":false,"suffix":""},{"dropping-particle":"","family":"Ludwig","given":"Heinz","non-dropping-particle":"","parse-names":false,"suffix":""},{"dropping-particle":"","family":"Vesole","given":"David","non-dropping-particle":"","parse-names":false,"suffix":""},{"dropping-particle":"","family":"Sezer","given":"Orhan","non-dropping-particle":"","parse-names":false,"suffix":""},{"dropping-particle":"","family":"Munshi","given":"Nikhil C.","non-dropping-particle":"","parse-names":false,"suffix":""},{"dropping-particle":"","family":"San Miguel","given":"Jesus","non-dropping-particle":"","parse-names":false,"suffix":""}],"container-title":"Blood","id":"ITEM-2","issue":"18","issued":{"date-parts":[["2011","5","5"]]},"page":"4691-4695","title":"Consensus recommendations for the uniform reporting of clinical trials: Report of the International Myeloma Workshop Consensus Panel 1","type":"paper-conference","volume":"117"},"uris":["http://www.mendeley.com/documents/?uuid=0db91df9-fa07-385d-b4a7-0a85a73875a2"]},{"id":"ITEM-3","itemData":{"DOI":"10.1016/S1470-2045(16)30206-6","ISSN":"14745488","abstract":"Treatment of multiple myeloma has substantially changed over the past decade with the introduction of several classes of new effective drugs that have greatly improved the rates and depth of response. Response criteria in multiple myeloma were developed to use serum and urine assessment of monoclonal proteins and bone marrow assessment (which is relatively insensitive). Given the high rates of complete response seen in patients with multiple myeloma with new treatment approaches, new response categories need to be defined that can identify responses that are deeper than those conventionally defined as complete response. Recent attempts have focused on the identification of residual tumour cells in the bone marrow using flow cytometry or gene sequencing. Furthermore, sensitive imaging techniques can be used to detect the presence of residual disease outside of the bone marrow. Combining these new methods, the International Myeloma Working Group has defined new response categories of minimal residual disease negativity, with or without imaging-based absence of extramedullary disease, to allow uniform reporting within and outside clinical trials. In this Review, we clarify several aspects of disease response assessment, along with endpoints for clinical trials, and highlight future directions for disease response assessments.","author":[{"dropping-particle":"","family":"Kumar","given":"Shaji","non-dropping-particle":"","parse-names":false,"suffix":""},{"dropping-particle":"","family":"Paiva","given":"Bruno","non-dropping-particle":"","parse-names":false,"suffix":""},{"dropping-particle":"","family":"Anderson","given":"Kenneth C.","non-dropping-particle":"","parse-names":false,"suffix":""},{"dropping-particle":"","family":"Durie","given":"Brian","non-dropping-particle":"","parse-names":false,"suffix":""},{"dropping-particle":"","family":"Landgren","given":"Ola","non-dropping-particle":"","parse-names":false,"suffix":""},{"dropping-particle":"","family":"Moreau","given":"Philippe","non-dropping-particle":"","parse-names":false,"suffix":""},{"dropping-particle":"","family":"Munshi","given":"Nikhil","non-dropping-particle":"","parse-names":false,"suffix":""},{"dropping-particle":"","family":"Lonial","given":"Sagar","non-dropping-particle":"","parse-names":false,"suffix":""},{"dropping-particle":"","family":"Bladé","given":"Joan","non-dropping-particle":"","parse-names":false,"suffix":""},{"dropping-particle":"","family":"Mateos","given":"Maria Victoria","non-dropping-particle":"","parse-names":false,"suffix":""},{"dropping-particle":"","family":"Dimopoulos","given":"Meletios","non-dropping-particle":"","parse-names":false,"suffix":""},{"dropping-particle":"","family":"Kastritis","given":"Efstathios","non-dropping-particle":"","parse-names":false,"suffix":""},{"dropping-particle":"","family":"Boccadoro","given":"Mario","non-dropping-particle":"","parse-names":false,"suffix":""},{"dropping-particle":"","family":"Orlowski","given":"Robert","non-dropping-particle":"","parse-names":false,"suffix":""},{"dropping-particle":"","family":"Goldschmidt","given":"Hartmut","non-dropping-particle":"","parse-names":false,"suffix":""},{"dropping-particle":"","family":"Spencer","given":"Andrew","non-dropping-particle":"","parse-names":false,"suffix":""},{"dropping-particle":"","family":"Hou","given":"Jian","non-dropping-particle":"","parse-names":false,"suffix":""},{"dropping-particle":"","family":"Chng","given":"Wee Joo","non-dropping-particle":"","parse-names":false,"suffix":""},{"dropping-particle":"","family":"Usmani","given":"Saad Z.","non-dropping-particle":"","parse-names":false,"suffix":""},{"dropping-particle":"","family":"Zamagni","given":"Elena","non-dropping-particle":"","parse-names":false,"suffix":""},{"dropping-particle":"","family":"Shimizu","given":"Kazuyuki","non-dropping-particle":"","parse-names":false,"suffix":""},{"dropping-particle":"","family":"Jagannath","given":"Sundar","non-dropping-particle":"","parse-names":false,"suffix":""},{"dropping-particle":"","family":"Johnsen","given":"Hans E.","non-dropping-particle":"","parse-names":false,"suffix":""},{"dropping-particle":"","family":"Terpos","given":"Evangelos","non-dropping-particle":"","parse-names":false,"suffix":""},{"dropping-particle":"","family":"Reiman","given":"Anthony","non-dropping-particle":"","parse-names":false,"suffix":""},{"dropping-particle":"","family":"Kyle","given":"Robert A.","non-dropping-particle":"","parse-names":false,"suffix":""},{"dropping-particle":"","family":"Sonneveld","given":"Pieter","non-dropping-particle":"","parse-names":false,"suffix":""},{"dropping-particle":"","family":"Richardson","given":"Paul G.","non-dropping-particle":"","parse-names":false,"suffix":""},{"dropping-particle":"","family":"McCarthy","given":"Philip","non-dropping-particle":"","parse-names":false,"suffix":""},{"dropping-particle":"","family":"Ludwig","given":"Heinz","non-dropping-particle":"","parse-names":false,"suffix":""},{"dropping-particle":"","family":"Chen","given":"Wenming","non-dropping-particle":"","parse-names":false,"suffix":""},{"dropping-particle":"","family":"Cavo","given":"Michele","non-dropping-particle":"","parse-names":false,"suffix":""},{"dropping-particle":"","family":"Harousseau","given":"Jean Luc","non-dropping-particle":"","parse-names":false,"suffix":""},{"dropping-particle":"","family":"Lentzsch","given":"Suzanne","non-dropping-particle":"","parse-names":false,"suffix":""},{"dropping-particle":"","family":"Hillengass","given":"Jens","non-dropping-particle":"","parse-names":false,"suffix":""},{"dropping-particle":"","family":"Palumbo","given":"Antonio","non-dropping-particle":"","parse-names":false,"suffix":""},{"dropping-particle":"","family":"Orfao","given":"Alberto","non-dropping-particle":"","parse-names":false,"suffix":""},{"dropping-particle":"","family":"Rajkumar","given":"S. Vincent","non-dropping-particle":"","parse-names":false,"suffix":""},{"dropping-particle":"","family":"Miguel","given":"Jesus San","non-dropping-particle":"","parse-names":false,"suffix":""},{"dropping-particle":"","family":"Avet-Loiseau","given":"Herve","non-dropping-particle":"","parse-names":false,"suffix":""}],"container-title":"The Lancet Oncology","id":"ITEM-3","issue":"8","issued":{"date-parts":[["2016","8","1"]]},"page":"e328-e346","publisher":"Lancet Publishing Group","title":"International Myeloma Working Group consensus criteria for response and minimal residual disease assessment in multiple myeloma","type":"article","volume":"17"},"uris":["http://www.mendeley.com/documents/?uuid=530a8544-f504-385c-8004-3a945290d1b0"]}],"mendeley":{"formattedCitation":"[72–74]","plainTextFormattedCitation":"[72–74]","previouslyFormattedCitation":"[72–74]"},"properties":{"noteIndex":0},"schema":"https://github.com/citation-style-language/schema/raw/master/csl-citation.json"}</w:instrText>
      </w:r>
      <w:r w:rsidR="00A96FB6" w:rsidRPr="00F242DD">
        <w:fldChar w:fldCharType="separate"/>
      </w:r>
      <w:r w:rsidR="00705691" w:rsidRPr="00F242DD">
        <w:rPr>
          <w:noProof/>
        </w:rPr>
        <w:t>[72–74]</w:t>
      </w:r>
      <w:r w:rsidR="00A96FB6" w:rsidRPr="00F242DD">
        <w:fldChar w:fldCharType="end"/>
      </w:r>
      <w:r w:rsidR="00253BC3" w:rsidRPr="00F242DD">
        <w:t>.</w:t>
      </w:r>
    </w:p>
    <w:p w14:paraId="628D5165" w14:textId="77777777" w:rsidR="000B44DE" w:rsidRPr="00F242DD" w:rsidRDefault="00F2308C" w:rsidP="000B44DE">
      <w:pPr>
        <w:pStyle w:val="a6"/>
        <w:spacing w:before="0" w:after="0"/>
        <w:ind w:left="709"/>
        <w:rPr>
          <w:b/>
        </w:rPr>
      </w:pPr>
      <w:r w:rsidRPr="00F242DD">
        <w:rPr>
          <w:b/>
        </w:rPr>
        <w:t xml:space="preserve">Уровень убедительности рекомендаций </w:t>
      </w:r>
      <w:r w:rsidR="003119DD" w:rsidRPr="00F242DD">
        <w:rPr>
          <w:b/>
        </w:rPr>
        <w:t xml:space="preserve">− </w:t>
      </w:r>
      <w:r w:rsidR="00BD6788" w:rsidRPr="00F242DD">
        <w:rPr>
          <w:b/>
          <w:lang w:val="en-US"/>
        </w:rPr>
        <w:t>C</w:t>
      </w:r>
      <w:r w:rsidR="00B33A5C" w:rsidRPr="00F242DD">
        <w:rPr>
          <w:b/>
        </w:rPr>
        <w:t xml:space="preserve"> </w:t>
      </w:r>
      <w:r w:rsidRPr="00F242DD">
        <w:rPr>
          <w:b/>
        </w:rPr>
        <w:t>(уровень достоверности доказательств</w:t>
      </w:r>
      <w:r w:rsidR="003119DD" w:rsidRPr="00F242DD">
        <w:rPr>
          <w:b/>
        </w:rPr>
        <w:t xml:space="preserve"> − </w:t>
      </w:r>
      <w:r w:rsidR="00BD6788" w:rsidRPr="00F242DD">
        <w:rPr>
          <w:b/>
        </w:rPr>
        <w:t>5</w:t>
      </w:r>
      <w:r w:rsidRPr="00F242DD">
        <w:rPr>
          <w:b/>
        </w:rPr>
        <w:t>)</w:t>
      </w:r>
      <w:bookmarkStart w:id="39" w:name="_Toc520213128"/>
    </w:p>
    <w:p w14:paraId="62788C12" w14:textId="77777777" w:rsidR="000B44DE" w:rsidRPr="00F242DD" w:rsidRDefault="000B44DE" w:rsidP="002469E3">
      <w:pPr>
        <w:pStyle w:val="a6"/>
        <w:spacing w:before="0" w:after="0"/>
        <w:ind w:left="709"/>
        <w:jc w:val="center"/>
        <w:rPr>
          <w:b/>
        </w:rPr>
      </w:pPr>
    </w:p>
    <w:p w14:paraId="45A27C75" w14:textId="77777777" w:rsidR="003C363B" w:rsidRPr="00F242DD" w:rsidRDefault="002469E3" w:rsidP="00E36DFA">
      <w:pPr>
        <w:pStyle w:val="1"/>
        <w:rPr>
          <w:rFonts w:eastAsia="Calibri"/>
        </w:rPr>
      </w:pPr>
      <w:bookmarkStart w:id="40" w:name="_Toc53140908"/>
      <w:r w:rsidRPr="00F242DD">
        <w:rPr>
          <w:rFonts w:eastAsia="Calibri"/>
        </w:rPr>
        <w:lastRenderedPageBreak/>
        <w:t xml:space="preserve">4. </w:t>
      </w:r>
      <w:r w:rsidR="00B33A5C" w:rsidRPr="00F242DD">
        <w:rPr>
          <w:rFonts w:eastAsia="Calibri"/>
        </w:rPr>
        <w:t xml:space="preserve">Медицинская реабилитация, медицинские показания </w:t>
      </w:r>
      <w:r w:rsidR="009A649F" w:rsidRPr="00F242DD">
        <w:rPr>
          <w:rFonts w:eastAsia="Calibri"/>
        </w:rPr>
        <w:br/>
      </w:r>
      <w:r w:rsidR="00B33A5C" w:rsidRPr="00F242DD">
        <w:rPr>
          <w:rFonts w:eastAsia="Calibri"/>
        </w:rPr>
        <w:t>и противопоказания к применению методов реабилитации</w:t>
      </w:r>
      <w:bookmarkEnd w:id="40"/>
    </w:p>
    <w:p w14:paraId="058D8041" w14:textId="77777777" w:rsidR="003C363B" w:rsidRPr="00F242DD" w:rsidRDefault="003C363B" w:rsidP="00131E36">
      <w:pPr>
        <w:pStyle w:val="a6"/>
        <w:numPr>
          <w:ilvl w:val="0"/>
          <w:numId w:val="5"/>
        </w:numPr>
        <w:spacing w:before="0" w:after="0"/>
        <w:ind w:left="709" w:hanging="709"/>
      </w:pPr>
      <w:r w:rsidRPr="00F242DD">
        <w:t>Всем пациентам с ММ</w:t>
      </w:r>
      <w:r w:rsidR="000A156C" w:rsidRPr="00F242DD">
        <w:t xml:space="preserve"> </w:t>
      </w:r>
      <w:r w:rsidRPr="00F242DD">
        <w:t xml:space="preserve">на всех этапах терапии заболевания, а также после завершения лекарственного лечения </w:t>
      </w:r>
      <w:r w:rsidRPr="00F242DD">
        <w:rPr>
          <w:b/>
        </w:rPr>
        <w:t>рекомендуется</w:t>
      </w:r>
      <w:r w:rsidRPr="00F242DD">
        <w:t xml:space="preserve"> комплексная реабилитация</w:t>
      </w:r>
      <w:r w:rsidR="004E145E" w:rsidRPr="00F242DD">
        <w:t xml:space="preserve"> </w:t>
      </w:r>
      <w:r w:rsidR="00A96FB6" w:rsidRPr="00F242DD">
        <w:fldChar w:fldCharType="begin" w:fldLock="1"/>
      </w:r>
      <w:r w:rsidR="00F74B6B" w:rsidRPr="00F242DD">
        <w:instrText>ADDIN CSL_CITATION {"citationItems":[{"id":"ITEM-1","itemData":{"DOI":"10.1097/PHM.0b013e31820be055","ISSN":"1537-7385","PMID":"21765268","abstract":"Patients facing hematologic malignancy and its treatment are highly vulnerable to profound physiologic, functional, and cognitive disability and often experience a significant increase in psychosocial stress. For optimal outcomes, this incredibly vulnerable oncology population will need earlier and more comprehensive involvement of rehabilitation services, including exercise strategies.Exercise interventions for those with cancer have not been well studied, particularly in those with hematologic malignancies. Of the research available to date, significant methodologic limitations exist. There is a strong need for further investigation into the effects of and guidelines for exercise interventions in this population of patients, particularly among those undergoing or having undergone hematopoietic stem cell transplantation, as this has historically been a difficult population to 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cancers.","author":[{"dropping-particle":"","family":"Paul","given":"Kelly L","non-dropping-particle":"","parse-names":false,"suffix":""}],"container-title":"American journal of physical medicine &amp; rehabilitation","id":"ITEM-1","issue":"5 Suppl 1","issued":{"date-parts":[["2011","5"]]},"page":"S88-94","title":"Rehabilitation and exercise considerations in hematologic malignancies.","type":"article-journal","volume":"90"},"uris":["http://www.mendeley.com/documents/?uuid=2b502bce-bc0a-35cf-9c9a-aab53cb19bfd"]}],"mendeley":{"formattedCitation":"[75]","plainTextFormattedCitation":"[75]","previouslyFormattedCitation":"[75]"},"properties":{"noteIndex":0},"schema":"https://github.com/citation-style-language/schema/raw/master/csl-citation.json"}</w:instrText>
      </w:r>
      <w:r w:rsidR="00A96FB6" w:rsidRPr="00F242DD">
        <w:fldChar w:fldCharType="separate"/>
      </w:r>
      <w:r w:rsidR="00705691" w:rsidRPr="00F242DD">
        <w:rPr>
          <w:noProof/>
        </w:rPr>
        <w:t>[75]</w:t>
      </w:r>
      <w:r w:rsidR="00A96FB6" w:rsidRPr="00F242DD">
        <w:fldChar w:fldCharType="end"/>
      </w:r>
      <w:r w:rsidRPr="00F242DD">
        <w:t xml:space="preserve">. </w:t>
      </w:r>
    </w:p>
    <w:p w14:paraId="207DF8BC" w14:textId="77777777" w:rsidR="003C363B" w:rsidRPr="00F242DD" w:rsidRDefault="003C363B" w:rsidP="00131E36">
      <w:pPr>
        <w:spacing w:before="0" w:after="0"/>
        <w:ind w:left="709"/>
        <w:contextualSpacing/>
        <w:rPr>
          <w:b/>
        </w:rPr>
      </w:pPr>
      <w:r w:rsidRPr="00F242DD">
        <w:rPr>
          <w:b/>
        </w:rPr>
        <w:t xml:space="preserve">Уровень убедительности рекомендаций </w:t>
      </w:r>
      <w:r w:rsidR="003119DD" w:rsidRPr="00F242DD">
        <w:rPr>
          <w:b/>
        </w:rPr>
        <w:t xml:space="preserve">− </w:t>
      </w:r>
      <w:r w:rsidR="004F07FA" w:rsidRPr="00F242DD">
        <w:rPr>
          <w:b/>
          <w:lang w:val="en-US"/>
        </w:rPr>
        <w:t>C</w:t>
      </w:r>
      <w:r w:rsidR="004E145E" w:rsidRPr="00F242DD">
        <w:rPr>
          <w:b/>
        </w:rPr>
        <w:t xml:space="preserve"> </w:t>
      </w:r>
      <w:r w:rsidRPr="00F242DD">
        <w:rPr>
          <w:b/>
        </w:rPr>
        <w:t>(уровень достоверности доказательств</w:t>
      </w:r>
      <w:r w:rsidR="004F07FA" w:rsidRPr="00F242DD">
        <w:rPr>
          <w:b/>
        </w:rPr>
        <w:t xml:space="preserve"> </w:t>
      </w:r>
      <w:r w:rsidR="003119DD" w:rsidRPr="00F242DD">
        <w:rPr>
          <w:b/>
        </w:rPr>
        <w:t xml:space="preserve">− </w:t>
      </w:r>
      <w:r w:rsidR="004F07FA" w:rsidRPr="00F242DD">
        <w:rPr>
          <w:b/>
        </w:rPr>
        <w:t>5</w:t>
      </w:r>
      <w:r w:rsidRPr="00F242DD">
        <w:rPr>
          <w:b/>
        </w:rPr>
        <w:t>)</w:t>
      </w:r>
    </w:p>
    <w:p w14:paraId="1BBC03D7" w14:textId="77777777" w:rsidR="003C363B" w:rsidRPr="00F242DD" w:rsidRDefault="003C363B" w:rsidP="00131E36">
      <w:pPr>
        <w:spacing w:before="0" w:after="0"/>
        <w:ind w:left="709"/>
        <w:contextualSpacing/>
        <w:rPr>
          <w:i/>
        </w:rPr>
      </w:pPr>
      <w:r w:rsidRPr="00F242DD">
        <w:rPr>
          <w:b/>
        </w:rPr>
        <w:t>Комментарий:</w:t>
      </w:r>
      <w:r w:rsidR="00BA7503" w:rsidRPr="00F242DD">
        <w:rPr>
          <w:b/>
        </w:rPr>
        <w:t xml:space="preserve"> </w:t>
      </w:r>
      <w:r w:rsidR="003119DD" w:rsidRPr="00F242DD">
        <w:rPr>
          <w:i/>
        </w:rPr>
        <w:t>с</w:t>
      </w:r>
      <w:r w:rsidRPr="00F242DD">
        <w:rPr>
          <w:i/>
        </w:rPr>
        <w:t>пециальных методов реабилитации при ММ не существует. Реабилитация пациентов с ММ должна носить комплексный характер, охватывая медицинские</w:t>
      </w:r>
      <w:r w:rsidR="00BA7503" w:rsidRPr="00F242DD">
        <w:rPr>
          <w:i/>
        </w:rPr>
        <w:t xml:space="preserve"> </w:t>
      </w:r>
      <w:r w:rsidR="00E25B92" w:rsidRPr="00F242DD">
        <w:rPr>
          <w:i/>
        </w:rPr>
        <w:t>и с</w:t>
      </w:r>
      <w:r w:rsidRPr="00F242DD">
        <w:rPr>
          <w:i/>
        </w:rPr>
        <w:t xml:space="preserve">оциально-психологические аспекты адаптации пациента к нормальной жизни. </w:t>
      </w:r>
      <w:r w:rsidR="00496C13" w:rsidRPr="00F242DD">
        <w:rPr>
          <w:i/>
        </w:rPr>
        <w:t xml:space="preserve">Объем медицинской реабилитации </w:t>
      </w:r>
      <w:r w:rsidR="00DB62D2" w:rsidRPr="00F242DD">
        <w:rPr>
          <w:i/>
        </w:rPr>
        <w:t>разрабатывается индивидуально для каждого пациента</w:t>
      </w:r>
      <w:r w:rsidR="00496C13" w:rsidRPr="00F242DD">
        <w:rPr>
          <w:i/>
        </w:rPr>
        <w:t xml:space="preserve"> врачом</w:t>
      </w:r>
      <w:r w:rsidR="003119DD" w:rsidRPr="00F242DD">
        <w:rPr>
          <w:i/>
        </w:rPr>
        <w:t>-</w:t>
      </w:r>
      <w:r w:rsidR="00496C13" w:rsidRPr="00F242DD">
        <w:rPr>
          <w:i/>
        </w:rPr>
        <w:t>реабилитологом при участии врача</w:t>
      </w:r>
      <w:r w:rsidR="003119DD" w:rsidRPr="00F242DD">
        <w:rPr>
          <w:i/>
        </w:rPr>
        <w:t>-</w:t>
      </w:r>
      <w:r w:rsidR="00496C13" w:rsidRPr="00F242DD">
        <w:rPr>
          <w:i/>
        </w:rPr>
        <w:t xml:space="preserve">гематолога и зависит от течения и проявлений заболевания (нарушения мобильности в связи с патологическими переломами, </w:t>
      </w:r>
      <w:r w:rsidR="00DB62D2" w:rsidRPr="00F242DD">
        <w:rPr>
          <w:i/>
        </w:rPr>
        <w:t>анемический синдром, болевой синдром, нарушения питания и др.)</w:t>
      </w:r>
      <w:r w:rsidR="00496C13" w:rsidRPr="00F242DD">
        <w:rPr>
          <w:i/>
        </w:rPr>
        <w:t xml:space="preserve"> и проведенных вмешательств</w:t>
      </w:r>
      <w:r w:rsidR="00DB62D2" w:rsidRPr="00F242DD">
        <w:rPr>
          <w:i/>
        </w:rPr>
        <w:t xml:space="preserve"> (ТГСК, гемодиализ). Кроме того, программа реабилитации должна учитывать социальные и психологические проблемы пациента и </w:t>
      </w:r>
      <w:r w:rsidRPr="00F242DD">
        <w:rPr>
          <w:i/>
        </w:rPr>
        <w:t xml:space="preserve">требует кроме медицинской помощи обязательного участия социальных работников и психологов. Реабилитация при возникновении осложнений в течение заболевания и лечения проводится в рамках соответствующих нозологий. </w:t>
      </w:r>
    </w:p>
    <w:p w14:paraId="16EC03C8" w14:textId="77777777" w:rsidR="003C363B" w:rsidRPr="00F242DD" w:rsidRDefault="00B33A5C" w:rsidP="00E36DFA">
      <w:pPr>
        <w:pStyle w:val="1"/>
      </w:pPr>
      <w:bookmarkStart w:id="41" w:name="_Toc520213127"/>
      <w:bookmarkStart w:id="42" w:name="_Toc436919"/>
      <w:bookmarkStart w:id="43" w:name="_Toc53140909"/>
      <w:r w:rsidRPr="00F242DD">
        <w:lastRenderedPageBreak/>
        <w:t xml:space="preserve">5. </w:t>
      </w:r>
      <w:r w:rsidR="003C363B" w:rsidRPr="00F242DD">
        <w:t>Профилактика</w:t>
      </w:r>
      <w:bookmarkEnd w:id="41"/>
      <w:r w:rsidR="003C363B" w:rsidRPr="00F242DD">
        <w:t xml:space="preserve"> и диспансерное </w:t>
      </w:r>
      <w:bookmarkEnd w:id="42"/>
      <w:r w:rsidRPr="00F242DD">
        <w:t>наблюдение, медицинские показания и противопоказания к применению методов профилактики</w:t>
      </w:r>
      <w:bookmarkEnd w:id="43"/>
    </w:p>
    <w:p w14:paraId="7759DDBA" w14:textId="77777777" w:rsidR="004F07FA" w:rsidRPr="00F242DD" w:rsidRDefault="004F07FA" w:rsidP="00131E36">
      <w:pPr>
        <w:spacing w:before="0" w:after="0"/>
        <w:ind w:firstLine="709"/>
        <w:contextualSpacing/>
        <w:rPr>
          <w:i/>
        </w:rPr>
      </w:pPr>
      <w:r w:rsidRPr="00F242DD">
        <w:rPr>
          <w:i/>
        </w:rPr>
        <w:t>Методов профилактики ММ в настоящее время не существует, поскольку неизвестен этиологический</w:t>
      </w:r>
      <w:r w:rsidR="00891F1E" w:rsidRPr="00F242DD">
        <w:rPr>
          <w:i/>
        </w:rPr>
        <w:t>(е)</w:t>
      </w:r>
      <w:r w:rsidRPr="00F242DD">
        <w:rPr>
          <w:i/>
        </w:rPr>
        <w:t xml:space="preserve"> фактор(ы), ведущи</w:t>
      </w:r>
      <w:r w:rsidR="00891F1E" w:rsidRPr="00F242DD">
        <w:rPr>
          <w:i/>
        </w:rPr>
        <w:t>й(е)</w:t>
      </w:r>
      <w:r w:rsidRPr="00F242DD">
        <w:rPr>
          <w:i/>
        </w:rPr>
        <w:t xml:space="preserve"> к развитию заболевания. </w:t>
      </w:r>
    </w:p>
    <w:p w14:paraId="4D9C331D" w14:textId="77777777" w:rsidR="004F07FA" w:rsidRPr="00F242DD" w:rsidRDefault="003C363B" w:rsidP="00131E36">
      <w:pPr>
        <w:pStyle w:val="a6"/>
        <w:numPr>
          <w:ilvl w:val="0"/>
          <w:numId w:val="5"/>
        </w:numPr>
        <w:spacing w:before="0" w:after="0"/>
        <w:rPr>
          <w:b/>
        </w:rPr>
      </w:pPr>
      <w:r w:rsidRPr="00F242DD">
        <w:t>Всем пациентам с ММ</w:t>
      </w:r>
      <w:r w:rsidR="00BA7503" w:rsidRPr="00F242DD">
        <w:t xml:space="preserve"> </w:t>
      </w:r>
      <w:r w:rsidRPr="00F242DD">
        <w:t>на</w:t>
      </w:r>
      <w:r w:rsidR="00BA7503" w:rsidRPr="00F242DD">
        <w:t xml:space="preserve"> </w:t>
      </w:r>
      <w:r w:rsidR="006E7B15" w:rsidRPr="00F242DD">
        <w:t>протяжении всей жизни</w:t>
      </w:r>
      <w:r w:rsidR="00891F1E" w:rsidRPr="00F242DD">
        <w:t>,</w:t>
      </w:r>
      <w:r w:rsidRPr="00F242DD">
        <w:t xml:space="preserve"> как в период лечения, так и вне лечения </w:t>
      </w:r>
      <w:r w:rsidR="00FD2995" w:rsidRPr="00F242DD">
        <w:t>ММ</w:t>
      </w:r>
      <w:r w:rsidRPr="00F242DD">
        <w:t xml:space="preserve">, </w:t>
      </w:r>
      <w:r w:rsidRPr="00F242DD">
        <w:rPr>
          <w:b/>
        </w:rPr>
        <w:t>рекомендуется</w:t>
      </w:r>
      <w:r w:rsidRPr="00F242DD">
        <w:t xml:space="preserve"> диспансерное наблюдение у гематолога </w:t>
      </w:r>
      <w:r w:rsidR="00A96FB6" w:rsidRPr="00F242DD">
        <w:fldChar w:fldCharType="begin" w:fldLock="1"/>
      </w:r>
      <w:r w:rsidR="0076263A" w:rsidRPr="00F242D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rsidRPr="00F242DD">
        <w:fldChar w:fldCharType="separate"/>
      </w:r>
      <w:r w:rsidR="0076263A" w:rsidRPr="00F242DD">
        <w:rPr>
          <w:noProof/>
        </w:rPr>
        <w:t>[1]</w:t>
      </w:r>
      <w:r w:rsidR="00A96FB6" w:rsidRPr="00F242DD">
        <w:fldChar w:fldCharType="end"/>
      </w:r>
      <w:r w:rsidRPr="00F242DD">
        <w:t xml:space="preserve">. </w:t>
      </w:r>
    </w:p>
    <w:p w14:paraId="7C61B3D3" w14:textId="77777777" w:rsidR="003C363B" w:rsidRPr="00F242DD" w:rsidRDefault="003C363B" w:rsidP="00131E36">
      <w:pPr>
        <w:spacing w:before="0" w:after="0"/>
        <w:ind w:left="709"/>
        <w:contextualSpacing/>
        <w:rPr>
          <w:b/>
        </w:rPr>
      </w:pPr>
      <w:r w:rsidRPr="00F242DD">
        <w:rPr>
          <w:b/>
        </w:rPr>
        <w:t xml:space="preserve">Уровень убедительности рекомендаций </w:t>
      </w:r>
      <w:r w:rsidR="00F64CC1" w:rsidRPr="00F242DD">
        <w:rPr>
          <w:b/>
        </w:rPr>
        <w:t xml:space="preserve">− </w:t>
      </w:r>
      <w:r w:rsidR="004F07FA" w:rsidRPr="00F242DD">
        <w:rPr>
          <w:b/>
          <w:lang w:val="en-US"/>
        </w:rPr>
        <w:t>C</w:t>
      </w:r>
      <w:r w:rsidR="00BA7503" w:rsidRPr="00F242DD">
        <w:rPr>
          <w:b/>
        </w:rPr>
        <w:t xml:space="preserve"> </w:t>
      </w:r>
      <w:r w:rsidRPr="00F242DD">
        <w:rPr>
          <w:b/>
        </w:rPr>
        <w:t>(уровень достоверности доказательств</w:t>
      </w:r>
      <w:r w:rsidR="004F07FA" w:rsidRPr="00F242DD">
        <w:rPr>
          <w:b/>
        </w:rPr>
        <w:t xml:space="preserve"> </w:t>
      </w:r>
      <w:r w:rsidR="00F64CC1" w:rsidRPr="00F242DD">
        <w:rPr>
          <w:b/>
        </w:rPr>
        <w:t xml:space="preserve">− </w:t>
      </w:r>
      <w:r w:rsidR="004F07FA" w:rsidRPr="00F242DD">
        <w:rPr>
          <w:b/>
        </w:rPr>
        <w:t>5</w:t>
      </w:r>
      <w:r w:rsidRPr="00F242DD">
        <w:rPr>
          <w:b/>
        </w:rPr>
        <w:t>)</w:t>
      </w:r>
    </w:p>
    <w:p w14:paraId="4B3CB31E" w14:textId="77777777" w:rsidR="003C363B" w:rsidRPr="00F242DD" w:rsidRDefault="004317D6" w:rsidP="00131E36">
      <w:pPr>
        <w:spacing w:before="0" w:after="0"/>
        <w:ind w:left="709"/>
        <w:rPr>
          <w:i/>
        </w:rPr>
      </w:pPr>
      <w:r w:rsidRPr="00F242DD">
        <w:rPr>
          <w:b/>
        </w:rPr>
        <w:t>Комментарий:</w:t>
      </w:r>
      <w:r w:rsidR="00BA7503" w:rsidRPr="00F242DD">
        <w:rPr>
          <w:b/>
        </w:rPr>
        <w:t xml:space="preserve"> </w:t>
      </w:r>
      <w:r w:rsidR="00F64CC1" w:rsidRPr="00F242DD">
        <w:rPr>
          <w:i/>
        </w:rPr>
        <w:t>к</w:t>
      </w:r>
      <w:r w:rsidR="002E47DA" w:rsidRPr="00F242DD">
        <w:rPr>
          <w:i/>
        </w:rPr>
        <w:t>онтроль за течением заболевания и эффективностью терапии должен выполняться регулярно гематологом или онкологом</w:t>
      </w:r>
      <w:r w:rsidR="006E7B15" w:rsidRPr="00F242DD">
        <w:rPr>
          <w:i/>
        </w:rPr>
        <w:t xml:space="preserve"> по месту жительства пациента.</w:t>
      </w:r>
      <w:r w:rsidR="00BA7503" w:rsidRPr="00F242DD">
        <w:rPr>
          <w:i/>
        </w:rPr>
        <w:t xml:space="preserve"> </w:t>
      </w:r>
      <w:r w:rsidR="002E47DA" w:rsidRPr="00F242DD">
        <w:rPr>
          <w:i/>
        </w:rPr>
        <w:t>В п</w:t>
      </w:r>
      <w:r w:rsidRPr="00F242DD">
        <w:rPr>
          <w:i/>
        </w:rPr>
        <w:t>роцессе проводимой терапии иммунохимическое исследование белков сыворотки крови и мочи следует выполнять каждые 2</w:t>
      </w:r>
      <w:r w:rsidR="00EE6579" w:rsidRPr="00F242DD">
        <w:rPr>
          <w:i/>
        </w:rPr>
        <w:t>−</w:t>
      </w:r>
      <w:r w:rsidRPr="00F242DD">
        <w:rPr>
          <w:i/>
        </w:rPr>
        <w:t xml:space="preserve">3 мес. У </w:t>
      </w:r>
      <w:r w:rsidR="00FB03BB" w:rsidRPr="00F242DD">
        <w:rPr>
          <w:i/>
        </w:rPr>
        <w:t>пациентов</w:t>
      </w:r>
      <w:r w:rsidRPr="00F242DD">
        <w:rPr>
          <w:i/>
        </w:rPr>
        <w:t xml:space="preserve"> олиго- или несекретирующей ММ следует проводить исследование свободных легких цепей. После окончания лечения иммунохимические исследования крови и мочи выполняют каждые 3 мес. Исследование костного мозга рекомендуется только для подтверждения </w:t>
      </w:r>
      <w:r w:rsidR="00815B1A" w:rsidRPr="00F242DD">
        <w:rPr>
          <w:i/>
        </w:rPr>
        <w:t>ПР</w:t>
      </w:r>
      <w:r w:rsidRPr="00F242DD">
        <w:rPr>
          <w:i/>
        </w:rPr>
        <w:t xml:space="preserve"> и оценки эффективности лечения при несекретирующей ММ при невозможности исследовать СЛЦ. Рентгенография костей выполняется по клиническим показаниям.</w:t>
      </w:r>
    </w:p>
    <w:p w14:paraId="72B05D56" w14:textId="77777777" w:rsidR="00202DE5" w:rsidRPr="00F242DD" w:rsidRDefault="00202DE5" w:rsidP="00202DE5">
      <w:pPr>
        <w:pStyle w:val="a6"/>
        <w:numPr>
          <w:ilvl w:val="0"/>
          <w:numId w:val="5"/>
        </w:numPr>
        <w:spacing w:before="0" w:after="0"/>
        <w:rPr>
          <w:b/>
        </w:rPr>
      </w:pPr>
      <w:r w:rsidRPr="00F242DD">
        <w:t>Пациент</w:t>
      </w:r>
      <w:r w:rsidR="004E145E" w:rsidRPr="00F242DD">
        <w:t>ам</w:t>
      </w:r>
      <w:r w:rsidRPr="00F242DD">
        <w:t>, которым проводилось</w:t>
      </w:r>
      <w:r w:rsidR="004E145E" w:rsidRPr="00F242DD">
        <w:t>/</w:t>
      </w:r>
      <w:r w:rsidRPr="00F242DD">
        <w:t xml:space="preserve">проводится лечение с включением препарата леналидомид, </w:t>
      </w:r>
      <w:r w:rsidR="004E145E" w:rsidRPr="00F242DD">
        <w:rPr>
          <w:b/>
          <w:bCs/>
        </w:rPr>
        <w:t>рекомендуется</w:t>
      </w:r>
      <w:r w:rsidR="004E145E" w:rsidRPr="00F242DD">
        <w:t xml:space="preserve"> </w:t>
      </w:r>
      <w:r w:rsidRPr="00F242DD">
        <w:t>проведени</w:t>
      </w:r>
      <w:r w:rsidR="00815B1A" w:rsidRPr="00F242DD">
        <w:t>е</w:t>
      </w:r>
      <w:r w:rsidRPr="00F242DD">
        <w:t xml:space="preserve"> плановых скрининговых обследований из-за повышенного риска развития вторых опухолей</w:t>
      </w:r>
      <w:r w:rsidR="004E145E" w:rsidRPr="00F242DD">
        <w:t xml:space="preserve"> </w:t>
      </w:r>
      <w:r w:rsidR="00A96FB6" w:rsidRPr="00F242DD">
        <w:fldChar w:fldCharType="begin" w:fldLock="1"/>
      </w:r>
      <w:r w:rsidR="00F74B6B" w:rsidRPr="00F242DD">
        <w:instrText>ADDIN CSL_CITATION {"citationItems":[{"id":"ITEM-1","itemData":{"DOI":"10.1038/bcj.2016.114","ISSN":"20445385","abstract":"We have carried out the largest randomised trial to date of newly diagnosed myeloma patients, in which lenalidomide has been used as an induction and maintenance treatment option and here report its impact on second primary malignancy (SPM) incidence and pathology. After review, 104 SPMs were confirmed in 96 of 2732 trial patients. The cumulative incidence of SPM was 0.7% (95% confidence interval (CI) 0.4-1.0%), 2.3% (95% CI 1.6-2.7%) and 3.8% (95% CI 2.9-4.6%) at 1, 2 and 3 years, respectively. Patients receiving maintenance lenalidomide had a significantly higher SPM incidence overall (P=0.011). Age is a risk factor with the highest SPM incidence observed in transplant non-eligible patients aged &gt;74 years receiving lenalidomide maintenance. The 3-year cumulative incidence in this group was 17.3% (95% CI 8.2-26.4%), compared with 6.5% (95% CI 0.2-12.9%) in observation only patients (P=0.049). There was a low overall incidence of haematological SPM (0.5%). The higher SPM incidence in patients receiving lenalidomide maintenance therapy, especially in advanced age, warrants ongoing monitoring although the benefit on survival is likely to outweigh risk.","author":[{"dropping-particle":"","family":"Jones","given":"J. R.","non-dropping-particle":"","parse-names":false,"suffix":""},{"dropping-particle":"","family":"Cairns","given":"D. A.","non-dropping-particle":"","parse-names":false,"suffix":""},{"dropping-particle":"","family":"Gregory","given":"W. M.","non-dropping-particle":"","parse-names":false,"suffix":""},{"dropping-particle":"","family":"Collett","given":"C.","non-dropping-particle":"","parse-names":false,"suffix":""},{"dropping-particle":"","family":"Pawlyn","given":"C.","non-dropping-particle":"","parse-names":false,"suffix":""},{"dropping-particle":"","family":"Sigsworth","given":"R.","non-dropping-particle":"","parse-names":false,"suffix":""},{"dropping-particle":"","family":"Striha","given":"A.","non-dropping-particle":"","parse-names":false,"suffix":""},{"dropping-particle":"","family":"Henderson","given":"R.","non-dropping-particle":"","parse-names":false,"suffix":""},{"dropping-particle":"","family":"Kaiser","given":"M. F.","non-dropping-particle":"","parse-names":false,"suffix":""},{"dropping-particle":"","family":"Jenner","given":"M.","non-dropping-particle":"","parse-names":false,"suffix":""},{"dropping-particle":"","family":"Cook","given":"G.","non-dropping-particle":"","parse-names":false,"suffix":""},{"dropping-particle":"","family":"Russell","given":"N. H.","non-dropping-particle":"","parse-names":false,"suffix":""},{"dropping-particle":"","family":"Williams","given":"C.","non-dropping-particle":"","parse-names":false,"suffix":""},{"dropping-particle":"","family":"Pratt","given":"G.","non-dropping-particle":"","parse-names":false,"suffix":""},{"dropping-particle":"","family":"Kishore","given":"B.","non-dropping-particle":"","parse-names":false,"suffix":""},{"dropping-particle":"","family":"Lindsay","given":"J.","non-dropping-particle":"","parse-names":false,"suffix":""},{"dropping-particle":"","family":"Drayson","given":"M. T.","non-dropping-particle":"","parse-names":false,"suffix":""},{"dropping-particle":"","family":"Davies","given":"F. E.","non-dropping-particle":"","parse-names":false,"suffix":""},{"dropping-particle":"","family":"Boyd","given":"K. D.","non-dropping-particle":"","parse-names":false,"suffix":""},{"dropping-particle":"","family":"Owen","given":"R. G.","non-dropping-particle":"","parse-names":false,"suffix":""},{"dropping-particle":"","family":"Jackson","given":"G. H.","non-dropping-particle":"","parse-names":false,"suffix":""},{"dropping-particle":"","family":"Morgan","given":"G. J.","non-dropping-particle":"","parse-names":false,"suffix":""}],"container-title":"Blood cancer journal","id":"ITEM-1","issue":"12","issued":{"date-parts":[["2016","12","9"]]},"page":"e506","title":"Second malignancies in the context of lenalidomide treatment: an analysis of 2732 myeloma patients enrolled to the Myeloma XI trial","type":"article-journal","volume":"6"},"uris":["http://www.mendeley.com/documents/?uuid=c9e0a495-5d96-3578-9ccf-860499393a73"]}],"mendeley":{"formattedCitation":"[76]","plainTextFormattedCitation":"[76]","previouslyFormattedCitation":"[76]"},"properties":{"noteIndex":0},"schema":"https://github.com/citation-style-language/schema/raw/master/csl-citation.json"}</w:instrText>
      </w:r>
      <w:r w:rsidR="00A96FB6" w:rsidRPr="00F242DD">
        <w:fldChar w:fldCharType="separate"/>
      </w:r>
      <w:r w:rsidR="00705691" w:rsidRPr="00F242DD">
        <w:rPr>
          <w:noProof/>
        </w:rPr>
        <w:t>[76]</w:t>
      </w:r>
      <w:r w:rsidR="00A96FB6" w:rsidRPr="00F242DD">
        <w:fldChar w:fldCharType="end"/>
      </w:r>
      <w:r w:rsidRPr="00F242DD">
        <w:t>.</w:t>
      </w:r>
    </w:p>
    <w:p w14:paraId="72F9AB78" w14:textId="77777777" w:rsidR="00202DE5" w:rsidRPr="00F242DD" w:rsidRDefault="00202DE5" w:rsidP="00202DE5">
      <w:pPr>
        <w:spacing w:before="0" w:after="0"/>
        <w:ind w:left="709"/>
        <w:contextualSpacing/>
        <w:rPr>
          <w:b/>
        </w:rPr>
      </w:pPr>
      <w:r w:rsidRPr="00F242DD">
        <w:rPr>
          <w:b/>
        </w:rPr>
        <w:t xml:space="preserve">Уровень убедительности рекомендаций </w:t>
      </w:r>
      <w:r w:rsidR="00815B1A" w:rsidRPr="00F242DD">
        <w:rPr>
          <w:b/>
        </w:rPr>
        <w:t xml:space="preserve">− </w:t>
      </w:r>
      <w:r w:rsidR="004E145E" w:rsidRPr="00F242DD">
        <w:rPr>
          <w:b/>
          <w:lang w:val="en-US"/>
        </w:rPr>
        <w:t>A</w:t>
      </w:r>
      <w:r w:rsidRPr="00F242DD">
        <w:rPr>
          <w:b/>
        </w:rPr>
        <w:t xml:space="preserve"> (уровень достоверности доказательств </w:t>
      </w:r>
      <w:r w:rsidR="00815B1A" w:rsidRPr="00F242DD">
        <w:rPr>
          <w:b/>
        </w:rPr>
        <w:t xml:space="preserve">− </w:t>
      </w:r>
      <w:r w:rsidR="004E145E" w:rsidRPr="00F242DD">
        <w:rPr>
          <w:b/>
        </w:rPr>
        <w:t>2</w:t>
      </w:r>
      <w:r w:rsidRPr="00F242DD">
        <w:rPr>
          <w:b/>
        </w:rPr>
        <w:t>)</w:t>
      </w:r>
    </w:p>
    <w:p w14:paraId="6F3404EA" w14:textId="77777777" w:rsidR="00130BC5" w:rsidRPr="00F242DD" w:rsidRDefault="00130BC5" w:rsidP="00E36DFA">
      <w:pPr>
        <w:pStyle w:val="1"/>
      </w:pPr>
      <w:bookmarkStart w:id="44" w:name="_Toc436920"/>
      <w:bookmarkStart w:id="45" w:name="_Toc53140910"/>
      <w:r w:rsidRPr="00F242DD">
        <w:lastRenderedPageBreak/>
        <w:t xml:space="preserve">6. Организация </w:t>
      </w:r>
      <w:r w:rsidR="00005BCD" w:rsidRPr="00F242DD">
        <w:t xml:space="preserve">оказания </w:t>
      </w:r>
      <w:r w:rsidRPr="00F242DD">
        <w:t>медицинской помощи</w:t>
      </w:r>
      <w:bookmarkEnd w:id="44"/>
      <w:bookmarkEnd w:id="45"/>
    </w:p>
    <w:p w14:paraId="39AD7B9F" w14:textId="77777777" w:rsidR="002E36A5" w:rsidRPr="00F242DD" w:rsidRDefault="002E36A5" w:rsidP="00993359">
      <w:pPr>
        <w:spacing w:before="0" w:after="0"/>
        <w:ind w:firstLine="709"/>
        <w:rPr>
          <w:color w:val="000000"/>
        </w:rPr>
      </w:pPr>
      <w:r w:rsidRPr="00F242DD">
        <w:rPr>
          <w:color w:val="000000"/>
        </w:rPr>
        <w:t>Медицинская помощь, за исключением медицинской помощи в рамках клинической апробации, в соответствии с Федеральным законом от 21.11.2011 № 323-ФЗ (ред. от 25.05.2019) «Об основах охраны здоровья граждан в Российской Федерации» организуется и оказывается:</w:t>
      </w:r>
    </w:p>
    <w:p w14:paraId="4F6C4AEB" w14:textId="77777777" w:rsidR="002E36A5" w:rsidRPr="00F242DD" w:rsidRDefault="002E36A5" w:rsidP="00993359">
      <w:pPr>
        <w:pStyle w:val="a6"/>
        <w:numPr>
          <w:ilvl w:val="0"/>
          <w:numId w:val="60"/>
        </w:numPr>
        <w:spacing w:before="0" w:after="0"/>
        <w:ind w:left="993"/>
        <w:contextualSpacing w:val="0"/>
        <w:rPr>
          <w:color w:val="000000"/>
        </w:rPr>
      </w:pPr>
      <w:r w:rsidRPr="00F242DD">
        <w:rPr>
          <w:color w:val="000000"/>
        </w:rP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0882F024" w14:textId="77777777" w:rsidR="002E36A5" w:rsidRPr="00F242DD" w:rsidRDefault="002E36A5" w:rsidP="00993359">
      <w:pPr>
        <w:pStyle w:val="a6"/>
        <w:numPr>
          <w:ilvl w:val="0"/>
          <w:numId w:val="60"/>
        </w:numPr>
        <w:spacing w:before="0" w:after="0"/>
        <w:ind w:left="993"/>
        <w:contextualSpacing w:val="0"/>
        <w:rPr>
          <w:color w:val="000000"/>
        </w:rPr>
      </w:pPr>
      <w:r w:rsidRPr="00F242DD">
        <w:rPr>
          <w:color w:val="000000"/>
        </w:rPr>
        <w:t>в соответствии с порядком оказания помощи по профилю «гематология», обязательным для исполнения на территории Российской Федерации всеми медицинскими организациями;</w:t>
      </w:r>
    </w:p>
    <w:p w14:paraId="22435598" w14:textId="77777777" w:rsidR="002E36A5" w:rsidRPr="00F242DD" w:rsidRDefault="002E36A5" w:rsidP="00993359">
      <w:pPr>
        <w:pStyle w:val="a6"/>
        <w:numPr>
          <w:ilvl w:val="0"/>
          <w:numId w:val="60"/>
        </w:numPr>
        <w:spacing w:before="0" w:after="0"/>
        <w:ind w:left="993"/>
        <w:contextualSpacing w:val="0"/>
        <w:rPr>
          <w:color w:val="000000"/>
        </w:rPr>
      </w:pPr>
      <w:r w:rsidRPr="00F242DD">
        <w:rPr>
          <w:color w:val="000000"/>
        </w:rPr>
        <w:t>на основе настоящих клинических рекомендаций;</w:t>
      </w:r>
    </w:p>
    <w:p w14:paraId="0C376AC2" w14:textId="77777777" w:rsidR="002E36A5" w:rsidRPr="00F242DD" w:rsidRDefault="002E36A5" w:rsidP="00993359">
      <w:pPr>
        <w:pStyle w:val="a6"/>
        <w:numPr>
          <w:ilvl w:val="0"/>
          <w:numId w:val="60"/>
        </w:numPr>
        <w:spacing w:before="0" w:after="0"/>
        <w:ind w:left="993"/>
        <w:contextualSpacing w:val="0"/>
        <w:rPr>
          <w:color w:val="000000"/>
        </w:rPr>
      </w:pPr>
      <w:r w:rsidRPr="00F242DD">
        <w:rPr>
          <w:color w:val="000000"/>
        </w:rPr>
        <w:t>с учетом стандартов медицинской помощи, утвержденных уполномоченным федеральным органом исполнительной власти.</w:t>
      </w:r>
    </w:p>
    <w:p w14:paraId="45075357" w14:textId="77777777" w:rsidR="002E36A5" w:rsidRPr="00F242DD" w:rsidRDefault="002E36A5" w:rsidP="00993359">
      <w:pPr>
        <w:spacing w:before="0" w:after="0"/>
        <w:ind w:firstLine="709"/>
        <w:rPr>
          <w:color w:val="000000"/>
        </w:rPr>
      </w:pPr>
      <w:r w:rsidRPr="00F242DD">
        <w:rPr>
          <w:color w:val="000000"/>
        </w:rPr>
        <w:t>Первичная специализированная медико-санитарная помощь оказывается врачом-гематологом и иными врачами-специалистами в центре амбулаторной гематологической/онкологической помощи либо в первичном гематологическом/онкологическом кабинете, первичном гематологическом отделении, поликлиническом отделении онкологического диспансера.</w:t>
      </w:r>
    </w:p>
    <w:p w14:paraId="451519A8" w14:textId="77777777" w:rsidR="002E36A5" w:rsidRPr="00F242DD" w:rsidRDefault="002E36A5" w:rsidP="00993359">
      <w:pPr>
        <w:spacing w:before="0" w:after="0"/>
        <w:ind w:firstLine="709"/>
        <w:rPr>
          <w:color w:val="000000"/>
        </w:rPr>
      </w:pPr>
      <w:r w:rsidRPr="00F242DD">
        <w:rPr>
          <w:color w:val="000000"/>
        </w:rPr>
        <w:t xml:space="preserve">При выявлении у пациента </w:t>
      </w:r>
      <w:r w:rsidRPr="00F242DD">
        <w:t xml:space="preserve">ММ </w:t>
      </w:r>
      <w:r w:rsidRPr="00F242DD">
        <w:rPr>
          <w:color w:val="000000"/>
        </w:rPr>
        <w:t>или подозрении на него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пациента на консультацию в центр амбулаторной гематологической/онкологической помощи либо в первичный гематологический кабинет, первичное гематологическое отделение медицинской организации для оказания ему первичной специализированной медико-санитарной помощи.</w:t>
      </w:r>
    </w:p>
    <w:p w14:paraId="55860ED5" w14:textId="77777777" w:rsidR="002E36A5" w:rsidRPr="00F242DD" w:rsidRDefault="002E36A5" w:rsidP="00993359">
      <w:pPr>
        <w:spacing w:before="0" w:after="0"/>
        <w:ind w:firstLine="709"/>
        <w:rPr>
          <w:color w:val="000000"/>
        </w:rPr>
      </w:pPr>
      <w:r w:rsidRPr="00F242DD">
        <w:rPr>
          <w:color w:val="000000"/>
        </w:rPr>
        <w:t>Врач-гематолог амбулаторного или стационарного звена гематологической помощи организует выполнение диагностических исследований, необходимых для установления диагноза, включая распространенность и стадию заболевания.</w:t>
      </w:r>
    </w:p>
    <w:p w14:paraId="12F3E230" w14:textId="77777777" w:rsidR="002E36A5" w:rsidRPr="00F242DD" w:rsidRDefault="002E36A5" w:rsidP="00993359">
      <w:pPr>
        <w:spacing w:before="0" w:after="0"/>
        <w:ind w:firstLine="709"/>
        <w:rPr>
          <w:color w:val="000000"/>
        </w:rPr>
      </w:pPr>
      <w:r w:rsidRPr="00F242DD">
        <w:rPr>
          <w:color w:val="000000"/>
        </w:rPr>
        <w:t>В случае невозможности проведения диагностических исследований пациент направляется лечащим врачом в медицинскую организацию, оказывающую медицинскую помощь пациентам с гематологическими заболеваниями для установления диагноза и оказания специализированной, в том числе высокотехнологичной, медицинской помощи.</w:t>
      </w:r>
    </w:p>
    <w:p w14:paraId="313918FD" w14:textId="77777777" w:rsidR="002E36A5" w:rsidRPr="00F242DD" w:rsidRDefault="002E36A5" w:rsidP="00993359">
      <w:pPr>
        <w:spacing w:before="0" w:after="0"/>
        <w:ind w:firstLine="709"/>
        <w:rPr>
          <w:color w:val="000000"/>
        </w:rPr>
      </w:pPr>
      <w:r w:rsidRPr="00F242DD">
        <w:rPr>
          <w:color w:val="000000"/>
        </w:rPr>
        <w:lastRenderedPageBreak/>
        <w:t xml:space="preserve">При выявлении </w:t>
      </w:r>
      <w:r w:rsidRPr="00F242DD">
        <w:t xml:space="preserve">ММ </w:t>
      </w:r>
      <w:r w:rsidRPr="00F242DD">
        <w:rPr>
          <w:color w:val="000000"/>
        </w:rPr>
        <w:t>или подозрении на него в ходе оказания скорой медицинской помощи пациента переводят или направляют в медицинские организации, оказывающие медицинскую помощь пациентам с гематологическими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76807BAC" w14:textId="77777777" w:rsidR="002E36A5" w:rsidRPr="00F242DD" w:rsidRDefault="002E36A5" w:rsidP="00993359">
      <w:pPr>
        <w:spacing w:before="0" w:after="0"/>
        <w:ind w:firstLine="709"/>
        <w:rPr>
          <w:color w:val="000000"/>
        </w:rPr>
      </w:pPr>
      <w:r w:rsidRPr="00F242DD">
        <w:rPr>
          <w:color w:val="000000"/>
        </w:rPr>
        <w:t xml:space="preserve">Специализированная, в том числе высокотехнологичная, медицинская помощь оказывается врачами-гематологами в медицинских организациях, оказывающих медицинскую помощь пациентам с </w:t>
      </w:r>
      <w:r w:rsidRPr="00F242DD">
        <w:t>ММ</w:t>
      </w:r>
      <w:r w:rsidRPr="00F242DD">
        <w:rPr>
          <w:color w:val="000000"/>
        </w:rPr>
        <w:t>,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профилактику, диагностику, лечение гематологических заболеваний, требующих использования специальных методов и сложных уникальных медицинских технологий, а также медицинскую реабилитацию.</w:t>
      </w:r>
    </w:p>
    <w:p w14:paraId="3A15668D" w14:textId="77777777" w:rsidR="002E36A5" w:rsidRPr="00F242DD" w:rsidRDefault="002E36A5" w:rsidP="00993359">
      <w:pPr>
        <w:spacing w:before="0" w:after="0"/>
        <w:ind w:firstLine="709"/>
        <w:rPr>
          <w:color w:val="000000"/>
        </w:rPr>
      </w:pPr>
      <w:r w:rsidRPr="00F242DD">
        <w:rPr>
          <w:color w:val="000000"/>
        </w:rPr>
        <w:t xml:space="preserve">В медицинской организации, оказывающей медицинскую помощь пациентам с </w:t>
      </w:r>
      <w:r w:rsidRPr="00F242DD">
        <w:t>ММ</w:t>
      </w:r>
      <w:r w:rsidRPr="00F242DD">
        <w:rPr>
          <w:color w:val="000000"/>
        </w:rPr>
        <w:t>, тактика медицинского обследования и лечения устанавливается врачами-гематологами с привлечением при необходимости других врачей-специалистов, при необходимости – с проведением консилиума. Решение консилиума врачей оформляется протоколом, подписывается участниками консилиума врачей и вносится в медицинскую документацию пациента.</w:t>
      </w:r>
    </w:p>
    <w:p w14:paraId="620C0CCE" w14:textId="77777777" w:rsidR="002E36A5" w:rsidRPr="00F242DD" w:rsidRDefault="002E36A5" w:rsidP="00993359">
      <w:pPr>
        <w:spacing w:before="0" w:after="0"/>
        <w:ind w:firstLine="709"/>
        <w:rPr>
          <w:color w:val="000000"/>
        </w:rPr>
      </w:pPr>
      <w:r w:rsidRPr="00F242DD">
        <w:rPr>
          <w:color w:val="000000"/>
        </w:rPr>
        <w:t>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«гематология», определяются врачом-гематологом/консилиумом врачей с привлечением при необходимости других врачей-специалистов.</w:t>
      </w:r>
    </w:p>
    <w:p w14:paraId="03543606" w14:textId="77777777" w:rsidR="00B272C7" w:rsidRPr="00F242DD" w:rsidRDefault="00B272C7" w:rsidP="00993359">
      <w:pPr>
        <w:pStyle w:val="13"/>
        <w:contextualSpacing/>
        <w:rPr>
          <w:b/>
        </w:rPr>
      </w:pPr>
      <w:r w:rsidRPr="00F242DD">
        <w:rPr>
          <w:b/>
        </w:rPr>
        <w:t xml:space="preserve">Показания для плановой госпитализации: </w:t>
      </w:r>
    </w:p>
    <w:p w14:paraId="50A928F8" w14:textId="77777777" w:rsidR="00B272C7" w:rsidRPr="00F242DD" w:rsidRDefault="00B272C7" w:rsidP="00993359">
      <w:pPr>
        <w:pStyle w:val="13"/>
        <w:ind w:left="720" w:firstLine="0"/>
        <w:contextualSpacing/>
      </w:pPr>
      <w:r w:rsidRPr="00F242DD">
        <w:t>Наличие диагноза симптоматическая множественная миелома для выполнения:</w:t>
      </w:r>
    </w:p>
    <w:p w14:paraId="0495930F" w14:textId="77777777" w:rsidR="00B272C7" w:rsidRPr="00F242DD" w:rsidRDefault="00B272C7" w:rsidP="00993359">
      <w:pPr>
        <w:pStyle w:val="13"/>
        <w:numPr>
          <w:ilvl w:val="0"/>
          <w:numId w:val="11"/>
        </w:numPr>
        <w:contextualSpacing/>
      </w:pPr>
      <w:r w:rsidRPr="00F242DD">
        <w:t>планового курса специфической терапии, включающей химиотерапевтические препараты, таргетные препараты биологического механизма действия, требующей круглосуточного наблюдения за пациентом (в том числе при наличии тяжелой коморбидности, цитопенического синдрома),</w:t>
      </w:r>
    </w:p>
    <w:p w14:paraId="79374C36" w14:textId="77777777" w:rsidR="00B272C7" w:rsidRPr="00F242DD" w:rsidRDefault="00B272C7" w:rsidP="00993359">
      <w:pPr>
        <w:pStyle w:val="13"/>
        <w:numPr>
          <w:ilvl w:val="0"/>
          <w:numId w:val="11"/>
        </w:numPr>
        <w:contextualSpacing/>
      </w:pPr>
      <w:r w:rsidRPr="00F242DD">
        <w:t>курса высокодозной химиотерапии,</w:t>
      </w:r>
    </w:p>
    <w:p w14:paraId="5973A26F" w14:textId="77777777" w:rsidR="00B272C7" w:rsidRPr="00F242DD" w:rsidRDefault="00B272C7" w:rsidP="00993359">
      <w:pPr>
        <w:pStyle w:val="13"/>
        <w:numPr>
          <w:ilvl w:val="0"/>
          <w:numId w:val="11"/>
        </w:numPr>
        <w:contextualSpacing/>
      </w:pPr>
      <w:r w:rsidRPr="00F242DD">
        <w:t>трансплантации аутологичных (аллогенных) стволовых гемопоэтических клеток,</w:t>
      </w:r>
    </w:p>
    <w:p w14:paraId="442B6F0A" w14:textId="77777777" w:rsidR="00B272C7" w:rsidRPr="00F242DD" w:rsidRDefault="00B272C7" w:rsidP="00993359">
      <w:pPr>
        <w:pStyle w:val="13"/>
        <w:numPr>
          <w:ilvl w:val="0"/>
          <w:numId w:val="11"/>
        </w:numPr>
        <w:contextualSpacing/>
      </w:pPr>
      <w:r w:rsidRPr="00F242DD">
        <w:t>мобилизации и сбора аутологичных стволовых гемопоэтических клеток крови,</w:t>
      </w:r>
    </w:p>
    <w:p w14:paraId="514FAFFE" w14:textId="77777777" w:rsidR="00B272C7" w:rsidRPr="00F242DD" w:rsidRDefault="00B272C7" w:rsidP="00993359">
      <w:pPr>
        <w:pStyle w:val="13"/>
        <w:numPr>
          <w:ilvl w:val="0"/>
          <w:numId w:val="11"/>
        </w:numPr>
        <w:contextualSpacing/>
      </w:pPr>
      <w:r w:rsidRPr="00F242DD">
        <w:t>эксфузии аутологичного костного мозга для последующей трансплантации.</w:t>
      </w:r>
    </w:p>
    <w:p w14:paraId="791F898C" w14:textId="77777777" w:rsidR="00B272C7" w:rsidRPr="00F242DD" w:rsidRDefault="00B272C7" w:rsidP="00993359">
      <w:pPr>
        <w:pStyle w:val="13"/>
        <w:contextualSpacing/>
        <w:rPr>
          <w:b/>
        </w:rPr>
      </w:pPr>
      <w:r w:rsidRPr="00F242DD">
        <w:rPr>
          <w:b/>
        </w:rPr>
        <w:t xml:space="preserve">Показания для экстренной госпитализации: </w:t>
      </w:r>
    </w:p>
    <w:p w14:paraId="49ECBDBD" w14:textId="77777777" w:rsidR="00B272C7" w:rsidRPr="00F242DD" w:rsidRDefault="00B272C7" w:rsidP="00993359">
      <w:pPr>
        <w:pStyle w:val="13"/>
        <w:ind w:left="720" w:firstLine="0"/>
        <w:contextualSpacing/>
      </w:pPr>
      <w:r w:rsidRPr="00F242DD">
        <w:lastRenderedPageBreak/>
        <w:t>Наличие диагноза симптоматическая множественная миелома, осложненная</w:t>
      </w:r>
    </w:p>
    <w:p w14:paraId="1A37DB7F" w14:textId="77777777" w:rsidR="00B272C7" w:rsidRPr="00F242DD" w:rsidRDefault="00B272C7" w:rsidP="00993359">
      <w:pPr>
        <w:pStyle w:val="13"/>
        <w:numPr>
          <w:ilvl w:val="0"/>
          <w:numId w:val="12"/>
        </w:numPr>
        <w:contextualSpacing/>
      </w:pPr>
      <w:r w:rsidRPr="00F242DD">
        <w:t>острым почечным повреждением вследствие миеломной нефропатии,</w:t>
      </w:r>
    </w:p>
    <w:p w14:paraId="6BEC56D3" w14:textId="77777777" w:rsidR="00B272C7" w:rsidRPr="00F242DD" w:rsidRDefault="00B272C7" w:rsidP="00993359">
      <w:pPr>
        <w:pStyle w:val="13"/>
        <w:numPr>
          <w:ilvl w:val="0"/>
          <w:numId w:val="12"/>
        </w:numPr>
        <w:contextualSpacing/>
      </w:pPr>
      <w:r w:rsidRPr="00F242DD">
        <w:t>тяжелым оссалгическим синдромом (в том числе с угрозой переломов, повреждения позвоночника, сдавления спинного мозга),</w:t>
      </w:r>
    </w:p>
    <w:p w14:paraId="64CBC5A0" w14:textId="77777777" w:rsidR="00B272C7" w:rsidRPr="00F242DD" w:rsidRDefault="00B272C7" w:rsidP="00993359">
      <w:pPr>
        <w:pStyle w:val="13"/>
        <w:numPr>
          <w:ilvl w:val="0"/>
          <w:numId w:val="12"/>
        </w:numPr>
        <w:contextualSpacing/>
      </w:pPr>
      <w:r w:rsidRPr="00F242DD">
        <w:t>тромботическими / геморрагическими осложнениями на фоне специфической терапии,</w:t>
      </w:r>
    </w:p>
    <w:p w14:paraId="78697765" w14:textId="77777777" w:rsidR="00B272C7" w:rsidRPr="00F242DD" w:rsidRDefault="00B272C7" w:rsidP="00993359">
      <w:pPr>
        <w:pStyle w:val="13"/>
        <w:numPr>
          <w:ilvl w:val="0"/>
          <w:numId w:val="12"/>
        </w:numPr>
        <w:contextualSpacing/>
      </w:pPr>
      <w:r w:rsidRPr="00F242DD">
        <w:t>тяжелыми инфекционными осложнениями на фоне специфической терапии,</w:t>
      </w:r>
    </w:p>
    <w:p w14:paraId="01164998" w14:textId="77777777" w:rsidR="00B272C7" w:rsidRPr="00F242DD" w:rsidRDefault="00B272C7" w:rsidP="00993359">
      <w:pPr>
        <w:pStyle w:val="13"/>
        <w:numPr>
          <w:ilvl w:val="0"/>
          <w:numId w:val="12"/>
        </w:numPr>
        <w:contextualSpacing/>
      </w:pPr>
      <w:r w:rsidRPr="00F242DD">
        <w:t>кардиальной патологией на фоне специфической терапии,</w:t>
      </w:r>
    </w:p>
    <w:p w14:paraId="4F11EEE9" w14:textId="77777777" w:rsidR="00B272C7" w:rsidRPr="00F242DD" w:rsidRDefault="00B272C7" w:rsidP="00993359">
      <w:pPr>
        <w:pStyle w:val="13"/>
        <w:numPr>
          <w:ilvl w:val="0"/>
          <w:numId w:val="12"/>
        </w:numPr>
        <w:contextualSpacing/>
        <w:rPr>
          <w:color w:val="000000"/>
        </w:rPr>
      </w:pPr>
      <w:r w:rsidRPr="00F242DD">
        <w:t xml:space="preserve">глубокой </w:t>
      </w:r>
      <w:r w:rsidRPr="00F242DD">
        <w:rPr>
          <w:color w:val="000000"/>
        </w:rPr>
        <w:t>цитопенией.</w:t>
      </w:r>
    </w:p>
    <w:p w14:paraId="7E073E4D" w14:textId="77777777" w:rsidR="00B272C7" w:rsidRPr="00F242DD" w:rsidRDefault="00B272C7" w:rsidP="00993359">
      <w:pPr>
        <w:pStyle w:val="13"/>
        <w:contextualSpacing/>
        <w:rPr>
          <w:b/>
        </w:rPr>
      </w:pPr>
      <w:r w:rsidRPr="00F242DD">
        <w:rPr>
          <w:b/>
        </w:rPr>
        <w:t>Показания к выписке пациента из стационара:</w:t>
      </w:r>
    </w:p>
    <w:p w14:paraId="76EE1D96" w14:textId="77777777" w:rsidR="00B272C7" w:rsidRPr="00F242DD" w:rsidRDefault="00B272C7" w:rsidP="00993359">
      <w:pPr>
        <w:pStyle w:val="13"/>
        <w:numPr>
          <w:ilvl w:val="0"/>
          <w:numId w:val="13"/>
        </w:numPr>
        <w:contextualSpacing/>
      </w:pPr>
      <w:r w:rsidRPr="00F242DD">
        <w:t>Завершение курса специфической терапии.</w:t>
      </w:r>
    </w:p>
    <w:p w14:paraId="27F1E906" w14:textId="77777777" w:rsidR="00B272C7" w:rsidRPr="00F242DD" w:rsidRDefault="00B272C7" w:rsidP="00993359">
      <w:pPr>
        <w:pStyle w:val="13"/>
        <w:numPr>
          <w:ilvl w:val="0"/>
          <w:numId w:val="13"/>
        </w:numPr>
        <w:contextualSpacing/>
      </w:pPr>
      <w:r w:rsidRPr="00F242DD">
        <w:t>Купирование осложнений, возникших на фоне специфической терапии</w:t>
      </w:r>
    </w:p>
    <w:p w14:paraId="06854374" w14:textId="77777777" w:rsidR="00E92FAD" w:rsidRPr="00F242DD" w:rsidRDefault="00E92FAD" w:rsidP="00993359">
      <w:pPr>
        <w:pStyle w:val="Default"/>
        <w:spacing w:line="360" w:lineRule="auto"/>
        <w:ind w:firstLine="709"/>
        <w:jc w:val="both"/>
      </w:pPr>
      <w:r w:rsidRPr="00F242DD">
        <w:t xml:space="preserve">Заключение о целесообразности перевода </w:t>
      </w:r>
      <w:r w:rsidR="00534E54" w:rsidRPr="00F242DD">
        <w:t xml:space="preserve">пациента </w:t>
      </w:r>
      <w:r w:rsidRPr="00F242DD">
        <w:t xml:space="preserve">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w:t>
      </w:r>
      <w:r w:rsidR="00534E54" w:rsidRPr="00F242DD">
        <w:t xml:space="preserve">пациента </w:t>
      </w:r>
      <w:r w:rsidRPr="00F242DD">
        <w:t>врачами специалистами медицинской организации, в которую планируется перевод.</w:t>
      </w:r>
    </w:p>
    <w:p w14:paraId="41797C6D" w14:textId="77777777" w:rsidR="00130BC5" w:rsidRPr="00F242DD" w:rsidRDefault="00E778E9" w:rsidP="00E778E9">
      <w:pPr>
        <w:pStyle w:val="1"/>
      </w:pPr>
      <w:bookmarkStart w:id="46" w:name="_Toc53140911"/>
      <w:r w:rsidRPr="00F242DD">
        <w:rPr>
          <w:b w:val="0"/>
        </w:rPr>
        <w:lastRenderedPageBreak/>
        <w:t>7.</w:t>
      </w:r>
      <w:r w:rsidRPr="00F242DD">
        <w:t xml:space="preserve"> </w:t>
      </w:r>
      <w:r w:rsidR="005E3E79" w:rsidRPr="00F242DD">
        <w:t>Дополнительная информация (в том числе факторы, влияющие на исход заболевания или состояния)</w:t>
      </w:r>
      <w:bookmarkEnd w:id="46"/>
    </w:p>
    <w:p w14:paraId="6CA73FC8" w14:textId="77777777" w:rsidR="00E778E9" w:rsidRPr="00F242DD" w:rsidRDefault="00E778E9" w:rsidP="00E36DFA">
      <w:r w:rsidRPr="00F242DD">
        <w:rPr>
          <w:b/>
        </w:rPr>
        <w:t>Оценка эффективности лечения множественной миеломы</w:t>
      </w:r>
    </w:p>
    <w:p w14:paraId="6746C1DB" w14:textId="77777777" w:rsidR="00E778E9" w:rsidRPr="00F242DD" w:rsidRDefault="00E778E9" w:rsidP="00E778E9">
      <w:pPr>
        <w:shd w:val="clear" w:color="auto" w:fill="FFFFFF"/>
        <w:tabs>
          <w:tab w:val="left" w:pos="900"/>
        </w:tabs>
        <w:spacing w:before="0" w:after="0"/>
        <w:ind w:firstLine="709"/>
        <w:contextualSpacing/>
        <w:rPr>
          <w:rFonts w:eastAsia="Times New Roman"/>
        </w:rPr>
      </w:pPr>
      <w:r w:rsidRPr="00F242DD">
        <w:rPr>
          <w:rFonts w:eastAsia="Times New Roman"/>
        </w:rPr>
        <w:t>Оценка эффективности лечения ММ проводится согласно международным критериям, предложенным в 2006 г. и модифицированным в 2011 и 2016 гг.</w:t>
      </w:r>
      <w:r w:rsidRPr="00F242DD">
        <w:t xml:space="preserve"> </w:t>
      </w:r>
      <w:r w:rsidRPr="00F242DD">
        <w:fldChar w:fldCharType="begin" w:fldLock="1"/>
      </w:r>
      <w:r w:rsidR="00F74B6B" w:rsidRPr="00F242DD">
        <w:instrText>ADDIN CSL_CITATION {"citationItems":[{"id":"ITEM-1","itemData":{"DOI":"10.1038/sj.leu.2404284","ISSN":"14765551","abstract":"New uniform response criteria are required to adequately assess clinical outcomes in myeloma. The European Group for Blood and Bone Marrow Transplant/International Bone Marrow Transplant Registry criteria have been expanded, clarified and updated to provide a new comprehensive evaluation system. Categories for stringent complete response and very good partial response are added. The serum free light-chain assay is included to allow evaluation of patients with oligo-secretory disease. Inconsistencies in prior criteria are clarified making confirmation of response and disease progression easier to perform. Emphasis is placed upon time to event and duration of response as critical end points. The requirements necessary to use overall survival duration as the ultimate end point are discussed. It is anticipated that the International Response Criteria for multiple myeloma will be widely used in future clinical trials of myeloma.","author":[{"dropping-particle":"","family":"Durie","given":"B. G.M.","non-dropping-particle":"","parse-names":false,"suffix":""},{"dropping-particle":"","family":"Harousseau","given":"J. L.","non-dropping-particle":"","parse-names":false,"suffix":""},{"dropping-particle":"","family":"Miguel","given":"J. S.","non-dropping-particle":"","parse-names":false,"suffix":""},{"dropping-particle":"","family":"Bladé","given":"J.","non-dropping-particle":"","parse-names":false,"suffix":""},{"dropping-particle":"","family":"Barlogie","given":"B.","non-dropping-particle":"","parse-names":false,"suffix":""},{"dropping-particle":"","family":"Anderson","given":"K.","non-dropping-particle":"","parse-names":false,"suffix":""},{"dropping-particle":"","family":"Gertz","given":"M.","non-dropping-particle":"","parse-names":false,"suffix":""},{"dropping-particle":"","family":"Dimopoulos","given":"M.","non-dropping-particle":"","parse-names":false,"suffix":""},{"dropping-particle":"","family":"Westin","given":"J.","non-dropping-particle":"","parse-names":false,"suffix":""},{"dropping-particle":"","family":"Sonneveld","given":"P.","non-dropping-particle":"","parse-names":false,"suffix":""},{"dropping-particle":"","family":"Ludwig","given":"H.","non-dropping-particle":"","parse-names":false,"suffix":""},{"dropping-particle":"","family":"Gahrton","given":"G.","non-dropping-particle":"","parse-names":false,"suffix":""},{"dropping-particle":"","family":"Beksac","given":"M.","non-dropping-particle":"","parse-names":false,"suffix":""},{"dropping-particle":"","family":"Crowley","given":"J.","non-dropping-particle":"","parse-names":false,"suffix":""},{"dropping-particle":"","family":"Belch","given":"A.","non-dropping-particle":"","parse-names":false,"suffix":""},{"dropping-particle":"","family":"Boccadaro","given":"M.","non-dropping-particle":"","parse-names":false,"suffix":""},{"dropping-particle":"","family":"Cavo","given":"M.","non-dropping-particle":"","parse-names":false,"suffix":""},{"dropping-particle":"","family":"Turesson","given":"I.","non-dropping-particle":"","parse-names":false,"suffix":""},{"dropping-particle":"","family":"Joshua","given":"D.","non-dropping-particle":"","parse-names":false,"suffix":""},{"dropping-particle":"","family":"Vesole","given":"D.","non-dropping-particle":"","parse-names":false,"suffix":""},{"dropping-particle":"","family":"Kyle","given":"R.","non-dropping-particle":"","parse-names":false,"suffix":""},{"dropping-particle":"","family":"Tricot","given":"G.","non-dropping-particle":"","parse-names":false,"suffix":""},{"dropping-particle":"","family":"Alexanian","given":"R.","non-dropping-particle":"","parse-names":false,"suffix":""},{"dropping-particle":"","family":"Attal","given":"M.","non-dropping-particle":"","parse-names":false,"suffix":""},{"dropping-particle":"","family":"Merlini","given":"G.","non-dropping-particle":"","parse-names":false,"suffix":""},{"dropping-particle":"","family":"Powles","given":"R.","non-dropping-particle":"","parse-names":false,"suffix":""},{"dropping-particle":"","family":"Richardson","given":"P.","non-dropping-particle":"","parse-names":false,"suffix":""},{"dropping-particle":"","family":"Shimizu","given":"K.","non-dropping-particle":"","parse-names":false,"suffix":""},{"dropping-particle":"","family":"Tosi","given":"P.","non-dropping-particle":"","parse-names":false,"suffix":""},{"dropping-particle":"V.","family":"Rajkumar","given":"S.","non-dropping-particle":"","parse-names":false,"suffix":""},{"dropping-particle":"","family":"Morgan","given":"G.","non-dropping-particle":"","parse-names":false,"suffix":""}],"container-title":"Leukemia","id":"ITEM-1","issue":"9","issued":{"date-parts":[["2006","9","1"]]},"page":"1467-1473","publisher":"Nature Publishing Group","title":"International uniform response criteria for multiple myeloma","type":"article-journal","volume":"20"},"uris":["http://www.mendeley.com/documents/?uuid=aebf3721-d8f9-331d-a8a6-ba12b64a133b"]},{"id":"ITEM-2","itemData":{"DOI":"10.1182/blood-2010-10-299487","ISSN":"00064971","abstract":"It is essential that there be consistency in the conduct, analysis, and reporting of clinical trial results in myeloma. The goal of the International Myeloma Workshop Consensus Panel 1 was to develop a set of guidelines for the uniform reporting of clinical trial results in myeloma. This paper provides a summary of the current response criteria in myeloma, detailed definitions for patient populations, lines of therapy, and specific endpoints. We propose that future clinical trials in myeloma follow the guidelines for reporting results proposed in this manuscript.","author":[{"dropping-particle":"","family":"Rajkumar","given":"S. Vincent","non-dropping-particle":"","parse-names":false,"suffix":""},{"dropping-particle":"","family":"Harousseau","given":"Jean Luc","non-dropping-particle":"","parse-names":false,"suffix":""},{"dropping-particle":"","family":"Durie","given":"Brian","non-dropping-particle":"","parse-names":false,"suffix":""},{"dropping-particle":"","family":"Anderson","given":"Kenneth C.","non-dropping-particle":"","parse-names":false,"suffix":""},{"dropping-particle":"","family":"Dimopoulos","given":"Meletios","non-dropping-particle":"","parse-names":false,"suffix":""},{"dropping-particle":"","family":"Kyle","given":"Robert","non-dropping-particle":"","parse-names":false,"suffix":""},{"dropping-particle":"","family":"Blade","given":"Joan","non-dropping-particle":"","parse-names":false,"suffix":""},{"dropping-particle":"","family":"Richardson","given":"Paul","non-dropping-particle":"","parse-names":false,"suffix":""},{"dropping-particle":"","family":"Orlowski","given":"Robert","non-dropping-particle":"","parse-names":false,"suffix":""},{"dropping-particle":"","family":"Siegel","given":"David","non-dropping-particle":"","parse-names":false,"suffix":""},{"dropping-particle":"","family":"Jagannath","given":"Sundar","non-dropping-particle":"","parse-names":false,"suffix":""},{"dropping-particle":"","family":"Facon","given":"Thierry","non-dropping-particle":"","parse-names":false,"suffix":""},{"dropping-particle":"","family":"Avet-Loiseau","given":"Hervé","non-dropping-particle":"","parse-names":false,"suffix":""},{"dropping-particle":"","family":"Lonial","given":"Sagar","non-dropping-particle":"","parse-names":false,"suffix":""},{"dropping-particle":"","family":"Palumbo","given":"Antonio","non-dropping-particle":"","parse-names":false,"suffix":""},{"dropping-particle":"","family":"Zonder","given":"Jeffrey","non-dropping-particle":"","parse-names":false,"suffix":""},{"dropping-particle":"","family":"Ludwig","given":"Heinz","non-dropping-particle":"","parse-names":false,"suffix":""},{"dropping-particle":"","family":"Vesole","given":"David","non-dropping-particle":"","parse-names":false,"suffix":""},{"dropping-particle":"","family":"Sezer","given":"Orhan","non-dropping-particle":"","parse-names":false,"suffix":""},{"dropping-particle":"","family":"Munshi","given":"Nikhil C.","non-dropping-particle":"","parse-names":false,"suffix":""},{"dropping-particle":"","family":"San Miguel","given":"Jesus","non-dropping-particle":"","parse-names":false,"suffix":""}],"container-title":"Blood","id":"ITEM-2","issue":"18","issued":{"date-parts":[["2011","5","5"]]},"page":"4691-4695","title":"Consensus recommendations for the uniform reporting of clinical trials: Report of the International Myeloma Workshop Consensus Panel 1","type":"paper-conference","volume":"117"},"uris":["http://www.mendeley.com/documents/?uuid=0db91df9-fa07-385d-b4a7-0a85a73875a2"]},{"id":"ITEM-3","itemData":{"DOI":"10.1016/S1470-2045(16)30206-6","ISSN":"14745488","abstract":"Treatment of multiple myeloma has substantially changed over the past decade with the introduction of several classes of new effective drugs that have greatly improved the rates and depth of response. Response criteria in multiple myeloma were developed to use serum and urine assessment of monoclonal proteins and bone marrow assessment (which is relatively insensitive). Given the high rates of complete response seen in patients with multiple myeloma with new treatment approaches, new response categories need to be defined that can identify responses that are deeper than those conventionally defined as complete response. Recent attempts have focused on the identification of residual tumour cells in the bone marrow using flow cytometry or gene sequencing. Furthermore, sensitive imaging techniques can be used to detect the presence of residual disease outside of the bone marrow. Combining these new methods, the International Myeloma Working Group has defined new response categories of minimal residual disease negativity, with or without imaging-based absence of extramedullary disease, to allow uniform reporting within and outside clinical trials. In this Review, we clarify several aspects of disease response assessment, along with endpoints for clinical trials, and highlight future directions for disease response assessments.","author":[{"dropping-particle":"","family":"Kumar","given":"Shaji","non-dropping-particle":"","parse-names":false,"suffix":""},{"dropping-particle":"","family":"Paiva","given":"Bruno","non-dropping-particle":"","parse-names":false,"suffix":""},{"dropping-particle":"","family":"Anderson","given":"Kenneth C.","non-dropping-particle":"","parse-names":false,"suffix":""},{"dropping-particle":"","family":"Durie","given":"Brian","non-dropping-particle":"","parse-names":false,"suffix":""},{"dropping-particle":"","family":"Landgren","given":"Ola","non-dropping-particle":"","parse-names":false,"suffix":""},{"dropping-particle":"","family":"Moreau","given":"Philippe","non-dropping-particle":"","parse-names":false,"suffix":""},{"dropping-particle":"","family":"Munshi","given":"Nikhil","non-dropping-particle":"","parse-names":false,"suffix":""},{"dropping-particle":"","family":"Lonial","given":"Sagar","non-dropping-particle":"","parse-names":false,"suffix":""},{"dropping-particle":"","family":"Bladé","given":"Joan","non-dropping-particle":"","parse-names":false,"suffix":""},{"dropping-particle":"","family":"Mateos","given":"Maria Victoria","non-dropping-particle":"","parse-names":false,"suffix":""},{"dropping-particle":"","family":"Dimopoulos","given":"Meletios","non-dropping-particle":"","parse-names":false,"suffix":""},{"dropping-particle":"","family":"Kastritis","given":"Efstathios","non-dropping-particle":"","parse-names":false,"suffix":""},{"dropping-particle":"","family":"Boccadoro","given":"Mario","non-dropping-particle":"","parse-names":false,"suffix":""},{"dropping-particle":"","family":"Orlowski","given":"Robert","non-dropping-particle":"","parse-names":false,"suffix":""},{"dropping-particle":"","family":"Goldschmidt","given":"Hartmut","non-dropping-particle":"","parse-names":false,"suffix":""},{"dropping-particle":"","family":"Spencer","given":"Andrew","non-dropping-particle":"","parse-names":false,"suffix":""},{"dropping-particle":"","family":"Hou","given":"Jian","non-dropping-particle":"","parse-names":false,"suffix":""},{"dropping-particle":"","family":"Chng","given":"Wee Joo","non-dropping-particle":"","parse-names":false,"suffix":""},{"dropping-particle":"","family":"Usmani","given":"Saad Z.","non-dropping-particle":"","parse-names":false,"suffix":""},{"dropping-particle":"","family":"Zamagni","given":"Elena","non-dropping-particle":"","parse-names":false,"suffix":""},{"dropping-particle":"","family":"Shimizu","given":"Kazuyuki","non-dropping-particle":"","parse-names":false,"suffix":""},{"dropping-particle":"","family":"Jagannath","given":"Sundar","non-dropping-particle":"","parse-names":false,"suffix":""},{"dropping-particle":"","family":"Johnsen","given":"Hans E.","non-dropping-particle":"","parse-names":false,"suffix":""},{"dropping-particle":"","family":"Terpos","given":"Evangelos","non-dropping-particle":"","parse-names":false,"suffix":""},{"dropping-particle":"","family":"Reiman","given":"Anthony","non-dropping-particle":"","parse-names":false,"suffix":""},{"dropping-particle":"","family":"Kyle","given":"Robert A.","non-dropping-particle":"","parse-names":false,"suffix":""},{"dropping-particle":"","family":"Sonneveld","given":"Pieter","non-dropping-particle":"","parse-names":false,"suffix":""},{"dropping-particle":"","family":"Richardson","given":"Paul G.","non-dropping-particle":"","parse-names":false,"suffix":""},{"dropping-particle":"","family":"McCarthy","given":"Philip","non-dropping-particle":"","parse-names":false,"suffix":""},{"dropping-particle":"","family":"Ludwig","given":"Heinz","non-dropping-particle":"","parse-names":false,"suffix":""},{"dropping-particle":"","family":"Chen","given":"Wenming","non-dropping-particle":"","parse-names":false,"suffix":""},{"dropping-particle":"","family":"Cavo","given":"Michele","non-dropping-particle":"","parse-names":false,"suffix":""},{"dropping-particle":"","family":"Harousseau","given":"Jean Luc","non-dropping-particle":"","parse-names":false,"suffix":""},{"dropping-particle":"","family":"Lentzsch","given":"Suzanne","non-dropping-particle":"","parse-names":false,"suffix":""},{"dropping-particle":"","family":"Hillengass","given":"Jens","non-dropping-particle":"","parse-names":false,"suffix":""},{"dropping-particle":"","family":"Palumbo","given":"Antonio","non-dropping-particle":"","parse-names":false,"suffix":""},{"dropping-particle":"","family":"Orfao","given":"Alberto","non-dropping-particle":"","parse-names":false,"suffix":""},{"dropping-particle":"","family":"Rajkumar","given":"S. Vincent","non-dropping-particle":"","parse-names":false,"suffix":""},{"dropping-particle":"","family":"Miguel","given":"Jesus San","non-dropping-particle":"","parse-names":false,"suffix":""},{"dropping-particle":"","family":"Avet-Loiseau","given":"Herve","non-dropping-particle":"","parse-names":false,"suffix":""}],"container-title":"The Lancet Oncology","id":"ITEM-3","issue":"8","issued":{"date-parts":[["2016","8","1"]]},"page":"e328-e346","publisher":"Lancet Publishing Group","title":"International Myeloma Working Group consensus criteria for response and minimal residual disease assessment in multiple myeloma","type":"article","volume":"17"},"uris":["http://www.mendeley.com/documents/?uuid=530a8544-f504-385c-8004-3a945290d1b0"]}],"mendeley":{"formattedCitation":"[72–74]","plainTextFormattedCitation":"[72–74]","previouslyFormattedCitation":"[72–74]"},"properties":{"noteIndex":0},"schema":"https://github.com/citation-style-language/schema/raw/master/csl-citation.json"}</w:instrText>
      </w:r>
      <w:r w:rsidRPr="00F242DD">
        <w:fldChar w:fldCharType="separate"/>
      </w:r>
      <w:r w:rsidR="00705691" w:rsidRPr="00F242DD">
        <w:rPr>
          <w:noProof/>
        </w:rPr>
        <w:t>[72–74]</w:t>
      </w:r>
      <w:r w:rsidRPr="00F242DD">
        <w:fldChar w:fldCharType="end"/>
      </w:r>
      <w:r w:rsidRPr="00F242DD">
        <w:t>.</w:t>
      </w:r>
      <w:r w:rsidRPr="00F242DD">
        <w:rPr>
          <w:rFonts w:eastAsia="Times New Roman"/>
        </w:rPr>
        <w:t xml:space="preserve"> При оценке любое исследование нужно провести не менее 2 раз для подтверждения результатов.</w:t>
      </w:r>
    </w:p>
    <w:p w14:paraId="2087E579" w14:textId="77777777" w:rsidR="00E778E9" w:rsidRPr="00F242DD" w:rsidRDefault="00E778E9" w:rsidP="00E778E9">
      <w:pPr>
        <w:shd w:val="clear" w:color="auto" w:fill="FFFFFF"/>
        <w:tabs>
          <w:tab w:val="left" w:pos="900"/>
        </w:tabs>
        <w:spacing w:before="0" w:after="0"/>
        <w:ind w:firstLine="709"/>
        <w:contextualSpacing/>
        <w:rPr>
          <w:rFonts w:eastAsia="Times New Roman"/>
          <w:highlight w:val="green"/>
        </w:rPr>
      </w:pPr>
      <w:r w:rsidRPr="00F242DD">
        <w:rPr>
          <w:rFonts w:eastAsia="Times New Roman"/>
        </w:rPr>
        <w:t>Оценка эффекта по уровню моноклонального белка в сыворотке крови и моче применима для пациентов с «измеряемой» болезнью. Заболевание считают «измеряемым» при концентрации М-протеина в сыворотке ≥10 г/л или в суточной моче ≥200 г.  При отсутствии моноклонального белка в сыворотке крови и моче по данным электрофореза и иммунофиксации (несекретирующей миеломе), но при его выявлении методом Freeli</w:t>
      </w:r>
      <w:r w:rsidRPr="00F242DD">
        <w:rPr>
          <w:rFonts w:eastAsia="Times New Roman"/>
          <w:lang w:val="en-US"/>
        </w:rPr>
        <w:t>te</w:t>
      </w:r>
      <w:r w:rsidRPr="00F242DD">
        <w:rPr>
          <w:rFonts w:eastAsia="Times New Roman"/>
        </w:rPr>
        <w:t>, «измеряемым» считают уровень «вовлеченных» СЛЦ ≥100 мг/л. Соотношение κ/λ СЛЦ также должно быть аномальным.</w:t>
      </w:r>
    </w:p>
    <w:p w14:paraId="187B108D" w14:textId="77777777" w:rsidR="00E778E9" w:rsidRPr="00F242DD" w:rsidRDefault="00E778E9" w:rsidP="00E778E9">
      <w:pPr>
        <w:tabs>
          <w:tab w:val="left" w:pos="900"/>
        </w:tabs>
        <w:spacing w:before="0" w:after="0"/>
        <w:ind w:right="-55" w:firstLine="709"/>
        <w:contextualSpacing/>
        <w:rPr>
          <w:rFonts w:eastAsia="Times New Roman"/>
        </w:rPr>
      </w:pPr>
      <w:r w:rsidRPr="00F242DD">
        <w:rPr>
          <w:rFonts w:eastAsia="Times New Roman"/>
        </w:rPr>
        <w:t>Нормальное соотношение κ/λ СЛЦ составляет 0,26‒1,65. У пациентов с почечной недостаточностью нормальным соотношением κ/λ СЛЦ считается 0,37‒-3,1.</w:t>
      </w:r>
    </w:p>
    <w:p w14:paraId="4436B08A" w14:textId="77777777" w:rsidR="00E778E9" w:rsidRPr="00F242DD" w:rsidRDefault="00E778E9" w:rsidP="00E778E9">
      <w:pPr>
        <w:shd w:val="clear" w:color="auto" w:fill="FFFFFF"/>
        <w:tabs>
          <w:tab w:val="left" w:pos="900"/>
        </w:tabs>
        <w:spacing w:before="0" w:after="0"/>
        <w:ind w:firstLine="709"/>
        <w:contextualSpacing/>
        <w:rPr>
          <w:rFonts w:eastAsia="Times New Roman"/>
        </w:rPr>
      </w:pPr>
      <w:r w:rsidRPr="00F242DD">
        <w:rPr>
          <w:rFonts w:eastAsia="Times New Roman"/>
          <w:u w:val="single"/>
        </w:rPr>
        <w:t>Полный ответ (полная ремиссия) (ПР):</w:t>
      </w:r>
      <w:r w:rsidRPr="00F242DD">
        <w:rPr>
          <w:rFonts w:eastAsia="Times New Roman"/>
        </w:rPr>
        <w:t xml:space="preserve"> диагностируется при отсутствии парапротеина в сыворотке и моче по данным иммунофиксации. Количество плазматических клеток в миелограмме должно быть &lt;5</w:t>
      </w:r>
      <w:r w:rsidRPr="00F242DD">
        <w:rPr>
          <w:rFonts w:eastAsia="Times New Roman"/>
          <w:lang w:val="en-US"/>
        </w:rPr>
        <w:t> </w:t>
      </w:r>
      <w:r w:rsidRPr="00F242DD">
        <w:rPr>
          <w:rFonts w:eastAsia="Times New Roman"/>
        </w:rPr>
        <w:t>%. Мягкотканые плазмоцитомы при ПР отсутствуют.</w:t>
      </w:r>
    </w:p>
    <w:p w14:paraId="011F6445" w14:textId="71E5613E" w:rsidR="00E778E9" w:rsidRPr="00F242DD" w:rsidRDefault="00E778E9" w:rsidP="00E778E9">
      <w:pPr>
        <w:tabs>
          <w:tab w:val="left" w:pos="900"/>
        </w:tabs>
        <w:spacing w:before="0" w:after="0"/>
        <w:ind w:firstLine="709"/>
        <w:contextualSpacing/>
      </w:pPr>
      <w:r w:rsidRPr="00F242DD">
        <w:t xml:space="preserve">При миеломе, «измеряемой» только по уровню СЛЦ, для оценки эффекта используется метод определения уровня СЛЦ </w:t>
      </w:r>
      <w:r w:rsidR="0001340B">
        <w:t>(</w:t>
      </w:r>
      <w:r w:rsidR="0001340B" w:rsidRPr="00C528FA">
        <w:t>метод</w:t>
      </w:r>
      <w:r w:rsidR="009868F5" w:rsidRPr="00C528FA">
        <w:t>ом</w:t>
      </w:r>
      <w:r w:rsidR="0001340B" w:rsidRPr="00C528FA">
        <w:t xml:space="preserve"> нефелометри</w:t>
      </w:r>
      <w:r w:rsidR="00A679A5" w:rsidRPr="00C528FA">
        <w:t>и</w:t>
      </w:r>
      <w:r w:rsidR="0001340B">
        <w:t>)</w:t>
      </w:r>
      <w:r w:rsidRPr="00F242DD">
        <w:t>. Для установления ПР необходимо нормальное соотношение СЛЦ κ/λ (0,26‒1,65).</w:t>
      </w:r>
    </w:p>
    <w:p w14:paraId="2C565F25" w14:textId="77777777" w:rsidR="00E778E9" w:rsidRPr="00F242DD" w:rsidRDefault="00E778E9" w:rsidP="00E778E9">
      <w:pPr>
        <w:shd w:val="clear" w:color="auto" w:fill="FFFFFF"/>
        <w:tabs>
          <w:tab w:val="left" w:pos="900"/>
        </w:tabs>
        <w:spacing w:before="0" w:after="0"/>
        <w:ind w:firstLine="709"/>
        <w:contextualSpacing/>
        <w:rPr>
          <w:rFonts w:eastAsia="Times New Roman"/>
        </w:rPr>
      </w:pPr>
      <w:r w:rsidRPr="00F242DD">
        <w:rPr>
          <w:rFonts w:eastAsia="Times New Roman"/>
          <w:u w:val="single"/>
        </w:rPr>
        <w:t>Строгий полный ответ (строгая ПР):</w:t>
      </w:r>
      <w:r w:rsidRPr="00F242DD">
        <w:rPr>
          <w:rFonts w:eastAsia="Times New Roman"/>
        </w:rPr>
        <w:t xml:space="preserve"> ПР при нормальном соотношении СЛЦ и отсутствии клональных плазматических клеток в костном мозге по данным иммуногистохимического или иммунофлуоресцентного методов.</w:t>
      </w:r>
    </w:p>
    <w:p w14:paraId="088CCB23" w14:textId="77777777" w:rsidR="00E778E9" w:rsidRPr="00F242DD" w:rsidRDefault="00E778E9" w:rsidP="00E778E9">
      <w:pPr>
        <w:tabs>
          <w:tab w:val="left" w:pos="900"/>
        </w:tabs>
        <w:spacing w:before="0" w:after="0"/>
        <w:ind w:firstLine="709"/>
        <w:contextualSpacing/>
        <w:rPr>
          <w:color w:val="FF0000"/>
        </w:rPr>
      </w:pPr>
      <w:r w:rsidRPr="00F242DD">
        <w:rPr>
          <w:rFonts w:eastAsia="Times New Roman"/>
          <w:u w:val="single"/>
        </w:rPr>
        <w:t xml:space="preserve">Очень хороший частичный ответ (очень хорошая частичная ремиссия) (ОХЧР): </w:t>
      </w:r>
      <w:r w:rsidRPr="00F242DD">
        <w:rPr>
          <w:rFonts w:eastAsia="Times New Roman"/>
        </w:rPr>
        <w:t xml:space="preserve">М-протеин в сыворотке крови и моче определяется только при иммунофиксации, но не при электрофорезе или отмечается снижение уровня М-протеина в сыворотке на ≥90 %, а М-протеина в моче до уровня &lt;100 мг/сут. </w:t>
      </w:r>
      <w:r w:rsidRPr="00F242DD">
        <w:t>Для болезни, «измеряемой» только по уровню СЛЦ, требуется снижение разницы уровня «вовлеченных» и «невовлеченных» СЛЦ на 90</w:t>
      </w:r>
      <w:r w:rsidRPr="00F242DD">
        <w:rPr>
          <w:lang w:val="en-US"/>
        </w:rPr>
        <w:t> </w:t>
      </w:r>
      <w:r w:rsidRPr="00F242DD">
        <w:t>% и более.</w:t>
      </w:r>
    </w:p>
    <w:p w14:paraId="1C59C1A4" w14:textId="77777777" w:rsidR="00E778E9" w:rsidRPr="00F242DD" w:rsidRDefault="00E778E9" w:rsidP="00E778E9">
      <w:pPr>
        <w:tabs>
          <w:tab w:val="left" w:pos="900"/>
        </w:tabs>
        <w:spacing w:before="0" w:after="0"/>
        <w:ind w:firstLine="709"/>
        <w:contextualSpacing/>
        <w:rPr>
          <w:shd w:val="clear" w:color="auto" w:fill="B8CCE4"/>
        </w:rPr>
      </w:pPr>
      <w:r w:rsidRPr="00F242DD">
        <w:rPr>
          <w:rFonts w:eastAsia="Times New Roman"/>
          <w:u w:val="single"/>
        </w:rPr>
        <w:lastRenderedPageBreak/>
        <w:t>Частичный ответ (частичная ремиссия) (ЧР):</w:t>
      </w:r>
      <w:r w:rsidRPr="00F242DD">
        <w:rPr>
          <w:rFonts w:eastAsia="Times New Roman"/>
        </w:rPr>
        <w:t xml:space="preserve"> уровень М-градиента в сыворотке должен уменьшиться на ≥50</w:t>
      </w:r>
      <w:r w:rsidRPr="00F242DD">
        <w:rPr>
          <w:rFonts w:eastAsia="Times New Roman"/>
          <w:lang w:val="en-US"/>
        </w:rPr>
        <w:t> </w:t>
      </w:r>
      <w:r w:rsidRPr="00F242DD">
        <w:rPr>
          <w:rFonts w:eastAsia="Times New Roman"/>
        </w:rPr>
        <w:t>%, а в моче на ≥90</w:t>
      </w:r>
      <w:r w:rsidRPr="00F242DD">
        <w:rPr>
          <w:rFonts w:eastAsia="Times New Roman"/>
          <w:lang w:val="en-US"/>
        </w:rPr>
        <w:t> </w:t>
      </w:r>
      <w:r w:rsidRPr="00F242DD">
        <w:rPr>
          <w:rFonts w:eastAsia="Times New Roman"/>
        </w:rPr>
        <w:t>%, или абсолютное количество М-протеина в моче должно быть &lt;200 мг/сут. Размеры мягкотканых плазмоцитом должны уменьшиться на ≥50</w:t>
      </w:r>
      <w:r w:rsidRPr="00F242DD">
        <w:rPr>
          <w:rFonts w:eastAsia="Times New Roman"/>
          <w:lang w:val="en-US"/>
        </w:rPr>
        <w:t> </w:t>
      </w:r>
      <w:r w:rsidRPr="00F242DD">
        <w:rPr>
          <w:rFonts w:eastAsia="Times New Roman"/>
        </w:rPr>
        <w:t xml:space="preserve">%. </w:t>
      </w:r>
      <w:r w:rsidRPr="00F242DD">
        <w:t>При миеломе, «измеряемой» только по уровню СЛЦ, частичный ответ устанавливается при снижении разницы уровня «вовлеченных» и «невовлеченных» СЛЦ на 50 %.</w:t>
      </w:r>
    </w:p>
    <w:p w14:paraId="3A666A16" w14:textId="77777777" w:rsidR="00E778E9" w:rsidRPr="00F242DD" w:rsidRDefault="00E778E9" w:rsidP="00E778E9">
      <w:pPr>
        <w:tabs>
          <w:tab w:val="left" w:pos="900"/>
        </w:tabs>
        <w:spacing w:before="0" w:after="0"/>
        <w:ind w:firstLine="709"/>
        <w:contextualSpacing/>
        <w:rPr>
          <w:rFonts w:eastAsia="Times New Roman"/>
        </w:rPr>
      </w:pPr>
      <w:r w:rsidRPr="00F242DD">
        <w:rPr>
          <w:rFonts w:eastAsia="Times New Roman"/>
          <w:u w:val="single"/>
        </w:rPr>
        <w:t>Стабилизация:</w:t>
      </w:r>
      <w:r w:rsidRPr="00F242DD">
        <w:rPr>
          <w:rFonts w:eastAsia="Times New Roman"/>
        </w:rPr>
        <w:t xml:space="preserve"> несоответствие показателей критериям ПР, ОХЧР, ЧР или прогрессирования миеломы.   </w:t>
      </w:r>
    </w:p>
    <w:p w14:paraId="0600A45A" w14:textId="77777777" w:rsidR="00E778E9" w:rsidRPr="00F242DD" w:rsidRDefault="00E778E9" w:rsidP="00E778E9">
      <w:pPr>
        <w:tabs>
          <w:tab w:val="left" w:pos="900"/>
        </w:tabs>
        <w:spacing w:before="0" w:after="0"/>
        <w:ind w:firstLine="709"/>
        <w:contextualSpacing/>
        <w:rPr>
          <w:rFonts w:eastAsia="Times New Roman"/>
        </w:rPr>
      </w:pPr>
      <w:r w:rsidRPr="00F242DD">
        <w:rPr>
          <w:rFonts w:eastAsia="Times New Roman"/>
          <w:u w:val="single"/>
        </w:rPr>
        <w:t>Прогрессия заболевания:</w:t>
      </w:r>
      <w:r w:rsidRPr="00F242DD">
        <w:rPr>
          <w:rFonts w:eastAsia="Times New Roman"/>
        </w:rPr>
        <w:t xml:space="preserve"> повышение уровня М-градиента на ≥25 % от наименьшего достигнутого уровня в сыворотке (увеличение на ≥5 г/л), в моче (увеличение на ≥200 мг/сут).</w:t>
      </w:r>
      <w:r w:rsidRPr="00F242DD">
        <w:t xml:space="preserve"> Для пациентов с «неизмеряемой» болезнью </w:t>
      </w:r>
      <w:r w:rsidRPr="00F242DD">
        <w:rPr>
          <w:lang w:val="en-US"/>
        </w:rPr>
        <w:t>c</w:t>
      </w:r>
      <w:r w:rsidRPr="00F242DD">
        <w:t xml:space="preserve">тандартными иммунохимическими методами, но «измеряемой» только по уровню СЛЦ,  прогрессирование устанавливается при увеличении разницы между «вовлеченными» и «невовлеченными» СЛЦ на 100 мг/л. Также о прогрессировании свидетельствуют </w:t>
      </w:r>
      <w:r w:rsidRPr="00F242DD">
        <w:rPr>
          <w:rFonts w:eastAsia="Times New Roman"/>
        </w:rPr>
        <w:t xml:space="preserve"> увеличение числа плазматических клеток в костном мозге (абсолютное число – не менее 10 %), появление новых очагов в костях или увеличение размеров ранее определяемых, появление мягкотканых плазмоцитом или увеличение их размеров, гиперкальциемия (скоррегированный уровень кальция сыворотки &gt;11,5 мг/дл или 2,65 ммоль/л), которую можно связать с плазмоклеточной пролиферацией.</w:t>
      </w:r>
    </w:p>
    <w:p w14:paraId="61ADBE1A" w14:textId="77777777" w:rsidR="00E778E9" w:rsidRPr="00F242DD" w:rsidRDefault="00E778E9" w:rsidP="00E36DFA">
      <w:pPr>
        <w:ind w:firstLine="709"/>
        <w:rPr>
          <w:b/>
        </w:rPr>
      </w:pPr>
    </w:p>
    <w:p w14:paraId="6162C821" w14:textId="77777777" w:rsidR="004D7374" w:rsidRPr="00F242DD" w:rsidRDefault="004D7374">
      <w:pPr>
        <w:pStyle w:val="1"/>
      </w:pPr>
      <w:bookmarkStart w:id="47" w:name="_Toc53140912"/>
      <w:r w:rsidRPr="00F242DD">
        <w:lastRenderedPageBreak/>
        <w:t>Критерии оценки качества медицинской помощи</w:t>
      </w:r>
      <w:bookmarkEnd w:id="39"/>
      <w:bookmarkEnd w:id="47"/>
    </w:p>
    <w:tbl>
      <w:tblPr>
        <w:tblW w:w="10617" w:type="dxa"/>
        <w:jc w:val="center"/>
        <w:tblLayout w:type="fixed"/>
        <w:tblCellMar>
          <w:top w:w="15" w:type="dxa"/>
          <w:left w:w="15" w:type="dxa"/>
          <w:bottom w:w="15" w:type="dxa"/>
          <w:right w:w="15" w:type="dxa"/>
        </w:tblCellMar>
        <w:tblLook w:val="04A0" w:firstRow="1" w:lastRow="0" w:firstColumn="1" w:lastColumn="0" w:noHBand="0" w:noVBand="1"/>
      </w:tblPr>
      <w:tblGrid>
        <w:gridCol w:w="582"/>
        <w:gridCol w:w="7371"/>
        <w:gridCol w:w="1276"/>
        <w:gridCol w:w="1388"/>
      </w:tblGrid>
      <w:tr w:rsidR="00196228" w:rsidRPr="00F242DD" w14:paraId="6E7A241B" w14:textId="77777777" w:rsidTr="00E36DFA">
        <w:trPr>
          <w:trHeight w:val="1534"/>
          <w:jc w:val="center"/>
        </w:trPr>
        <w:tc>
          <w:tcPr>
            <w:tcW w:w="582" w:type="dxa"/>
            <w:tcBorders>
              <w:top w:val="single" w:sz="6" w:space="0" w:color="000000"/>
              <w:left w:val="single" w:sz="6" w:space="0" w:color="000000"/>
              <w:bottom w:val="single" w:sz="6" w:space="0" w:color="000000"/>
              <w:right w:val="single" w:sz="6" w:space="0" w:color="000000"/>
            </w:tcBorders>
            <w:vAlign w:val="center"/>
            <w:hideMark/>
          </w:tcPr>
          <w:p w14:paraId="25A48E47" w14:textId="77777777" w:rsidR="00196228" w:rsidRPr="00F242DD" w:rsidRDefault="00196228" w:rsidP="00E36DFA">
            <w:pPr>
              <w:pStyle w:val="a4"/>
              <w:spacing w:before="0" w:beforeAutospacing="0" w:after="0" w:afterAutospacing="0" w:line="360" w:lineRule="auto"/>
              <w:ind w:left="113" w:right="113"/>
            </w:pPr>
            <w:r w:rsidRPr="00F242DD">
              <w:t>№</w:t>
            </w:r>
          </w:p>
        </w:tc>
        <w:tc>
          <w:tcPr>
            <w:tcW w:w="7371" w:type="dxa"/>
            <w:tcBorders>
              <w:top w:val="single" w:sz="6" w:space="0" w:color="000000"/>
              <w:left w:val="single" w:sz="6" w:space="0" w:color="000000"/>
              <w:bottom w:val="single" w:sz="6" w:space="0" w:color="000000"/>
              <w:right w:val="single" w:sz="6" w:space="0" w:color="000000"/>
            </w:tcBorders>
            <w:vAlign w:val="center"/>
            <w:hideMark/>
          </w:tcPr>
          <w:p w14:paraId="34F31009" w14:textId="77777777" w:rsidR="00196228" w:rsidRPr="00F242DD" w:rsidRDefault="00196228" w:rsidP="00E36DFA">
            <w:pPr>
              <w:pStyle w:val="a4"/>
              <w:spacing w:before="0" w:beforeAutospacing="0" w:after="0" w:afterAutospacing="0" w:line="240" w:lineRule="auto"/>
              <w:ind w:left="113" w:right="113"/>
              <w:jc w:val="center"/>
            </w:pPr>
            <w:r w:rsidRPr="00F242DD">
              <w:rPr>
                <w:rStyle w:val="ac"/>
              </w:rPr>
              <w:t>Критерии качества</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BBB05BB" w14:textId="77777777" w:rsidR="00196228" w:rsidRPr="00F242DD" w:rsidRDefault="00196228" w:rsidP="00E36DFA">
            <w:pPr>
              <w:pStyle w:val="a4"/>
              <w:spacing w:before="0" w:beforeAutospacing="0" w:after="0" w:afterAutospacing="0" w:line="240" w:lineRule="auto"/>
              <w:ind w:left="113" w:right="113"/>
              <w:jc w:val="center"/>
            </w:pPr>
            <w:r w:rsidRPr="00F242DD">
              <w:rPr>
                <w:rStyle w:val="ac"/>
              </w:rPr>
              <w:t>Уровень достоверности доказательств</w:t>
            </w:r>
          </w:p>
        </w:tc>
        <w:tc>
          <w:tcPr>
            <w:tcW w:w="1388" w:type="dxa"/>
            <w:tcBorders>
              <w:top w:val="single" w:sz="6" w:space="0" w:color="000000"/>
              <w:left w:val="single" w:sz="6" w:space="0" w:color="000000"/>
              <w:bottom w:val="single" w:sz="6" w:space="0" w:color="000000"/>
              <w:right w:val="single" w:sz="6" w:space="0" w:color="000000"/>
            </w:tcBorders>
            <w:vAlign w:val="center"/>
            <w:hideMark/>
          </w:tcPr>
          <w:p w14:paraId="00D7B652" w14:textId="77777777" w:rsidR="00196228" w:rsidRPr="00F242DD" w:rsidRDefault="00196228" w:rsidP="00E36DFA">
            <w:pPr>
              <w:pStyle w:val="a4"/>
              <w:spacing w:before="0" w:beforeAutospacing="0" w:after="0" w:afterAutospacing="0" w:line="240" w:lineRule="auto"/>
              <w:ind w:left="113" w:right="113"/>
              <w:jc w:val="center"/>
            </w:pPr>
            <w:r w:rsidRPr="00F242DD">
              <w:rPr>
                <w:rStyle w:val="ac"/>
              </w:rPr>
              <w:t>Уровень убедительности рекомендаций</w:t>
            </w:r>
          </w:p>
        </w:tc>
      </w:tr>
      <w:tr w:rsidR="00196228" w:rsidRPr="00F242DD" w14:paraId="77B03924"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hideMark/>
          </w:tcPr>
          <w:p w14:paraId="5EC8021D" w14:textId="77777777" w:rsidR="00196228" w:rsidRPr="00F242DD" w:rsidRDefault="00196228" w:rsidP="00E36DFA">
            <w:pPr>
              <w:pStyle w:val="a4"/>
              <w:spacing w:before="0" w:beforeAutospacing="0" w:after="0" w:afterAutospacing="0" w:line="360" w:lineRule="auto"/>
              <w:ind w:left="113" w:right="113"/>
            </w:pPr>
            <w:r w:rsidRPr="00F242DD">
              <w:t>1</w:t>
            </w:r>
          </w:p>
        </w:tc>
        <w:tc>
          <w:tcPr>
            <w:tcW w:w="7371" w:type="dxa"/>
            <w:tcBorders>
              <w:top w:val="single" w:sz="6" w:space="0" w:color="000000"/>
              <w:left w:val="single" w:sz="6" w:space="0" w:color="000000"/>
              <w:bottom w:val="single" w:sz="6" w:space="0" w:color="000000"/>
              <w:right w:val="single" w:sz="6" w:space="0" w:color="000000"/>
            </w:tcBorders>
            <w:vAlign w:val="center"/>
          </w:tcPr>
          <w:p w14:paraId="3A0603E7" w14:textId="77777777" w:rsidR="00196228" w:rsidRPr="00F242DD" w:rsidRDefault="00931752" w:rsidP="00E36DFA">
            <w:pPr>
              <w:spacing w:before="0" w:after="0" w:line="240" w:lineRule="auto"/>
              <w:ind w:left="113" w:right="113"/>
              <w:rPr>
                <w:szCs w:val="24"/>
              </w:rPr>
            </w:pPr>
            <w:r w:rsidRPr="00F242DD">
              <w:rPr>
                <w:szCs w:val="24"/>
              </w:rPr>
              <w:t xml:space="preserve">Пациенту </w:t>
            </w:r>
            <w:r w:rsidR="0040125D" w:rsidRPr="00F242DD">
              <w:rPr>
                <w:szCs w:val="24"/>
              </w:rPr>
              <w:t>с подозрением на ММ или выявленной ММ при первичном или повторном приеме, при контрольных обследованиях и при подозрении на рецидив заболевания выполн</w:t>
            </w:r>
            <w:r w:rsidRPr="00F242DD">
              <w:rPr>
                <w:szCs w:val="24"/>
              </w:rPr>
              <w:t>ен</w:t>
            </w:r>
            <w:r w:rsidR="0040125D" w:rsidRPr="00F242DD">
              <w:rPr>
                <w:szCs w:val="24"/>
              </w:rPr>
              <w:t xml:space="preserve"> развернутый клинический анализ крови с определением </w:t>
            </w:r>
            <w:r w:rsidR="00C8444F" w:rsidRPr="00F242DD">
              <w:rPr>
                <w:szCs w:val="24"/>
              </w:rPr>
              <w:t xml:space="preserve">уровней </w:t>
            </w:r>
            <w:r w:rsidR="0040125D" w:rsidRPr="00F242DD">
              <w:rPr>
                <w:szCs w:val="24"/>
              </w:rPr>
              <w:t>гемоглобина, эритроцитов, тромбоцитов, лейкоцитов, подсчетом лейкоцитарной фор</w:t>
            </w:r>
            <w:r w:rsidR="00C8444F" w:rsidRPr="00F242DD">
              <w:rPr>
                <w:szCs w:val="24"/>
              </w:rPr>
              <w:t>мулы и количества ретикулоцитов</w:t>
            </w:r>
          </w:p>
        </w:tc>
        <w:tc>
          <w:tcPr>
            <w:tcW w:w="1276" w:type="dxa"/>
            <w:tcBorders>
              <w:top w:val="single" w:sz="6" w:space="0" w:color="000000"/>
              <w:left w:val="single" w:sz="6" w:space="0" w:color="000000"/>
              <w:bottom w:val="single" w:sz="6" w:space="0" w:color="000000"/>
              <w:right w:val="single" w:sz="6" w:space="0" w:color="000000"/>
            </w:tcBorders>
            <w:vAlign w:val="center"/>
          </w:tcPr>
          <w:p w14:paraId="13D087F1" w14:textId="77777777" w:rsidR="00196228" w:rsidRPr="00F242DD" w:rsidRDefault="0040125D" w:rsidP="00E36DFA">
            <w:pPr>
              <w:pStyle w:val="a4"/>
              <w:spacing w:before="0" w:beforeAutospacing="0" w:after="0" w:afterAutospacing="0" w:line="240" w:lineRule="auto"/>
              <w:ind w:left="113" w:right="113"/>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41FBE5EB" w14:textId="77777777" w:rsidR="00196228" w:rsidRPr="00F242DD" w:rsidRDefault="0040125D" w:rsidP="00E36DFA">
            <w:pPr>
              <w:pStyle w:val="a4"/>
              <w:spacing w:before="0" w:beforeAutospacing="0" w:after="0" w:afterAutospacing="0" w:line="240" w:lineRule="auto"/>
              <w:ind w:left="113" w:right="113"/>
              <w:jc w:val="center"/>
            </w:pPr>
            <w:r w:rsidRPr="00F242DD">
              <w:t>С</w:t>
            </w:r>
          </w:p>
        </w:tc>
      </w:tr>
      <w:tr w:rsidR="00196228" w:rsidRPr="00F242DD" w14:paraId="1DD39999"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3E8D12F0" w14:textId="77777777" w:rsidR="00196228" w:rsidRPr="00F242DD" w:rsidRDefault="00196228" w:rsidP="00E36DFA">
            <w:pPr>
              <w:pStyle w:val="a4"/>
              <w:spacing w:before="0" w:beforeAutospacing="0" w:after="0" w:afterAutospacing="0" w:line="360" w:lineRule="auto"/>
              <w:ind w:left="113" w:right="113"/>
            </w:pPr>
            <w:r w:rsidRPr="00F242DD">
              <w:t>2</w:t>
            </w:r>
          </w:p>
        </w:tc>
        <w:tc>
          <w:tcPr>
            <w:tcW w:w="7371" w:type="dxa"/>
            <w:tcBorders>
              <w:top w:val="single" w:sz="6" w:space="0" w:color="000000"/>
              <w:left w:val="single" w:sz="6" w:space="0" w:color="000000"/>
              <w:bottom w:val="single" w:sz="6" w:space="0" w:color="000000"/>
              <w:right w:val="single" w:sz="6" w:space="0" w:color="000000"/>
            </w:tcBorders>
            <w:vAlign w:val="center"/>
          </w:tcPr>
          <w:p w14:paraId="451C5A94" w14:textId="77777777" w:rsidR="00196228" w:rsidRPr="00F242DD" w:rsidRDefault="00931752" w:rsidP="00E36DFA">
            <w:pPr>
              <w:spacing w:before="0" w:after="0" w:line="240" w:lineRule="auto"/>
              <w:ind w:left="113" w:right="113"/>
              <w:rPr>
                <w:szCs w:val="24"/>
              </w:rPr>
            </w:pPr>
            <w:r w:rsidRPr="00F242DD">
              <w:rPr>
                <w:szCs w:val="24"/>
              </w:rPr>
              <w:t>П</w:t>
            </w:r>
            <w:r w:rsidR="0040125D" w:rsidRPr="00F242DD">
              <w:rPr>
                <w:szCs w:val="24"/>
              </w:rPr>
              <w:t>ациент</w:t>
            </w:r>
            <w:r w:rsidRPr="00F242DD">
              <w:rPr>
                <w:szCs w:val="24"/>
              </w:rPr>
              <w:t>у</w:t>
            </w:r>
            <w:r w:rsidR="0040125D" w:rsidRPr="00F242DD">
              <w:rPr>
                <w:szCs w:val="24"/>
              </w:rPr>
              <w:t xml:space="preserve"> с подозрением на ММ или выявленной ММ при первичном или повторном приеме, при контрольных обследованиях и при подозрении на рецидив заболевания выполн</w:t>
            </w:r>
            <w:r w:rsidRPr="00F242DD">
              <w:rPr>
                <w:szCs w:val="24"/>
              </w:rPr>
              <w:t xml:space="preserve">ен </w:t>
            </w:r>
            <w:r w:rsidR="00C8444F" w:rsidRPr="00F242DD">
              <w:rPr>
                <w:szCs w:val="24"/>
              </w:rPr>
              <w:t>общий (клинический) анализ мочи</w:t>
            </w:r>
          </w:p>
        </w:tc>
        <w:tc>
          <w:tcPr>
            <w:tcW w:w="1276" w:type="dxa"/>
            <w:tcBorders>
              <w:top w:val="single" w:sz="6" w:space="0" w:color="000000"/>
              <w:left w:val="single" w:sz="6" w:space="0" w:color="000000"/>
              <w:bottom w:val="single" w:sz="6" w:space="0" w:color="000000"/>
              <w:right w:val="single" w:sz="6" w:space="0" w:color="000000"/>
            </w:tcBorders>
            <w:vAlign w:val="center"/>
          </w:tcPr>
          <w:p w14:paraId="6BCBADFD" w14:textId="77777777" w:rsidR="00196228" w:rsidRPr="00F242DD" w:rsidRDefault="0040125D" w:rsidP="00E36DFA">
            <w:pPr>
              <w:pStyle w:val="a4"/>
              <w:spacing w:before="0" w:beforeAutospacing="0" w:after="0" w:afterAutospacing="0" w:line="240" w:lineRule="auto"/>
              <w:ind w:left="113" w:right="113"/>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7FDEB506" w14:textId="77777777" w:rsidR="00196228" w:rsidRPr="00F242DD" w:rsidRDefault="0040125D" w:rsidP="00E36DFA">
            <w:pPr>
              <w:pStyle w:val="a4"/>
              <w:spacing w:before="0" w:beforeAutospacing="0" w:after="0" w:afterAutospacing="0" w:line="240" w:lineRule="auto"/>
              <w:ind w:left="113" w:right="113"/>
              <w:jc w:val="center"/>
            </w:pPr>
            <w:r w:rsidRPr="00F242DD">
              <w:t>С</w:t>
            </w:r>
          </w:p>
        </w:tc>
      </w:tr>
      <w:tr w:rsidR="00196228" w:rsidRPr="00F242DD" w14:paraId="0CF6A352"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59B84425" w14:textId="77777777" w:rsidR="00196228" w:rsidRPr="00F242DD" w:rsidRDefault="00196228" w:rsidP="00E36DFA">
            <w:pPr>
              <w:pStyle w:val="a4"/>
              <w:spacing w:before="0" w:beforeAutospacing="0" w:after="0" w:afterAutospacing="0" w:line="360" w:lineRule="auto"/>
              <w:ind w:left="113" w:right="113"/>
            </w:pPr>
            <w:r w:rsidRPr="00F242DD">
              <w:t>3</w:t>
            </w:r>
          </w:p>
        </w:tc>
        <w:tc>
          <w:tcPr>
            <w:tcW w:w="7371" w:type="dxa"/>
            <w:tcBorders>
              <w:top w:val="single" w:sz="6" w:space="0" w:color="000000"/>
              <w:left w:val="single" w:sz="6" w:space="0" w:color="000000"/>
              <w:bottom w:val="single" w:sz="6" w:space="0" w:color="000000"/>
              <w:right w:val="single" w:sz="6" w:space="0" w:color="000000"/>
            </w:tcBorders>
            <w:vAlign w:val="center"/>
          </w:tcPr>
          <w:p w14:paraId="0D1B16D0" w14:textId="77777777" w:rsidR="00196228" w:rsidRPr="00F242DD" w:rsidRDefault="00931752" w:rsidP="00E36DFA">
            <w:pPr>
              <w:spacing w:before="0" w:after="0" w:line="240" w:lineRule="auto"/>
              <w:ind w:left="113" w:right="113"/>
              <w:rPr>
                <w:szCs w:val="24"/>
              </w:rPr>
            </w:pPr>
            <w:r w:rsidRPr="00F242DD">
              <w:rPr>
                <w:szCs w:val="24"/>
              </w:rPr>
              <w:t xml:space="preserve">Пациенту </w:t>
            </w:r>
            <w:r w:rsidR="00A73F31" w:rsidRPr="00F242DD">
              <w:rPr>
                <w:szCs w:val="24"/>
              </w:rPr>
              <w:t>с подозрением на ММ или выявленной ММ при первичном или повторном приеме, при контрольных обследованиях и при подозрении на рецидив заболевания выполн</w:t>
            </w:r>
            <w:r w:rsidRPr="00F242DD">
              <w:rPr>
                <w:szCs w:val="24"/>
              </w:rPr>
              <w:t>ен</w:t>
            </w:r>
            <w:r w:rsidR="00C8444F" w:rsidRPr="00F242DD">
              <w:rPr>
                <w:szCs w:val="24"/>
              </w:rPr>
              <w:t xml:space="preserve"> </w:t>
            </w:r>
            <w:r w:rsidR="00673067" w:rsidRPr="00F242DD">
              <w:rPr>
                <w:szCs w:val="24"/>
              </w:rPr>
              <w:t xml:space="preserve">биохимический </w:t>
            </w:r>
            <w:r w:rsidR="00A73F31" w:rsidRPr="00F242DD">
              <w:rPr>
                <w:szCs w:val="24"/>
              </w:rPr>
              <w:t>анализ крови</w:t>
            </w:r>
            <w:r w:rsidR="00F6392B" w:rsidRPr="00F242DD">
              <w:t xml:space="preserve"> с определением показателей </w:t>
            </w:r>
            <w:r w:rsidR="00F6392B" w:rsidRPr="00F242DD">
              <w:rPr>
                <w:szCs w:val="24"/>
              </w:rPr>
              <w:t xml:space="preserve">ЛДГ, мочевины, креатинина, общего белка, альбумина, билирубина, </w:t>
            </w:r>
            <w:r w:rsidR="002E051F" w:rsidRPr="00F242DD">
              <w:rPr>
                <w:szCs w:val="24"/>
              </w:rPr>
              <w:t>аспартатаминотрансферазы</w:t>
            </w:r>
            <w:r w:rsidR="00F6392B" w:rsidRPr="00F242DD">
              <w:rPr>
                <w:szCs w:val="24"/>
              </w:rPr>
              <w:t xml:space="preserve">, </w:t>
            </w:r>
            <w:r w:rsidR="002E051F" w:rsidRPr="00F242DD">
              <w:rPr>
                <w:szCs w:val="24"/>
              </w:rPr>
              <w:t>аланинаминотрансферазы</w:t>
            </w:r>
            <w:r w:rsidR="00F6392B" w:rsidRPr="00F242DD">
              <w:rPr>
                <w:szCs w:val="24"/>
              </w:rPr>
              <w:t>, щелочной фосфатазы, кальция, калия</w:t>
            </w:r>
          </w:p>
        </w:tc>
        <w:tc>
          <w:tcPr>
            <w:tcW w:w="1276" w:type="dxa"/>
            <w:tcBorders>
              <w:top w:val="single" w:sz="6" w:space="0" w:color="000000"/>
              <w:left w:val="single" w:sz="6" w:space="0" w:color="000000"/>
              <w:bottom w:val="single" w:sz="6" w:space="0" w:color="000000"/>
              <w:right w:val="single" w:sz="6" w:space="0" w:color="000000"/>
            </w:tcBorders>
            <w:vAlign w:val="center"/>
          </w:tcPr>
          <w:p w14:paraId="6346D518" w14:textId="77777777" w:rsidR="00196228" w:rsidRPr="00F242DD" w:rsidRDefault="00A73F31" w:rsidP="00E36DFA">
            <w:pPr>
              <w:pStyle w:val="a4"/>
              <w:spacing w:before="0" w:beforeAutospacing="0" w:after="0" w:afterAutospacing="0" w:line="240" w:lineRule="auto"/>
              <w:ind w:left="113" w:right="113"/>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2F69E804" w14:textId="77777777" w:rsidR="00196228" w:rsidRPr="00F242DD" w:rsidRDefault="00A73F31" w:rsidP="00E36DFA">
            <w:pPr>
              <w:pStyle w:val="a4"/>
              <w:spacing w:before="0" w:beforeAutospacing="0" w:after="0" w:afterAutospacing="0" w:line="240" w:lineRule="auto"/>
              <w:ind w:left="113" w:right="113"/>
              <w:jc w:val="center"/>
            </w:pPr>
            <w:r w:rsidRPr="00F242DD">
              <w:t>С</w:t>
            </w:r>
          </w:p>
        </w:tc>
      </w:tr>
      <w:tr w:rsidR="00196228" w:rsidRPr="00F242DD" w14:paraId="55BF3544"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6CE4274D" w14:textId="77777777" w:rsidR="00196228" w:rsidRPr="00F242DD" w:rsidRDefault="00196228" w:rsidP="00E36DFA">
            <w:pPr>
              <w:pStyle w:val="a4"/>
              <w:spacing w:before="0" w:beforeAutospacing="0" w:after="0" w:afterAutospacing="0" w:line="360" w:lineRule="auto"/>
              <w:ind w:left="113" w:right="113"/>
            </w:pPr>
            <w:r w:rsidRPr="00F242DD">
              <w:t>4</w:t>
            </w:r>
          </w:p>
        </w:tc>
        <w:tc>
          <w:tcPr>
            <w:tcW w:w="7371" w:type="dxa"/>
            <w:tcBorders>
              <w:top w:val="single" w:sz="6" w:space="0" w:color="000000"/>
              <w:left w:val="single" w:sz="6" w:space="0" w:color="000000"/>
              <w:bottom w:val="single" w:sz="6" w:space="0" w:color="000000"/>
              <w:right w:val="single" w:sz="6" w:space="0" w:color="000000"/>
            </w:tcBorders>
            <w:vAlign w:val="center"/>
          </w:tcPr>
          <w:p w14:paraId="07C49CC1" w14:textId="77777777" w:rsidR="00196228" w:rsidRPr="00F242DD" w:rsidRDefault="00331D28" w:rsidP="00E36DFA">
            <w:pPr>
              <w:spacing w:before="0" w:after="0" w:line="240" w:lineRule="auto"/>
              <w:ind w:left="113" w:right="113"/>
              <w:rPr>
                <w:szCs w:val="24"/>
              </w:rPr>
            </w:pPr>
            <w:r w:rsidRPr="00F242DD">
              <w:rPr>
                <w:szCs w:val="24"/>
              </w:rPr>
              <w:t xml:space="preserve">Пациенту </w:t>
            </w:r>
            <w:r w:rsidR="00A73F31" w:rsidRPr="00F242DD">
              <w:rPr>
                <w:szCs w:val="24"/>
              </w:rPr>
              <w:t>с подозрением на ММ или выявленной ММ при первичном или повторном приеме, при контрольных обследованиях и при подозрении на рецидив заболевания</w:t>
            </w:r>
            <w:r w:rsidRPr="00F242DD">
              <w:rPr>
                <w:szCs w:val="24"/>
              </w:rPr>
              <w:t xml:space="preserve"> выполнено </w:t>
            </w:r>
            <w:r w:rsidR="00A73F31" w:rsidRPr="00F242DD">
              <w:rPr>
                <w:szCs w:val="24"/>
              </w:rPr>
              <w:t>определ</w:t>
            </w:r>
            <w:r w:rsidRPr="00F242DD">
              <w:rPr>
                <w:szCs w:val="24"/>
              </w:rPr>
              <w:t>ение</w:t>
            </w:r>
            <w:r w:rsidR="00A73F31" w:rsidRPr="00F242DD">
              <w:rPr>
                <w:szCs w:val="24"/>
              </w:rPr>
              <w:t xml:space="preserve"> соотношени</w:t>
            </w:r>
            <w:r w:rsidRPr="00F242DD">
              <w:rPr>
                <w:szCs w:val="24"/>
              </w:rPr>
              <w:t>я</w:t>
            </w:r>
            <w:r w:rsidR="00A73F31" w:rsidRPr="00F242DD">
              <w:rPr>
                <w:szCs w:val="24"/>
              </w:rPr>
              <w:t xml:space="preserve"> белковых фракций в крови</w:t>
            </w:r>
            <w:r w:rsidR="00697269" w:rsidRPr="00F242DD">
              <w:rPr>
                <w:szCs w:val="24"/>
              </w:rPr>
              <w:t xml:space="preserve"> и моче</w:t>
            </w:r>
            <w:r w:rsidR="00A73F31" w:rsidRPr="00F242DD">
              <w:rPr>
                <w:szCs w:val="24"/>
              </w:rPr>
              <w:t xml:space="preserve"> методо</w:t>
            </w:r>
            <w:r w:rsidR="00AB72AF" w:rsidRPr="00F242DD">
              <w:rPr>
                <w:szCs w:val="24"/>
              </w:rPr>
              <w:t>м электрофореза</w:t>
            </w:r>
          </w:p>
        </w:tc>
        <w:tc>
          <w:tcPr>
            <w:tcW w:w="1276" w:type="dxa"/>
            <w:tcBorders>
              <w:top w:val="single" w:sz="6" w:space="0" w:color="000000"/>
              <w:left w:val="single" w:sz="6" w:space="0" w:color="000000"/>
              <w:bottom w:val="single" w:sz="6" w:space="0" w:color="000000"/>
              <w:right w:val="single" w:sz="6" w:space="0" w:color="000000"/>
            </w:tcBorders>
            <w:vAlign w:val="center"/>
          </w:tcPr>
          <w:p w14:paraId="1CBE3B42" w14:textId="77777777" w:rsidR="00196228" w:rsidRPr="00F242DD" w:rsidRDefault="00A73F31" w:rsidP="00E36DFA">
            <w:pPr>
              <w:pStyle w:val="a4"/>
              <w:spacing w:before="0" w:beforeAutospacing="0" w:after="0" w:afterAutospacing="0" w:line="240" w:lineRule="auto"/>
              <w:ind w:left="113" w:right="113"/>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48F40DB8" w14:textId="77777777" w:rsidR="00196228" w:rsidRPr="00F242DD" w:rsidRDefault="00A73F31" w:rsidP="00E36DFA">
            <w:pPr>
              <w:pStyle w:val="a4"/>
              <w:spacing w:before="0" w:beforeAutospacing="0" w:after="0" w:afterAutospacing="0" w:line="240" w:lineRule="auto"/>
              <w:ind w:left="113" w:right="113"/>
              <w:jc w:val="center"/>
            </w:pPr>
            <w:r w:rsidRPr="00F242DD">
              <w:t>С</w:t>
            </w:r>
          </w:p>
        </w:tc>
      </w:tr>
      <w:tr w:rsidR="0040125D" w:rsidRPr="00F242DD" w14:paraId="7E06B88D"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236B6159" w14:textId="77777777" w:rsidR="0040125D" w:rsidRPr="00F242DD" w:rsidRDefault="00A73F31" w:rsidP="00E36DFA">
            <w:pPr>
              <w:pStyle w:val="a4"/>
              <w:spacing w:before="0" w:beforeAutospacing="0" w:after="0" w:afterAutospacing="0" w:line="360" w:lineRule="auto"/>
              <w:ind w:left="113" w:right="113"/>
            </w:pPr>
            <w:r w:rsidRPr="00F242DD">
              <w:t>5</w:t>
            </w:r>
          </w:p>
        </w:tc>
        <w:tc>
          <w:tcPr>
            <w:tcW w:w="7371" w:type="dxa"/>
            <w:tcBorders>
              <w:top w:val="single" w:sz="6" w:space="0" w:color="000000"/>
              <w:left w:val="single" w:sz="6" w:space="0" w:color="000000"/>
              <w:bottom w:val="single" w:sz="6" w:space="0" w:color="000000"/>
              <w:right w:val="single" w:sz="6" w:space="0" w:color="000000"/>
            </w:tcBorders>
            <w:vAlign w:val="center"/>
          </w:tcPr>
          <w:p w14:paraId="69825F88" w14:textId="77777777" w:rsidR="0040125D" w:rsidRPr="00F242DD" w:rsidRDefault="00331D28" w:rsidP="00E36DFA">
            <w:pPr>
              <w:pStyle w:val="a6"/>
              <w:numPr>
                <w:ilvl w:val="1"/>
                <w:numId w:val="2"/>
              </w:numPr>
              <w:spacing w:before="0" w:after="0" w:line="240" w:lineRule="auto"/>
              <w:ind w:left="113" w:right="113" w:hanging="709"/>
              <w:rPr>
                <w:b/>
                <w:szCs w:val="24"/>
              </w:rPr>
            </w:pPr>
            <w:r w:rsidRPr="00F242DD">
              <w:rPr>
                <w:szCs w:val="24"/>
              </w:rPr>
              <w:t xml:space="preserve">Пациенту </w:t>
            </w:r>
            <w:r w:rsidR="00A73F31" w:rsidRPr="00F242DD">
              <w:rPr>
                <w:szCs w:val="24"/>
              </w:rPr>
              <w:t>с подозрением на ММ или выявленной ММ при первичном или повторном приеме, при контрольных обследованиях и при подозрении на рецидив заболевания</w:t>
            </w:r>
            <w:r w:rsidRPr="00F242DD">
              <w:rPr>
                <w:szCs w:val="24"/>
              </w:rPr>
              <w:t xml:space="preserve"> выполнено </w:t>
            </w:r>
            <w:r w:rsidR="00A73F31" w:rsidRPr="00F242DD">
              <w:rPr>
                <w:szCs w:val="24"/>
              </w:rPr>
              <w:t>исследование моноклональности иммуноглобулинов в крови</w:t>
            </w:r>
            <w:r w:rsidR="00697269" w:rsidRPr="00F242DD">
              <w:rPr>
                <w:szCs w:val="24"/>
              </w:rPr>
              <w:t xml:space="preserve"> и моче</w:t>
            </w:r>
            <w:r w:rsidR="00A73F31" w:rsidRPr="00F242DD">
              <w:rPr>
                <w:szCs w:val="24"/>
              </w:rPr>
              <w:t xml:space="preserve"> методом иммунофиксации с количественным определением уровня М-градиента</w:t>
            </w:r>
            <w:r w:rsidR="0076263A" w:rsidRPr="00F242DD">
              <w:rPr>
                <w:szCs w:val="24"/>
              </w:rPr>
              <w:t xml:space="preserve"> </w:t>
            </w:r>
            <w:r w:rsidR="008B30C2" w:rsidRPr="00F242DD">
              <w:rPr>
                <w:rFonts w:eastAsia="Times New Roman"/>
              </w:rPr>
              <w:t xml:space="preserve">(и </w:t>
            </w:r>
            <w:r w:rsidR="009D3B20" w:rsidRPr="00F242DD">
              <w:rPr>
                <w:rFonts w:eastAsia="Times New Roman"/>
                <w:lang w:val="en-US"/>
              </w:rPr>
              <w:t>β</w:t>
            </w:r>
            <w:r w:rsidR="009D3B20" w:rsidRPr="00F242DD">
              <w:rPr>
                <w:rFonts w:eastAsia="Times New Roman"/>
              </w:rPr>
              <w:t>2-микроглобулин</w:t>
            </w:r>
            <w:r w:rsidR="008B30C2" w:rsidRPr="00F242DD">
              <w:rPr>
                <w:rFonts w:eastAsia="Times New Roman"/>
              </w:rPr>
              <w:t>а при диагностике)</w:t>
            </w:r>
          </w:p>
        </w:tc>
        <w:tc>
          <w:tcPr>
            <w:tcW w:w="1276" w:type="dxa"/>
            <w:tcBorders>
              <w:top w:val="single" w:sz="6" w:space="0" w:color="000000"/>
              <w:left w:val="single" w:sz="6" w:space="0" w:color="000000"/>
              <w:bottom w:val="single" w:sz="6" w:space="0" w:color="000000"/>
              <w:right w:val="single" w:sz="6" w:space="0" w:color="000000"/>
            </w:tcBorders>
            <w:vAlign w:val="center"/>
          </w:tcPr>
          <w:p w14:paraId="4997DA31" w14:textId="77777777" w:rsidR="0040125D" w:rsidRPr="00F242DD" w:rsidRDefault="00A73F31" w:rsidP="00E36DFA">
            <w:pPr>
              <w:pStyle w:val="a4"/>
              <w:spacing w:before="0" w:beforeAutospacing="0" w:after="0" w:afterAutospacing="0" w:line="240" w:lineRule="auto"/>
              <w:ind w:left="113" w:right="113"/>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619A7851" w14:textId="77777777" w:rsidR="0040125D" w:rsidRPr="00F242DD" w:rsidRDefault="00A73F31" w:rsidP="00E36DFA">
            <w:pPr>
              <w:pStyle w:val="a4"/>
              <w:spacing w:before="0" w:beforeAutospacing="0" w:after="0" w:afterAutospacing="0" w:line="240" w:lineRule="auto"/>
              <w:ind w:left="113" w:right="113"/>
              <w:jc w:val="center"/>
            </w:pPr>
            <w:r w:rsidRPr="00F242DD">
              <w:t>С</w:t>
            </w:r>
          </w:p>
        </w:tc>
      </w:tr>
      <w:tr w:rsidR="0040125D" w:rsidRPr="00F242DD" w14:paraId="4EBB7E18"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62E30676" w14:textId="77777777" w:rsidR="0040125D" w:rsidRPr="00F242DD" w:rsidRDefault="00331D28" w:rsidP="00E36DFA">
            <w:pPr>
              <w:pStyle w:val="a4"/>
              <w:spacing w:before="0" w:beforeAutospacing="0" w:after="0" w:afterAutospacing="0" w:line="360" w:lineRule="auto"/>
              <w:ind w:left="113" w:right="113"/>
            </w:pPr>
            <w:r w:rsidRPr="00F242DD">
              <w:t>6</w:t>
            </w:r>
          </w:p>
        </w:tc>
        <w:tc>
          <w:tcPr>
            <w:tcW w:w="7371" w:type="dxa"/>
            <w:tcBorders>
              <w:top w:val="single" w:sz="6" w:space="0" w:color="000000"/>
              <w:left w:val="single" w:sz="6" w:space="0" w:color="000000"/>
              <w:bottom w:val="single" w:sz="6" w:space="0" w:color="000000"/>
              <w:right w:val="single" w:sz="6" w:space="0" w:color="000000"/>
            </w:tcBorders>
            <w:vAlign w:val="center"/>
          </w:tcPr>
          <w:p w14:paraId="3A7BC5D8" w14:textId="2035C2BC" w:rsidR="0040125D" w:rsidRPr="00F242DD" w:rsidRDefault="00331D28" w:rsidP="00C528FA">
            <w:pPr>
              <w:spacing w:before="0" w:after="0" w:line="240" w:lineRule="auto"/>
              <w:ind w:left="113" w:right="113"/>
              <w:rPr>
                <w:szCs w:val="24"/>
              </w:rPr>
            </w:pPr>
            <w:r w:rsidRPr="00F242DD">
              <w:rPr>
                <w:szCs w:val="24"/>
              </w:rPr>
              <w:t>П</w:t>
            </w:r>
            <w:r w:rsidR="00270347" w:rsidRPr="00F242DD">
              <w:rPr>
                <w:szCs w:val="24"/>
              </w:rPr>
              <w:t>ациент</w:t>
            </w:r>
            <w:r w:rsidRPr="00F242DD">
              <w:rPr>
                <w:szCs w:val="24"/>
              </w:rPr>
              <w:t>у</w:t>
            </w:r>
            <w:r w:rsidR="00270347" w:rsidRPr="00F242DD">
              <w:rPr>
                <w:szCs w:val="24"/>
              </w:rPr>
              <w:t xml:space="preserve"> с подозрением на ММ или выявленной ММ при первичном приеме, при подозрении на рецидив заболевания</w:t>
            </w:r>
            <w:r w:rsidRPr="00F242DD">
              <w:rPr>
                <w:szCs w:val="24"/>
              </w:rPr>
              <w:t xml:space="preserve"> выполнено</w:t>
            </w:r>
            <w:r w:rsidR="00270347" w:rsidRPr="00F242DD">
              <w:rPr>
                <w:szCs w:val="24"/>
              </w:rPr>
              <w:t xml:space="preserve"> </w:t>
            </w:r>
            <w:r w:rsidR="00C528FA">
              <w:rPr>
                <w:szCs w:val="24"/>
              </w:rPr>
              <w:t xml:space="preserve">гистологическое </w:t>
            </w:r>
            <w:r w:rsidR="007B4710" w:rsidRPr="00F242DD">
              <w:rPr>
                <w:szCs w:val="24"/>
              </w:rPr>
              <w:t>исследование биопсийного (операционного) материала костного мозга</w:t>
            </w:r>
            <w:r w:rsidR="00A679A5">
              <w:rPr>
                <w:szCs w:val="24"/>
              </w:rPr>
              <w:t xml:space="preserve"> (</w:t>
            </w:r>
            <w:r w:rsidR="00A679A5" w:rsidRPr="00C528FA">
              <w:rPr>
                <w:szCs w:val="24"/>
              </w:rPr>
              <w:t>при необходимости</w:t>
            </w:r>
            <w:r w:rsidR="007B4710" w:rsidRPr="00F242DD">
              <w:rPr>
                <w:szCs w:val="24"/>
              </w:rPr>
              <w:t xml:space="preserve"> с применением иммуногистохимических методов</w:t>
            </w:r>
            <w:r w:rsidR="00A679A5">
              <w:rPr>
                <w:szCs w:val="24"/>
              </w:rPr>
              <w:t>)</w:t>
            </w:r>
            <w:r w:rsidR="00270347" w:rsidRPr="00F242DD">
              <w:rPr>
                <w:szCs w:val="24"/>
              </w:rPr>
              <w:t xml:space="preserve"> для подтверж</w:t>
            </w:r>
            <w:r w:rsidR="00AB72AF" w:rsidRPr="00F242DD">
              <w:rPr>
                <w:szCs w:val="24"/>
              </w:rPr>
              <w:t>дения и формулирования диагноза</w:t>
            </w:r>
          </w:p>
        </w:tc>
        <w:tc>
          <w:tcPr>
            <w:tcW w:w="1276" w:type="dxa"/>
            <w:tcBorders>
              <w:top w:val="single" w:sz="6" w:space="0" w:color="000000"/>
              <w:left w:val="single" w:sz="6" w:space="0" w:color="000000"/>
              <w:bottom w:val="single" w:sz="6" w:space="0" w:color="000000"/>
              <w:right w:val="single" w:sz="6" w:space="0" w:color="000000"/>
            </w:tcBorders>
            <w:vAlign w:val="center"/>
          </w:tcPr>
          <w:p w14:paraId="3961B54D" w14:textId="77777777" w:rsidR="0040125D" w:rsidRPr="00F242DD" w:rsidRDefault="00270347" w:rsidP="00E36DFA">
            <w:pPr>
              <w:pStyle w:val="a4"/>
              <w:spacing w:before="0" w:beforeAutospacing="0" w:after="0" w:afterAutospacing="0" w:line="240" w:lineRule="auto"/>
              <w:ind w:left="113" w:right="113"/>
              <w:jc w:val="center"/>
            </w:pPr>
            <w:r w:rsidRPr="00F242DD">
              <w:t>2</w:t>
            </w:r>
          </w:p>
        </w:tc>
        <w:tc>
          <w:tcPr>
            <w:tcW w:w="1388" w:type="dxa"/>
            <w:tcBorders>
              <w:top w:val="single" w:sz="6" w:space="0" w:color="000000"/>
              <w:left w:val="single" w:sz="6" w:space="0" w:color="000000"/>
              <w:bottom w:val="single" w:sz="6" w:space="0" w:color="000000"/>
              <w:right w:val="single" w:sz="6" w:space="0" w:color="000000"/>
            </w:tcBorders>
            <w:vAlign w:val="center"/>
          </w:tcPr>
          <w:p w14:paraId="74752FE6" w14:textId="77777777" w:rsidR="0040125D" w:rsidRPr="00F242DD" w:rsidRDefault="00270347" w:rsidP="00E36DFA">
            <w:pPr>
              <w:pStyle w:val="a4"/>
              <w:spacing w:before="0" w:beforeAutospacing="0" w:after="0" w:afterAutospacing="0" w:line="240" w:lineRule="auto"/>
              <w:ind w:left="113" w:right="113"/>
              <w:jc w:val="center"/>
            </w:pPr>
            <w:r w:rsidRPr="00F242DD">
              <w:t>В</w:t>
            </w:r>
          </w:p>
        </w:tc>
      </w:tr>
      <w:tr w:rsidR="0040125D" w:rsidRPr="00F242DD" w14:paraId="4E7D6628"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09E13C28" w14:textId="77777777" w:rsidR="0040125D" w:rsidRPr="00F242DD" w:rsidRDefault="00331D28" w:rsidP="00E36DFA">
            <w:pPr>
              <w:pStyle w:val="a4"/>
              <w:spacing w:before="0" w:beforeAutospacing="0" w:after="0" w:afterAutospacing="0" w:line="360" w:lineRule="auto"/>
              <w:ind w:left="113" w:right="113"/>
            </w:pPr>
            <w:r w:rsidRPr="00F242DD">
              <w:t>7</w:t>
            </w:r>
          </w:p>
        </w:tc>
        <w:tc>
          <w:tcPr>
            <w:tcW w:w="7371" w:type="dxa"/>
            <w:tcBorders>
              <w:top w:val="single" w:sz="6" w:space="0" w:color="000000"/>
              <w:left w:val="single" w:sz="6" w:space="0" w:color="000000"/>
              <w:bottom w:val="single" w:sz="6" w:space="0" w:color="000000"/>
              <w:right w:val="single" w:sz="6" w:space="0" w:color="000000"/>
            </w:tcBorders>
            <w:vAlign w:val="center"/>
          </w:tcPr>
          <w:p w14:paraId="20CD916A" w14:textId="77777777" w:rsidR="0040125D" w:rsidRPr="00F242DD" w:rsidRDefault="00331D28" w:rsidP="00E36DFA">
            <w:pPr>
              <w:spacing w:before="0" w:after="0" w:line="240" w:lineRule="auto"/>
              <w:ind w:left="113" w:right="113"/>
              <w:rPr>
                <w:szCs w:val="24"/>
              </w:rPr>
            </w:pPr>
            <w:r w:rsidRPr="00F242DD">
              <w:rPr>
                <w:szCs w:val="24"/>
              </w:rPr>
              <w:t>П</w:t>
            </w:r>
            <w:r w:rsidR="00D40466" w:rsidRPr="00F242DD">
              <w:rPr>
                <w:szCs w:val="24"/>
              </w:rPr>
              <w:t>ациент</w:t>
            </w:r>
            <w:r w:rsidRPr="00F242DD">
              <w:rPr>
                <w:szCs w:val="24"/>
              </w:rPr>
              <w:t>у</w:t>
            </w:r>
            <w:r w:rsidR="00D40466" w:rsidRPr="00F242DD">
              <w:rPr>
                <w:szCs w:val="24"/>
              </w:rPr>
              <w:t xml:space="preserve"> при установке диагноза ММ перед началом терапии, при оценке эффекта терапии, а также при подозрении на рецидив заболевания</w:t>
            </w:r>
            <w:r w:rsidRPr="00F242DD">
              <w:rPr>
                <w:szCs w:val="24"/>
              </w:rPr>
              <w:t xml:space="preserve"> выполнена </w:t>
            </w:r>
            <w:r w:rsidR="003F68DD" w:rsidRPr="00F242DD">
              <w:rPr>
                <w:szCs w:val="24"/>
              </w:rPr>
              <w:t>КТ</w:t>
            </w:r>
            <w:r w:rsidR="00D40466" w:rsidRPr="00F242DD">
              <w:rPr>
                <w:szCs w:val="24"/>
              </w:rPr>
              <w:t xml:space="preserve"> всех отделов позвоночника, грудной клетки, таза (предпочтение отдается низкодозной </w:t>
            </w:r>
            <w:r w:rsidR="003F68DD" w:rsidRPr="00F242DD">
              <w:rPr>
                <w:szCs w:val="24"/>
              </w:rPr>
              <w:t>КТ</w:t>
            </w:r>
            <w:r w:rsidR="00D40466" w:rsidRPr="00F242DD">
              <w:rPr>
                <w:szCs w:val="24"/>
              </w:rPr>
              <w:t xml:space="preserve"> всего скелета) </w:t>
            </w:r>
            <w:r w:rsidR="000103FE" w:rsidRPr="00F242DD">
              <w:rPr>
                <w:szCs w:val="24"/>
              </w:rPr>
              <w:t xml:space="preserve">или </w:t>
            </w:r>
            <w:r w:rsidR="00D40466" w:rsidRPr="00F242DD">
              <w:rPr>
                <w:szCs w:val="24"/>
              </w:rPr>
              <w:t>рентгенологическое исследование костей (включая череп, грудную клетку, все отделы позвоночника, т</w:t>
            </w:r>
            <w:r w:rsidR="003F68DD" w:rsidRPr="00F242DD">
              <w:rPr>
                <w:szCs w:val="24"/>
              </w:rPr>
              <w:t>аз, плечевые и бедренные кости)</w:t>
            </w:r>
          </w:p>
        </w:tc>
        <w:tc>
          <w:tcPr>
            <w:tcW w:w="1276" w:type="dxa"/>
            <w:tcBorders>
              <w:top w:val="single" w:sz="6" w:space="0" w:color="000000"/>
              <w:left w:val="single" w:sz="6" w:space="0" w:color="000000"/>
              <w:bottom w:val="single" w:sz="6" w:space="0" w:color="000000"/>
              <w:right w:val="single" w:sz="6" w:space="0" w:color="000000"/>
            </w:tcBorders>
            <w:vAlign w:val="center"/>
          </w:tcPr>
          <w:p w14:paraId="095062E8" w14:textId="77777777" w:rsidR="0040125D" w:rsidRPr="00F242DD" w:rsidRDefault="00D40466" w:rsidP="00E36DFA">
            <w:pPr>
              <w:pStyle w:val="a4"/>
              <w:spacing w:before="0" w:beforeAutospacing="0" w:after="0" w:afterAutospacing="0" w:line="240" w:lineRule="auto"/>
              <w:ind w:left="113" w:right="113"/>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6BEF1820" w14:textId="77777777" w:rsidR="0040125D" w:rsidRPr="00F242DD" w:rsidRDefault="00D40466" w:rsidP="00E36DFA">
            <w:pPr>
              <w:pStyle w:val="a4"/>
              <w:spacing w:before="0" w:beforeAutospacing="0" w:after="0" w:afterAutospacing="0" w:line="240" w:lineRule="auto"/>
              <w:ind w:left="113" w:right="113"/>
              <w:jc w:val="center"/>
            </w:pPr>
            <w:r w:rsidRPr="00F242DD">
              <w:t>С</w:t>
            </w:r>
          </w:p>
        </w:tc>
      </w:tr>
      <w:tr w:rsidR="00270347" w:rsidRPr="00F242DD" w14:paraId="2AE808B1"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3BC4E0FA" w14:textId="77777777" w:rsidR="00270347" w:rsidRPr="00F242DD" w:rsidRDefault="00331D28" w:rsidP="00E36DFA">
            <w:pPr>
              <w:pStyle w:val="a4"/>
              <w:spacing w:before="0" w:beforeAutospacing="0" w:after="0" w:afterAutospacing="0" w:line="360" w:lineRule="auto"/>
              <w:ind w:left="113" w:right="113"/>
            </w:pPr>
            <w:r w:rsidRPr="00F242DD">
              <w:lastRenderedPageBreak/>
              <w:t>8</w:t>
            </w:r>
          </w:p>
        </w:tc>
        <w:tc>
          <w:tcPr>
            <w:tcW w:w="7371" w:type="dxa"/>
            <w:tcBorders>
              <w:top w:val="single" w:sz="6" w:space="0" w:color="000000"/>
              <w:left w:val="single" w:sz="6" w:space="0" w:color="000000"/>
              <w:bottom w:val="single" w:sz="6" w:space="0" w:color="000000"/>
              <w:right w:val="single" w:sz="6" w:space="0" w:color="000000"/>
            </w:tcBorders>
            <w:vAlign w:val="center"/>
          </w:tcPr>
          <w:p w14:paraId="0AF7A580" w14:textId="77777777" w:rsidR="00270347" w:rsidRPr="00F242DD" w:rsidRDefault="00D40466" w:rsidP="00E36DFA">
            <w:pPr>
              <w:spacing w:before="0" w:after="0" w:line="240" w:lineRule="auto"/>
              <w:ind w:left="113" w:right="113"/>
              <w:rPr>
                <w:szCs w:val="24"/>
              </w:rPr>
            </w:pPr>
            <w:r w:rsidRPr="00F242DD">
              <w:rPr>
                <w:szCs w:val="24"/>
              </w:rPr>
              <w:t>Пациент</w:t>
            </w:r>
            <w:r w:rsidR="00FB327B" w:rsidRPr="00F242DD">
              <w:rPr>
                <w:szCs w:val="24"/>
              </w:rPr>
              <w:t>у</w:t>
            </w:r>
            <w:r w:rsidRPr="00F242DD">
              <w:rPr>
                <w:szCs w:val="24"/>
              </w:rPr>
              <w:t xml:space="preserve"> с симптоматической </w:t>
            </w:r>
            <w:r w:rsidR="003F68DD" w:rsidRPr="00F242DD">
              <w:rPr>
                <w:szCs w:val="24"/>
              </w:rPr>
              <w:t>ММ</w:t>
            </w:r>
            <w:r w:rsidRPr="00F242DD">
              <w:rPr>
                <w:szCs w:val="24"/>
              </w:rPr>
              <w:t xml:space="preserve"> нача</w:t>
            </w:r>
            <w:r w:rsidR="00FB327B" w:rsidRPr="00F242DD">
              <w:rPr>
                <w:szCs w:val="24"/>
              </w:rPr>
              <w:t>то проведение</w:t>
            </w:r>
            <w:r w:rsidRPr="00F242DD">
              <w:rPr>
                <w:szCs w:val="24"/>
              </w:rPr>
              <w:t xml:space="preserve"> специфи</w:t>
            </w:r>
            <w:r w:rsidR="003F68DD" w:rsidRPr="00F242DD">
              <w:rPr>
                <w:szCs w:val="24"/>
              </w:rPr>
              <w:t>ческой противомиеломной терапии</w:t>
            </w:r>
          </w:p>
        </w:tc>
        <w:tc>
          <w:tcPr>
            <w:tcW w:w="1276" w:type="dxa"/>
            <w:tcBorders>
              <w:top w:val="single" w:sz="6" w:space="0" w:color="000000"/>
              <w:left w:val="single" w:sz="6" w:space="0" w:color="000000"/>
              <w:bottom w:val="single" w:sz="6" w:space="0" w:color="000000"/>
              <w:right w:val="single" w:sz="6" w:space="0" w:color="000000"/>
            </w:tcBorders>
            <w:vAlign w:val="center"/>
          </w:tcPr>
          <w:p w14:paraId="5994C856" w14:textId="77777777" w:rsidR="00270347" w:rsidRPr="00F242DD" w:rsidRDefault="00D40466" w:rsidP="00E36DFA">
            <w:pPr>
              <w:pStyle w:val="a4"/>
              <w:spacing w:before="0" w:beforeAutospacing="0" w:after="0" w:afterAutospacing="0" w:line="240" w:lineRule="auto"/>
              <w:ind w:left="113" w:right="113"/>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3BD664DB" w14:textId="77777777" w:rsidR="00270347" w:rsidRPr="00F242DD" w:rsidRDefault="00D40466" w:rsidP="00E36DFA">
            <w:pPr>
              <w:pStyle w:val="a4"/>
              <w:spacing w:before="0" w:beforeAutospacing="0" w:after="0" w:afterAutospacing="0" w:line="240" w:lineRule="auto"/>
              <w:ind w:left="113" w:right="113"/>
              <w:jc w:val="center"/>
            </w:pPr>
            <w:r w:rsidRPr="00F242DD">
              <w:t>С</w:t>
            </w:r>
          </w:p>
        </w:tc>
      </w:tr>
      <w:tr w:rsidR="00270347" w:rsidRPr="00F242DD" w14:paraId="048EB6D6"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22A22DB1" w14:textId="77777777" w:rsidR="00270347" w:rsidRPr="00F242DD" w:rsidRDefault="00331D28" w:rsidP="00E36DFA">
            <w:pPr>
              <w:pStyle w:val="a4"/>
              <w:spacing w:before="0" w:beforeAutospacing="0" w:after="0" w:afterAutospacing="0" w:line="360" w:lineRule="auto"/>
              <w:ind w:left="113" w:right="113"/>
            </w:pPr>
            <w:r w:rsidRPr="00F242DD">
              <w:t>9</w:t>
            </w:r>
          </w:p>
        </w:tc>
        <w:tc>
          <w:tcPr>
            <w:tcW w:w="7371" w:type="dxa"/>
            <w:tcBorders>
              <w:top w:val="single" w:sz="6" w:space="0" w:color="000000"/>
              <w:left w:val="single" w:sz="6" w:space="0" w:color="000000"/>
              <w:bottom w:val="single" w:sz="6" w:space="0" w:color="000000"/>
              <w:right w:val="single" w:sz="6" w:space="0" w:color="000000"/>
            </w:tcBorders>
            <w:vAlign w:val="center"/>
          </w:tcPr>
          <w:p w14:paraId="42BFAC67" w14:textId="77777777" w:rsidR="00270347" w:rsidRPr="00F242DD" w:rsidRDefault="00D40466" w:rsidP="00E36DFA">
            <w:pPr>
              <w:tabs>
                <w:tab w:val="num" w:pos="709"/>
              </w:tabs>
              <w:spacing w:before="0" w:after="0" w:line="240" w:lineRule="auto"/>
              <w:ind w:left="113" w:right="113"/>
              <w:rPr>
                <w:b/>
                <w:szCs w:val="24"/>
              </w:rPr>
            </w:pPr>
            <w:r w:rsidRPr="00F242DD">
              <w:rPr>
                <w:szCs w:val="24"/>
              </w:rPr>
              <w:t>Пациент</w:t>
            </w:r>
            <w:r w:rsidR="00FB327B" w:rsidRPr="00F242DD">
              <w:rPr>
                <w:szCs w:val="24"/>
              </w:rPr>
              <w:t>у</w:t>
            </w:r>
            <w:r w:rsidRPr="00F242DD">
              <w:rPr>
                <w:szCs w:val="24"/>
              </w:rPr>
              <w:t xml:space="preserve"> с признаками клинического рецидива, а также при быстром нарастании парапротеина (удвоение содержания М-градиента в течение 2 мес</w:t>
            </w:r>
            <w:r w:rsidR="00E778E9" w:rsidRPr="00F242DD">
              <w:rPr>
                <w:szCs w:val="24"/>
              </w:rPr>
              <w:t>.</w:t>
            </w:r>
            <w:r w:rsidRPr="00F242DD">
              <w:rPr>
                <w:szCs w:val="24"/>
              </w:rPr>
              <w:t xml:space="preserve">) </w:t>
            </w:r>
            <w:r w:rsidR="00FB327B" w:rsidRPr="00F242DD">
              <w:rPr>
                <w:szCs w:val="24"/>
              </w:rPr>
              <w:t xml:space="preserve">начато проведение </w:t>
            </w:r>
            <w:r w:rsidRPr="00F242DD">
              <w:rPr>
                <w:szCs w:val="24"/>
              </w:rPr>
              <w:t>противорецидивн</w:t>
            </w:r>
            <w:r w:rsidR="00FB327B" w:rsidRPr="00F242DD">
              <w:rPr>
                <w:szCs w:val="24"/>
              </w:rPr>
              <w:t>ой</w:t>
            </w:r>
            <w:r w:rsidRPr="00F242DD">
              <w:rPr>
                <w:szCs w:val="24"/>
              </w:rPr>
              <w:t xml:space="preserve"> терапи</w:t>
            </w:r>
            <w:r w:rsidR="0076263A" w:rsidRPr="00F242DD">
              <w:rPr>
                <w:szCs w:val="24"/>
              </w:rPr>
              <w:t>и</w:t>
            </w:r>
          </w:p>
        </w:tc>
        <w:tc>
          <w:tcPr>
            <w:tcW w:w="1276" w:type="dxa"/>
            <w:tcBorders>
              <w:top w:val="single" w:sz="6" w:space="0" w:color="000000"/>
              <w:left w:val="single" w:sz="6" w:space="0" w:color="000000"/>
              <w:bottom w:val="single" w:sz="6" w:space="0" w:color="000000"/>
              <w:right w:val="single" w:sz="6" w:space="0" w:color="000000"/>
            </w:tcBorders>
            <w:vAlign w:val="center"/>
          </w:tcPr>
          <w:p w14:paraId="4E45C1BC" w14:textId="77777777" w:rsidR="00270347" w:rsidRPr="00F242DD" w:rsidRDefault="00D40466" w:rsidP="00E36DFA">
            <w:pPr>
              <w:pStyle w:val="a4"/>
              <w:spacing w:before="0" w:beforeAutospacing="0" w:after="0" w:afterAutospacing="0" w:line="240" w:lineRule="auto"/>
              <w:ind w:left="113" w:right="113"/>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65262CBA" w14:textId="77777777" w:rsidR="00270347" w:rsidRPr="00F242DD" w:rsidRDefault="00D40466" w:rsidP="00E36DFA">
            <w:pPr>
              <w:pStyle w:val="a4"/>
              <w:spacing w:before="0" w:beforeAutospacing="0" w:after="0" w:afterAutospacing="0" w:line="240" w:lineRule="auto"/>
              <w:ind w:left="113" w:right="113"/>
              <w:jc w:val="center"/>
            </w:pPr>
            <w:r w:rsidRPr="00F242DD">
              <w:t>С</w:t>
            </w:r>
          </w:p>
        </w:tc>
      </w:tr>
      <w:tr w:rsidR="00270347" w:rsidRPr="00F242DD" w14:paraId="38A7FA6F"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7208EC5B" w14:textId="77777777" w:rsidR="00270347" w:rsidRPr="00F242DD" w:rsidRDefault="00931752" w:rsidP="00E36DFA">
            <w:pPr>
              <w:pStyle w:val="a4"/>
              <w:spacing w:before="0" w:beforeAutospacing="0" w:after="0" w:afterAutospacing="0" w:line="360" w:lineRule="auto"/>
              <w:ind w:left="113" w:right="113"/>
            </w:pPr>
            <w:r w:rsidRPr="00F242DD">
              <w:t>1</w:t>
            </w:r>
            <w:r w:rsidR="00331D28" w:rsidRPr="00F242DD">
              <w:t>0</w:t>
            </w:r>
          </w:p>
        </w:tc>
        <w:tc>
          <w:tcPr>
            <w:tcW w:w="7371" w:type="dxa"/>
            <w:tcBorders>
              <w:top w:val="single" w:sz="6" w:space="0" w:color="000000"/>
              <w:left w:val="single" w:sz="6" w:space="0" w:color="000000"/>
              <w:bottom w:val="single" w:sz="6" w:space="0" w:color="000000"/>
              <w:right w:val="single" w:sz="6" w:space="0" w:color="000000"/>
            </w:tcBorders>
            <w:vAlign w:val="center"/>
          </w:tcPr>
          <w:p w14:paraId="5B605D3D" w14:textId="77777777" w:rsidR="00270347" w:rsidRPr="00F242DD" w:rsidRDefault="00931752" w:rsidP="00E36DFA">
            <w:pPr>
              <w:tabs>
                <w:tab w:val="num" w:pos="709"/>
              </w:tabs>
              <w:spacing w:before="0" w:after="0" w:line="240" w:lineRule="auto"/>
              <w:ind w:left="113" w:right="113"/>
              <w:rPr>
                <w:szCs w:val="24"/>
              </w:rPr>
            </w:pPr>
            <w:r w:rsidRPr="00F242DD">
              <w:rPr>
                <w:szCs w:val="24"/>
              </w:rPr>
              <w:t>Пациент</w:t>
            </w:r>
            <w:r w:rsidR="00FB327B" w:rsidRPr="00F242DD">
              <w:rPr>
                <w:szCs w:val="24"/>
              </w:rPr>
              <w:t>у</w:t>
            </w:r>
            <w:r w:rsidRPr="00F242DD">
              <w:rPr>
                <w:szCs w:val="24"/>
              </w:rPr>
              <w:t>, завершивш</w:t>
            </w:r>
            <w:r w:rsidR="00FB327B" w:rsidRPr="00F242DD">
              <w:rPr>
                <w:szCs w:val="24"/>
              </w:rPr>
              <w:t>ему</w:t>
            </w:r>
            <w:r w:rsidRPr="00F242DD">
              <w:rPr>
                <w:szCs w:val="24"/>
              </w:rPr>
              <w:t xml:space="preserve"> запланированное лечение по поводу </w:t>
            </w:r>
            <w:r w:rsidR="003F68DD" w:rsidRPr="00F242DD">
              <w:rPr>
                <w:szCs w:val="24"/>
              </w:rPr>
              <w:t>ММ</w:t>
            </w:r>
            <w:r w:rsidRPr="00F242DD">
              <w:rPr>
                <w:szCs w:val="24"/>
              </w:rPr>
              <w:t xml:space="preserve">, </w:t>
            </w:r>
            <w:r w:rsidR="00FB327B" w:rsidRPr="00F242DD">
              <w:rPr>
                <w:szCs w:val="24"/>
              </w:rPr>
              <w:t xml:space="preserve">выполнена </w:t>
            </w:r>
            <w:r w:rsidRPr="00F242DD">
              <w:rPr>
                <w:szCs w:val="24"/>
              </w:rPr>
              <w:t xml:space="preserve">оценка эффекта лечения согласно международным критериям, предложенным в 2006 г. и модифицированным в 2011 г. </w:t>
            </w:r>
          </w:p>
        </w:tc>
        <w:tc>
          <w:tcPr>
            <w:tcW w:w="1276" w:type="dxa"/>
            <w:tcBorders>
              <w:top w:val="single" w:sz="6" w:space="0" w:color="000000"/>
              <w:left w:val="single" w:sz="6" w:space="0" w:color="000000"/>
              <w:bottom w:val="single" w:sz="6" w:space="0" w:color="000000"/>
              <w:right w:val="single" w:sz="6" w:space="0" w:color="000000"/>
            </w:tcBorders>
            <w:vAlign w:val="center"/>
          </w:tcPr>
          <w:p w14:paraId="1AE5C282" w14:textId="77777777" w:rsidR="00270347" w:rsidRPr="00F242DD" w:rsidRDefault="00931752" w:rsidP="00E36DFA">
            <w:pPr>
              <w:pStyle w:val="a4"/>
              <w:spacing w:before="0" w:beforeAutospacing="0" w:after="0" w:afterAutospacing="0" w:line="240" w:lineRule="auto"/>
              <w:ind w:left="113" w:right="113"/>
              <w:jc w:val="center"/>
            </w:pPr>
            <w:r w:rsidRPr="00F242DD">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7B63A46E" w14:textId="77777777" w:rsidR="00270347" w:rsidRPr="00F242DD" w:rsidRDefault="00931752" w:rsidP="00E36DFA">
            <w:pPr>
              <w:pStyle w:val="a4"/>
              <w:spacing w:before="0" w:beforeAutospacing="0" w:after="0" w:afterAutospacing="0" w:line="240" w:lineRule="auto"/>
              <w:ind w:left="113" w:right="113"/>
              <w:jc w:val="center"/>
            </w:pPr>
            <w:r w:rsidRPr="00F242DD">
              <w:t>С</w:t>
            </w:r>
          </w:p>
        </w:tc>
      </w:tr>
    </w:tbl>
    <w:p w14:paraId="1F3F5283" w14:textId="77777777" w:rsidR="004D7374" w:rsidRPr="00F242DD" w:rsidRDefault="004D7374" w:rsidP="00131E36">
      <w:pPr>
        <w:spacing w:before="0" w:after="0"/>
        <w:ind w:firstLine="709"/>
      </w:pPr>
    </w:p>
    <w:p w14:paraId="5B4D2B6D" w14:textId="77777777" w:rsidR="004D7374" w:rsidRPr="00F242DD" w:rsidRDefault="004D7374" w:rsidP="00131E36">
      <w:pPr>
        <w:spacing w:before="0" w:after="0"/>
        <w:ind w:firstLine="709"/>
      </w:pPr>
    </w:p>
    <w:p w14:paraId="3A87EB82" w14:textId="77777777" w:rsidR="004D7374" w:rsidRPr="00F242DD" w:rsidRDefault="004D7374" w:rsidP="00131E36">
      <w:pPr>
        <w:spacing w:before="0" w:after="0"/>
        <w:ind w:firstLine="709"/>
      </w:pPr>
    </w:p>
    <w:p w14:paraId="0B62BE2F" w14:textId="77777777" w:rsidR="004D7374" w:rsidRPr="00F242DD" w:rsidRDefault="004D7374" w:rsidP="00131E36">
      <w:pPr>
        <w:spacing w:before="0" w:after="0"/>
        <w:ind w:firstLine="709"/>
      </w:pPr>
    </w:p>
    <w:p w14:paraId="6626D063" w14:textId="77777777" w:rsidR="004D7374" w:rsidRPr="00F242DD" w:rsidRDefault="004D7374" w:rsidP="00131E36">
      <w:pPr>
        <w:spacing w:before="0" w:after="0"/>
        <w:ind w:firstLine="709"/>
      </w:pPr>
    </w:p>
    <w:p w14:paraId="7A155275" w14:textId="77777777" w:rsidR="004D7374" w:rsidRPr="00F242DD" w:rsidRDefault="004D7374" w:rsidP="00131E36">
      <w:pPr>
        <w:spacing w:before="0" w:after="0"/>
        <w:ind w:firstLine="709"/>
      </w:pPr>
    </w:p>
    <w:p w14:paraId="1F09534F" w14:textId="77777777" w:rsidR="004D7374" w:rsidRPr="00F242DD" w:rsidRDefault="004D7374" w:rsidP="00131E36">
      <w:pPr>
        <w:spacing w:before="0" w:after="0"/>
        <w:ind w:firstLine="709"/>
      </w:pPr>
    </w:p>
    <w:p w14:paraId="43CDBA77" w14:textId="77777777" w:rsidR="004D7374" w:rsidRPr="00F242DD" w:rsidRDefault="004D7374" w:rsidP="00E36DFA">
      <w:pPr>
        <w:pStyle w:val="1"/>
      </w:pPr>
      <w:bookmarkStart w:id="48" w:name="_Toc520213129"/>
      <w:bookmarkStart w:id="49" w:name="_Toc53140913"/>
      <w:r w:rsidRPr="00F242DD">
        <w:lastRenderedPageBreak/>
        <w:t>Список литературы</w:t>
      </w:r>
      <w:bookmarkEnd w:id="48"/>
      <w:bookmarkEnd w:id="49"/>
    </w:p>
    <w:p w14:paraId="46774CFC" w14:textId="77777777" w:rsidR="00315D6A" w:rsidRPr="00F242DD" w:rsidRDefault="00A96FB6" w:rsidP="00315D6A">
      <w:pPr>
        <w:widowControl w:val="0"/>
        <w:autoSpaceDE w:val="0"/>
        <w:autoSpaceDN w:val="0"/>
        <w:adjustRightInd w:val="0"/>
        <w:spacing w:before="0" w:after="0"/>
        <w:ind w:left="640" w:hanging="640"/>
        <w:rPr>
          <w:noProof/>
          <w:lang w:val="en-US"/>
        </w:rPr>
      </w:pPr>
      <w:r w:rsidRPr="00F242DD">
        <w:rPr>
          <w:lang w:val="en-US"/>
        </w:rPr>
        <w:fldChar w:fldCharType="begin" w:fldLock="1"/>
      </w:r>
      <w:r w:rsidR="0076263A" w:rsidRPr="00F242DD">
        <w:rPr>
          <w:lang w:val="en-US"/>
        </w:rPr>
        <w:instrText>ADDIN</w:instrText>
      </w:r>
      <w:r w:rsidR="0076263A" w:rsidRPr="00F242DD">
        <w:instrText xml:space="preserve"> </w:instrText>
      </w:r>
      <w:r w:rsidR="0076263A" w:rsidRPr="00F242DD">
        <w:rPr>
          <w:lang w:val="en-US"/>
        </w:rPr>
        <w:instrText>Mendeley</w:instrText>
      </w:r>
      <w:r w:rsidR="0076263A" w:rsidRPr="00F242DD">
        <w:instrText xml:space="preserve"> </w:instrText>
      </w:r>
      <w:r w:rsidR="0076263A" w:rsidRPr="00F242DD">
        <w:rPr>
          <w:lang w:val="en-US"/>
        </w:rPr>
        <w:instrText>Bibliography</w:instrText>
      </w:r>
      <w:r w:rsidR="0076263A" w:rsidRPr="00F242DD">
        <w:instrText xml:space="preserve"> </w:instrText>
      </w:r>
      <w:r w:rsidR="0076263A" w:rsidRPr="00F242DD">
        <w:rPr>
          <w:lang w:val="en-US"/>
        </w:rPr>
        <w:instrText>CSL</w:instrText>
      </w:r>
      <w:r w:rsidR="0076263A" w:rsidRPr="00F242DD">
        <w:instrText>_</w:instrText>
      </w:r>
      <w:r w:rsidR="0076263A" w:rsidRPr="00F242DD">
        <w:rPr>
          <w:lang w:val="en-US"/>
        </w:rPr>
        <w:instrText>BIBLIOGRAPHY</w:instrText>
      </w:r>
      <w:r w:rsidR="0076263A" w:rsidRPr="00F242DD">
        <w:instrText xml:space="preserve"> </w:instrText>
      </w:r>
      <w:r w:rsidRPr="00F242DD">
        <w:rPr>
          <w:lang w:val="en-US"/>
        </w:rPr>
        <w:fldChar w:fldCharType="separate"/>
      </w:r>
      <w:r w:rsidR="00315D6A" w:rsidRPr="00F242DD">
        <w:rPr>
          <w:noProof/>
        </w:rPr>
        <w:t>1.</w:t>
      </w:r>
      <w:r w:rsidR="00315D6A" w:rsidRPr="00F242DD">
        <w:rPr>
          <w:noProof/>
        </w:rPr>
        <w:tab/>
        <w:t>Менделеева Л.П., Вотякова О.М., Рехтина И.Г. Множественная миелома // Российские клинические рекомендации по диагностике и лечению злокачественных лимфопролиферативных заболеваний; под ред. И</w:t>
      </w:r>
      <w:r w:rsidR="00315D6A" w:rsidRPr="00F242DD">
        <w:rPr>
          <w:noProof/>
          <w:lang w:val="en-US"/>
        </w:rPr>
        <w:t>.</w:t>
      </w:r>
      <w:r w:rsidR="00315D6A" w:rsidRPr="00F242DD">
        <w:rPr>
          <w:noProof/>
        </w:rPr>
        <w:t>В</w:t>
      </w:r>
      <w:r w:rsidR="00315D6A" w:rsidRPr="00F242DD">
        <w:rPr>
          <w:noProof/>
          <w:lang w:val="en-US"/>
        </w:rPr>
        <w:t xml:space="preserve">. </w:t>
      </w:r>
      <w:r w:rsidR="00315D6A" w:rsidRPr="00F242DD">
        <w:rPr>
          <w:noProof/>
        </w:rPr>
        <w:t>Поддубной</w:t>
      </w:r>
      <w:r w:rsidR="00315D6A" w:rsidRPr="00F242DD">
        <w:rPr>
          <w:noProof/>
          <w:lang w:val="en-US"/>
        </w:rPr>
        <w:t xml:space="preserve">, </w:t>
      </w:r>
      <w:r w:rsidR="00315D6A" w:rsidRPr="00F242DD">
        <w:rPr>
          <w:noProof/>
        </w:rPr>
        <w:t>В</w:t>
      </w:r>
      <w:r w:rsidR="00315D6A" w:rsidRPr="00F242DD">
        <w:rPr>
          <w:noProof/>
          <w:lang w:val="en-US"/>
        </w:rPr>
        <w:t>.</w:t>
      </w:r>
      <w:r w:rsidR="00315D6A" w:rsidRPr="00F242DD">
        <w:rPr>
          <w:noProof/>
        </w:rPr>
        <w:t>Г</w:t>
      </w:r>
      <w:r w:rsidR="00315D6A" w:rsidRPr="00F242DD">
        <w:rPr>
          <w:noProof/>
          <w:lang w:val="en-US"/>
        </w:rPr>
        <w:t xml:space="preserve">. </w:t>
      </w:r>
      <w:r w:rsidR="00315D6A" w:rsidRPr="00F242DD">
        <w:rPr>
          <w:noProof/>
        </w:rPr>
        <w:t>Савченко</w:t>
      </w:r>
      <w:r w:rsidR="00315D6A" w:rsidRPr="00F242DD">
        <w:rPr>
          <w:noProof/>
          <w:lang w:val="en-US"/>
        </w:rPr>
        <w:t xml:space="preserve">. </w:t>
      </w:r>
      <w:r w:rsidR="00315D6A" w:rsidRPr="00F242DD">
        <w:rPr>
          <w:noProof/>
        </w:rPr>
        <w:t>Москва</w:t>
      </w:r>
      <w:r w:rsidR="00315D6A" w:rsidRPr="00F242DD">
        <w:rPr>
          <w:noProof/>
          <w:lang w:val="en-US"/>
        </w:rPr>
        <w:t>, 2018. P. 213–241.</w:t>
      </w:r>
    </w:p>
    <w:p w14:paraId="69D12CA5"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2.</w:t>
      </w:r>
      <w:r w:rsidRPr="00F242DD">
        <w:rPr>
          <w:noProof/>
          <w:lang w:val="en-US"/>
        </w:rPr>
        <w:tab/>
        <w:t>Furukawa Y., Kikuchi J. Molecular pathogenesis of multiple myeloma. // Int. J. Clin. Oncol. 2015. Vol. 20, № 3. P. 413–422.</w:t>
      </w:r>
    </w:p>
    <w:p w14:paraId="18AAB2A0"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3.</w:t>
      </w:r>
      <w:r w:rsidRPr="00F242DD">
        <w:rPr>
          <w:noProof/>
          <w:lang w:val="en-US"/>
        </w:rPr>
        <w:tab/>
        <w:t>Lewis E.B. Leukemia, Multiple Myeloma, and Aplastic Anemia in American Radiologists // Science (80-. ). 1963. Vol. 142, № 3598. P. 1492–1494.</w:t>
      </w:r>
    </w:p>
    <w:p w14:paraId="67936131"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4.</w:t>
      </w:r>
      <w:r w:rsidRPr="00F242DD">
        <w:rPr>
          <w:noProof/>
          <w:lang w:val="en-US"/>
        </w:rPr>
        <w:tab/>
        <w:t>Linet M.S., Harlow S.D., McLaughlin J.K. A case-control study of multiple myeloma in whites: chronic antigenic stimulation, occupation, and drug use. // Cancer Res. 1987. Vol. 47, № 11. P. 2978–2981.</w:t>
      </w:r>
    </w:p>
    <w:p w14:paraId="1C047011"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5.</w:t>
      </w:r>
      <w:r w:rsidRPr="00F242DD">
        <w:rPr>
          <w:noProof/>
          <w:lang w:val="en-US"/>
        </w:rPr>
        <w:tab/>
        <w:t>Hallek M., Bergsagel P.L., Anderson K.C. Multiple myeloma: increasing evidence for a multistep transformation process. // Blood. 1998. Vol. 91, № 1. P. 3–21.</w:t>
      </w:r>
    </w:p>
    <w:p w14:paraId="714BF8CA"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6.</w:t>
      </w:r>
      <w:r w:rsidRPr="00F242DD">
        <w:rPr>
          <w:noProof/>
          <w:lang w:val="en-US"/>
        </w:rPr>
        <w:tab/>
        <w:t>Kuehl W.M., Bergsagel P.L. Molecular pathogenesis of multiple myeloma and its premalignant precursor. // J. Clin. Invest. 2012. Vol. 122, № 10. P. 3456–3463.</w:t>
      </w:r>
    </w:p>
    <w:p w14:paraId="0A945B91"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7.</w:t>
      </w:r>
      <w:r w:rsidRPr="00F242DD">
        <w:rPr>
          <w:noProof/>
          <w:lang w:val="en-US"/>
        </w:rPr>
        <w:tab/>
        <w:t>Morgan G.J., Walker B.A., Davies F.E. The genetic architecture of multiple myeloma. // Nat. Rev. Cancer. 2012. Vol. 12, № 5. P. 335–348.</w:t>
      </w:r>
    </w:p>
    <w:p w14:paraId="788978A7" w14:textId="77777777" w:rsidR="00315D6A" w:rsidRPr="00F242DD" w:rsidRDefault="00315D6A" w:rsidP="00315D6A">
      <w:pPr>
        <w:widowControl w:val="0"/>
        <w:autoSpaceDE w:val="0"/>
        <w:autoSpaceDN w:val="0"/>
        <w:adjustRightInd w:val="0"/>
        <w:spacing w:before="0" w:after="0"/>
        <w:ind w:left="640" w:hanging="640"/>
        <w:rPr>
          <w:noProof/>
        </w:rPr>
      </w:pPr>
      <w:r w:rsidRPr="00F242DD">
        <w:rPr>
          <w:noProof/>
          <w:lang w:val="en-US"/>
        </w:rPr>
        <w:t>8.</w:t>
      </w:r>
      <w:r w:rsidRPr="00F242DD">
        <w:rPr>
          <w:noProof/>
          <w:lang w:val="en-US"/>
        </w:rPr>
        <w:tab/>
        <w:t xml:space="preserve">Fonseca R. et al. International Myeloma Working Group molecular classification of multiple myeloma: Spotlight review // Leukemia. </w:t>
      </w:r>
      <w:r w:rsidRPr="00F242DD">
        <w:rPr>
          <w:noProof/>
        </w:rPr>
        <w:t>Nature Publishing Group, 2009. Vol. 23, № 12. P. 2210–2221.</w:t>
      </w:r>
    </w:p>
    <w:p w14:paraId="4CE69A99" w14:textId="77777777" w:rsidR="00315D6A" w:rsidRPr="00F242DD" w:rsidRDefault="00315D6A" w:rsidP="00315D6A">
      <w:pPr>
        <w:widowControl w:val="0"/>
        <w:autoSpaceDE w:val="0"/>
        <w:autoSpaceDN w:val="0"/>
        <w:adjustRightInd w:val="0"/>
        <w:spacing w:before="0" w:after="0"/>
        <w:ind w:left="640" w:hanging="640"/>
        <w:rPr>
          <w:noProof/>
        </w:rPr>
      </w:pPr>
      <w:r w:rsidRPr="00F242DD">
        <w:rPr>
          <w:noProof/>
        </w:rPr>
        <w:t>9.</w:t>
      </w:r>
      <w:r w:rsidRPr="00F242DD">
        <w:rPr>
          <w:noProof/>
        </w:rPr>
        <w:tab/>
        <w:t>Злокачественные новообразования в России в 2017 году (заболеваемость и смертность). Под ред. А.Д. Каприна, В.В. Старинского, Г.В. Петровой. М.: МНИОИ им. П.А. Герцена – филиал ФГБУ «НМИЦ радиологии» Минздрава России, 2018.</w:t>
      </w:r>
    </w:p>
    <w:p w14:paraId="45C5CA34"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rPr>
        <w:t>10.</w:t>
      </w:r>
      <w:r w:rsidRPr="00F242DD">
        <w:rPr>
          <w:noProof/>
        </w:rPr>
        <w:tab/>
        <w:t xml:space="preserve">Бессмельцев С.С. Множественная миелома (лекция). // Вестник гематологии. </w:t>
      </w:r>
      <w:r w:rsidRPr="00F242DD">
        <w:rPr>
          <w:noProof/>
          <w:lang w:val="en-US"/>
        </w:rPr>
        <w:t>2014. Vol. 10, № 3. P. 6–39.</w:t>
      </w:r>
    </w:p>
    <w:p w14:paraId="4FEB18F0"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11.</w:t>
      </w:r>
      <w:r w:rsidRPr="00F242DD">
        <w:rPr>
          <w:noProof/>
          <w:lang w:val="en-US"/>
        </w:rPr>
        <w:tab/>
        <w:t>Durie B.G.M., Salmon S.E. A clinical staging system for multiple myeloma correlation of measured myeloma cell mass with presenting clinical features, response to treatment, and survival // Cancer. 1975. Vol. 36, № 3. P. 842–854.</w:t>
      </w:r>
    </w:p>
    <w:p w14:paraId="0928862F"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12.</w:t>
      </w:r>
      <w:r w:rsidRPr="00F242DD">
        <w:rPr>
          <w:noProof/>
          <w:lang w:val="en-US"/>
        </w:rPr>
        <w:tab/>
        <w:t>Greipp P.R. et al. International staging system for multiple myeloma // J. Clin. Oncol. 2005. Vol. 23, № 15. P. 3412–3420.</w:t>
      </w:r>
    </w:p>
    <w:p w14:paraId="72B06820"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13.</w:t>
      </w:r>
      <w:r w:rsidRPr="00F242DD">
        <w:rPr>
          <w:noProof/>
          <w:lang w:val="en-US"/>
        </w:rPr>
        <w:tab/>
        <w:t xml:space="preserve">Palumbo A. et al. Revised international staging system for multiple myeloma: A report from international myeloma working group // J. Clin. Oncol. American Society of Clinical </w:t>
      </w:r>
      <w:r w:rsidRPr="00F242DD">
        <w:rPr>
          <w:noProof/>
          <w:lang w:val="en-US"/>
        </w:rPr>
        <w:lastRenderedPageBreak/>
        <w:t>Oncology, 2015. Vol. 33, № 26. P. 2863–2869.</w:t>
      </w:r>
    </w:p>
    <w:p w14:paraId="74979686"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14.</w:t>
      </w:r>
      <w:r w:rsidRPr="00F242DD">
        <w:rPr>
          <w:noProof/>
          <w:lang w:val="en-US"/>
        </w:rPr>
        <w:tab/>
        <w:t>Kyle R.A., Rajkumar S. V. Criteria for diagnosis, staging, risk stratification and response assessment of multiple myeloma. // Leukemia. 2009. Vol. 23, № 1. P. 3–9.</w:t>
      </w:r>
    </w:p>
    <w:p w14:paraId="7676791B"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15.</w:t>
      </w:r>
      <w:r w:rsidRPr="00F242DD">
        <w:rPr>
          <w:noProof/>
          <w:lang w:val="en-US"/>
        </w:rPr>
        <w:tab/>
        <w:t>Moreau P. et al. Multiple myeloma: ESMO Clinical Practice Guidelines for diagnosis, treatment and follow-up. // Ann. Oncol.  Off. J. Eur. Soc. Med. Oncol. 2017. Vol. 28, № suppl_4. P. iv52–iv61.</w:t>
      </w:r>
    </w:p>
    <w:p w14:paraId="3A10E656"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16.</w:t>
      </w:r>
      <w:r w:rsidRPr="00F242DD">
        <w:rPr>
          <w:noProof/>
          <w:lang w:val="en-US"/>
        </w:rPr>
        <w:tab/>
        <w:t>Rajkumar S.V. et al. International Myeloma Working Group updated criteria for the diagnosis of multiple myeloma // The Lancet Oncology. Lancet Publishing Group, 2014. Vol. 15, № 12. P. e538–e548.</w:t>
      </w:r>
    </w:p>
    <w:p w14:paraId="35614FE1"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17.</w:t>
      </w:r>
      <w:r w:rsidRPr="00F242DD">
        <w:rPr>
          <w:noProof/>
          <w:lang w:val="en-US"/>
        </w:rPr>
        <w:tab/>
        <w:t>Coppola A. et al. Bleeding and thrombosis in multiple myeloma and related plasma cell disorders. // Semin. Thromb. Hemost. 2011. Vol. 37, № 8. P. 929–945.</w:t>
      </w:r>
    </w:p>
    <w:p w14:paraId="71422E05"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18.</w:t>
      </w:r>
      <w:r w:rsidRPr="00F242DD">
        <w:rPr>
          <w:noProof/>
          <w:lang w:val="en-US"/>
        </w:rPr>
        <w:tab/>
        <w:t>Tripathy S. The role of serum protein electrophoresis in the detection of multiple myeloma: An experience of a corporate hospital // J. Clin. Diagnostic Res. 2012. Vol. 6, № 9. P. 1458–1461.</w:t>
      </w:r>
    </w:p>
    <w:p w14:paraId="12EC7A5E" w14:textId="77777777" w:rsidR="00315D6A" w:rsidRPr="00F242DD" w:rsidRDefault="00315D6A" w:rsidP="00315D6A">
      <w:pPr>
        <w:widowControl w:val="0"/>
        <w:autoSpaceDE w:val="0"/>
        <w:autoSpaceDN w:val="0"/>
        <w:adjustRightInd w:val="0"/>
        <w:spacing w:before="0" w:after="0"/>
        <w:ind w:left="640" w:hanging="640"/>
        <w:rPr>
          <w:noProof/>
        </w:rPr>
      </w:pPr>
      <w:r w:rsidRPr="00F242DD">
        <w:rPr>
          <w:noProof/>
          <w:lang w:val="en-US"/>
        </w:rPr>
        <w:t>19.</w:t>
      </w:r>
      <w:r w:rsidRPr="00F242DD">
        <w:rPr>
          <w:noProof/>
          <w:lang w:val="en-US"/>
        </w:rPr>
        <w:tab/>
        <w:t xml:space="preserve">Misra A. et al. Old but Still Relevant: High Resolution Electrophoresis and Immunofixation in Multiple Myeloma // Indian Journal of Hematology and Blood Transfusion. </w:t>
      </w:r>
      <w:r w:rsidRPr="00F242DD">
        <w:rPr>
          <w:noProof/>
        </w:rPr>
        <w:t>Springer India, 2016. Vol. 32, № 1. P. 10–17.</w:t>
      </w:r>
    </w:p>
    <w:p w14:paraId="151F2811"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rPr>
        <w:t>20.</w:t>
      </w:r>
      <w:r w:rsidRPr="00F242DD">
        <w:rPr>
          <w:noProof/>
        </w:rPr>
        <w:tab/>
        <w:t xml:space="preserve">Любимова Н.В. et al. Свободные легкие цепи иммуноглобулинов в диагностике и прогнозе множественной миеломы. // Альманах клинической медицины. </w:t>
      </w:r>
      <w:r w:rsidRPr="00F242DD">
        <w:rPr>
          <w:noProof/>
          <w:lang w:val="en-US"/>
        </w:rPr>
        <w:t>2017. Vol. 45, № 2. P. 102–108.</w:t>
      </w:r>
    </w:p>
    <w:p w14:paraId="6750C554"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21.</w:t>
      </w:r>
      <w:r w:rsidRPr="00F242DD">
        <w:rPr>
          <w:noProof/>
          <w:lang w:val="en-US"/>
        </w:rPr>
        <w:tab/>
        <w:t>Pratt G., Goodyear O., Moss P. Immunodeficiency and immunotherapy in multiple myeloma. // Br. J. Haematol. 2007. Vol. 138, № 5. P. 563–579.</w:t>
      </w:r>
    </w:p>
    <w:p w14:paraId="20AF075A"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22.</w:t>
      </w:r>
      <w:r w:rsidRPr="00F242DD">
        <w:rPr>
          <w:noProof/>
          <w:lang w:val="en-US"/>
        </w:rPr>
        <w:tab/>
        <w:t>Julie D. et al. Comparison of Bone marrow Aspirate and Bone marrow Biopsy in the workup of Patients with Multiple Myeloma // Clin. Lymphoma Myeloma Leuk. Elsevier BV, 2015. Vol. 15. P. e117.</w:t>
      </w:r>
    </w:p>
    <w:p w14:paraId="75B9C762"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23.</w:t>
      </w:r>
      <w:r w:rsidRPr="00F242DD">
        <w:rPr>
          <w:noProof/>
          <w:lang w:val="en-US"/>
        </w:rPr>
        <w:tab/>
        <w:t>Pianko M.J. et al. Whole-body low-dose computed tomography and advanced imaging techniques for multiple myeloma bone disease // Clinical Cancer Research. American Association for Cancer Research Inc., 2014. Vol. 20, № 23. P. 5888–5897.</w:t>
      </w:r>
    </w:p>
    <w:p w14:paraId="7322E393"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24.</w:t>
      </w:r>
      <w:r w:rsidRPr="00F242DD">
        <w:rPr>
          <w:noProof/>
          <w:lang w:val="en-US"/>
        </w:rPr>
        <w:tab/>
        <w:t>Cavo M. et al. Role of 18F-FDG PET/CT in the diagnosis and management of multiple myeloma and other plasma cell disorders: a consensus statement by the International Myeloma Working Group // The Lancet Oncology. Lancet Publishing Group, 2017. Vol. 18, № 4. P. e206–e217.</w:t>
      </w:r>
    </w:p>
    <w:p w14:paraId="1C816AAD"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25.</w:t>
      </w:r>
      <w:r w:rsidRPr="00F242DD">
        <w:rPr>
          <w:noProof/>
          <w:lang w:val="en-US"/>
        </w:rPr>
        <w:tab/>
        <w:t>Mateos M.-V., San Miguel J. V. Smoldering multiple myeloma // Hematol. Oncol. 2015. Vol. 33. P. 33–37.</w:t>
      </w:r>
    </w:p>
    <w:p w14:paraId="2BE63475"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lastRenderedPageBreak/>
        <w:t>26.</w:t>
      </w:r>
      <w:r w:rsidRPr="00F242DD">
        <w:rPr>
          <w:noProof/>
          <w:lang w:val="en-US"/>
        </w:rPr>
        <w:tab/>
        <w:t>Zou Y. et al. Bortezomib and lenalidomide as front-line therapy for multiple myeloma. // Leuk. Lymphoma. 2014. Vol. 55, № 9. P. 2024–2031.</w:t>
      </w:r>
    </w:p>
    <w:p w14:paraId="39773C87"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27.</w:t>
      </w:r>
      <w:r w:rsidRPr="00F242DD">
        <w:rPr>
          <w:noProof/>
          <w:lang w:val="en-US"/>
        </w:rPr>
        <w:tab/>
        <w:t>Mateos M.V. et al. Bortezomib plus melphalan and prednisone compared with melphalan and prednisone in previously untreated multiple myeloma: Updated follow-up and impact of subsequent therapy in the phase III VISTA trial // J. Clin. Oncol. 2010. Vol. 28, № 13. P. 2259–2266.</w:t>
      </w:r>
    </w:p>
    <w:p w14:paraId="2E59E095"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28.</w:t>
      </w:r>
      <w:r w:rsidRPr="00F242DD">
        <w:rPr>
          <w:noProof/>
          <w:lang w:val="en-US"/>
        </w:rPr>
        <w:tab/>
        <w:t>Bringhen S. et al. Efficacy and safety of once-weekly bortezomib in multiple myeloma patients. // Blood. 2010. Vol. 116, № 23. P. 4745–4753.</w:t>
      </w:r>
    </w:p>
    <w:p w14:paraId="4909904A"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29.</w:t>
      </w:r>
      <w:r w:rsidRPr="00F242DD">
        <w:rPr>
          <w:noProof/>
          <w:lang w:val="en-US"/>
        </w:rPr>
        <w:tab/>
        <w:t>Takezako N. et al. The Efficacy and Safety of Weekly Bortezomib Containing VMP Followed By Bortezomib Maintenance Therapy in Unfit or Frail Multiple Myeloma Patients // Blood. 2016. Vol. 128, № 22.</w:t>
      </w:r>
    </w:p>
    <w:p w14:paraId="0EF150C3"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30.</w:t>
      </w:r>
      <w:r w:rsidRPr="00F242DD">
        <w:rPr>
          <w:noProof/>
          <w:lang w:val="en-US"/>
        </w:rPr>
        <w:tab/>
        <w:t>Jagannath S. et al. Extended follow-up of a phase 2 trial of bortezomib alone and in combination with dexamethasone for the frontline treatment of multiple myeloma. // Br. J. Haematol. 2009. Vol. 146, № 6. P. 619–626.</w:t>
      </w:r>
    </w:p>
    <w:p w14:paraId="5AB3EF34"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31.</w:t>
      </w:r>
      <w:r w:rsidRPr="00F242DD">
        <w:rPr>
          <w:noProof/>
          <w:lang w:val="en-US"/>
        </w:rPr>
        <w:tab/>
        <w:t>Weisel K. et al. A systematic literature review and network meta-analysis of treatments for patients with untreated multiple myeloma not eligible for stem cell transplantation. // Leuk. Lymphoma. 2017. Vol. 58, № 1. P. 153–161.</w:t>
      </w:r>
    </w:p>
    <w:p w14:paraId="43EC77BB"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32.</w:t>
      </w:r>
      <w:r w:rsidRPr="00F242DD">
        <w:rPr>
          <w:noProof/>
          <w:lang w:val="en-US"/>
        </w:rPr>
        <w:tab/>
        <w:t>Benboubker L. et al. Lenalidomide and dexamethasone in transplant-ineligible patients with myeloma // N. Engl. J. Med. Massachussetts Medical Society, 2014. Vol. 371, № 10. P. 906–917.</w:t>
      </w:r>
    </w:p>
    <w:p w14:paraId="61BA129B"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33.</w:t>
      </w:r>
      <w:r w:rsidRPr="00F242DD">
        <w:rPr>
          <w:noProof/>
          <w:lang w:val="en-US"/>
        </w:rPr>
        <w:tab/>
        <w:t>Facon T. et al. Updated Overall Survival (OS) Analysis of the FIRST Study: Lenalidomide Plus Low-Dose Dexamethasone (Rd) Continuous vs Melphalan, Prednisone, and Thalidomide (MPT) in Patients (Pts) With Newly Diagnosed Multiple Myeloma (NDMM) // Clin. Lymphoma Myeloma Leuk. Elsevier BV, 2015. Vol. 15. P. e134.</w:t>
      </w:r>
    </w:p>
    <w:p w14:paraId="3A689DB3"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34.</w:t>
      </w:r>
      <w:r w:rsidRPr="00F242DD">
        <w:rPr>
          <w:noProof/>
          <w:lang w:val="en-US"/>
        </w:rPr>
        <w:tab/>
        <w:t>Palumbo A. et al. Continuous lenalidomide treatment for newly diagnosed multiple myeloma. // N. Engl. J. Med. 2012. Vol. 366, № 19. P. 1759–1769.</w:t>
      </w:r>
    </w:p>
    <w:p w14:paraId="5A76AA40"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35.</w:t>
      </w:r>
      <w:r w:rsidRPr="00F242DD">
        <w:rPr>
          <w:noProof/>
          <w:lang w:val="en-US"/>
        </w:rPr>
        <w:tab/>
        <w:t>Mateos M. V. et al. Daratumumab plus bortezomib, melphalan, and prednisone for untreated myeloma // N. Engl. J. Med. Massachussetts Medical Society, 2018. Vol. 378, № 6. P. 518–528.</w:t>
      </w:r>
    </w:p>
    <w:p w14:paraId="156E4B5E"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36.</w:t>
      </w:r>
      <w:r w:rsidRPr="00F242DD">
        <w:rPr>
          <w:noProof/>
          <w:lang w:val="en-US"/>
        </w:rPr>
        <w:tab/>
        <w:t>Su B. et al. A meta-analysis of autologous transplantation for newly diagnosed multiple myeloma in the era of novel agents // Leuk. Lymphoma. Taylor and Francis Ltd, 2018.</w:t>
      </w:r>
    </w:p>
    <w:p w14:paraId="434E2120"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37.</w:t>
      </w:r>
      <w:r w:rsidRPr="00F242DD">
        <w:rPr>
          <w:noProof/>
          <w:lang w:val="en-US"/>
        </w:rPr>
        <w:tab/>
        <w:t xml:space="preserve">Dhakal B. et al. Autologous transplantation for newly diagnosed multiple myeloma in the era of novel agent induction a systematic review and meta-analysis // JAMA Oncol. </w:t>
      </w:r>
      <w:r w:rsidRPr="00F242DD">
        <w:rPr>
          <w:noProof/>
          <w:lang w:val="en-US"/>
        </w:rPr>
        <w:lastRenderedPageBreak/>
        <w:t>American Medical Association, 2018. Vol. 4, № 3. P. 343–350.</w:t>
      </w:r>
    </w:p>
    <w:p w14:paraId="2759A982"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38.</w:t>
      </w:r>
      <w:r w:rsidRPr="00F242DD">
        <w:rPr>
          <w:noProof/>
          <w:lang w:val="en-US"/>
        </w:rPr>
        <w:tab/>
        <w:t>Nooka A.K. et al. Bortezomib-containing induction regimens in transplant-eligible myeloma patients // Cancer. 2013. Vol. 119, № 23. P. 4119–4128.</w:t>
      </w:r>
    </w:p>
    <w:p w14:paraId="35C8B4BF"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39.</w:t>
      </w:r>
      <w:r w:rsidRPr="00F242DD">
        <w:rPr>
          <w:noProof/>
          <w:lang w:val="en-US"/>
        </w:rPr>
        <w:tab/>
        <w:t>Leiba M. et al. Bortezomib-Cyclophosphamide-Dexamethasone (VCD) versus Bortezomib-Thalidomide-Dexamethasone (VTD) -based regimens as induction therapies in newly diagnosed transplant eligible patients with multiple myeloma: A meta-analysis // Br. J. Haematol. Blackwell Publishing Ltd, 2014. Vol. 166, № 5. P. 702–710.</w:t>
      </w:r>
    </w:p>
    <w:p w14:paraId="6FCAD907"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40.</w:t>
      </w:r>
      <w:r w:rsidRPr="00F242DD">
        <w:rPr>
          <w:noProof/>
          <w:lang w:val="en-US"/>
        </w:rPr>
        <w:tab/>
        <w:t>Tuchman S.A., Chao N.J., Gasparetto C.G. Lenalidomide before and after autologous hematopoietic stem cell transplantation in multiple myeloma // Advances in Hematology. 2012. Vol. 2012.</w:t>
      </w:r>
    </w:p>
    <w:p w14:paraId="53F4D2FC"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41.</w:t>
      </w:r>
      <w:r w:rsidRPr="00F242DD">
        <w:rPr>
          <w:noProof/>
          <w:lang w:val="en-US"/>
        </w:rPr>
        <w:tab/>
        <w:t>Knop S. et al. Lenalidomide, adriamycin, and dexamethasone (RAD) in patients with relapsed and refractory multiple myeloma: A report from the German Myeloma Study Group DSMM (Deutsche Studiengruppe Multiples Myelom) // Blood. 2009. Vol. 113, № 18. P. 4137–4143.</w:t>
      </w:r>
    </w:p>
    <w:p w14:paraId="724EE7AF"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42.</w:t>
      </w:r>
      <w:r w:rsidRPr="00F242DD">
        <w:rPr>
          <w:noProof/>
          <w:lang w:val="en-US"/>
        </w:rPr>
        <w:tab/>
        <w:t>Reece D.E. et al. Phase I-II trial of oral cyclophosphamide, prednisone and lenalidomide for the treatment of patients with relapsed and refractory multiple myeloma // Br. J. Haematol. Blackwell Publishing Ltd, 2015. Vol. 168, № 1. P. 46–54.</w:t>
      </w:r>
    </w:p>
    <w:p w14:paraId="581B121E"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43.</w:t>
      </w:r>
      <w:r w:rsidRPr="00F242DD">
        <w:rPr>
          <w:noProof/>
          <w:lang w:val="en-US"/>
        </w:rPr>
        <w:tab/>
        <w:t>Fung H.C., Nathan S., Maciejewski J.J. Induction chemotherapy before autologous stem cell transplantation for symptomatic plasma cell myeloma - does it matter? // Clin. Pharmacol. 2010. Vol. 2. P. 71–75.</w:t>
      </w:r>
    </w:p>
    <w:p w14:paraId="2192F852"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44.</w:t>
      </w:r>
      <w:r w:rsidRPr="00F242DD">
        <w:rPr>
          <w:noProof/>
          <w:lang w:val="en-US"/>
        </w:rPr>
        <w:tab/>
        <w:t>Tuchman S.A. et al. Cyclophosphamide-based hematopoietic stem cell mobilization before autologous stem cell transplantation in newly diagnosed multiple myeloma // J. Clin. Apher. Wiley-Liss Inc., 2015. Vol. 30, № 3. P. 176–182.</w:t>
      </w:r>
    </w:p>
    <w:p w14:paraId="1E4D1917"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45.</w:t>
      </w:r>
      <w:r w:rsidRPr="00F242DD">
        <w:rPr>
          <w:noProof/>
          <w:lang w:val="en-US"/>
        </w:rPr>
        <w:tab/>
        <w:t>Hosing C. Hematopoietic stem cell mobilization with G-CSF // Methods Mol. Biol. Humana Press Inc., 2012. Vol. 904. P. 37–47.</w:t>
      </w:r>
    </w:p>
    <w:p w14:paraId="0EC83CC8"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46.</w:t>
      </w:r>
      <w:r w:rsidRPr="00F242DD">
        <w:rPr>
          <w:noProof/>
          <w:lang w:val="en-US"/>
        </w:rPr>
        <w:tab/>
        <w:t>Sivaraj D. et al. High-dose BCNU/Melphalan conditioning regimen before autologous stem cell transplantation in newly diagnosed multiple myeloma // Bone Marrow Transplant. Nature Publishing Group, 2018. Vol. 53, № 1. P. 34–38.</w:t>
      </w:r>
    </w:p>
    <w:p w14:paraId="32D08BB0"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47.</w:t>
      </w:r>
      <w:r w:rsidRPr="00F242DD">
        <w:rPr>
          <w:noProof/>
          <w:lang w:val="en-US"/>
        </w:rPr>
        <w:tab/>
        <w:t>Oliva S. et al. Minimal residual disease after transplantation or lenalidomidebased consolidation in myeloma patients: A prospective analysis // Oncotarget. Impact Journals LLC, 2017. Vol. 8, № 4. P. 5924–5935.</w:t>
      </w:r>
    </w:p>
    <w:p w14:paraId="058BC046"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48.</w:t>
      </w:r>
      <w:r w:rsidRPr="00F242DD">
        <w:rPr>
          <w:noProof/>
          <w:lang w:val="en-US"/>
        </w:rPr>
        <w:tab/>
        <w:t xml:space="preserve">Sonneveld P. et al. Consolidation followed by maintenance vs. maintenance alone in newly diagnosed, transplant eligible multiple myeloma: a randomized phase 3 study of the European Myeloma Network (EMN02/HO95 MM TRIAL) // EHA 23 Proceedings. 2018. </w:t>
      </w:r>
      <w:r w:rsidRPr="00F242DD">
        <w:rPr>
          <w:noProof/>
          <w:lang w:val="en-US"/>
        </w:rPr>
        <w:lastRenderedPageBreak/>
        <w:t>P. Abstract S108.</w:t>
      </w:r>
    </w:p>
    <w:p w14:paraId="5D5BEF08"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49.</w:t>
      </w:r>
      <w:r w:rsidRPr="00F242DD">
        <w:rPr>
          <w:noProof/>
          <w:lang w:val="en-US"/>
        </w:rPr>
        <w:tab/>
        <w:t>Roussel M. et al. Front-line transplantation program with lenalidomide, bortezomib, and dexamethasone combination as induction and consolidation followed by lenalidomide maintenance in patients with multiple myeloma: A phase II study by the Intergroupe Francophone du Myélome // J. Clin. Oncol. American Society of Clinical Oncology, 2014. Vol. 32, № 25. P. 2712–2717.</w:t>
      </w:r>
    </w:p>
    <w:p w14:paraId="2AEDE930"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50.</w:t>
      </w:r>
      <w:r w:rsidRPr="00F242DD">
        <w:rPr>
          <w:noProof/>
          <w:lang w:val="en-US"/>
        </w:rPr>
        <w:tab/>
        <w:t>Naumann-Winter F. et al. First-line tandem high-dose chemotherapy and autologous stem cell transplantation versus single high-dose chemotherapy and autologous stem cell transplantation in multiple myeloma, a systematic review of controlled studies. // Cochrane database Syst. Rev. 2012. Vol. 10. P. CD004626.</w:t>
      </w:r>
    </w:p>
    <w:p w14:paraId="0417A3C4"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51.</w:t>
      </w:r>
      <w:r w:rsidRPr="00F242DD">
        <w:rPr>
          <w:noProof/>
          <w:lang w:val="en-US"/>
        </w:rPr>
        <w:tab/>
        <w:t>Nathwani N., Larsen J.T., Kapoor P. Consolidation and Maintenance Therapies for Newly Diagnosed Multiple Myeloma in the Era of Novel Agents // Current Hematologic Malignancy Reports. Current Science Inc., 2016. Vol. 11, № 2. P. 127–136.</w:t>
      </w:r>
    </w:p>
    <w:p w14:paraId="19F25B11"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52.</w:t>
      </w:r>
      <w:r w:rsidRPr="00F242DD">
        <w:rPr>
          <w:noProof/>
          <w:lang w:val="en-US"/>
        </w:rPr>
        <w:tab/>
        <w:t>Sonneveld P. et al. Bortezomib induction and maintenance treatment in patients with newly diagnosed multiple myeloma: Results of the randomized phase III HOVON-65/ GMMG-HD4 trial // J. Clin. Oncol. 2012. Vol. 30, № 24. P. 2946–2955.</w:t>
      </w:r>
    </w:p>
    <w:p w14:paraId="019C4BE2"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53.</w:t>
      </w:r>
      <w:r w:rsidRPr="00F242DD">
        <w:rPr>
          <w:noProof/>
          <w:lang w:val="en-US"/>
        </w:rPr>
        <w:tab/>
        <w:t>McCarthy P.L. et al. Lenalidomide after stem-cell transplantation for multiple myeloma. // N. Engl. J. Med. 2012. Vol. 366, № 19. P. 1770–1781.</w:t>
      </w:r>
    </w:p>
    <w:p w14:paraId="6417D31F"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54.</w:t>
      </w:r>
      <w:r w:rsidRPr="00F242DD">
        <w:rPr>
          <w:noProof/>
          <w:lang w:val="en-US"/>
        </w:rPr>
        <w:tab/>
        <w:t>Attal M. et al. Lenalidomide maintenance after stem-cell transplantation for multiple myeloma. // N. Engl. J. Med. 2012. Vol. 366, № 19. P. 1782–1791.</w:t>
      </w:r>
    </w:p>
    <w:p w14:paraId="010B4B0C"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55.</w:t>
      </w:r>
      <w:r w:rsidRPr="00F242DD">
        <w:rPr>
          <w:noProof/>
          <w:lang w:val="en-US"/>
        </w:rPr>
        <w:tab/>
        <w:t>Palumbo A. et al. Autologous transplantation and maintenance therapy in multiple myeloma. // N. Engl. J. Med. 2014. Vol. 371, № 10. P. 895–905.</w:t>
      </w:r>
    </w:p>
    <w:p w14:paraId="294AB0D3"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56.</w:t>
      </w:r>
      <w:r w:rsidRPr="00F242DD">
        <w:rPr>
          <w:noProof/>
          <w:lang w:val="en-US"/>
        </w:rPr>
        <w:tab/>
        <w:t>Beurden-Tan C.H.Y.V. et al. Systematic literature review and network meta-analysis of treatment outcomes in relapsed and/or refractory multiple myeloma // Journal of Clinical Oncology. American Society of Clinical Oncology, 2017. Vol. 35, № 12. P. 1312–1319.</w:t>
      </w:r>
    </w:p>
    <w:p w14:paraId="316E619A"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57.</w:t>
      </w:r>
      <w:r w:rsidRPr="00F242DD">
        <w:rPr>
          <w:noProof/>
          <w:lang w:val="en-US"/>
        </w:rPr>
        <w:tab/>
        <w:t>Knopf K.B. et al. Meta-analysis of the efficacy and safety of bortezomib re-treatment in patients with multiple myeloma. // Clin. Lymphoma. Myeloma Leuk. 2014. Vol. 14, № 5. P. 380–388.</w:t>
      </w:r>
    </w:p>
    <w:p w14:paraId="72A312D8"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58.</w:t>
      </w:r>
      <w:r w:rsidRPr="00F242DD">
        <w:rPr>
          <w:noProof/>
          <w:lang w:val="en-US"/>
        </w:rPr>
        <w:tab/>
        <w:t>Scott K. et al. Bortezomib for the treatment of multiple myeloma. // Cochrane database Syst. Rev. 2016. Vol. 4. P. CD010816.</w:t>
      </w:r>
    </w:p>
    <w:p w14:paraId="7516CC02"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59.</w:t>
      </w:r>
      <w:r w:rsidRPr="00F242DD">
        <w:rPr>
          <w:noProof/>
          <w:lang w:val="en-US"/>
        </w:rPr>
        <w:tab/>
        <w:t>Dimopoulos M.A. et al. A Comparison of the Efficacy of Immunomodulatory-containing Regimens in Relapsed/Refractory Multiple Myeloma: A Network Meta-analysis // Clin. Lymphoma, Myeloma Leuk. Elsevier Inc., 2018. Vol. 18, № 3. P. 163-173.e6.</w:t>
      </w:r>
    </w:p>
    <w:p w14:paraId="069D61BD"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60.</w:t>
      </w:r>
      <w:r w:rsidRPr="00F242DD">
        <w:rPr>
          <w:noProof/>
          <w:lang w:val="en-US"/>
        </w:rPr>
        <w:tab/>
        <w:t xml:space="preserve">Anderson K.C. et al. Lenalidomide, bortezomib, and dexamethasone in relapsed/refractory </w:t>
      </w:r>
      <w:r w:rsidRPr="00F242DD">
        <w:rPr>
          <w:noProof/>
          <w:lang w:val="en-US"/>
        </w:rPr>
        <w:lastRenderedPageBreak/>
        <w:t>multiple myeloma (MM): Encouraging outcomes and tolerability in a phase II study // J. Clin. Oncol. 2009. Vol. 27, № 15 (Suppl.). P. Abstract 8536.</w:t>
      </w:r>
    </w:p>
    <w:p w14:paraId="5EBB509F"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61.</w:t>
      </w:r>
      <w:r w:rsidRPr="00F242DD">
        <w:rPr>
          <w:noProof/>
          <w:lang w:val="en-US"/>
        </w:rPr>
        <w:tab/>
        <w:t>Shah C. et al. Efficacy and safety of carfilzomib in relapsed and/or refractory multiple myeloma: Systematic review and meta-analysis of 14 trials // Oncotarget. Impact Journals LLC, 2018. Vol. 9, № 34. P. 23704–23717.</w:t>
      </w:r>
    </w:p>
    <w:p w14:paraId="5310D01B"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62.</w:t>
      </w:r>
      <w:r w:rsidRPr="00F242DD">
        <w:rPr>
          <w:noProof/>
          <w:lang w:val="en-US"/>
        </w:rPr>
        <w:tab/>
        <w:t>Moreau P. et al. Oral Ixazomib, Lenalidomide, and Dexamethasone for Multiple Myeloma // N. Engl. J. Med. 2016. Vol. 374, № 17. P. 1621–1634.</w:t>
      </w:r>
    </w:p>
    <w:p w14:paraId="470C8EAC"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63.</w:t>
      </w:r>
      <w:r w:rsidRPr="00F242DD">
        <w:rPr>
          <w:noProof/>
          <w:lang w:val="en-US"/>
        </w:rPr>
        <w:tab/>
        <w:t>Miguel J.S. et al. Pomalidomide plus low-dose dexamethasone versus high-dose dexamethasone alone for patients with relapsed and refractory multiple myeloma (MM-003): A randomised, open-label, phase 3 trial // Lancet Oncol. 2013. Vol. 14, № 11. P. 1055–1066.</w:t>
      </w:r>
    </w:p>
    <w:p w14:paraId="47CA47C8"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64.</w:t>
      </w:r>
      <w:r w:rsidRPr="00F242DD">
        <w:rPr>
          <w:noProof/>
          <w:lang w:val="en-US"/>
        </w:rPr>
        <w:tab/>
        <w:t>Lokhorst H.M. et al. Targeting CD38 with Daratumumab Monotherapy in Multiple Myeloma. // N. Engl. J. Med. 2015. Vol. 373, № 13. P. 1207–1219.</w:t>
      </w:r>
    </w:p>
    <w:p w14:paraId="3630A1B1"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65.</w:t>
      </w:r>
      <w:r w:rsidRPr="00F242DD">
        <w:rPr>
          <w:noProof/>
          <w:lang w:val="en-US"/>
        </w:rPr>
        <w:tab/>
        <w:t>Lonial S. et al. Daratumumab monotherapy in patients with treatment-refractory multiple myeloma (SIRIUS): An open-label, randomised, phase 2 trial // Lancet. Lancet Publishing Group, 2016. Vol. 387, № 10027. P. 1551–1560.</w:t>
      </w:r>
    </w:p>
    <w:p w14:paraId="02B7DB92"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66.</w:t>
      </w:r>
      <w:r w:rsidRPr="00F242DD">
        <w:rPr>
          <w:noProof/>
          <w:lang w:val="en-US"/>
        </w:rPr>
        <w:tab/>
        <w:t>Tsang R.W. et al. Radiation Therapy for Solitary Plasmacytoma and Multiple Myeloma: Guidelines From the International Lymphoma Radiation Oncology Group. // Int. J. Radiat. Oncol. Biol. Phys. 2018. Vol. 101, № 4. P. 794–808.</w:t>
      </w:r>
    </w:p>
    <w:p w14:paraId="626F2277" w14:textId="77777777" w:rsidR="00315D6A" w:rsidRPr="00F242DD" w:rsidRDefault="00315D6A" w:rsidP="00315D6A">
      <w:pPr>
        <w:widowControl w:val="0"/>
        <w:autoSpaceDE w:val="0"/>
        <w:autoSpaceDN w:val="0"/>
        <w:adjustRightInd w:val="0"/>
        <w:spacing w:before="0" w:after="0"/>
        <w:ind w:left="640" w:hanging="640"/>
        <w:rPr>
          <w:noProof/>
        </w:rPr>
      </w:pPr>
      <w:r w:rsidRPr="00F242DD">
        <w:rPr>
          <w:noProof/>
          <w:lang w:val="en-US"/>
        </w:rPr>
        <w:t>67.</w:t>
      </w:r>
      <w:r w:rsidRPr="00F242DD">
        <w:rPr>
          <w:noProof/>
          <w:lang w:val="en-US"/>
        </w:rPr>
        <w:tab/>
        <w:t xml:space="preserve">Mark D. et al. Local Radiation Therapy for Palliation in Patients With Multiple Myeloma of the Spine. // Front. </w:t>
      </w:r>
      <w:r w:rsidRPr="00F242DD">
        <w:rPr>
          <w:noProof/>
        </w:rPr>
        <w:t>Oncol. 2019. Vol. 9. P. 601.</w:t>
      </w:r>
    </w:p>
    <w:p w14:paraId="5C8A1270" w14:textId="77777777" w:rsidR="00315D6A" w:rsidRPr="00F242DD" w:rsidRDefault="00315D6A" w:rsidP="00315D6A">
      <w:pPr>
        <w:widowControl w:val="0"/>
        <w:autoSpaceDE w:val="0"/>
        <w:autoSpaceDN w:val="0"/>
        <w:adjustRightInd w:val="0"/>
        <w:spacing w:before="0" w:after="0"/>
        <w:ind w:left="640" w:hanging="640"/>
        <w:rPr>
          <w:noProof/>
        </w:rPr>
      </w:pPr>
      <w:r w:rsidRPr="00F242DD">
        <w:rPr>
          <w:noProof/>
        </w:rPr>
        <w:t>68.</w:t>
      </w:r>
      <w:r w:rsidRPr="00F242DD">
        <w:rPr>
          <w:noProof/>
        </w:rPr>
        <w:tab/>
        <w:t>Владимирова Л.Ю. et al. Практические рекомендации по профилактике и лечению тошноты и рвоты у онкологических больных // 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 2018. P. 502–511.</w:t>
      </w:r>
    </w:p>
    <w:p w14:paraId="37F2300D" w14:textId="77777777" w:rsidR="00315D6A" w:rsidRPr="00F242DD" w:rsidRDefault="00315D6A" w:rsidP="00315D6A">
      <w:pPr>
        <w:widowControl w:val="0"/>
        <w:autoSpaceDE w:val="0"/>
        <w:autoSpaceDN w:val="0"/>
        <w:adjustRightInd w:val="0"/>
        <w:spacing w:before="0" w:after="0"/>
        <w:ind w:left="640" w:hanging="640"/>
        <w:rPr>
          <w:noProof/>
        </w:rPr>
      </w:pPr>
      <w:r w:rsidRPr="00F242DD">
        <w:rPr>
          <w:noProof/>
        </w:rPr>
        <w:t>69.</w:t>
      </w:r>
      <w:r w:rsidRPr="00F242DD">
        <w:rPr>
          <w:noProof/>
        </w:rPr>
        <w:tab/>
        <w:t xml:space="preserve">Compagno N. et al. </w:t>
      </w:r>
      <w:r w:rsidRPr="00F242DD">
        <w:rPr>
          <w:noProof/>
          <w:lang w:val="en-US"/>
        </w:rPr>
        <w:t xml:space="preserve">Immunoglobulin replacement therapy in secondary hypogammaglobulinemia // Frontiers in Immunology. </w:t>
      </w:r>
      <w:r w:rsidRPr="00F242DD">
        <w:rPr>
          <w:noProof/>
        </w:rPr>
        <w:t>Frontiers Media S.A., 2014. Vol. 5, № DEC.</w:t>
      </w:r>
    </w:p>
    <w:p w14:paraId="612A22A3" w14:textId="77777777" w:rsidR="00315D6A" w:rsidRPr="00F242DD" w:rsidRDefault="00315D6A" w:rsidP="00315D6A">
      <w:pPr>
        <w:widowControl w:val="0"/>
        <w:autoSpaceDE w:val="0"/>
        <w:autoSpaceDN w:val="0"/>
        <w:adjustRightInd w:val="0"/>
        <w:spacing w:before="0" w:after="0"/>
        <w:ind w:left="640" w:hanging="640"/>
        <w:rPr>
          <w:noProof/>
        </w:rPr>
      </w:pPr>
      <w:r w:rsidRPr="00F242DD">
        <w:rPr>
          <w:noProof/>
        </w:rPr>
        <w:t>70.</w:t>
      </w:r>
      <w:r w:rsidRPr="00F242DD">
        <w:rPr>
          <w:noProof/>
        </w:rPr>
        <w:tab/>
        <w:t>Константинова Т.С., Клясова Г.А., Капланов К.Д. Лечение и профилактика инфекционных осложнений у пациентов с лимфопролиферативными заболеваниями.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289–311.</w:t>
      </w:r>
    </w:p>
    <w:p w14:paraId="287F9EBC"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rPr>
        <w:lastRenderedPageBreak/>
        <w:t>71.</w:t>
      </w:r>
      <w:r w:rsidRPr="00F242DD">
        <w:rPr>
          <w:noProof/>
        </w:rPr>
        <w:tab/>
        <w:t xml:space="preserve">Абузарова Г.Р. et al. Обезболивание взрослых и детей при оказании медицинской помощи. Методические рекомендации. ФГБОУ ВО РНИМУ им. Н.И. Пирогова Минздрава России., 2016. </w:t>
      </w:r>
      <w:r w:rsidRPr="00F242DD">
        <w:rPr>
          <w:noProof/>
          <w:lang w:val="en-US"/>
        </w:rPr>
        <w:t>94 p.</w:t>
      </w:r>
    </w:p>
    <w:p w14:paraId="42F94BC4"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72.</w:t>
      </w:r>
      <w:r w:rsidRPr="00F242DD">
        <w:rPr>
          <w:noProof/>
          <w:lang w:val="en-US"/>
        </w:rPr>
        <w:tab/>
        <w:t>Durie B.G.M. et al. International uniform response criteria for multiple myeloma // Leukemia. Nature Publishing Group, 2006. Vol. 20, № 9. P. 1467–1473.</w:t>
      </w:r>
    </w:p>
    <w:p w14:paraId="70DC8441"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73.</w:t>
      </w:r>
      <w:r w:rsidRPr="00F242DD">
        <w:rPr>
          <w:noProof/>
          <w:lang w:val="en-US"/>
        </w:rPr>
        <w:tab/>
        <w:t>Rajkumar S.V. et al. Consensus recommendations for the uniform reporting of clinical trials: Report of the International Myeloma Workshop Consensus Panel 1 // Blood. 2011. Vol. 117, № 18. P. 4691–4695.</w:t>
      </w:r>
    </w:p>
    <w:p w14:paraId="56CA9A96"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74.</w:t>
      </w:r>
      <w:r w:rsidRPr="00F242DD">
        <w:rPr>
          <w:noProof/>
          <w:lang w:val="en-US"/>
        </w:rPr>
        <w:tab/>
        <w:t>Kumar S. et al. International Myeloma Working Group consensus criteria for response and minimal residual disease assessment in multiple myeloma // The Lancet Oncology. Lancet Publishing Group, 2016. Vol. 17, № 8. P. e328–e346.</w:t>
      </w:r>
    </w:p>
    <w:p w14:paraId="359958C4"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75.</w:t>
      </w:r>
      <w:r w:rsidRPr="00F242DD">
        <w:rPr>
          <w:noProof/>
          <w:lang w:val="en-US"/>
        </w:rPr>
        <w:tab/>
        <w:t>Paul K.L. Rehabilitation and exercise considerations in hematologic malignancies. // Am. J. Phys. Med. Rehabil. 2011. Vol. 90, № 5 Suppl 1. P. S88-94.</w:t>
      </w:r>
    </w:p>
    <w:p w14:paraId="56EF1CBC"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76.</w:t>
      </w:r>
      <w:r w:rsidRPr="00F242DD">
        <w:rPr>
          <w:noProof/>
          <w:lang w:val="en-US"/>
        </w:rPr>
        <w:tab/>
        <w:t>Jones J.R. et al. Second malignancies in the context of lenalidomide treatment: an analysis of 2732 myeloma patients enrolled to the Myeloma XI trial // Blood Cancer J. 2016. Vol. 6, № 12. P. e506.</w:t>
      </w:r>
    </w:p>
    <w:p w14:paraId="2E2E47B7"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77.</w:t>
      </w:r>
      <w:r w:rsidRPr="00F242DD">
        <w:rPr>
          <w:noProof/>
          <w:lang w:val="en-US"/>
        </w:rPr>
        <w:tab/>
        <w:t>Rajkumar S.V. et al. Lenalidomide plus high-dose dexamethasone versus lenalidomide plus low-dose dexamethasone as initial therapy for newly diagnosed multiple myeloma: an open-label randomised controlled trial // Lancet Oncol. Lancet Publishing Group, 2010. Vol. 11, № 1. P. 29–37.</w:t>
      </w:r>
    </w:p>
    <w:p w14:paraId="40821524"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78.</w:t>
      </w:r>
      <w:r w:rsidRPr="00F242DD">
        <w:rPr>
          <w:noProof/>
          <w:lang w:val="en-US"/>
        </w:rPr>
        <w:tab/>
        <w:t>Punke A.P., Waddell J.A., Solimando D.A. Lenalidomide, bortezomib, and dexamethasone (RVD) regimen for multiple myeloma // Hosp. Pharm. SAGE Publications Ltd, 2017. Vol. 52, № 1. P. 27–32.</w:t>
      </w:r>
    </w:p>
    <w:p w14:paraId="5971E1DD"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79.</w:t>
      </w:r>
      <w:r w:rsidRPr="00F242DD">
        <w:rPr>
          <w:noProof/>
          <w:lang w:val="en-US"/>
        </w:rPr>
        <w:tab/>
        <w:t>Dimopoulos M.A. et al. Carfilzomib or bortezomib in relapsed or refractory multiple myeloma (ENDEAVOR): an interim overall survival analysis of an open-label, randomised, phase 3 trial // Lancet Oncol. Lancet Publishing Group, 2017. Vol. 18, № 10. P. 1327–1337.</w:t>
      </w:r>
    </w:p>
    <w:p w14:paraId="00F2C8AF"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80.</w:t>
      </w:r>
      <w:r w:rsidRPr="00F242DD">
        <w:rPr>
          <w:noProof/>
          <w:lang w:val="en-US"/>
        </w:rPr>
        <w:tab/>
        <w:t>Dadacaridou M. et al. Dexamethasone, cyclophosphamide, etoposide and cisplatin (DCEP) for relapsed or refractory multiple myeloma patients. // J. BUON. Vol. 12, № 1. P. 41–44.</w:t>
      </w:r>
    </w:p>
    <w:p w14:paraId="7D099C8A" w14:textId="77777777" w:rsidR="00315D6A" w:rsidRPr="00F242DD" w:rsidRDefault="00315D6A" w:rsidP="00315D6A">
      <w:pPr>
        <w:widowControl w:val="0"/>
        <w:autoSpaceDE w:val="0"/>
        <w:autoSpaceDN w:val="0"/>
        <w:adjustRightInd w:val="0"/>
        <w:spacing w:before="0" w:after="0"/>
        <w:ind w:left="640" w:hanging="640"/>
        <w:rPr>
          <w:noProof/>
          <w:lang w:val="en-US"/>
        </w:rPr>
      </w:pPr>
      <w:r w:rsidRPr="00F242DD">
        <w:rPr>
          <w:noProof/>
          <w:lang w:val="en-US"/>
        </w:rPr>
        <w:t>81.</w:t>
      </w:r>
      <w:r w:rsidRPr="00F242DD">
        <w:rPr>
          <w:noProof/>
          <w:lang w:val="en-US"/>
        </w:rPr>
        <w:tab/>
        <w:t>Lakshman A. et al. Efficacy of VDT PACE-like regimens in treatment of relapsed/refractory multiple myeloma // Am. J. Hematol. 2018. Vol. 93, № 2. P. 179–186.</w:t>
      </w:r>
    </w:p>
    <w:p w14:paraId="74C75876" w14:textId="77777777" w:rsidR="00315D6A" w:rsidRPr="00F242DD" w:rsidRDefault="00315D6A" w:rsidP="00315D6A">
      <w:pPr>
        <w:widowControl w:val="0"/>
        <w:autoSpaceDE w:val="0"/>
        <w:autoSpaceDN w:val="0"/>
        <w:adjustRightInd w:val="0"/>
        <w:spacing w:before="0" w:after="0"/>
        <w:ind w:left="640" w:hanging="640"/>
        <w:rPr>
          <w:noProof/>
        </w:rPr>
      </w:pPr>
      <w:r w:rsidRPr="00F242DD">
        <w:rPr>
          <w:noProof/>
          <w:lang w:val="en-US"/>
        </w:rPr>
        <w:t>82.</w:t>
      </w:r>
      <w:r w:rsidRPr="00F242DD">
        <w:rPr>
          <w:noProof/>
          <w:lang w:val="en-US"/>
        </w:rPr>
        <w:tab/>
        <w:t xml:space="preserve">Oken M.M. et al. Toxicity and response criteria of the Eastern Cooperative Oncology Group // Am. J. Clin. </w:t>
      </w:r>
      <w:r w:rsidRPr="00F242DD">
        <w:rPr>
          <w:noProof/>
        </w:rPr>
        <w:t>Oncol. 1982. Vol. 5, № 6. P. 649–655.</w:t>
      </w:r>
    </w:p>
    <w:p w14:paraId="63A240FF" w14:textId="62A46CF2" w:rsidR="004C0C25" w:rsidRPr="00F242DD" w:rsidRDefault="00A96FB6" w:rsidP="004C0C25">
      <w:pPr>
        <w:pStyle w:val="1"/>
        <w:spacing w:before="0" w:after="0"/>
      </w:pPr>
      <w:r w:rsidRPr="00F242DD">
        <w:rPr>
          <w:lang w:val="en-US"/>
        </w:rPr>
        <w:lastRenderedPageBreak/>
        <w:fldChar w:fldCharType="end"/>
      </w:r>
      <w:bookmarkStart w:id="50" w:name="_Toc520213130"/>
      <w:r w:rsidR="004C0C25" w:rsidRPr="004C0C25">
        <w:t xml:space="preserve"> </w:t>
      </w:r>
      <w:bookmarkStart w:id="51" w:name="_Toc53140914"/>
      <w:r w:rsidR="004C0C25" w:rsidRPr="00F242DD">
        <w:t>Приложение А1. Состав рабочей группы</w:t>
      </w:r>
      <w:bookmarkEnd w:id="50"/>
      <w:bookmarkEnd w:id="51"/>
    </w:p>
    <w:p w14:paraId="76A749CC" w14:textId="77777777" w:rsidR="00E92FAD" w:rsidRPr="00F242DD" w:rsidRDefault="00E92FAD" w:rsidP="004C0C25">
      <w:pPr>
        <w:pStyle w:val="a6"/>
        <w:numPr>
          <w:ilvl w:val="0"/>
          <w:numId w:val="54"/>
        </w:numPr>
        <w:spacing w:before="0" w:after="0"/>
      </w:pPr>
      <w:r w:rsidRPr="004C0C25">
        <w:rPr>
          <w:b/>
        </w:rPr>
        <w:t xml:space="preserve">Менделеева Лариса Павловна – </w:t>
      </w:r>
      <w:r w:rsidRPr="00F242DD">
        <w:t>д.м.н., заместитель генерального директора ФГБУ «НМИЦ гематологии» Минздрава России по научной работе и инновациям, член Национального гематологического общества, член Российского профессионального общества онкогематологов.</w:t>
      </w:r>
    </w:p>
    <w:p w14:paraId="0AC714FE" w14:textId="77777777" w:rsidR="00130BC5" w:rsidRPr="00F242DD" w:rsidRDefault="00130BC5" w:rsidP="00727CDE">
      <w:pPr>
        <w:pStyle w:val="a6"/>
        <w:numPr>
          <w:ilvl w:val="0"/>
          <w:numId w:val="54"/>
        </w:numPr>
        <w:spacing w:before="0" w:after="0"/>
      </w:pPr>
      <w:r w:rsidRPr="00F242DD">
        <w:rPr>
          <w:b/>
        </w:rPr>
        <w:t xml:space="preserve">Вотякова Ольга Михайловна – </w:t>
      </w:r>
      <w:r w:rsidRPr="00F242DD">
        <w:t>к</w:t>
      </w:r>
      <w:r w:rsidR="00596E93" w:rsidRPr="00F242DD">
        <w:t>.</w:t>
      </w:r>
      <w:r w:rsidRPr="00F242DD">
        <w:t>м</w:t>
      </w:r>
      <w:r w:rsidR="00596E93" w:rsidRPr="00F242DD">
        <w:t>.</w:t>
      </w:r>
      <w:r w:rsidRPr="00F242DD">
        <w:t>н</w:t>
      </w:r>
      <w:r w:rsidR="00596E93" w:rsidRPr="00F242DD">
        <w:t>.</w:t>
      </w:r>
      <w:r w:rsidRPr="00F242DD">
        <w:t>, с</w:t>
      </w:r>
      <w:r w:rsidR="00596E93" w:rsidRPr="00F242DD">
        <w:t>.</w:t>
      </w:r>
      <w:r w:rsidRPr="00F242DD">
        <w:t>н</w:t>
      </w:r>
      <w:r w:rsidR="00596E93" w:rsidRPr="00F242DD">
        <w:t>.</w:t>
      </w:r>
      <w:r w:rsidRPr="00F242DD">
        <w:t>с</w:t>
      </w:r>
      <w:r w:rsidR="00596E93" w:rsidRPr="00F242DD">
        <w:t>.</w:t>
      </w:r>
      <w:r w:rsidRPr="00F242DD">
        <w:t xml:space="preserve"> </w:t>
      </w:r>
      <w:r w:rsidR="00596E93" w:rsidRPr="00F242DD">
        <w:t>ФГБУ «</w:t>
      </w:r>
      <w:r w:rsidR="00D20B9A" w:rsidRPr="00F242DD">
        <w:t>НМИЦ онкологии им. Н.Н. Блохина</w:t>
      </w:r>
      <w:r w:rsidR="00596E93" w:rsidRPr="00F242DD">
        <w:t>»</w:t>
      </w:r>
      <w:r w:rsidR="00D20B9A" w:rsidRPr="00F242DD">
        <w:t xml:space="preserve"> Минздрава России</w:t>
      </w:r>
      <w:r w:rsidRPr="00F242DD">
        <w:t>, член Российского профессионального общества онкогематологов</w:t>
      </w:r>
      <w:r w:rsidR="00362B53" w:rsidRPr="00F242DD">
        <w:t>.</w:t>
      </w:r>
    </w:p>
    <w:p w14:paraId="127D0DBF" w14:textId="77777777" w:rsidR="005D06F2" w:rsidRPr="00F242DD" w:rsidRDefault="005D06F2" w:rsidP="00727CDE">
      <w:pPr>
        <w:pStyle w:val="a6"/>
        <w:numPr>
          <w:ilvl w:val="0"/>
          <w:numId w:val="54"/>
        </w:numPr>
        <w:spacing w:before="0" w:after="0"/>
        <w:rPr>
          <w:b/>
        </w:rPr>
      </w:pPr>
      <w:r w:rsidRPr="00F242DD">
        <w:rPr>
          <w:b/>
        </w:rPr>
        <w:t xml:space="preserve">Рехтина Ирина Германовна – </w:t>
      </w:r>
      <w:r w:rsidRPr="00F242DD">
        <w:t>д.м.н., в.н.с. ФГБУ «НМИЦ гематологии» Минздрава России, член Национального гематологического общества, член Ассоциации нефрологов.</w:t>
      </w:r>
    </w:p>
    <w:p w14:paraId="57DAC884" w14:textId="7C608969" w:rsidR="004C0C25" w:rsidRPr="008F69F6" w:rsidRDefault="004C0C25" w:rsidP="00727CDE">
      <w:pPr>
        <w:pStyle w:val="a6"/>
        <w:numPr>
          <w:ilvl w:val="0"/>
          <w:numId w:val="54"/>
        </w:numPr>
        <w:spacing w:after="0"/>
        <w:contextualSpacing w:val="0"/>
      </w:pPr>
      <w:r w:rsidRPr="008F69F6">
        <w:rPr>
          <w:b/>
        </w:rPr>
        <w:t>Соловьев Максим Валерьевич</w:t>
      </w:r>
      <w:r w:rsidRPr="008F69F6">
        <w:t xml:space="preserve"> - к.м.н., заведующий отделением интенсивной высокодозной химиотерапии парапротеинемических гемобластозов ФГБУ «НМИЦ гематологии» Минздрава России.</w:t>
      </w:r>
    </w:p>
    <w:p w14:paraId="62851813" w14:textId="77777777" w:rsidR="005D06F2" w:rsidRPr="00F242DD" w:rsidRDefault="005D06F2" w:rsidP="00727CDE">
      <w:pPr>
        <w:pStyle w:val="a6"/>
        <w:numPr>
          <w:ilvl w:val="0"/>
          <w:numId w:val="54"/>
        </w:numPr>
        <w:spacing w:after="0"/>
        <w:contextualSpacing w:val="0"/>
      </w:pPr>
      <w:r w:rsidRPr="00F242DD">
        <w:rPr>
          <w:b/>
        </w:rPr>
        <w:t xml:space="preserve">Османов Евгений Александрович, </w:t>
      </w:r>
      <w:r w:rsidRPr="00F242DD">
        <w:rPr>
          <w:bCs/>
        </w:rPr>
        <w:t xml:space="preserve">д.м.н., профессор, зав. отделом гематологии и трансплантации костного мозга ФГБУ «НМИЦ онкологии им. Н.Н. Блохина» Минздрава России, профессор кафедры онкологии ФГАОУ ВО Первый МГМУ имени И.М. Сеченова Минздрава Росси, </w:t>
      </w:r>
      <w:r w:rsidRPr="00F242DD">
        <w:t>член правления Национального гематологического общества.</w:t>
      </w:r>
    </w:p>
    <w:p w14:paraId="26F979E1" w14:textId="77777777" w:rsidR="005D06F2" w:rsidRPr="00F242DD" w:rsidRDefault="005D06F2" w:rsidP="00727CDE">
      <w:pPr>
        <w:pStyle w:val="a6"/>
        <w:numPr>
          <w:ilvl w:val="0"/>
          <w:numId w:val="54"/>
        </w:numPr>
        <w:spacing w:after="0"/>
        <w:contextualSpacing w:val="0"/>
      </w:pPr>
      <w:r w:rsidRPr="00F242DD">
        <w:rPr>
          <w:b/>
        </w:rPr>
        <w:t>Поддубная Ирина Владимировна –</w:t>
      </w:r>
      <w:r w:rsidRPr="00F242DD">
        <w:t xml:space="preserve"> академик РАН, заслуженный деятель образования РФ, д.м.н., профессор, зав. кафедрой онкологии и паллиативной медицины, проректор по лечебной работе и международному сотрудничеству ГБОУ ДПО РМАНПО Минздрава России, председатель Российского общества онкогематологов.</w:t>
      </w:r>
    </w:p>
    <w:p w14:paraId="4BC57292" w14:textId="77777777" w:rsidR="005D06F2" w:rsidRPr="00F242DD" w:rsidRDefault="005D06F2" w:rsidP="00727CDE">
      <w:pPr>
        <w:pStyle w:val="a6"/>
        <w:numPr>
          <w:ilvl w:val="0"/>
          <w:numId w:val="54"/>
        </w:numPr>
        <w:spacing w:after="0"/>
        <w:contextualSpacing w:val="0"/>
      </w:pPr>
      <w:bookmarkStart w:id="52" w:name="_Hlk19634943"/>
      <w:r w:rsidRPr="00F242DD">
        <w:rPr>
          <w:b/>
          <w:bCs/>
        </w:rPr>
        <w:t>Гривцова Людмила Юрьевна</w:t>
      </w:r>
      <w:r w:rsidRPr="00F242DD">
        <w:t xml:space="preserve"> – к.м.н., к.б.н., зав. отделом лабораторной медицины МРНЦ им. А.Ф. Цыба - филиал ФГБУ «НМИЦ радиологии» Минздрава России, член Ассоциации онкологов России и Российской Ассоциации терапевтических радиационных онкологов.</w:t>
      </w:r>
    </w:p>
    <w:p w14:paraId="70C92FF7" w14:textId="77777777" w:rsidR="005D06F2" w:rsidRPr="00F242DD" w:rsidRDefault="005D06F2" w:rsidP="00727CDE">
      <w:pPr>
        <w:pStyle w:val="a6"/>
        <w:numPr>
          <w:ilvl w:val="0"/>
          <w:numId w:val="54"/>
        </w:numPr>
        <w:spacing w:after="0"/>
        <w:contextualSpacing w:val="0"/>
      </w:pPr>
      <w:r w:rsidRPr="00F242DD">
        <w:rPr>
          <w:b/>
        </w:rPr>
        <w:t>Фалалеева Наталья Александровна –</w:t>
      </w:r>
      <w:r w:rsidRPr="00F242DD">
        <w:t xml:space="preserve"> д.м.н., зав. отделением противоопухолевого лекарственного лечения МРНЦ им. А.Ф. Цыба - филиал ФГБУ «НМИЦ радиологии» Минздрава России, член Ассоциации онкологов России и Российской Ассоциации терапевтических радиационных онкологов</w:t>
      </w:r>
      <w:bookmarkEnd w:id="52"/>
      <w:r w:rsidRPr="00F242DD">
        <w:t>.</w:t>
      </w:r>
    </w:p>
    <w:p w14:paraId="71420A44" w14:textId="77777777" w:rsidR="00476626" w:rsidRPr="00F242DD" w:rsidRDefault="00476626" w:rsidP="00727CDE">
      <w:pPr>
        <w:pStyle w:val="a6"/>
        <w:numPr>
          <w:ilvl w:val="0"/>
          <w:numId w:val="54"/>
        </w:numPr>
        <w:spacing w:before="0" w:after="0"/>
      </w:pPr>
      <w:r w:rsidRPr="00F242DD">
        <w:rPr>
          <w:b/>
          <w:bCs/>
        </w:rPr>
        <w:lastRenderedPageBreak/>
        <w:t>Байков Вадим Валентинович</w:t>
      </w:r>
      <w:r w:rsidRPr="00F242DD">
        <w:t xml:space="preserve"> – д.м.н., профессор кафедры патологической анатомии, заведующий лабораторией патоморфологии НИИ детской онкологии, гематологии и трансплантологии им. Р.М. Горбачевой Первого Санкт-Петербургского государственного медицинского университета им. акад. И.П. Павлова Минздрава России, член президиума Российского общества патологоанатомов, член правления Российского общества онкогематологов.</w:t>
      </w:r>
    </w:p>
    <w:p w14:paraId="0D90D681" w14:textId="77777777" w:rsidR="00476626" w:rsidRPr="00F242DD" w:rsidRDefault="00476626" w:rsidP="00727CDE">
      <w:pPr>
        <w:pStyle w:val="a6"/>
        <w:numPr>
          <w:ilvl w:val="0"/>
          <w:numId w:val="54"/>
        </w:numPr>
        <w:spacing w:before="0" w:after="0"/>
      </w:pPr>
      <w:r w:rsidRPr="00F242DD">
        <w:rPr>
          <w:b/>
          <w:bCs/>
        </w:rPr>
        <w:t xml:space="preserve">Ковригина Алла Михайловна </w:t>
      </w:r>
      <w:r w:rsidRPr="00F242DD">
        <w:t>– д.б.н., профессор кафедры патологической анатомии, цитологии и молекулярной патологии Института повышения квалификации ФМБА РФ, заведующая патологоанатомическим отделением «НМИЦ гематологии» Минздрава России, член президиума Российского общества патологоанатомов, член правления Российского общества онкогематологов.</w:t>
      </w:r>
    </w:p>
    <w:p w14:paraId="0881D9D3" w14:textId="39926C22" w:rsidR="00E92FAD" w:rsidRPr="00F242DD" w:rsidRDefault="00E92FAD" w:rsidP="00727CDE">
      <w:pPr>
        <w:pStyle w:val="Default"/>
        <w:numPr>
          <w:ilvl w:val="0"/>
          <w:numId w:val="54"/>
        </w:numPr>
        <w:spacing w:line="360" w:lineRule="auto"/>
        <w:jc w:val="both"/>
      </w:pPr>
      <w:bookmarkStart w:id="53" w:name="_Hlk19629332"/>
      <w:r w:rsidRPr="00F242DD">
        <w:rPr>
          <w:b/>
          <w:bCs/>
        </w:rPr>
        <w:t>Невольских Алексей Алексеевич</w:t>
      </w:r>
      <w:r w:rsidRPr="00F242DD">
        <w:t xml:space="preserve"> – д.м.н., заместитель директора по лечебной </w:t>
      </w:r>
      <w:r w:rsidR="001631F8" w:rsidRPr="004C0C25">
        <w:t>работе</w:t>
      </w:r>
      <w:r w:rsidRPr="00F242DD">
        <w:t xml:space="preserve"> МРНЦ им. А.Ф. Цыба - филиал ФГБУ «НМИЦ радиологии» Минздрава России.</w:t>
      </w:r>
    </w:p>
    <w:p w14:paraId="788E27A6" w14:textId="77777777" w:rsidR="00E92FAD" w:rsidRPr="00F242DD" w:rsidRDefault="00E92FAD" w:rsidP="00727CDE">
      <w:pPr>
        <w:pStyle w:val="Default"/>
        <w:numPr>
          <w:ilvl w:val="0"/>
          <w:numId w:val="54"/>
        </w:numPr>
        <w:spacing w:line="360" w:lineRule="auto"/>
        <w:jc w:val="both"/>
      </w:pPr>
      <w:r w:rsidRPr="00F242DD">
        <w:rPr>
          <w:b/>
          <w:bCs/>
        </w:rPr>
        <w:t>Иванов Сергей Анатольевич</w:t>
      </w:r>
      <w:r w:rsidRPr="00F242DD">
        <w:t xml:space="preserve"> – профессор РАН, д.м.н., директор МРНЦ им. А.Ф. Цыба - филиал ФГБУ «НМИЦ радиологии» Минздрава России.</w:t>
      </w:r>
    </w:p>
    <w:p w14:paraId="00940DC2" w14:textId="77777777" w:rsidR="00E92FAD" w:rsidRPr="00F242DD" w:rsidRDefault="00E92FAD" w:rsidP="00727CDE">
      <w:pPr>
        <w:pStyle w:val="Default"/>
        <w:numPr>
          <w:ilvl w:val="0"/>
          <w:numId w:val="54"/>
        </w:numPr>
        <w:spacing w:line="360" w:lineRule="auto"/>
        <w:jc w:val="both"/>
      </w:pPr>
      <w:r w:rsidRPr="00F242DD">
        <w:rPr>
          <w:b/>
          <w:bCs/>
        </w:rPr>
        <w:t>Хайлова Жанна Владимировна</w:t>
      </w:r>
      <w:r w:rsidRPr="00F242DD">
        <w:t xml:space="preserve"> – кандидат медицинских наук, заместитель директора по организационно-методической работе МРНЦ им. А.Ф. Цыба - филиал ФГБУ "НМИЦ радиологии" Минздрава России.</w:t>
      </w:r>
    </w:p>
    <w:p w14:paraId="4AE08818" w14:textId="77777777" w:rsidR="00E92FAD" w:rsidRPr="00F242DD" w:rsidRDefault="00E92FAD" w:rsidP="00727CDE">
      <w:pPr>
        <w:pStyle w:val="Default"/>
        <w:numPr>
          <w:ilvl w:val="0"/>
          <w:numId w:val="54"/>
        </w:numPr>
        <w:spacing w:line="360" w:lineRule="auto"/>
        <w:jc w:val="both"/>
      </w:pPr>
      <w:r w:rsidRPr="00F242DD">
        <w:rPr>
          <w:b/>
          <w:bCs/>
          <w:shd w:val="clear" w:color="auto" w:fill="FFFFFF"/>
        </w:rPr>
        <w:t>Геворкян Тигран Гагикович</w:t>
      </w:r>
      <w:r w:rsidRPr="00F242DD">
        <w:rPr>
          <w:shd w:val="clear" w:color="auto" w:fill="FFFFFF"/>
        </w:rPr>
        <w:t xml:space="preserve"> - заместитель директора НИИ КЭР ФГБУ НМИЦ Онкологии им. Н.Н. Блохина</w:t>
      </w:r>
    </w:p>
    <w:bookmarkEnd w:id="53"/>
    <w:p w14:paraId="22D1D88A" w14:textId="2CE0A441" w:rsidR="004D7374" w:rsidRPr="00F242DD" w:rsidRDefault="00F5033E" w:rsidP="00131E36">
      <w:pPr>
        <w:spacing w:before="0" w:after="0"/>
        <w:rPr>
          <w:b/>
        </w:rPr>
      </w:pPr>
      <w:r>
        <w:rPr>
          <w:b/>
        </w:rPr>
        <w:t>Конфликт интересов отсутствует.</w:t>
      </w:r>
    </w:p>
    <w:p w14:paraId="676CE093" w14:textId="77777777" w:rsidR="004D7374" w:rsidRPr="00F242DD" w:rsidRDefault="004D7374" w:rsidP="00E36DFA">
      <w:pPr>
        <w:pStyle w:val="1"/>
      </w:pPr>
      <w:bookmarkStart w:id="54" w:name="_Toc520213131"/>
      <w:bookmarkStart w:id="55" w:name="_Toc53140915"/>
      <w:r w:rsidRPr="00F242DD">
        <w:lastRenderedPageBreak/>
        <w:t>Приложение А2. Методология разработки клинических рекомендаций</w:t>
      </w:r>
      <w:bookmarkEnd w:id="54"/>
      <w:bookmarkEnd w:id="55"/>
    </w:p>
    <w:p w14:paraId="56F05B51" w14:textId="77777777" w:rsidR="004D7374" w:rsidRPr="00F242DD" w:rsidRDefault="004D7374" w:rsidP="00131E36">
      <w:pPr>
        <w:spacing w:before="0" w:after="0"/>
        <w:rPr>
          <w:b/>
        </w:rPr>
      </w:pPr>
      <w:r w:rsidRPr="00F242DD">
        <w:rPr>
          <w:b/>
        </w:rPr>
        <w:t>Целевая аудитория данных клинических рекомендаций:</w:t>
      </w:r>
    </w:p>
    <w:p w14:paraId="5DEC0C30" w14:textId="77777777" w:rsidR="004D7374" w:rsidRPr="00F242DD" w:rsidRDefault="004D7374" w:rsidP="00131E36">
      <w:pPr>
        <w:spacing w:before="0" w:after="0"/>
        <w:ind w:firstLine="709"/>
      </w:pPr>
      <w:r w:rsidRPr="00F242DD">
        <w:t>1.</w:t>
      </w:r>
      <w:r w:rsidRPr="00F242DD">
        <w:tab/>
        <w:t>Врачи-гематологи</w:t>
      </w:r>
      <w:r w:rsidR="00195599" w:rsidRPr="00F242DD">
        <w:t>.</w:t>
      </w:r>
    </w:p>
    <w:p w14:paraId="439C7E81" w14:textId="77777777" w:rsidR="004D7374" w:rsidRPr="00F242DD" w:rsidRDefault="004D7374" w:rsidP="00131E36">
      <w:pPr>
        <w:spacing w:before="0" w:after="0"/>
        <w:ind w:firstLine="709"/>
      </w:pPr>
      <w:r w:rsidRPr="00F242DD">
        <w:t>2.</w:t>
      </w:r>
      <w:r w:rsidRPr="00F242DD">
        <w:tab/>
        <w:t>Врачи-онкологи</w:t>
      </w:r>
      <w:r w:rsidR="00195599" w:rsidRPr="00F242DD">
        <w:t>.</w:t>
      </w:r>
    </w:p>
    <w:p w14:paraId="65ADF85F" w14:textId="77777777" w:rsidR="00230186" w:rsidRPr="00F242DD" w:rsidRDefault="00230186" w:rsidP="00131E36">
      <w:pPr>
        <w:spacing w:before="0" w:after="0"/>
        <w:ind w:firstLine="709"/>
      </w:pPr>
      <w:r w:rsidRPr="00F242DD">
        <w:t xml:space="preserve">3. </w:t>
      </w:r>
      <w:r w:rsidR="0076263A" w:rsidRPr="00F242DD">
        <w:tab/>
        <w:t xml:space="preserve">Студенты </w:t>
      </w:r>
      <w:r w:rsidRPr="00F242DD">
        <w:t>медицинских вузов</w:t>
      </w:r>
      <w:r w:rsidR="0076263A" w:rsidRPr="00F242DD">
        <w:t>.</w:t>
      </w:r>
    </w:p>
    <w:p w14:paraId="5E1E48B9" w14:textId="77777777" w:rsidR="000E19A9" w:rsidRPr="00F242DD" w:rsidRDefault="000E19A9" w:rsidP="00131E36">
      <w:pPr>
        <w:spacing w:before="0" w:after="0"/>
        <w:ind w:firstLine="709"/>
        <w:contextualSpacing/>
        <w:rPr>
          <w:b/>
        </w:rPr>
      </w:pPr>
      <w:r w:rsidRPr="00F242DD">
        <w:rPr>
          <w:b/>
        </w:rPr>
        <w:t>Методология сбора доказательств</w:t>
      </w:r>
    </w:p>
    <w:p w14:paraId="4AD8D6D8" w14:textId="77777777" w:rsidR="000E19A9" w:rsidRPr="00F242DD" w:rsidRDefault="000E19A9" w:rsidP="00131E36">
      <w:pPr>
        <w:spacing w:before="0" w:after="0"/>
        <w:ind w:firstLine="709"/>
        <w:contextualSpacing/>
      </w:pPr>
      <w:r w:rsidRPr="00F242DD">
        <w:t>Методы, использованные для сбора/селекции доказательств:</w:t>
      </w:r>
    </w:p>
    <w:p w14:paraId="7BB6FD0C" w14:textId="77777777" w:rsidR="000E19A9" w:rsidRPr="00F242DD" w:rsidRDefault="000E19A9" w:rsidP="00131E36">
      <w:pPr>
        <w:spacing w:before="0" w:after="0"/>
        <w:ind w:firstLine="709"/>
        <w:contextualSpacing/>
      </w:pPr>
      <w:r w:rsidRPr="00F242DD">
        <w:t>Поиск публикаций в специализированных периодических печатных изданиях с импакт-фактором &gt;0</w:t>
      </w:r>
      <w:r w:rsidR="004542B0" w:rsidRPr="00F242DD">
        <w:t>,</w:t>
      </w:r>
      <w:r w:rsidRPr="00F242DD">
        <w:t>3;</w:t>
      </w:r>
    </w:p>
    <w:p w14:paraId="3616BABC" w14:textId="77777777" w:rsidR="000E19A9" w:rsidRPr="00F242DD" w:rsidRDefault="000E19A9" w:rsidP="00131E36">
      <w:pPr>
        <w:spacing w:before="0" w:after="0"/>
        <w:ind w:firstLine="709"/>
        <w:contextualSpacing/>
        <w:rPr>
          <w:b/>
        </w:rPr>
      </w:pPr>
      <w:r w:rsidRPr="00F242DD">
        <w:rPr>
          <w:b/>
        </w:rPr>
        <w:t>Поиск в элек</w:t>
      </w:r>
      <w:r w:rsidR="00DD4A18" w:rsidRPr="00F242DD">
        <w:rPr>
          <w:b/>
        </w:rPr>
        <w:t>тронных базах данных</w:t>
      </w:r>
    </w:p>
    <w:p w14:paraId="21067E10" w14:textId="77777777" w:rsidR="000E19A9" w:rsidRPr="00F242DD" w:rsidRDefault="000E19A9" w:rsidP="00131E36">
      <w:pPr>
        <w:spacing w:before="0" w:after="0"/>
        <w:ind w:firstLine="709"/>
        <w:contextualSpacing/>
      </w:pPr>
      <w:r w:rsidRPr="00F242DD">
        <w:t>Базы дан</w:t>
      </w:r>
      <w:r w:rsidR="00DD4A18" w:rsidRPr="00F242DD">
        <w:t>ных, использованных для сбора/</w:t>
      </w:r>
      <w:r w:rsidRPr="00F242DD">
        <w:t>селекции доказательств:</w:t>
      </w:r>
    </w:p>
    <w:p w14:paraId="111EF565" w14:textId="77777777" w:rsidR="000E19A9" w:rsidRPr="00F242DD" w:rsidRDefault="000E19A9" w:rsidP="00131E36">
      <w:pPr>
        <w:spacing w:before="0" w:after="0"/>
        <w:ind w:firstLine="709"/>
        <w:contextualSpacing/>
      </w:pPr>
      <w:r w:rsidRPr="00F242DD">
        <w:t>Доказательной базой для рекомендаций являются публикации, вошедшие в Кохр</w:t>
      </w:r>
      <w:r w:rsidR="000103FE" w:rsidRPr="00F242DD">
        <w:t>е</w:t>
      </w:r>
      <w:r w:rsidRPr="00F242DD">
        <w:t>йновскую библиотеку, базы данных PUBMED и MEDLINE. Глубина поиска состав</w:t>
      </w:r>
      <w:r w:rsidR="004542B0" w:rsidRPr="00F242DD">
        <w:t>и</w:t>
      </w:r>
      <w:r w:rsidRPr="00F242DD">
        <w:t>ла 30 лет.</w:t>
      </w:r>
    </w:p>
    <w:p w14:paraId="6BB8E567" w14:textId="77777777" w:rsidR="000E19A9" w:rsidRPr="00F242DD" w:rsidRDefault="000E19A9" w:rsidP="00131E36">
      <w:pPr>
        <w:spacing w:before="0" w:after="0"/>
        <w:ind w:firstLine="709"/>
        <w:contextualSpacing/>
      </w:pPr>
      <w:r w:rsidRPr="00F242DD">
        <w:t>Методы, использованные для анализа доказательств:</w:t>
      </w:r>
    </w:p>
    <w:p w14:paraId="2F4585B9" w14:textId="77777777" w:rsidR="000E19A9" w:rsidRPr="00F242DD" w:rsidRDefault="000E19A9" w:rsidP="00131E36">
      <w:pPr>
        <w:spacing w:before="0" w:after="0"/>
        <w:ind w:firstLine="709"/>
        <w:contextualSpacing/>
      </w:pPr>
      <w:r w:rsidRPr="00F242DD">
        <w:t>•</w:t>
      </w:r>
      <w:r w:rsidRPr="00F242DD">
        <w:tab/>
      </w:r>
      <w:r w:rsidR="00DD4A18" w:rsidRPr="00F242DD">
        <w:t>о</w:t>
      </w:r>
      <w:r w:rsidRPr="00F242DD">
        <w:t>бзоры опубликованных метаанализов</w:t>
      </w:r>
      <w:r w:rsidR="00DD4A18" w:rsidRPr="00F242DD">
        <w:t>;</w:t>
      </w:r>
    </w:p>
    <w:p w14:paraId="1927D3DD" w14:textId="77777777" w:rsidR="000E19A9" w:rsidRPr="00F242DD" w:rsidRDefault="000E19A9" w:rsidP="00131E36">
      <w:pPr>
        <w:spacing w:before="0" w:after="0"/>
        <w:ind w:firstLine="709"/>
        <w:contextualSpacing/>
      </w:pPr>
      <w:r w:rsidRPr="00F242DD">
        <w:t>•</w:t>
      </w:r>
      <w:r w:rsidRPr="00F242DD">
        <w:tab/>
      </w:r>
      <w:r w:rsidR="00DD4A18" w:rsidRPr="00F242DD">
        <w:t>с</w:t>
      </w:r>
      <w:r w:rsidRPr="00F242DD">
        <w:t>истематические обзоры с таблицами доказательств.</w:t>
      </w:r>
    </w:p>
    <w:p w14:paraId="27F78DF8" w14:textId="77777777" w:rsidR="000E19A9" w:rsidRPr="00F242DD" w:rsidRDefault="000E19A9" w:rsidP="00131E36">
      <w:pPr>
        <w:spacing w:before="0" w:after="0"/>
        <w:ind w:firstLine="709"/>
        <w:contextualSpacing/>
      </w:pPr>
      <w:r w:rsidRPr="00F242DD">
        <w:t>Методы, использованные для качества и силы доказательств:</w:t>
      </w:r>
    </w:p>
    <w:p w14:paraId="5F0E1DE9" w14:textId="77777777" w:rsidR="000E19A9" w:rsidRPr="00F242DD" w:rsidRDefault="000E19A9" w:rsidP="00131E36">
      <w:pPr>
        <w:spacing w:before="0" w:after="0"/>
        <w:ind w:firstLine="709"/>
        <w:contextualSpacing/>
      </w:pPr>
      <w:r w:rsidRPr="00F242DD">
        <w:t>•</w:t>
      </w:r>
      <w:r w:rsidRPr="00F242DD">
        <w:tab/>
      </w:r>
      <w:r w:rsidR="00DD4A18" w:rsidRPr="00F242DD">
        <w:t>к</w:t>
      </w:r>
      <w:r w:rsidRPr="00F242DD">
        <w:t>онсенсус экспертов</w:t>
      </w:r>
      <w:r w:rsidR="00DD4A18" w:rsidRPr="00F242DD">
        <w:t>;</w:t>
      </w:r>
    </w:p>
    <w:p w14:paraId="3B9E640A" w14:textId="77777777" w:rsidR="000E19A9" w:rsidRPr="00F242DD" w:rsidRDefault="000E19A9" w:rsidP="00131E36">
      <w:pPr>
        <w:spacing w:before="0" w:after="0"/>
        <w:ind w:firstLine="709"/>
        <w:contextualSpacing/>
      </w:pPr>
      <w:r w:rsidRPr="00F242DD">
        <w:t>•</w:t>
      </w:r>
      <w:r w:rsidRPr="00F242DD">
        <w:tab/>
      </w:r>
      <w:r w:rsidR="00DD4A18" w:rsidRPr="00F242DD">
        <w:t>о</w:t>
      </w:r>
      <w:r w:rsidRPr="00F242DD">
        <w:t>ценка значимости доказательств в соответствии с рейтинговой схемой доказательств (табл.</w:t>
      </w:r>
      <w:r w:rsidR="00DD4A18" w:rsidRPr="00F242DD">
        <w:t xml:space="preserve"> </w:t>
      </w:r>
      <w:r w:rsidRPr="00F242DD">
        <w:t>А</w:t>
      </w:r>
      <w:r w:rsidR="0076263A" w:rsidRPr="00F242DD">
        <w:t>2.</w:t>
      </w:r>
      <w:r w:rsidRPr="00F242DD">
        <w:t>1</w:t>
      </w:r>
      <w:r w:rsidR="00DD4A18" w:rsidRPr="00F242DD">
        <w:t xml:space="preserve">. ‒ </w:t>
      </w:r>
      <w:r w:rsidRPr="00F242DD">
        <w:t>А</w:t>
      </w:r>
      <w:r w:rsidR="0076263A" w:rsidRPr="00F242DD">
        <w:t>2.3</w:t>
      </w:r>
      <w:r w:rsidR="00DD4A18" w:rsidRPr="00F242DD">
        <w:t>.</w:t>
      </w:r>
      <w:r w:rsidRPr="00F242DD">
        <w:t>).</w:t>
      </w:r>
    </w:p>
    <w:p w14:paraId="467098CB" w14:textId="77777777" w:rsidR="000F250A" w:rsidRPr="00F242DD" w:rsidRDefault="000F250A" w:rsidP="00131E36">
      <w:pPr>
        <w:spacing w:before="0" w:after="0"/>
        <w:ind w:firstLine="709"/>
        <w:contextualSpacing/>
      </w:pPr>
      <w:r w:rsidRPr="00F242DD">
        <w:t xml:space="preserve">В настоящих клинических рекомендациях приведены уровни доказательности рекомендаций в соответствии с проектом методических рекомендаций по оценке достоверности доказательств и убедительности рекомендаций ФГБУ «Центр экспертизы и контроля качества медицинской помощи» Минздрава России. </w:t>
      </w:r>
    </w:p>
    <w:p w14:paraId="68A27052" w14:textId="77777777" w:rsidR="000E19A9" w:rsidRPr="00F242DD" w:rsidRDefault="004542B0" w:rsidP="00131E36">
      <w:pPr>
        <w:spacing w:before="0" w:after="0"/>
        <w:ind w:firstLine="709"/>
        <w:contextualSpacing/>
      </w:pPr>
      <w:r w:rsidRPr="00F242DD">
        <w:t>В</w:t>
      </w:r>
      <w:r w:rsidR="000E19A9" w:rsidRPr="00F242DD">
        <w:t xml:space="preserve"> соответствии с данным проектом рекомендаций отдельным общепринятым методикам диагностики на основании консенсуса экспертов придан уровень </w:t>
      </w:r>
      <w:r w:rsidR="000E19A9" w:rsidRPr="00F242DD">
        <w:rPr>
          <w:lang w:val="en-US"/>
        </w:rPr>
        <w:t>GPP</w:t>
      </w:r>
      <w:r w:rsidR="000E19A9" w:rsidRPr="00F242DD">
        <w:t xml:space="preserve"> (сложившаяся клиническая практика).</w:t>
      </w:r>
    </w:p>
    <w:p w14:paraId="565BAF00" w14:textId="37617EEE" w:rsidR="00C0307D" w:rsidRPr="00F242DD" w:rsidRDefault="00C0307D" w:rsidP="00131E36">
      <w:pPr>
        <w:spacing w:before="0" w:after="0"/>
      </w:pPr>
      <w:bookmarkStart w:id="56" w:name="_Ref515967586"/>
      <w:bookmarkStart w:id="57" w:name="_Hlk16603155"/>
      <w:r w:rsidRPr="00F242DD">
        <w:rPr>
          <w:b/>
        </w:rPr>
        <w:t xml:space="preserve">Таблица </w:t>
      </w:r>
      <w:r w:rsidR="0076263A" w:rsidRPr="00F242DD">
        <w:rPr>
          <w:b/>
        </w:rPr>
        <w:t>А2.</w:t>
      </w:r>
      <w:r w:rsidR="00A96FB6" w:rsidRPr="00F242DD">
        <w:rPr>
          <w:b/>
        </w:rPr>
        <w:fldChar w:fldCharType="begin"/>
      </w:r>
      <w:r w:rsidRPr="00F242DD">
        <w:rPr>
          <w:b/>
        </w:rPr>
        <w:instrText xml:space="preserve"> SEQ Таблица \* ARABIC </w:instrText>
      </w:r>
      <w:r w:rsidR="00A96FB6" w:rsidRPr="00F242DD">
        <w:rPr>
          <w:b/>
        </w:rPr>
        <w:fldChar w:fldCharType="separate"/>
      </w:r>
      <w:r w:rsidR="00053A53">
        <w:rPr>
          <w:b/>
          <w:noProof/>
        </w:rPr>
        <w:t>1</w:t>
      </w:r>
      <w:r w:rsidR="00A96FB6" w:rsidRPr="00F242DD">
        <w:rPr>
          <w:b/>
        </w:rPr>
        <w:fldChar w:fldCharType="end"/>
      </w:r>
      <w:bookmarkEnd w:id="56"/>
      <w:r w:rsidRPr="00F242DD">
        <w:rPr>
          <w:b/>
        </w:rPr>
        <w:t>.</w:t>
      </w:r>
      <w:r w:rsidR="0076263A" w:rsidRPr="00F242DD">
        <w:rPr>
          <w:b/>
        </w:rPr>
        <w:t xml:space="preserve"> </w:t>
      </w:r>
      <w:r w:rsidRPr="00F242DD">
        <w:t>Шкала оценки уровней достоверности доказательств (УДД)</w:t>
      </w:r>
      <w:r w:rsidR="00DD4A18" w:rsidRPr="00F242DD">
        <w:t xml:space="preserve"> </w:t>
      </w:r>
      <w:r w:rsidRPr="00F242DD">
        <w:t>для методов диагностики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754"/>
      </w:tblGrid>
      <w:tr w:rsidR="00C0307D" w:rsidRPr="00F242DD" w14:paraId="73441E6E" w14:textId="77777777" w:rsidTr="00E36DFA">
        <w:trPr>
          <w:trHeight w:val="58"/>
        </w:trPr>
        <w:tc>
          <w:tcPr>
            <w:tcW w:w="427" w:type="pct"/>
            <w:shd w:val="clear" w:color="auto" w:fill="auto"/>
          </w:tcPr>
          <w:p w14:paraId="16556BA5" w14:textId="77777777" w:rsidR="00C0307D" w:rsidRPr="00F242DD" w:rsidRDefault="00C0307D" w:rsidP="00E36DFA">
            <w:pPr>
              <w:spacing w:before="0" w:after="0" w:line="240" w:lineRule="auto"/>
              <w:jc w:val="center"/>
              <w:rPr>
                <w:b/>
                <w:color w:val="000000"/>
                <w:szCs w:val="24"/>
              </w:rPr>
            </w:pPr>
            <w:r w:rsidRPr="00F242DD">
              <w:rPr>
                <w:b/>
                <w:color w:val="000000"/>
                <w:szCs w:val="24"/>
              </w:rPr>
              <w:t>УДД</w:t>
            </w:r>
          </w:p>
        </w:tc>
        <w:tc>
          <w:tcPr>
            <w:tcW w:w="4573" w:type="pct"/>
            <w:shd w:val="clear" w:color="auto" w:fill="auto"/>
          </w:tcPr>
          <w:p w14:paraId="660F47D8" w14:textId="77777777" w:rsidR="00C0307D" w:rsidRPr="00F242DD" w:rsidRDefault="00C0307D" w:rsidP="00E36DFA">
            <w:pPr>
              <w:spacing w:before="0" w:after="0" w:line="240" w:lineRule="auto"/>
              <w:jc w:val="center"/>
              <w:rPr>
                <w:b/>
                <w:color w:val="000000"/>
                <w:szCs w:val="24"/>
              </w:rPr>
            </w:pPr>
            <w:r w:rsidRPr="00F242DD">
              <w:rPr>
                <w:b/>
                <w:color w:val="000000"/>
                <w:szCs w:val="24"/>
              </w:rPr>
              <w:t>Расшифровка</w:t>
            </w:r>
          </w:p>
        </w:tc>
      </w:tr>
      <w:tr w:rsidR="00C0307D" w:rsidRPr="00F242DD" w14:paraId="511D6D8B" w14:textId="77777777" w:rsidTr="00E36DFA">
        <w:tc>
          <w:tcPr>
            <w:tcW w:w="427" w:type="pct"/>
            <w:shd w:val="clear" w:color="auto" w:fill="auto"/>
          </w:tcPr>
          <w:p w14:paraId="1750508F" w14:textId="77777777" w:rsidR="00C0307D" w:rsidRPr="00F242DD" w:rsidRDefault="00C0307D" w:rsidP="00E36DFA">
            <w:pPr>
              <w:spacing w:before="0" w:after="0" w:line="240" w:lineRule="auto"/>
              <w:jc w:val="center"/>
              <w:rPr>
                <w:color w:val="000000"/>
                <w:szCs w:val="24"/>
              </w:rPr>
            </w:pPr>
            <w:r w:rsidRPr="00F242DD">
              <w:rPr>
                <w:color w:val="000000"/>
                <w:szCs w:val="24"/>
              </w:rPr>
              <w:t>1</w:t>
            </w:r>
          </w:p>
        </w:tc>
        <w:tc>
          <w:tcPr>
            <w:tcW w:w="4573" w:type="pct"/>
            <w:shd w:val="clear" w:color="auto" w:fill="auto"/>
          </w:tcPr>
          <w:p w14:paraId="7F2F3551" w14:textId="77777777" w:rsidR="00C0307D" w:rsidRPr="00F242DD" w:rsidRDefault="00C0307D" w:rsidP="00E36DFA">
            <w:pPr>
              <w:spacing w:before="0" w:after="0" w:line="240" w:lineRule="auto"/>
              <w:rPr>
                <w:color w:val="000000"/>
                <w:szCs w:val="24"/>
              </w:rPr>
            </w:pPr>
            <w:r w:rsidRPr="00F242DD">
              <w:rPr>
                <w:color w:val="000000"/>
                <w:szCs w:val="24"/>
              </w:rPr>
              <w:t>Систематические обзоры исследований с контролем референсным методом</w:t>
            </w:r>
            <w:r w:rsidRPr="00F242DD">
              <w:rPr>
                <w:szCs w:val="24"/>
              </w:rPr>
              <w:t xml:space="preserve"> или систематический обзор рандомизированных клинических </w:t>
            </w:r>
            <w:r w:rsidR="004542B0" w:rsidRPr="00F242DD">
              <w:rPr>
                <w:szCs w:val="24"/>
              </w:rPr>
              <w:t>исследований с применением мета</w:t>
            </w:r>
            <w:r w:rsidRPr="00F242DD">
              <w:rPr>
                <w:szCs w:val="24"/>
              </w:rPr>
              <w:t>анализа</w:t>
            </w:r>
          </w:p>
        </w:tc>
      </w:tr>
      <w:tr w:rsidR="00C0307D" w:rsidRPr="00F242DD" w14:paraId="441716CE" w14:textId="77777777" w:rsidTr="00E36DFA">
        <w:tc>
          <w:tcPr>
            <w:tcW w:w="427" w:type="pct"/>
            <w:shd w:val="clear" w:color="auto" w:fill="auto"/>
          </w:tcPr>
          <w:p w14:paraId="710056EB" w14:textId="77777777" w:rsidR="00C0307D" w:rsidRPr="00F242DD" w:rsidRDefault="00C0307D" w:rsidP="00E36DFA">
            <w:pPr>
              <w:spacing w:before="0" w:after="0" w:line="240" w:lineRule="auto"/>
              <w:jc w:val="center"/>
              <w:rPr>
                <w:color w:val="000000"/>
                <w:szCs w:val="24"/>
              </w:rPr>
            </w:pPr>
            <w:r w:rsidRPr="00F242DD">
              <w:rPr>
                <w:color w:val="000000"/>
                <w:szCs w:val="24"/>
              </w:rPr>
              <w:lastRenderedPageBreak/>
              <w:t>2</w:t>
            </w:r>
          </w:p>
        </w:tc>
        <w:tc>
          <w:tcPr>
            <w:tcW w:w="4573" w:type="pct"/>
            <w:shd w:val="clear" w:color="auto" w:fill="auto"/>
          </w:tcPr>
          <w:p w14:paraId="35136504" w14:textId="77777777" w:rsidR="00C0307D" w:rsidRPr="00F242DD" w:rsidRDefault="00C0307D" w:rsidP="00E36DFA">
            <w:pPr>
              <w:spacing w:before="0" w:after="0" w:line="240" w:lineRule="auto"/>
              <w:rPr>
                <w:color w:val="000000"/>
                <w:szCs w:val="24"/>
              </w:rPr>
            </w:pPr>
            <w:r w:rsidRPr="00F242DD">
              <w:rPr>
                <w:color w:val="000000"/>
                <w:szCs w:val="24"/>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w:t>
            </w:r>
            <w:r w:rsidR="004542B0" w:rsidRPr="00F242DD">
              <w:rPr>
                <w:color w:val="000000"/>
                <w:szCs w:val="24"/>
              </w:rPr>
              <w:t>сследований с применением мета</w:t>
            </w:r>
            <w:r w:rsidRPr="00F242DD">
              <w:rPr>
                <w:color w:val="000000"/>
                <w:szCs w:val="24"/>
              </w:rPr>
              <w:t>анализа</w:t>
            </w:r>
          </w:p>
        </w:tc>
      </w:tr>
      <w:tr w:rsidR="00C0307D" w:rsidRPr="00F242DD" w14:paraId="5B242491" w14:textId="77777777" w:rsidTr="00E36DFA">
        <w:tc>
          <w:tcPr>
            <w:tcW w:w="427" w:type="pct"/>
            <w:shd w:val="clear" w:color="auto" w:fill="auto"/>
          </w:tcPr>
          <w:p w14:paraId="44D2BA32" w14:textId="77777777" w:rsidR="00C0307D" w:rsidRPr="00F242DD" w:rsidRDefault="00C0307D" w:rsidP="00E36DFA">
            <w:pPr>
              <w:spacing w:before="0" w:after="0" w:line="240" w:lineRule="auto"/>
              <w:jc w:val="center"/>
              <w:rPr>
                <w:color w:val="000000"/>
                <w:szCs w:val="24"/>
              </w:rPr>
            </w:pPr>
            <w:r w:rsidRPr="00F242DD">
              <w:rPr>
                <w:color w:val="000000"/>
                <w:szCs w:val="24"/>
              </w:rPr>
              <w:t>3</w:t>
            </w:r>
          </w:p>
        </w:tc>
        <w:tc>
          <w:tcPr>
            <w:tcW w:w="4573" w:type="pct"/>
            <w:shd w:val="clear" w:color="auto" w:fill="auto"/>
          </w:tcPr>
          <w:p w14:paraId="633DF670" w14:textId="77777777" w:rsidR="00C0307D" w:rsidRPr="00F242DD" w:rsidRDefault="00C0307D" w:rsidP="00E36DFA">
            <w:pPr>
              <w:spacing w:before="0" w:after="0" w:line="240" w:lineRule="auto"/>
              <w:rPr>
                <w:color w:val="000000"/>
                <w:szCs w:val="24"/>
              </w:rPr>
            </w:pPr>
            <w:r w:rsidRPr="00F242DD">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4542B0" w:rsidRPr="00F242DD">
              <w:rPr>
                <w:color w:val="000000"/>
                <w:szCs w:val="24"/>
              </w:rPr>
              <w:t>,</w:t>
            </w:r>
            <w:r w:rsidRPr="00F242DD">
              <w:rPr>
                <w:color w:val="000000"/>
                <w:szCs w:val="24"/>
              </w:rPr>
              <w:t xml:space="preserve"> или нерандомизированные сравнительные исследования, в том числе когортные исследования</w:t>
            </w:r>
          </w:p>
        </w:tc>
      </w:tr>
      <w:tr w:rsidR="00C0307D" w:rsidRPr="00F242DD" w14:paraId="33F267C5" w14:textId="77777777" w:rsidTr="00E36DFA">
        <w:tc>
          <w:tcPr>
            <w:tcW w:w="427" w:type="pct"/>
            <w:shd w:val="clear" w:color="auto" w:fill="auto"/>
          </w:tcPr>
          <w:p w14:paraId="149BAE83" w14:textId="77777777" w:rsidR="00C0307D" w:rsidRPr="00F242DD" w:rsidRDefault="00C0307D" w:rsidP="00E36DFA">
            <w:pPr>
              <w:spacing w:before="0" w:after="0" w:line="240" w:lineRule="auto"/>
              <w:jc w:val="center"/>
              <w:rPr>
                <w:color w:val="000000"/>
                <w:szCs w:val="24"/>
              </w:rPr>
            </w:pPr>
            <w:r w:rsidRPr="00F242DD">
              <w:rPr>
                <w:color w:val="000000"/>
                <w:szCs w:val="24"/>
              </w:rPr>
              <w:t>4</w:t>
            </w:r>
          </w:p>
        </w:tc>
        <w:tc>
          <w:tcPr>
            <w:tcW w:w="4573" w:type="pct"/>
            <w:shd w:val="clear" w:color="auto" w:fill="auto"/>
          </w:tcPr>
          <w:p w14:paraId="33829748" w14:textId="77777777" w:rsidR="00C0307D" w:rsidRPr="00F242DD" w:rsidRDefault="00C0307D" w:rsidP="00E36DFA">
            <w:pPr>
              <w:spacing w:before="0" w:after="0" w:line="240" w:lineRule="auto"/>
              <w:rPr>
                <w:color w:val="000000"/>
                <w:szCs w:val="24"/>
              </w:rPr>
            </w:pPr>
            <w:r w:rsidRPr="00F242DD">
              <w:rPr>
                <w:color w:val="000000"/>
                <w:szCs w:val="24"/>
              </w:rPr>
              <w:t>Несравнительные исследования, описание клинического случая</w:t>
            </w:r>
          </w:p>
        </w:tc>
      </w:tr>
      <w:tr w:rsidR="00C0307D" w:rsidRPr="00F242DD" w14:paraId="6EE4CFCC" w14:textId="77777777" w:rsidTr="00E36DFA">
        <w:tc>
          <w:tcPr>
            <w:tcW w:w="427" w:type="pct"/>
            <w:shd w:val="clear" w:color="auto" w:fill="auto"/>
          </w:tcPr>
          <w:p w14:paraId="7583B666" w14:textId="77777777" w:rsidR="00C0307D" w:rsidRPr="00F242DD" w:rsidRDefault="00C0307D" w:rsidP="00E36DFA">
            <w:pPr>
              <w:spacing w:before="0" w:after="0" w:line="240" w:lineRule="auto"/>
              <w:jc w:val="center"/>
              <w:rPr>
                <w:color w:val="000000"/>
                <w:szCs w:val="24"/>
              </w:rPr>
            </w:pPr>
            <w:r w:rsidRPr="00F242DD">
              <w:rPr>
                <w:color w:val="000000"/>
                <w:szCs w:val="24"/>
              </w:rPr>
              <w:t>5</w:t>
            </w:r>
          </w:p>
        </w:tc>
        <w:tc>
          <w:tcPr>
            <w:tcW w:w="4573" w:type="pct"/>
            <w:shd w:val="clear" w:color="auto" w:fill="auto"/>
          </w:tcPr>
          <w:p w14:paraId="58F94BFB" w14:textId="77777777" w:rsidR="00C0307D" w:rsidRPr="00F242DD" w:rsidRDefault="00C0307D" w:rsidP="00E36DFA">
            <w:pPr>
              <w:spacing w:before="0" w:after="0" w:line="240" w:lineRule="auto"/>
              <w:rPr>
                <w:color w:val="000000"/>
                <w:szCs w:val="24"/>
              </w:rPr>
            </w:pPr>
            <w:r w:rsidRPr="00F242DD">
              <w:rPr>
                <w:color w:val="000000"/>
                <w:szCs w:val="24"/>
              </w:rPr>
              <w:t>Имеется лишь обоснование механизма действия или мнение экспертов</w:t>
            </w:r>
          </w:p>
        </w:tc>
      </w:tr>
    </w:tbl>
    <w:p w14:paraId="5B04A95D" w14:textId="7287FD21" w:rsidR="00C0307D" w:rsidRPr="00F242DD" w:rsidRDefault="00C0307D" w:rsidP="00131E36">
      <w:pPr>
        <w:spacing w:before="0" w:after="0"/>
      </w:pPr>
      <w:bookmarkStart w:id="58" w:name="_Ref515967623"/>
      <w:r w:rsidRPr="00F242DD">
        <w:rPr>
          <w:b/>
        </w:rPr>
        <w:t>Таблица</w:t>
      </w:r>
      <w:r w:rsidR="0076263A" w:rsidRPr="00F242DD">
        <w:rPr>
          <w:b/>
        </w:rPr>
        <w:t xml:space="preserve"> А2.</w:t>
      </w:r>
      <w:r w:rsidR="00A96FB6" w:rsidRPr="00F242DD">
        <w:rPr>
          <w:b/>
        </w:rPr>
        <w:fldChar w:fldCharType="begin"/>
      </w:r>
      <w:r w:rsidRPr="00F242DD">
        <w:rPr>
          <w:b/>
        </w:rPr>
        <w:instrText xml:space="preserve"> SEQ Таблица \* ARABIC </w:instrText>
      </w:r>
      <w:r w:rsidR="00A96FB6" w:rsidRPr="00F242DD">
        <w:rPr>
          <w:b/>
        </w:rPr>
        <w:fldChar w:fldCharType="separate"/>
      </w:r>
      <w:r w:rsidR="00053A53">
        <w:rPr>
          <w:b/>
          <w:noProof/>
        </w:rPr>
        <w:t>2</w:t>
      </w:r>
      <w:r w:rsidR="00A96FB6" w:rsidRPr="00F242DD">
        <w:rPr>
          <w:b/>
        </w:rPr>
        <w:fldChar w:fldCharType="end"/>
      </w:r>
      <w:bookmarkEnd w:id="58"/>
      <w:r w:rsidRPr="00F242DD">
        <w:rPr>
          <w:b/>
        </w:rPr>
        <w:t>.</w:t>
      </w:r>
      <w:r w:rsidR="0076263A" w:rsidRPr="00F242DD">
        <w:rPr>
          <w:b/>
        </w:rPr>
        <w:t xml:space="preserve"> </w:t>
      </w:r>
      <w:r w:rsidRPr="00F242DD">
        <w:t>Шкала оценки уровней достоверности доказательств</w:t>
      </w:r>
      <w:r w:rsidR="004542B0" w:rsidRPr="00F242DD">
        <w:t xml:space="preserve"> (УДД)</w:t>
      </w:r>
      <w:r w:rsidRPr="00F242DD">
        <w:t xml:space="preserve"> для методов профилактики, лечения и реабилитации (профилактических, лечебных, реабилитационных вмешательств)</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990"/>
      </w:tblGrid>
      <w:tr w:rsidR="00C0307D" w:rsidRPr="00F242DD" w14:paraId="46B78E50" w14:textId="77777777" w:rsidTr="00E36DFA">
        <w:tc>
          <w:tcPr>
            <w:tcW w:w="360" w:type="pct"/>
            <w:shd w:val="clear" w:color="auto" w:fill="auto"/>
          </w:tcPr>
          <w:p w14:paraId="5CE2301F" w14:textId="77777777" w:rsidR="00C0307D" w:rsidRPr="00F242DD" w:rsidRDefault="00C0307D" w:rsidP="00E36DFA">
            <w:pPr>
              <w:spacing w:before="0" w:after="0" w:line="240" w:lineRule="auto"/>
              <w:jc w:val="center"/>
              <w:rPr>
                <w:b/>
                <w:color w:val="000000"/>
                <w:szCs w:val="24"/>
              </w:rPr>
            </w:pPr>
            <w:r w:rsidRPr="00F242DD">
              <w:rPr>
                <w:b/>
                <w:color w:val="000000"/>
                <w:szCs w:val="24"/>
              </w:rPr>
              <w:t>УДД</w:t>
            </w:r>
          </w:p>
        </w:tc>
        <w:tc>
          <w:tcPr>
            <w:tcW w:w="4640" w:type="pct"/>
            <w:shd w:val="clear" w:color="auto" w:fill="auto"/>
          </w:tcPr>
          <w:p w14:paraId="6C5CFF35" w14:textId="77777777" w:rsidR="00C0307D" w:rsidRPr="00F242DD" w:rsidRDefault="00C0307D" w:rsidP="00E36DFA">
            <w:pPr>
              <w:spacing w:before="0" w:after="0" w:line="240" w:lineRule="auto"/>
              <w:jc w:val="center"/>
              <w:rPr>
                <w:b/>
                <w:color w:val="000000"/>
                <w:szCs w:val="24"/>
              </w:rPr>
            </w:pPr>
            <w:r w:rsidRPr="00F242DD">
              <w:rPr>
                <w:b/>
                <w:color w:val="000000"/>
                <w:szCs w:val="24"/>
              </w:rPr>
              <w:t xml:space="preserve">Расшифровка </w:t>
            </w:r>
          </w:p>
        </w:tc>
      </w:tr>
      <w:tr w:rsidR="00C0307D" w:rsidRPr="00F242DD" w14:paraId="5C024326" w14:textId="77777777" w:rsidTr="00E36DFA">
        <w:tc>
          <w:tcPr>
            <w:tcW w:w="360" w:type="pct"/>
            <w:shd w:val="clear" w:color="auto" w:fill="auto"/>
          </w:tcPr>
          <w:p w14:paraId="0ADB68DC" w14:textId="77777777" w:rsidR="00C0307D" w:rsidRPr="00F242DD" w:rsidRDefault="00C0307D" w:rsidP="00E36DFA">
            <w:pPr>
              <w:spacing w:before="0" w:after="0" w:line="240" w:lineRule="auto"/>
              <w:jc w:val="center"/>
              <w:rPr>
                <w:color w:val="000000"/>
                <w:szCs w:val="24"/>
              </w:rPr>
            </w:pPr>
            <w:r w:rsidRPr="00F242DD">
              <w:rPr>
                <w:color w:val="000000"/>
                <w:szCs w:val="24"/>
              </w:rPr>
              <w:t>1</w:t>
            </w:r>
          </w:p>
        </w:tc>
        <w:tc>
          <w:tcPr>
            <w:tcW w:w="4640" w:type="pct"/>
            <w:shd w:val="clear" w:color="auto" w:fill="auto"/>
          </w:tcPr>
          <w:p w14:paraId="1E527293" w14:textId="77777777" w:rsidR="00C0307D" w:rsidRPr="00F242DD" w:rsidRDefault="00C0307D" w:rsidP="00E36DFA">
            <w:pPr>
              <w:spacing w:before="0" w:after="0" w:line="240" w:lineRule="auto"/>
              <w:rPr>
                <w:color w:val="000000"/>
                <w:szCs w:val="24"/>
              </w:rPr>
            </w:pPr>
            <w:r w:rsidRPr="00F242DD">
              <w:rPr>
                <w:color w:val="000000"/>
                <w:szCs w:val="24"/>
              </w:rPr>
              <w:t xml:space="preserve">Систематический обзор </w:t>
            </w:r>
            <w:r w:rsidR="004542B0" w:rsidRPr="00F242DD">
              <w:rPr>
                <w:szCs w:val="24"/>
              </w:rPr>
              <w:t>рандомизированных клинических исследований</w:t>
            </w:r>
            <w:r w:rsidRPr="00F242DD">
              <w:rPr>
                <w:color w:val="000000"/>
                <w:szCs w:val="24"/>
              </w:rPr>
              <w:t xml:space="preserve"> с применением метаанализа</w:t>
            </w:r>
          </w:p>
        </w:tc>
      </w:tr>
      <w:tr w:rsidR="00C0307D" w:rsidRPr="00F242DD" w14:paraId="74E94DE9" w14:textId="77777777" w:rsidTr="00E36DFA">
        <w:tc>
          <w:tcPr>
            <w:tcW w:w="360" w:type="pct"/>
            <w:shd w:val="clear" w:color="auto" w:fill="auto"/>
          </w:tcPr>
          <w:p w14:paraId="5DD6E929" w14:textId="77777777" w:rsidR="00C0307D" w:rsidRPr="00F242DD" w:rsidRDefault="00C0307D" w:rsidP="00E36DFA">
            <w:pPr>
              <w:spacing w:before="0" w:after="0" w:line="240" w:lineRule="auto"/>
              <w:jc w:val="center"/>
              <w:rPr>
                <w:color w:val="000000"/>
                <w:szCs w:val="24"/>
                <w:lang w:val="en-US"/>
              </w:rPr>
            </w:pPr>
            <w:r w:rsidRPr="00F242DD">
              <w:rPr>
                <w:color w:val="000000"/>
                <w:szCs w:val="24"/>
              </w:rPr>
              <w:t>2</w:t>
            </w:r>
          </w:p>
        </w:tc>
        <w:tc>
          <w:tcPr>
            <w:tcW w:w="4640" w:type="pct"/>
            <w:shd w:val="clear" w:color="auto" w:fill="auto"/>
          </w:tcPr>
          <w:p w14:paraId="18BBBA5D" w14:textId="77777777" w:rsidR="00C0307D" w:rsidRPr="00F242DD" w:rsidRDefault="00C0307D" w:rsidP="00E36DFA">
            <w:pPr>
              <w:spacing w:before="0" w:after="0" w:line="240" w:lineRule="auto"/>
              <w:rPr>
                <w:color w:val="000000"/>
                <w:szCs w:val="24"/>
              </w:rPr>
            </w:pPr>
            <w:r w:rsidRPr="00F242DD">
              <w:rPr>
                <w:color w:val="000000"/>
                <w:szCs w:val="24"/>
              </w:rPr>
              <w:t xml:space="preserve">Отдельные </w:t>
            </w:r>
            <w:r w:rsidR="004542B0" w:rsidRPr="00F242DD">
              <w:rPr>
                <w:szCs w:val="24"/>
              </w:rPr>
              <w:t>рандомизированные клинические исследования</w:t>
            </w:r>
            <w:r w:rsidRPr="00F242DD">
              <w:rPr>
                <w:color w:val="000000"/>
                <w:szCs w:val="24"/>
              </w:rPr>
              <w:t xml:space="preserve"> и систематические обзоры исследований любого дизайна, за исключением </w:t>
            </w:r>
            <w:r w:rsidR="004542B0" w:rsidRPr="00F242DD">
              <w:rPr>
                <w:szCs w:val="24"/>
              </w:rPr>
              <w:t>рандомизированных клинических исследований</w:t>
            </w:r>
            <w:r w:rsidRPr="00F242DD">
              <w:rPr>
                <w:color w:val="000000"/>
                <w:szCs w:val="24"/>
              </w:rPr>
              <w:t xml:space="preserve"> с применением метаанализа</w:t>
            </w:r>
          </w:p>
        </w:tc>
      </w:tr>
      <w:tr w:rsidR="00C0307D" w:rsidRPr="00F242DD" w14:paraId="17A6907E" w14:textId="77777777" w:rsidTr="00E36DFA">
        <w:tc>
          <w:tcPr>
            <w:tcW w:w="360" w:type="pct"/>
            <w:shd w:val="clear" w:color="auto" w:fill="auto"/>
          </w:tcPr>
          <w:p w14:paraId="355ED277" w14:textId="77777777" w:rsidR="00C0307D" w:rsidRPr="00F242DD" w:rsidRDefault="00C0307D" w:rsidP="00E36DFA">
            <w:pPr>
              <w:spacing w:before="0" w:after="0" w:line="240" w:lineRule="auto"/>
              <w:jc w:val="center"/>
              <w:rPr>
                <w:color w:val="000000"/>
                <w:szCs w:val="24"/>
              </w:rPr>
            </w:pPr>
            <w:r w:rsidRPr="00F242DD">
              <w:rPr>
                <w:color w:val="000000"/>
                <w:szCs w:val="24"/>
              </w:rPr>
              <w:t>3</w:t>
            </w:r>
          </w:p>
        </w:tc>
        <w:tc>
          <w:tcPr>
            <w:tcW w:w="4640" w:type="pct"/>
            <w:shd w:val="clear" w:color="auto" w:fill="auto"/>
          </w:tcPr>
          <w:p w14:paraId="11BCEB96" w14:textId="77777777" w:rsidR="00C0307D" w:rsidRPr="00F242DD" w:rsidRDefault="00C0307D" w:rsidP="00E36DFA">
            <w:pPr>
              <w:spacing w:before="0" w:after="0" w:line="240" w:lineRule="auto"/>
              <w:rPr>
                <w:color w:val="000000"/>
                <w:szCs w:val="24"/>
              </w:rPr>
            </w:pPr>
            <w:r w:rsidRPr="00F242DD">
              <w:rPr>
                <w:color w:val="000000"/>
                <w:szCs w:val="24"/>
              </w:rPr>
              <w:t xml:space="preserve">Нерандомизированные сравнительные исследования, в </w:t>
            </w:r>
            <w:r w:rsidR="004542B0" w:rsidRPr="00F242DD">
              <w:rPr>
                <w:color w:val="000000"/>
                <w:szCs w:val="24"/>
              </w:rPr>
              <w:t xml:space="preserve">том числе </w:t>
            </w:r>
            <w:r w:rsidRPr="00F242DD">
              <w:rPr>
                <w:color w:val="000000"/>
                <w:szCs w:val="24"/>
              </w:rPr>
              <w:t>когортные исследования</w:t>
            </w:r>
          </w:p>
        </w:tc>
      </w:tr>
      <w:tr w:rsidR="00C0307D" w:rsidRPr="00F242DD" w14:paraId="55FA75F9" w14:textId="77777777" w:rsidTr="00E36DFA">
        <w:tc>
          <w:tcPr>
            <w:tcW w:w="360" w:type="pct"/>
            <w:shd w:val="clear" w:color="auto" w:fill="auto"/>
          </w:tcPr>
          <w:p w14:paraId="6C01F1AF" w14:textId="77777777" w:rsidR="00C0307D" w:rsidRPr="00F242DD" w:rsidRDefault="00C0307D" w:rsidP="00E36DFA">
            <w:pPr>
              <w:spacing w:before="0" w:after="0" w:line="240" w:lineRule="auto"/>
              <w:jc w:val="center"/>
              <w:rPr>
                <w:color w:val="000000"/>
                <w:szCs w:val="24"/>
              </w:rPr>
            </w:pPr>
            <w:r w:rsidRPr="00F242DD">
              <w:rPr>
                <w:color w:val="000000"/>
                <w:szCs w:val="24"/>
              </w:rPr>
              <w:t>4</w:t>
            </w:r>
          </w:p>
        </w:tc>
        <w:tc>
          <w:tcPr>
            <w:tcW w:w="4640" w:type="pct"/>
            <w:shd w:val="clear" w:color="auto" w:fill="auto"/>
          </w:tcPr>
          <w:p w14:paraId="21A1C475" w14:textId="77777777" w:rsidR="00C0307D" w:rsidRPr="00F242DD" w:rsidRDefault="00C0307D" w:rsidP="00E36DFA">
            <w:pPr>
              <w:spacing w:before="0" w:after="0" w:line="240" w:lineRule="auto"/>
              <w:rPr>
                <w:color w:val="000000"/>
                <w:szCs w:val="24"/>
              </w:rPr>
            </w:pPr>
            <w:r w:rsidRPr="00F242DD">
              <w:rPr>
                <w:color w:val="000000"/>
                <w:szCs w:val="24"/>
              </w:rPr>
              <w:t>Несравнительные исследования, описание клинического случая или серии случаев, исследования случай</w:t>
            </w:r>
            <w:r w:rsidR="004542B0" w:rsidRPr="00F242DD">
              <w:rPr>
                <w:color w:val="000000"/>
                <w:szCs w:val="24"/>
              </w:rPr>
              <w:t>‒</w:t>
            </w:r>
            <w:r w:rsidRPr="00F242DD">
              <w:rPr>
                <w:color w:val="000000"/>
                <w:szCs w:val="24"/>
              </w:rPr>
              <w:t>контроль</w:t>
            </w:r>
          </w:p>
        </w:tc>
      </w:tr>
      <w:tr w:rsidR="00C0307D" w:rsidRPr="00F242DD" w14:paraId="434793B9" w14:textId="77777777" w:rsidTr="00E36DFA">
        <w:tc>
          <w:tcPr>
            <w:tcW w:w="360" w:type="pct"/>
            <w:shd w:val="clear" w:color="auto" w:fill="auto"/>
          </w:tcPr>
          <w:p w14:paraId="048CB783" w14:textId="77777777" w:rsidR="00C0307D" w:rsidRPr="00F242DD" w:rsidRDefault="00C0307D" w:rsidP="00E36DFA">
            <w:pPr>
              <w:spacing w:before="0" w:after="0" w:line="240" w:lineRule="auto"/>
              <w:jc w:val="center"/>
              <w:rPr>
                <w:color w:val="000000"/>
                <w:szCs w:val="24"/>
              </w:rPr>
            </w:pPr>
            <w:r w:rsidRPr="00F242DD">
              <w:rPr>
                <w:color w:val="000000"/>
                <w:szCs w:val="24"/>
              </w:rPr>
              <w:t>5</w:t>
            </w:r>
          </w:p>
        </w:tc>
        <w:tc>
          <w:tcPr>
            <w:tcW w:w="4640" w:type="pct"/>
            <w:shd w:val="clear" w:color="auto" w:fill="auto"/>
          </w:tcPr>
          <w:p w14:paraId="2568DF34" w14:textId="77777777" w:rsidR="00C0307D" w:rsidRPr="00F242DD" w:rsidRDefault="00C0307D" w:rsidP="00E36DFA">
            <w:pPr>
              <w:spacing w:before="0" w:after="0" w:line="240" w:lineRule="auto"/>
              <w:rPr>
                <w:color w:val="000000"/>
                <w:szCs w:val="24"/>
              </w:rPr>
            </w:pPr>
            <w:r w:rsidRPr="00F242DD">
              <w:rPr>
                <w:color w:val="000000"/>
                <w:szCs w:val="24"/>
              </w:rPr>
              <w:t>Имеется лишь обоснование механизма действия вмешательства (доклинические исследования) или мнение экспертов</w:t>
            </w:r>
          </w:p>
        </w:tc>
      </w:tr>
    </w:tbl>
    <w:p w14:paraId="2BFB0523" w14:textId="77777777" w:rsidR="00C0307D" w:rsidRPr="00F242DD" w:rsidRDefault="00C0307D" w:rsidP="00131E36">
      <w:pPr>
        <w:pStyle w:val="ad"/>
        <w:rPr>
          <w:rStyle w:val="ac"/>
        </w:rPr>
      </w:pPr>
    </w:p>
    <w:p w14:paraId="5800DCE4" w14:textId="77777777" w:rsidR="00C0307D" w:rsidRPr="00F242DD" w:rsidRDefault="00C0307D" w:rsidP="00131E36">
      <w:pPr>
        <w:spacing w:before="0" w:after="0"/>
      </w:pPr>
      <w:bookmarkStart w:id="59" w:name="_Ref515967732"/>
      <w:r w:rsidRPr="00F242DD">
        <w:rPr>
          <w:b/>
        </w:rPr>
        <w:t xml:space="preserve">Таблица </w:t>
      </w:r>
      <w:bookmarkEnd w:id="59"/>
      <w:r w:rsidR="0076263A" w:rsidRPr="00F242DD">
        <w:rPr>
          <w:b/>
        </w:rPr>
        <w:t>А2.</w:t>
      </w:r>
      <w:r w:rsidRPr="00F242DD">
        <w:rPr>
          <w:b/>
        </w:rPr>
        <w:t>3.</w:t>
      </w:r>
      <w:r w:rsidR="0076263A" w:rsidRPr="00F242DD">
        <w:rPr>
          <w:b/>
        </w:rPr>
        <w:t xml:space="preserve"> </w:t>
      </w:r>
      <w:r w:rsidRPr="00F242DD">
        <w:t xml:space="preserve">Шкала оценки уровней убедительности рекомендаций </w:t>
      </w:r>
      <w:r w:rsidR="004542B0" w:rsidRPr="00F242DD">
        <w:t xml:space="preserve">(УУР) </w:t>
      </w:r>
      <w:r w:rsidRPr="00F242DD">
        <w:t>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208"/>
      </w:tblGrid>
      <w:tr w:rsidR="00C0307D" w:rsidRPr="00F242DD" w14:paraId="3F51C91B" w14:textId="77777777" w:rsidTr="00E36DFA">
        <w:tc>
          <w:tcPr>
            <w:tcW w:w="712" w:type="pct"/>
            <w:shd w:val="clear" w:color="auto" w:fill="auto"/>
          </w:tcPr>
          <w:p w14:paraId="3426F41D" w14:textId="77777777" w:rsidR="00C0307D" w:rsidRPr="00F242DD" w:rsidRDefault="00C0307D" w:rsidP="00E36DFA">
            <w:pPr>
              <w:spacing w:before="0" w:after="0" w:line="240" w:lineRule="auto"/>
              <w:jc w:val="center"/>
              <w:rPr>
                <w:b/>
                <w:color w:val="000000"/>
                <w:szCs w:val="24"/>
              </w:rPr>
            </w:pPr>
            <w:r w:rsidRPr="00F242DD">
              <w:rPr>
                <w:b/>
                <w:color w:val="000000"/>
                <w:szCs w:val="24"/>
              </w:rPr>
              <w:t>УУР</w:t>
            </w:r>
          </w:p>
        </w:tc>
        <w:tc>
          <w:tcPr>
            <w:tcW w:w="4288" w:type="pct"/>
            <w:shd w:val="clear" w:color="auto" w:fill="auto"/>
          </w:tcPr>
          <w:p w14:paraId="556FDBD8" w14:textId="77777777" w:rsidR="00C0307D" w:rsidRPr="00F242DD" w:rsidRDefault="00C0307D" w:rsidP="00E36DFA">
            <w:pPr>
              <w:spacing w:before="0" w:after="0" w:line="240" w:lineRule="auto"/>
              <w:jc w:val="center"/>
              <w:rPr>
                <w:b/>
                <w:color w:val="000000"/>
                <w:szCs w:val="24"/>
              </w:rPr>
            </w:pPr>
            <w:r w:rsidRPr="00F242DD">
              <w:rPr>
                <w:b/>
                <w:color w:val="000000"/>
                <w:szCs w:val="24"/>
              </w:rPr>
              <w:t>Расшифровка</w:t>
            </w:r>
          </w:p>
        </w:tc>
      </w:tr>
      <w:tr w:rsidR="00C0307D" w:rsidRPr="00F242DD" w14:paraId="3FC05D03" w14:textId="77777777" w:rsidTr="00E36DFA">
        <w:trPr>
          <w:trHeight w:val="1060"/>
        </w:trPr>
        <w:tc>
          <w:tcPr>
            <w:tcW w:w="712" w:type="pct"/>
            <w:shd w:val="clear" w:color="auto" w:fill="auto"/>
          </w:tcPr>
          <w:p w14:paraId="3F9CF045" w14:textId="77777777" w:rsidR="00C0307D" w:rsidRPr="00F242DD" w:rsidRDefault="00C0307D" w:rsidP="00E36DFA">
            <w:pPr>
              <w:spacing w:before="0" w:after="0" w:line="240" w:lineRule="auto"/>
              <w:jc w:val="center"/>
              <w:rPr>
                <w:color w:val="000000"/>
                <w:szCs w:val="24"/>
              </w:rPr>
            </w:pPr>
            <w:r w:rsidRPr="00F242DD">
              <w:rPr>
                <w:color w:val="000000"/>
                <w:szCs w:val="24"/>
                <w:lang w:val="en-US"/>
              </w:rPr>
              <w:t>A</w:t>
            </w:r>
          </w:p>
        </w:tc>
        <w:tc>
          <w:tcPr>
            <w:tcW w:w="4288" w:type="pct"/>
            <w:shd w:val="clear" w:color="auto" w:fill="auto"/>
          </w:tcPr>
          <w:p w14:paraId="02BA4A48" w14:textId="77777777" w:rsidR="00C0307D" w:rsidRPr="00F242DD" w:rsidRDefault="00C0307D" w:rsidP="00E36DFA">
            <w:pPr>
              <w:spacing w:before="0" w:after="0" w:line="240" w:lineRule="auto"/>
              <w:rPr>
                <w:color w:val="000000"/>
                <w:szCs w:val="24"/>
              </w:rPr>
            </w:pPr>
            <w:r w:rsidRPr="00F242DD">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C0307D" w:rsidRPr="00F242DD" w14:paraId="5A2F2AF7" w14:textId="77777777" w:rsidTr="00E36DFA">
        <w:trPr>
          <w:trHeight w:val="558"/>
        </w:trPr>
        <w:tc>
          <w:tcPr>
            <w:tcW w:w="712" w:type="pct"/>
            <w:shd w:val="clear" w:color="auto" w:fill="auto"/>
          </w:tcPr>
          <w:p w14:paraId="51BD000D" w14:textId="77777777" w:rsidR="00C0307D" w:rsidRPr="00F242DD" w:rsidRDefault="00C0307D" w:rsidP="00E36DFA">
            <w:pPr>
              <w:spacing w:before="0" w:after="0" w:line="240" w:lineRule="auto"/>
              <w:jc w:val="center"/>
              <w:rPr>
                <w:color w:val="000000"/>
                <w:szCs w:val="24"/>
              </w:rPr>
            </w:pPr>
            <w:r w:rsidRPr="00F242DD">
              <w:rPr>
                <w:color w:val="000000"/>
                <w:szCs w:val="24"/>
              </w:rPr>
              <w:t>B</w:t>
            </w:r>
          </w:p>
        </w:tc>
        <w:tc>
          <w:tcPr>
            <w:tcW w:w="4288" w:type="pct"/>
            <w:shd w:val="clear" w:color="auto" w:fill="auto"/>
          </w:tcPr>
          <w:p w14:paraId="5AB7D9E6" w14:textId="77777777" w:rsidR="00C0307D" w:rsidRPr="00F242DD" w:rsidRDefault="00C0307D" w:rsidP="00E36DFA">
            <w:pPr>
              <w:spacing w:before="0" w:after="0" w:line="240" w:lineRule="auto"/>
              <w:rPr>
                <w:color w:val="000000"/>
                <w:szCs w:val="24"/>
              </w:rPr>
            </w:pPr>
            <w:r w:rsidRPr="00F242DD">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C0307D" w:rsidRPr="00F242DD" w14:paraId="1985FFF2" w14:textId="77777777" w:rsidTr="00E36DFA">
        <w:trPr>
          <w:trHeight w:val="798"/>
        </w:trPr>
        <w:tc>
          <w:tcPr>
            <w:tcW w:w="712" w:type="pct"/>
            <w:shd w:val="clear" w:color="auto" w:fill="auto"/>
          </w:tcPr>
          <w:p w14:paraId="5E901A79" w14:textId="77777777" w:rsidR="00C0307D" w:rsidRPr="00F242DD" w:rsidRDefault="00C0307D" w:rsidP="00E36DFA">
            <w:pPr>
              <w:spacing w:before="0" w:after="0" w:line="240" w:lineRule="auto"/>
              <w:jc w:val="center"/>
              <w:rPr>
                <w:color w:val="000000"/>
                <w:szCs w:val="24"/>
              </w:rPr>
            </w:pPr>
            <w:r w:rsidRPr="00F242DD">
              <w:rPr>
                <w:color w:val="000000"/>
                <w:szCs w:val="24"/>
              </w:rPr>
              <w:t>C</w:t>
            </w:r>
          </w:p>
        </w:tc>
        <w:tc>
          <w:tcPr>
            <w:tcW w:w="4288" w:type="pct"/>
            <w:shd w:val="clear" w:color="auto" w:fill="auto"/>
          </w:tcPr>
          <w:p w14:paraId="59547E81" w14:textId="77777777" w:rsidR="00C0307D" w:rsidRPr="00F242DD" w:rsidRDefault="00C0307D" w:rsidP="00E36DFA">
            <w:pPr>
              <w:spacing w:before="0" w:after="0" w:line="240" w:lineRule="auto"/>
              <w:rPr>
                <w:color w:val="000000"/>
                <w:szCs w:val="24"/>
              </w:rPr>
            </w:pPr>
            <w:r w:rsidRPr="00F242DD">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bookmarkEnd w:id="57"/>
    <w:p w14:paraId="44B89BAA" w14:textId="77777777" w:rsidR="000E19A9" w:rsidRPr="00F242DD" w:rsidRDefault="000E19A9" w:rsidP="00131E36">
      <w:pPr>
        <w:spacing w:before="0" w:after="0"/>
        <w:rPr>
          <w:b/>
        </w:rPr>
      </w:pPr>
      <w:r w:rsidRPr="00F242DD">
        <w:rPr>
          <w:b/>
        </w:rPr>
        <w:t>Методология валидизации рекомендаций</w:t>
      </w:r>
    </w:p>
    <w:p w14:paraId="79389DCC" w14:textId="77777777" w:rsidR="000E19A9" w:rsidRPr="00F242DD" w:rsidRDefault="000E19A9" w:rsidP="00131E36">
      <w:pPr>
        <w:spacing w:before="0" w:after="0"/>
      </w:pPr>
      <w:r w:rsidRPr="00F242DD">
        <w:t>Методы валидизации рекомендаций:</w:t>
      </w:r>
    </w:p>
    <w:p w14:paraId="0C0AA189" w14:textId="77777777" w:rsidR="000E19A9" w:rsidRPr="00F242DD" w:rsidRDefault="000E19A9" w:rsidP="00131E36">
      <w:pPr>
        <w:spacing w:before="0" w:after="0"/>
        <w:ind w:firstLine="709"/>
      </w:pPr>
      <w:r w:rsidRPr="00F242DD">
        <w:t>•</w:t>
      </w:r>
      <w:r w:rsidRPr="00F242DD">
        <w:tab/>
      </w:r>
      <w:r w:rsidR="004542B0" w:rsidRPr="00F242DD">
        <w:t>в</w:t>
      </w:r>
      <w:r w:rsidRPr="00F242DD">
        <w:t>нешняя экспертная оценка;</w:t>
      </w:r>
    </w:p>
    <w:p w14:paraId="0EE3B327" w14:textId="77777777" w:rsidR="000E19A9" w:rsidRPr="00F242DD" w:rsidRDefault="000E19A9" w:rsidP="00131E36">
      <w:pPr>
        <w:spacing w:before="0" w:after="0"/>
        <w:ind w:firstLine="709"/>
      </w:pPr>
      <w:r w:rsidRPr="00F242DD">
        <w:lastRenderedPageBreak/>
        <w:t>•</w:t>
      </w:r>
      <w:r w:rsidRPr="00F242DD">
        <w:tab/>
      </w:r>
      <w:r w:rsidR="004542B0" w:rsidRPr="00F242DD">
        <w:t>в</w:t>
      </w:r>
      <w:r w:rsidRPr="00F242DD">
        <w:t>нутренняя экспертная оценка.</w:t>
      </w:r>
    </w:p>
    <w:p w14:paraId="505CA35A" w14:textId="77777777" w:rsidR="000E19A9" w:rsidRPr="00F242DD" w:rsidRDefault="000E19A9" w:rsidP="00131E36">
      <w:pPr>
        <w:spacing w:before="0" w:after="0"/>
        <w:ind w:firstLine="709"/>
        <w:contextualSpacing/>
        <w:rPr>
          <w:b/>
        </w:rPr>
      </w:pPr>
      <w:r w:rsidRPr="00F242DD">
        <w:rPr>
          <w:b/>
        </w:rPr>
        <w:t xml:space="preserve">Описание методики валидизации </w:t>
      </w:r>
      <w:r w:rsidR="004542B0" w:rsidRPr="00F242DD">
        <w:rPr>
          <w:b/>
        </w:rPr>
        <w:t>рекомендаций</w:t>
      </w:r>
    </w:p>
    <w:p w14:paraId="0CF398C7" w14:textId="77777777" w:rsidR="000E19A9" w:rsidRPr="00F242DD" w:rsidRDefault="000E19A9" w:rsidP="00131E36">
      <w:pPr>
        <w:spacing w:before="0" w:after="0"/>
        <w:ind w:firstLine="709"/>
        <w:contextualSpacing/>
      </w:pPr>
      <w:r w:rsidRPr="00F242DD">
        <w:t xml:space="preserve">Рекомендации обсуждены и одобрены ведущими специалистами профильных Федеральных центров </w:t>
      </w:r>
      <w:r w:rsidR="004542B0" w:rsidRPr="00F242DD">
        <w:t>России</w:t>
      </w:r>
      <w:r w:rsidRPr="00F242DD">
        <w:t xml:space="preserve"> и практическими врачами. Проект клинических рекомендаций был рассмотрен на совещаниях рабочей группы в 2017</w:t>
      </w:r>
      <w:r w:rsidR="004542B0" w:rsidRPr="00F242DD">
        <w:t>‒</w:t>
      </w:r>
      <w:r w:rsidRPr="00F242DD">
        <w:t>2018 гг., на Форуме экспертов по вопросам диагностики и лечения злокачественных лимфопролиферативных заболеваний «Лимфорум», ежегодной Российской конференции с международным участием «Злокачественные лимфомы», а также в рамках IV Конгресса гематологов России.</w:t>
      </w:r>
    </w:p>
    <w:p w14:paraId="7838BF0A" w14:textId="77777777" w:rsidR="000E19A9" w:rsidRPr="00F242DD" w:rsidRDefault="000E19A9" w:rsidP="00131E36">
      <w:pPr>
        <w:pStyle w:val="ad"/>
        <w:tabs>
          <w:tab w:val="left" w:pos="6073"/>
        </w:tabs>
        <w:contextualSpacing/>
        <w:jc w:val="both"/>
        <w:rPr>
          <w:rFonts w:eastAsia="Times New Roman"/>
        </w:rPr>
      </w:pPr>
      <w:r w:rsidRPr="00F242DD">
        <w:rPr>
          <w:rStyle w:val="ac"/>
        </w:rPr>
        <w:t>Порядок обновления клинических рекомендаций</w:t>
      </w:r>
      <w:r w:rsidRPr="00F242DD">
        <w:rPr>
          <w:rStyle w:val="ac"/>
        </w:rPr>
        <w:tab/>
      </w:r>
    </w:p>
    <w:p w14:paraId="3405DE0A" w14:textId="77777777" w:rsidR="004542B0" w:rsidRPr="00F242DD" w:rsidRDefault="000E19A9" w:rsidP="004542B0">
      <w:pPr>
        <w:spacing w:before="0" w:after="0"/>
        <w:ind w:firstLine="709"/>
      </w:pPr>
      <w:r w:rsidRPr="00F242DD">
        <w:t xml:space="preserve">Актуализация проводится не реже чем один раз в три года </w:t>
      </w:r>
      <w:r w:rsidR="00230186" w:rsidRPr="00F242DD">
        <w:t xml:space="preserve">или ранее </w:t>
      </w:r>
      <w:r w:rsidRPr="00F242DD">
        <w:t>с учетом появившейся новой информации о диагностике и тактике ведения пациентов, страдающих ММ. Решение об обновлении принимает Минздрав России на основе предложений, представленных медицинскими профессиональными некоммерческими организациями.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w:t>
      </w:r>
      <w:r w:rsidR="004542B0" w:rsidRPr="00F242DD">
        <w:t xml:space="preserve"> </w:t>
      </w:r>
      <w:bookmarkStart w:id="60" w:name="__RefHeading___doc_a3"/>
      <w:bookmarkStart w:id="61" w:name="_Toc11747753"/>
    </w:p>
    <w:p w14:paraId="602405C4" w14:textId="77777777" w:rsidR="004542B0" w:rsidRPr="00F242DD" w:rsidRDefault="000546DA">
      <w:pPr>
        <w:pStyle w:val="1"/>
      </w:pPr>
      <w:bookmarkStart w:id="62" w:name="_Toc53140916"/>
      <w:r w:rsidRPr="00F242DD">
        <w:lastRenderedPageBreak/>
        <w:t xml:space="preserve">Приложение А3. </w:t>
      </w:r>
      <w:bookmarkEnd w:id="60"/>
      <w:r w:rsidRPr="00F242DD">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61"/>
      <w:bookmarkEnd w:id="62"/>
    </w:p>
    <w:p w14:paraId="60FE0BC4" w14:textId="77777777" w:rsidR="000546DA" w:rsidRPr="00F242DD" w:rsidRDefault="000546DA" w:rsidP="00E36DFA">
      <w:pPr>
        <w:pStyle w:val="2"/>
        <w:rPr>
          <w:rStyle w:val="ac"/>
          <w:rFonts w:eastAsia="Calibri"/>
          <w:b/>
          <w:bCs w:val="0"/>
          <w:szCs w:val="22"/>
          <w:u w:val="none"/>
        </w:rPr>
      </w:pPr>
      <w:bookmarkStart w:id="63" w:name="_Toc53140917"/>
      <w:r w:rsidRPr="00F242DD">
        <w:rPr>
          <w:rStyle w:val="ac"/>
          <w:b/>
          <w:bCs w:val="0"/>
        </w:rPr>
        <w:t>Приложение А3.1</w:t>
      </w:r>
      <w:r w:rsidR="003F3D12" w:rsidRPr="00F242DD">
        <w:rPr>
          <w:rStyle w:val="ac"/>
          <w:b/>
          <w:bCs w:val="0"/>
        </w:rPr>
        <w:t>. С</w:t>
      </w:r>
      <w:r w:rsidRPr="00F242DD">
        <w:rPr>
          <w:rStyle w:val="ac"/>
          <w:b/>
          <w:bCs w:val="0"/>
        </w:rPr>
        <w:t>хемы лекарственного лечения множественной миеломы</w:t>
      </w:r>
      <w:bookmarkEnd w:id="63"/>
    </w:p>
    <w:p w14:paraId="0D1636B2" w14:textId="77777777" w:rsidR="000546DA" w:rsidRPr="00F242DD" w:rsidRDefault="000546DA" w:rsidP="00131E36">
      <w:pPr>
        <w:spacing w:before="0" w:after="0"/>
        <w:rPr>
          <w:rFonts w:eastAsia="Times New Roman"/>
          <w:b/>
          <w:i/>
          <w:szCs w:val="24"/>
          <w:lang w:eastAsia="ru-RU"/>
        </w:rPr>
      </w:pPr>
      <w:bookmarkStart w:id="64" w:name="_Toc520213135"/>
      <w:r w:rsidRPr="00F242DD">
        <w:rPr>
          <w:rFonts w:eastAsia="Times New Roman"/>
          <w:b/>
          <w:i/>
          <w:szCs w:val="24"/>
          <w:lang w:eastAsia="ru-RU"/>
        </w:rPr>
        <w:t>Схемы лечения первичных пациентов, не являющихся кандидатами на трансплантацию</w:t>
      </w:r>
    </w:p>
    <w:p w14:paraId="283D11FF" w14:textId="77777777" w:rsidR="000546DA" w:rsidRPr="00F242DD" w:rsidRDefault="000546DA" w:rsidP="00131E36">
      <w:pPr>
        <w:spacing w:before="0" w:after="0"/>
        <w:contextualSpacing/>
        <w:rPr>
          <w:rFonts w:eastAsia="Times New Roman"/>
          <w:b/>
          <w:szCs w:val="24"/>
          <w:lang w:eastAsia="ru-RU"/>
        </w:rPr>
      </w:pPr>
      <w:r w:rsidRPr="00F242DD">
        <w:rPr>
          <w:rFonts w:eastAsia="Times New Roman"/>
          <w:b/>
          <w:szCs w:val="24"/>
          <w:lang w:eastAsia="ru-RU"/>
        </w:rPr>
        <w:t>VMP</w:t>
      </w:r>
    </w:p>
    <w:p w14:paraId="49E83A7A" w14:textId="77777777" w:rsidR="000546DA" w:rsidRPr="00F242DD" w:rsidRDefault="000546DA" w:rsidP="00727CDE">
      <w:pPr>
        <w:numPr>
          <w:ilvl w:val="0"/>
          <w:numId w:val="14"/>
        </w:numPr>
        <w:spacing w:before="0" w:after="0"/>
        <w:contextualSpacing/>
        <w:jc w:val="left"/>
        <w:rPr>
          <w:rFonts w:eastAsia="Times New Roman"/>
          <w:szCs w:val="24"/>
          <w:lang w:eastAsia="ru-RU"/>
        </w:rPr>
      </w:pPr>
      <w:r w:rsidRPr="00F242DD">
        <w:rPr>
          <w:rFonts w:eastAsia="Times New Roman"/>
          <w:szCs w:val="24"/>
          <w:lang w:eastAsia="ru-RU"/>
        </w:rPr>
        <w:t>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r w:rsidRPr="00F242DD">
        <w:rPr>
          <w:rFonts w:eastAsia="Times New Roman"/>
          <w:szCs w:val="24"/>
          <w:lang w:eastAsia="ru-RU"/>
        </w:rPr>
        <w:t xml:space="preserve"> курсы:</w:t>
      </w:r>
    </w:p>
    <w:p w14:paraId="6D18482A" w14:textId="77777777" w:rsidR="000546DA" w:rsidRPr="00F242DD" w:rsidRDefault="000546DA" w:rsidP="00727CDE">
      <w:pPr>
        <w:numPr>
          <w:ilvl w:val="1"/>
          <w:numId w:val="14"/>
        </w:numPr>
        <w:spacing w:before="0" w:after="0"/>
        <w:contextualSpacing/>
        <w:jc w:val="left"/>
        <w:rPr>
          <w:rFonts w:eastAsia="Times New Roman"/>
          <w:szCs w:val="24"/>
          <w:lang w:eastAsia="ru-RU"/>
        </w:rPr>
      </w:pPr>
      <w:r w:rsidRPr="00F242DD">
        <w:rPr>
          <w:rFonts w:eastAsia="Times New Roman"/>
          <w:szCs w:val="24"/>
          <w:lang w:eastAsia="ru-RU"/>
        </w:rPr>
        <w:t>Мелфалан** 9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57955809" w14:textId="77777777" w:rsidR="000546DA" w:rsidRPr="00F242DD" w:rsidRDefault="000546DA" w:rsidP="00727CDE">
      <w:pPr>
        <w:numPr>
          <w:ilvl w:val="1"/>
          <w:numId w:val="14"/>
        </w:numPr>
        <w:spacing w:before="0" w:after="0"/>
        <w:contextualSpacing/>
        <w:jc w:val="left"/>
        <w:rPr>
          <w:rFonts w:eastAsia="Times New Roman"/>
          <w:szCs w:val="24"/>
          <w:lang w:eastAsia="ru-RU"/>
        </w:rPr>
      </w:pPr>
      <w:r w:rsidRPr="00F242DD">
        <w:rPr>
          <w:rFonts w:eastAsia="Times New Roman"/>
          <w:szCs w:val="24"/>
          <w:lang w:eastAsia="ru-RU"/>
        </w:rPr>
        <w:t>Преднизолон** 60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175F36F3" w14:textId="77777777" w:rsidR="000546DA" w:rsidRPr="00F242DD" w:rsidRDefault="000546DA" w:rsidP="00727CDE">
      <w:pPr>
        <w:numPr>
          <w:ilvl w:val="1"/>
          <w:numId w:val="14"/>
        </w:numPr>
        <w:spacing w:before="0" w:after="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 22, 25, 29, 32</w:t>
      </w:r>
      <w:r w:rsidR="006312BA" w:rsidRPr="00F242DD">
        <w:rPr>
          <w:rFonts w:eastAsia="Times New Roman"/>
          <w:szCs w:val="24"/>
          <w:lang w:eastAsia="ru-RU"/>
        </w:rPr>
        <w:t>-й</w:t>
      </w:r>
    </w:p>
    <w:p w14:paraId="3ACBCE69"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возобновляется на 43</w:t>
      </w:r>
      <w:r w:rsidR="006312BA" w:rsidRPr="00F242DD">
        <w:rPr>
          <w:rFonts w:eastAsia="Times New Roman"/>
          <w:szCs w:val="24"/>
          <w:lang w:eastAsia="ru-RU"/>
        </w:rPr>
        <w:t>-й</w:t>
      </w:r>
      <w:r w:rsidRPr="00F242DD">
        <w:rPr>
          <w:rFonts w:eastAsia="Times New Roman"/>
          <w:szCs w:val="24"/>
          <w:lang w:eastAsia="ru-RU"/>
        </w:rPr>
        <w:t xml:space="preserve"> день</w:t>
      </w:r>
      <w:r w:rsidR="006312BA" w:rsidRPr="00F242DD">
        <w:rPr>
          <w:rFonts w:eastAsia="Times New Roman"/>
          <w:szCs w:val="24"/>
          <w:lang w:eastAsia="ru-RU"/>
        </w:rPr>
        <w:t>.</w:t>
      </w:r>
    </w:p>
    <w:p w14:paraId="37BA6C95" w14:textId="77777777" w:rsidR="000546DA" w:rsidRPr="00F242DD" w:rsidRDefault="000546DA" w:rsidP="00727CDE">
      <w:pPr>
        <w:numPr>
          <w:ilvl w:val="0"/>
          <w:numId w:val="14"/>
        </w:numPr>
        <w:spacing w:before="0" w:after="0"/>
        <w:contextualSpacing/>
        <w:jc w:val="left"/>
        <w:rPr>
          <w:rFonts w:eastAsia="Times New Roman"/>
          <w:szCs w:val="24"/>
          <w:lang w:eastAsia="ru-RU"/>
        </w:rPr>
      </w:pPr>
      <w:r w:rsidRPr="00F242DD">
        <w:rPr>
          <w:rFonts w:eastAsia="Times New Roman"/>
          <w:szCs w:val="24"/>
          <w:lang w:eastAsia="ru-RU"/>
        </w:rPr>
        <w:t>5</w:t>
      </w:r>
      <w:r w:rsidR="006312BA" w:rsidRPr="00F242DD">
        <w:rPr>
          <w:rFonts w:eastAsia="Times New Roman"/>
          <w:szCs w:val="24"/>
          <w:lang w:eastAsia="ru-RU"/>
        </w:rPr>
        <w:t>‒</w:t>
      </w:r>
      <w:r w:rsidRPr="00F242DD">
        <w:rPr>
          <w:rFonts w:eastAsia="Times New Roman"/>
          <w:szCs w:val="24"/>
          <w:lang w:eastAsia="ru-RU"/>
        </w:rPr>
        <w:t>9</w:t>
      </w:r>
      <w:r w:rsidR="006312BA" w:rsidRPr="00F242DD">
        <w:rPr>
          <w:rFonts w:eastAsia="Times New Roman"/>
          <w:szCs w:val="24"/>
          <w:lang w:eastAsia="ru-RU"/>
        </w:rPr>
        <w:t>-й</w:t>
      </w:r>
      <w:r w:rsidRPr="00F242DD">
        <w:rPr>
          <w:rFonts w:eastAsia="Times New Roman"/>
          <w:szCs w:val="24"/>
          <w:lang w:eastAsia="ru-RU"/>
        </w:rPr>
        <w:t xml:space="preserve"> курсы:</w:t>
      </w:r>
    </w:p>
    <w:p w14:paraId="05E47330" w14:textId="77777777" w:rsidR="000546DA" w:rsidRPr="00F242DD" w:rsidRDefault="000546DA" w:rsidP="00727CDE">
      <w:pPr>
        <w:numPr>
          <w:ilvl w:val="1"/>
          <w:numId w:val="14"/>
        </w:numPr>
        <w:spacing w:before="0" w:after="0"/>
        <w:contextualSpacing/>
        <w:jc w:val="left"/>
        <w:rPr>
          <w:rFonts w:eastAsia="Times New Roman"/>
          <w:szCs w:val="24"/>
          <w:lang w:eastAsia="ru-RU"/>
        </w:rPr>
      </w:pPr>
      <w:r w:rsidRPr="00F242DD">
        <w:rPr>
          <w:rFonts w:eastAsia="Times New Roman"/>
          <w:szCs w:val="24"/>
          <w:lang w:eastAsia="ru-RU"/>
        </w:rPr>
        <w:t>Мелфалан** 9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2823B0DC" w14:textId="77777777" w:rsidR="000546DA" w:rsidRPr="00F242DD" w:rsidRDefault="000546DA" w:rsidP="00727CDE">
      <w:pPr>
        <w:numPr>
          <w:ilvl w:val="1"/>
          <w:numId w:val="14"/>
        </w:numPr>
        <w:spacing w:before="0" w:after="0"/>
        <w:contextualSpacing/>
        <w:jc w:val="left"/>
        <w:rPr>
          <w:rFonts w:eastAsia="Times New Roman"/>
          <w:szCs w:val="24"/>
          <w:lang w:eastAsia="ru-RU"/>
        </w:rPr>
      </w:pPr>
      <w:r w:rsidRPr="00F242DD">
        <w:rPr>
          <w:rFonts w:eastAsia="Times New Roman"/>
          <w:szCs w:val="24"/>
          <w:lang w:eastAsia="ru-RU"/>
        </w:rPr>
        <w:t>Преднизолон** 60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7C44B924" w14:textId="77777777" w:rsidR="000546DA" w:rsidRPr="00F242DD" w:rsidRDefault="000546DA" w:rsidP="00727CDE">
      <w:pPr>
        <w:numPr>
          <w:ilvl w:val="1"/>
          <w:numId w:val="14"/>
        </w:numPr>
        <w:spacing w:before="0" w:after="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8, 22, 29</w:t>
      </w:r>
      <w:r w:rsidR="006312BA" w:rsidRPr="00F242DD">
        <w:rPr>
          <w:rFonts w:eastAsia="Times New Roman"/>
          <w:szCs w:val="24"/>
          <w:lang w:eastAsia="ru-RU"/>
        </w:rPr>
        <w:t>-й</w:t>
      </w:r>
    </w:p>
    <w:p w14:paraId="737F9662"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возобновляется на 43</w:t>
      </w:r>
      <w:r w:rsidR="006312BA" w:rsidRPr="00F242DD">
        <w:rPr>
          <w:rFonts w:eastAsia="Times New Roman"/>
          <w:szCs w:val="24"/>
          <w:lang w:eastAsia="ru-RU"/>
        </w:rPr>
        <w:t>-й</w:t>
      </w:r>
      <w:r w:rsidRPr="00F242DD">
        <w:rPr>
          <w:rFonts w:eastAsia="Times New Roman"/>
          <w:szCs w:val="24"/>
          <w:lang w:eastAsia="ru-RU"/>
        </w:rPr>
        <w:t xml:space="preserve"> день</w:t>
      </w:r>
      <w:r w:rsidR="006312BA" w:rsidRPr="00F242DD">
        <w:rPr>
          <w:rFonts w:eastAsia="Times New Roman"/>
          <w:szCs w:val="24"/>
          <w:lang w:eastAsia="ru-RU"/>
        </w:rPr>
        <w:t>.</w:t>
      </w:r>
    </w:p>
    <w:p w14:paraId="00B914A2" w14:textId="77777777" w:rsidR="000546DA" w:rsidRPr="00F242DD" w:rsidRDefault="000546DA" w:rsidP="00727CDE">
      <w:pPr>
        <w:numPr>
          <w:ilvl w:val="0"/>
          <w:numId w:val="14"/>
        </w:numPr>
        <w:spacing w:before="0" w:after="0"/>
        <w:contextualSpacing/>
        <w:jc w:val="left"/>
        <w:rPr>
          <w:rFonts w:eastAsia="Times New Roman"/>
          <w:szCs w:val="24"/>
          <w:lang w:eastAsia="ru-RU"/>
        </w:rPr>
      </w:pPr>
      <w:r w:rsidRPr="00F242DD">
        <w:rPr>
          <w:rFonts w:eastAsia="Times New Roman"/>
          <w:szCs w:val="24"/>
          <w:lang w:eastAsia="ru-RU"/>
        </w:rPr>
        <w:t>Альтернативный вариант:</w:t>
      </w:r>
    </w:p>
    <w:p w14:paraId="57593509" w14:textId="77777777" w:rsidR="000546DA" w:rsidRPr="00F242DD" w:rsidRDefault="000546DA" w:rsidP="00727CDE">
      <w:pPr>
        <w:numPr>
          <w:ilvl w:val="1"/>
          <w:numId w:val="14"/>
        </w:numPr>
        <w:spacing w:before="0" w:after="0"/>
        <w:contextualSpacing/>
        <w:jc w:val="left"/>
        <w:rPr>
          <w:rFonts w:eastAsia="Times New Roman"/>
          <w:szCs w:val="24"/>
          <w:lang w:eastAsia="ru-RU"/>
        </w:rPr>
      </w:pPr>
      <w:r w:rsidRPr="00F242DD">
        <w:rPr>
          <w:rFonts w:eastAsia="Times New Roman"/>
          <w:szCs w:val="24"/>
          <w:lang w:eastAsia="ru-RU"/>
        </w:rPr>
        <w:t>Мелфалан</w:t>
      </w:r>
      <w:bookmarkStart w:id="65" w:name="_Hlk4063708"/>
      <w:r w:rsidRPr="00F242DD">
        <w:rPr>
          <w:rFonts w:eastAsia="Times New Roman"/>
          <w:szCs w:val="24"/>
          <w:lang w:eastAsia="ru-RU"/>
        </w:rPr>
        <w:t>**</w:t>
      </w:r>
      <w:bookmarkEnd w:id="65"/>
      <w:r w:rsidRPr="00F242DD">
        <w:rPr>
          <w:rFonts w:eastAsia="Times New Roman"/>
          <w:szCs w:val="24"/>
          <w:lang w:eastAsia="ru-RU"/>
        </w:rPr>
        <w:t xml:space="preserve"> 9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14547E3A" w14:textId="77777777" w:rsidR="000546DA" w:rsidRPr="00F242DD" w:rsidRDefault="000546DA" w:rsidP="00727CDE">
      <w:pPr>
        <w:numPr>
          <w:ilvl w:val="1"/>
          <w:numId w:val="14"/>
        </w:numPr>
        <w:spacing w:before="0" w:after="0"/>
        <w:contextualSpacing/>
        <w:jc w:val="left"/>
        <w:rPr>
          <w:rFonts w:eastAsia="Times New Roman"/>
          <w:szCs w:val="24"/>
          <w:lang w:eastAsia="ru-RU"/>
        </w:rPr>
      </w:pPr>
      <w:r w:rsidRPr="00F242DD">
        <w:rPr>
          <w:rFonts w:eastAsia="Times New Roman"/>
          <w:szCs w:val="24"/>
          <w:lang w:eastAsia="ru-RU"/>
        </w:rPr>
        <w:t>Преднизолон** 60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087B41DA" w14:textId="77777777" w:rsidR="000546DA" w:rsidRPr="00F242DD" w:rsidRDefault="000546DA" w:rsidP="00727CDE">
      <w:pPr>
        <w:numPr>
          <w:ilvl w:val="1"/>
          <w:numId w:val="14"/>
        </w:numPr>
        <w:spacing w:before="0" w:after="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8, 15, 22</w:t>
      </w:r>
      <w:r w:rsidR="006312BA" w:rsidRPr="00F242DD">
        <w:rPr>
          <w:rFonts w:eastAsia="Times New Roman"/>
          <w:szCs w:val="24"/>
          <w:lang w:eastAsia="ru-RU"/>
        </w:rPr>
        <w:t>-й</w:t>
      </w:r>
    </w:p>
    <w:p w14:paraId="7B9A064F"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возобновляется на 36</w:t>
      </w:r>
      <w:r w:rsidR="006312BA" w:rsidRPr="00F242DD">
        <w:rPr>
          <w:rFonts w:eastAsia="Times New Roman"/>
          <w:szCs w:val="24"/>
          <w:lang w:eastAsia="ru-RU"/>
        </w:rPr>
        <w:t>-й</w:t>
      </w:r>
      <w:r w:rsidRPr="00F242DD">
        <w:rPr>
          <w:rFonts w:eastAsia="Times New Roman"/>
          <w:szCs w:val="24"/>
          <w:lang w:eastAsia="ru-RU"/>
        </w:rPr>
        <w:t xml:space="preserve"> день</w:t>
      </w:r>
      <w:r w:rsidR="006312BA" w:rsidRPr="00F242DD">
        <w:rPr>
          <w:rFonts w:eastAsia="Times New Roman"/>
          <w:szCs w:val="24"/>
          <w:lang w:eastAsia="ru-RU"/>
        </w:rPr>
        <w:t>.</w:t>
      </w:r>
    </w:p>
    <w:p w14:paraId="5EF0F4CA"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Проводят 9 курсов</w:t>
      </w:r>
    </w:p>
    <w:p w14:paraId="5CEBDF65" w14:textId="77777777" w:rsidR="000546DA" w:rsidRPr="00F242DD" w:rsidRDefault="000546DA" w:rsidP="00727CDE">
      <w:pPr>
        <w:numPr>
          <w:ilvl w:val="0"/>
          <w:numId w:val="14"/>
        </w:numPr>
        <w:spacing w:before="0" w:after="0"/>
        <w:contextualSpacing/>
        <w:jc w:val="left"/>
        <w:rPr>
          <w:rFonts w:eastAsia="Times New Roman"/>
          <w:szCs w:val="24"/>
          <w:lang w:eastAsia="ru-RU"/>
        </w:rPr>
      </w:pPr>
      <w:r w:rsidRPr="00F242DD">
        <w:rPr>
          <w:rFonts w:eastAsia="Times New Roman"/>
          <w:szCs w:val="24"/>
          <w:lang w:eastAsia="ru-RU"/>
        </w:rPr>
        <w:t>Модифицированный вариант</w:t>
      </w:r>
      <w:r w:rsidR="006312BA" w:rsidRPr="00F242DD">
        <w:rPr>
          <w:rFonts w:eastAsia="Times New Roman"/>
          <w:szCs w:val="24"/>
          <w:lang w:eastAsia="ru-RU"/>
        </w:rPr>
        <w:t>:</w:t>
      </w:r>
    </w:p>
    <w:p w14:paraId="5FE602C0" w14:textId="77777777" w:rsidR="000546DA" w:rsidRPr="00F242DD" w:rsidRDefault="000546DA" w:rsidP="00727CDE">
      <w:pPr>
        <w:numPr>
          <w:ilvl w:val="1"/>
          <w:numId w:val="14"/>
        </w:numPr>
        <w:spacing w:before="0" w:after="0"/>
        <w:contextualSpacing/>
        <w:jc w:val="left"/>
        <w:rPr>
          <w:rFonts w:eastAsia="Times New Roman"/>
          <w:szCs w:val="24"/>
          <w:lang w:eastAsia="ru-RU"/>
        </w:rPr>
      </w:pPr>
      <w:r w:rsidRPr="00F242DD">
        <w:rPr>
          <w:rFonts w:eastAsia="Times New Roman"/>
          <w:szCs w:val="24"/>
          <w:lang w:eastAsia="ru-RU"/>
        </w:rPr>
        <w:t>Мелфалан** 9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16047085" w14:textId="77777777" w:rsidR="000546DA" w:rsidRPr="00F242DD" w:rsidRDefault="000546DA" w:rsidP="00727CDE">
      <w:pPr>
        <w:numPr>
          <w:ilvl w:val="1"/>
          <w:numId w:val="14"/>
        </w:numPr>
        <w:spacing w:before="0" w:after="0"/>
        <w:contextualSpacing/>
        <w:jc w:val="left"/>
        <w:rPr>
          <w:rFonts w:eastAsia="Times New Roman"/>
          <w:szCs w:val="24"/>
          <w:lang w:eastAsia="ru-RU"/>
        </w:rPr>
      </w:pPr>
      <w:r w:rsidRPr="00F242DD">
        <w:rPr>
          <w:rFonts w:eastAsia="Times New Roman"/>
          <w:szCs w:val="24"/>
          <w:lang w:eastAsia="ru-RU"/>
        </w:rPr>
        <w:t>Преднизолон** 60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435D5FF4" w14:textId="77777777" w:rsidR="000546DA" w:rsidRPr="00F242DD" w:rsidRDefault="000546DA" w:rsidP="00727CDE">
      <w:pPr>
        <w:numPr>
          <w:ilvl w:val="1"/>
          <w:numId w:val="14"/>
        </w:numPr>
        <w:spacing w:before="0" w:after="0"/>
        <w:contextualSpacing/>
        <w:jc w:val="left"/>
        <w:rPr>
          <w:rFonts w:eastAsia="Times New Roman"/>
          <w:szCs w:val="24"/>
          <w:lang w:eastAsia="ru-RU"/>
        </w:rPr>
      </w:pPr>
      <w:r w:rsidRPr="00F242DD">
        <w:rPr>
          <w:rFonts w:eastAsia="Times New Roman"/>
          <w:szCs w:val="24"/>
          <w:lang w:eastAsia="ru-RU"/>
        </w:rPr>
        <w:t>Бортезомиб**1,3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 22, 25, 29, 32</w:t>
      </w:r>
      <w:r w:rsidR="006312BA" w:rsidRPr="00F242DD">
        <w:rPr>
          <w:rFonts w:eastAsia="Times New Roman"/>
          <w:szCs w:val="24"/>
          <w:lang w:eastAsia="ru-RU"/>
        </w:rPr>
        <w:t>-й</w:t>
      </w:r>
    </w:p>
    <w:p w14:paraId="7036F1F9"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Проводят 1 курс, затем начиная с 43</w:t>
      </w:r>
      <w:r w:rsidR="006312BA" w:rsidRPr="00F242DD">
        <w:rPr>
          <w:rFonts w:eastAsia="Times New Roman"/>
          <w:szCs w:val="24"/>
          <w:lang w:eastAsia="ru-RU"/>
        </w:rPr>
        <w:t>-го</w:t>
      </w:r>
      <w:r w:rsidRPr="00F242DD">
        <w:rPr>
          <w:rFonts w:eastAsia="Times New Roman"/>
          <w:szCs w:val="24"/>
          <w:lang w:eastAsia="ru-RU"/>
        </w:rPr>
        <w:t xml:space="preserve"> дня 8 курсов в следующем режиме:</w:t>
      </w:r>
    </w:p>
    <w:p w14:paraId="06EDD19A" w14:textId="77777777" w:rsidR="000546DA" w:rsidRPr="00F242DD" w:rsidRDefault="000546DA" w:rsidP="00727CDE">
      <w:pPr>
        <w:numPr>
          <w:ilvl w:val="1"/>
          <w:numId w:val="14"/>
        </w:numPr>
        <w:spacing w:before="0" w:after="0"/>
        <w:contextualSpacing/>
        <w:jc w:val="left"/>
        <w:rPr>
          <w:rFonts w:eastAsia="Times New Roman"/>
          <w:szCs w:val="24"/>
          <w:lang w:eastAsia="ru-RU"/>
        </w:rPr>
      </w:pPr>
      <w:r w:rsidRPr="00F242DD">
        <w:rPr>
          <w:rFonts w:eastAsia="Times New Roman"/>
          <w:szCs w:val="24"/>
          <w:lang w:eastAsia="ru-RU"/>
        </w:rPr>
        <w:t>Мелфалан** 9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6C8EA309" w14:textId="77777777" w:rsidR="000546DA" w:rsidRPr="00F242DD" w:rsidRDefault="000546DA" w:rsidP="00727CDE">
      <w:pPr>
        <w:numPr>
          <w:ilvl w:val="1"/>
          <w:numId w:val="14"/>
        </w:numPr>
        <w:spacing w:before="0" w:after="0"/>
        <w:contextualSpacing/>
        <w:jc w:val="left"/>
        <w:rPr>
          <w:rFonts w:eastAsia="Times New Roman"/>
          <w:szCs w:val="24"/>
          <w:lang w:eastAsia="ru-RU"/>
        </w:rPr>
      </w:pPr>
      <w:r w:rsidRPr="00F242DD">
        <w:rPr>
          <w:rFonts w:eastAsia="Times New Roman"/>
          <w:szCs w:val="24"/>
          <w:lang w:eastAsia="ru-RU"/>
        </w:rPr>
        <w:t>Преднизолон** 60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371182E9" w14:textId="77777777" w:rsidR="000546DA" w:rsidRPr="00F242DD" w:rsidRDefault="000546DA" w:rsidP="00727CDE">
      <w:pPr>
        <w:numPr>
          <w:ilvl w:val="1"/>
          <w:numId w:val="14"/>
        </w:numPr>
        <w:spacing w:before="0" w:after="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8, 22, 29</w:t>
      </w:r>
      <w:r w:rsidR="006312BA" w:rsidRPr="00F242DD">
        <w:rPr>
          <w:rFonts w:eastAsia="Times New Roman"/>
          <w:szCs w:val="24"/>
          <w:lang w:eastAsia="ru-RU"/>
        </w:rPr>
        <w:t>-й</w:t>
      </w:r>
    </w:p>
    <w:p w14:paraId="35D7FB30"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lastRenderedPageBreak/>
        <w:t>Лечение возобновляется на 36</w:t>
      </w:r>
      <w:r w:rsidR="006312BA" w:rsidRPr="00F242DD">
        <w:rPr>
          <w:rFonts w:eastAsia="Times New Roman"/>
          <w:szCs w:val="24"/>
          <w:lang w:eastAsia="ru-RU"/>
        </w:rPr>
        <w:t>-й</w:t>
      </w:r>
      <w:r w:rsidRPr="00F242DD">
        <w:rPr>
          <w:rFonts w:eastAsia="Times New Roman"/>
          <w:szCs w:val="24"/>
          <w:lang w:eastAsia="ru-RU"/>
        </w:rPr>
        <w:t xml:space="preserve"> день</w:t>
      </w:r>
      <w:r w:rsidR="006312BA" w:rsidRPr="00F242DD">
        <w:rPr>
          <w:rFonts w:eastAsia="Times New Roman"/>
          <w:szCs w:val="24"/>
          <w:lang w:eastAsia="ru-RU"/>
        </w:rPr>
        <w:t>.</w:t>
      </w:r>
    </w:p>
    <w:p w14:paraId="39CC3269" w14:textId="77777777" w:rsidR="000546DA" w:rsidRPr="00F242DD" w:rsidRDefault="000546DA" w:rsidP="00131E36">
      <w:pPr>
        <w:autoSpaceDE w:val="0"/>
        <w:autoSpaceDN w:val="0"/>
        <w:adjustRightInd w:val="0"/>
        <w:spacing w:before="0" w:after="0"/>
        <w:contextualSpacing/>
        <w:rPr>
          <w:szCs w:val="24"/>
          <w:lang w:eastAsia="ru-RU"/>
        </w:rPr>
      </w:pPr>
      <w:r w:rsidRPr="00F242DD">
        <w:rPr>
          <w:b/>
          <w:szCs w:val="24"/>
          <w:lang w:val="en-US" w:eastAsia="ru-RU"/>
        </w:rPr>
        <w:t>Dara</w:t>
      </w:r>
      <w:r w:rsidRPr="00F242DD">
        <w:rPr>
          <w:b/>
          <w:szCs w:val="24"/>
          <w:lang w:eastAsia="ru-RU"/>
        </w:rPr>
        <w:t>-</w:t>
      </w:r>
      <w:r w:rsidRPr="00F242DD">
        <w:rPr>
          <w:b/>
          <w:szCs w:val="24"/>
          <w:lang w:val="en-US" w:eastAsia="ru-RU"/>
        </w:rPr>
        <w:t>VMP</w:t>
      </w:r>
    </w:p>
    <w:p w14:paraId="69B6B50B" w14:textId="77777777" w:rsidR="000546DA" w:rsidRPr="00F242DD" w:rsidRDefault="000546DA" w:rsidP="00727CDE">
      <w:pPr>
        <w:pStyle w:val="a6"/>
        <w:numPr>
          <w:ilvl w:val="0"/>
          <w:numId w:val="17"/>
        </w:numPr>
        <w:autoSpaceDE w:val="0"/>
        <w:autoSpaceDN w:val="0"/>
        <w:adjustRightInd w:val="0"/>
        <w:spacing w:before="0" w:after="0"/>
        <w:rPr>
          <w:szCs w:val="24"/>
          <w:lang w:eastAsia="ru-RU"/>
        </w:rPr>
      </w:pPr>
      <w:r w:rsidRPr="00F242DD">
        <w:rPr>
          <w:szCs w:val="24"/>
          <w:lang w:eastAsia="ru-RU"/>
        </w:rPr>
        <w:t>Даратумумаб</w:t>
      </w:r>
      <w:r w:rsidRPr="00F242DD">
        <w:rPr>
          <w:rFonts w:eastAsia="Times New Roman"/>
          <w:szCs w:val="24"/>
          <w:lang w:eastAsia="ru-RU"/>
        </w:rPr>
        <w:t>**</w:t>
      </w:r>
      <w:r w:rsidRPr="00F242DD">
        <w:rPr>
          <w:szCs w:val="24"/>
          <w:lang w:eastAsia="ru-RU"/>
        </w:rPr>
        <w:tab/>
        <w:t xml:space="preserve">16 мг/кг в/в </w:t>
      </w:r>
    </w:p>
    <w:p w14:paraId="214C4B1A" w14:textId="77777777" w:rsidR="000546DA" w:rsidRPr="00F242DD" w:rsidRDefault="000546DA" w:rsidP="00727CDE">
      <w:pPr>
        <w:pStyle w:val="a6"/>
        <w:numPr>
          <w:ilvl w:val="1"/>
          <w:numId w:val="17"/>
        </w:numPr>
        <w:autoSpaceDE w:val="0"/>
        <w:autoSpaceDN w:val="0"/>
        <w:adjustRightInd w:val="0"/>
        <w:spacing w:before="0" w:after="0"/>
        <w:rPr>
          <w:szCs w:val="24"/>
          <w:lang w:eastAsia="ru-RU"/>
        </w:rPr>
      </w:pPr>
      <w:r w:rsidRPr="00F242DD">
        <w:rPr>
          <w:szCs w:val="24"/>
          <w:lang w:eastAsia="ru-RU"/>
        </w:rPr>
        <w:t>1 раз в неделю в 1</w:t>
      </w:r>
      <w:r w:rsidR="006312BA" w:rsidRPr="00F242DD">
        <w:rPr>
          <w:szCs w:val="24"/>
          <w:lang w:eastAsia="ru-RU"/>
        </w:rPr>
        <w:t>‒</w:t>
      </w:r>
      <w:r w:rsidRPr="00F242DD">
        <w:rPr>
          <w:szCs w:val="24"/>
          <w:lang w:eastAsia="ru-RU"/>
        </w:rPr>
        <w:t>6</w:t>
      </w:r>
      <w:r w:rsidR="006312BA" w:rsidRPr="00F242DD">
        <w:rPr>
          <w:szCs w:val="24"/>
          <w:lang w:eastAsia="ru-RU"/>
        </w:rPr>
        <w:t>-ю</w:t>
      </w:r>
      <w:r w:rsidRPr="00F242DD">
        <w:rPr>
          <w:szCs w:val="24"/>
          <w:lang w:eastAsia="ru-RU"/>
        </w:rPr>
        <w:t xml:space="preserve"> недели (всего 6 доз)</w:t>
      </w:r>
    </w:p>
    <w:p w14:paraId="06E9F1B3" w14:textId="77777777" w:rsidR="000546DA" w:rsidRPr="00F242DD" w:rsidRDefault="000546DA" w:rsidP="00727CDE">
      <w:pPr>
        <w:pStyle w:val="a6"/>
        <w:numPr>
          <w:ilvl w:val="1"/>
          <w:numId w:val="17"/>
        </w:numPr>
        <w:autoSpaceDE w:val="0"/>
        <w:autoSpaceDN w:val="0"/>
        <w:adjustRightInd w:val="0"/>
        <w:spacing w:before="0" w:after="0"/>
        <w:rPr>
          <w:szCs w:val="24"/>
          <w:lang w:eastAsia="ru-RU"/>
        </w:rPr>
      </w:pPr>
      <w:r w:rsidRPr="00F242DD">
        <w:rPr>
          <w:szCs w:val="24"/>
          <w:lang w:eastAsia="ru-RU"/>
        </w:rPr>
        <w:t>1 раз в 3 недели в 7</w:t>
      </w:r>
      <w:r w:rsidR="006312BA" w:rsidRPr="00F242DD">
        <w:rPr>
          <w:szCs w:val="24"/>
          <w:lang w:eastAsia="ru-RU"/>
        </w:rPr>
        <w:t>‒</w:t>
      </w:r>
      <w:r w:rsidRPr="00F242DD">
        <w:rPr>
          <w:szCs w:val="24"/>
          <w:lang w:eastAsia="ru-RU"/>
        </w:rPr>
        <w:t>54</w:t>
      </w:r>
      <w:r w:rsidR="006312BA" w:rsidRPr="00F242DD">
        <w:rPr>
          <w:szCs w:val="24"/>
          <w:lang w:eastAsia="ru-RU"/>
        </w:rPr>
        <w:t>-ю</w:t>
      </w:r>
      <w:r w:rsidRPr="00F242DD">
        <w:rPr>
          <w:szCs w:val="24"/>
          <w:lang w:eastAsia="ru-RU"/>
        </w:rPr>
        <w:t xml:space="preserve"> недели (всего 16 доз)   </w:t>
      </w:r>
    </w:p>
    <w:p w14:paraId="57EA1DEB" w14:textId="77777777" w:rsidR="000546DA" w:rsidRPr="00F242DD" w:rsidRDefault="000546DA" w:rsidP="00727CDE">
      <w:pPr>
        <w:pStyle w:val="a6"/>
        <w:numPr>
          <w:ilvl w:val="1"/>
          <w:numId w:val="17"/>
        </w:numPr>
        <w:autoSpaceDE w:val="0"/>
        <w:autoSpaceDN w:val="0"/>
        <w:adjustRightInd w:val="0"/>
        <w:spacing w:before="0" w:after="0"/>
        <w:rPr>
          <w:szCs w:val="24"/>
          <w:lang w:eastAsia="ru-RU"/>
        </w:rPr>
      </w:pPr>
      <w:r w:rsidRPr="00F242DD">
        <w:rPr>
          <w:szCs w:val="24"/>
          <w:lang w:eastAsia="ru-RU"/>
        </w:rPr>
        <w:t>1 раз в 4 недели с 55</w:t>
      </w:r>
      <w:r w:rsidR="006312BA" w:rsidRPr="00F242DD">
        <w:rPr>
          <w:szCs w:val="24"/>
          <w:lang w:eastAsia="ru-RU"/>
        </w:rPr>
        <w:t>-й</w:t>
      </w:r>
      <w:r w:rsidRPr="00F242DD">
        <w:rPr>
          <w:szCs w:val="24"/>
          <w:lang w:eastAsia="ru-RU"/>
        </w:rPr>
        <w:t xml:space="preserve"> недели до прогрессии</w:t>
      </w:r>
    </w:p>
    <w:p w14:paraId="4B8A9B8F" w14:textId="77777777" w:rsidR="000546DA" w:rsidRPr="00F242DD" w:rsidRDefault="000546DA" w:rsidP="00727CDE">
      <w:pPr>
        <w:pStyle w:val="a6"/>
        <w:numPr>
          <w:ilvl w:val="0"/>
          <w:numId w:val="17"/>
        </w:numPr>
        <w:autoSpaceDE w:val="0"/>
        <w:autoSpaceDN w:val="0"/>
        <w:adjustRightInd w:val="0"/>
        <w:spacing w:before="0" w:after="0"/>
        <w:rPr>
          <w:szCs w:val="24"/>
          <w:lang w:eastAsia="ru-RU"/>
        </w:rPr>
      </w:pPr>
      <w:r w:rsidRPr="00F242DD">
        <w:rPr>
          <w:szCs w:val="24"/>
          <w:lang w:eastAsia="ru-RU"/>
        </w:rPr>
        <w:t>Бортезомиб</w:t>
      </w:r>
      <w:r w:rsidRPr="00F242DD">
        <w:rPr>
          <w:rFonts w:eastAsia="Times New Roman"/>
          <w:szCs w:val="24"/>
          <w:lang w:eastAsia="ru-RU"/>
        </w:rPr>
        <w:t>**</w:t>
      </w:r>
      <w:r w:rsidRPr="00F242DD">
        <w:rPr>
          <w:szCs w:val="24"/>
          <w:lang w:eastAsia="ru-RU"/>
        </w:rPr>
        <w:t xml:space="preserve"> 1,3 мг/м</w:t>
      </w:r>
      <w:r w:rsidRPr="00F242DD">
        <w:rPr>
          <w:szCs w:val="24"/>
          <w:vertAlign w:val="superscript"/>
          <w:lang w:eastAsia="ru-RU"/>
        </w:rPr>
        <w:t>2</w:t>
      </w:r>
      <w:r w:rsidRPr="00F242DD">
        <w:rPr>
          <w:szCs w:val="24"/>
          <w:lang w:eastAsia="ru-RU"/>
        </w:rPr>
        <w:t xml:space="preserve"> п/к </w:t>
      </w:r>
    </w:p>
    <w:p w14:paraId="1F7E98F7" w14:textId="77777777" w:rsidR="000546DA" w:rsidRPr="00F242DD" w:rsidRDefault="000546DA" w:rsidP="00727CDE">
      <w:pPr>
        <w:pStyle w:val="a6"/>
        <w:numPr>
          <w:ilvl w:val="1"/>
          <w:numId w:val="17"/>
        </w:numPr>
        <w:autoSpaceDE w:val="0"/>
        <w:autoSpaceDN w:val="0"/>
        <w:adjustRightInd w:val="0"/>
        <w:spacing w:before="0" w:after="0"/>
        <w:rPr>
          <w:szCs w:val="24"/>
          <w:lang w:eastAsia="ru-RU"/>
        </w:rPr>
      </w:pPr>
      <w:r w:rsidRPr="00F242DD">
        <w:rPr>
          <w:szCs w:val="24"/>
          <w:lang w:eastAsia="ru-RU"/>
        </w:rPr>
        <w:t>2 раза в неделю на 1, 2</w:t>
      </w:r>
      <w:r w:rsidR="006312BA" w:rsidRPr="00F242DD">
        <w:rPr>
          <w:szCs w:val="24"/>
          <w:lang w:eastAsia="ru-RU"/>
        </w:rPr>
        <w:t>,</w:t>
      </w:r>
      <w:r w:rsidRPr="00F242DD">
        <w:rPr>
          <w:szCs w:val="24"/>
          <w:lang w:eastAsia="ru-RU"/>
        </w:rPr>
        <w:t xml:space="preserve"> 4 и 5</w:t>
      </w:r>
      <w:r w:rsidR="006312BA" w:rsidRPr="00F242DD">
        <w:rPr>
          <w:szCs w:val="24"/>
          <w:lang w:eastAsia="ru-RU"/>
        </w:rPr>
        <w:t>-й</w:t>
      </w:r>
      <w:r w:rsidRPr="00F242DD">
        <w:rPr>
          <w:szCs w:val="24"/>
          <w:lang w:eastAsia="ru-RU"/>
        </w:rPr>
        <w:t xml:space="preserve"> неделях первого шестинедельного цикла (цикл 1, 8 доз) </w:t>
      </w:r>
    </w:p>
    <w:p w14:paraId="56BEF14E" w14:textId="77777777" w:rsidR="000546DA" w:rsidRPr="00F242DD" w:rsidRDefault="000546DA" w:rsidP="00727CDE">
      <w:pPr>
        <w:pStyle w:val="a6"/>
        <w:numPr>
          <w:ilvl w:val="1"/>
          <w:numId w:val="17"/>
        </w:numPr>
        <w:autoSpaceDE w:val="0"/>
        <w:autoSpaceDN w:val="0"/>
        <w:adjustRightInd w:val="0"/>
        <w:spacing w:before="0" w:after="0"/>
        <w:rPr>
          <w:szCs w:val="24"/>
          <w:lang w:eastAsia="ru-RU"/>
        </w:rPr>
      </w:pPr>
      <w:r w:rsidRPr="00F242DD">
        <w:rPr>
          <w:szCs w:val="24"/>
          <w:lang w:eastAsia="ru-RU"/>
        </w:rPr>
        <w:t>далее 1 раз в неделю на 1, 2, 4 и 5</w:t>
      </w:r>
      <w:r w:rsidR="006312BA" w:rsidRPr="00F242DD">
        <w:rPr>
          <w:szCs w:val="24"/>
          <w:lang w:eastAsia="ru-RU"/>
        </w:rPr>
        <w:t>-й</w:t>
      </w:r>
      <w:r w:rsidRPr="00F242DD">
        <w:rPr>
          <w:szCs w:val="24"/>
          <w:lang w:eastAsia="ru-RU"/>
        </w:rPr>
        <w:t xml:space="preserve"> неделях следующих 8 шестинедельных циклов (циклы 2</w:t>
      </w:r>
      <w:r w:rsidR="006312BA" w:rsidRPr="00F242DD">
        <w:rPr>
          <w:szCs w:val="24"/>
          <w:lang w:eastAsia="ru-RU"/>
        </w:rPr>
        <w:t>‒</w:t>
      </w:r>
      <w:r w:rsidRPr="00F242DD">
        <w:rPr>
          <w:szCs w:val="24"/>
          <w:lang w:eastAsia="ru-RU"/>
        </w:rPr>
        <w:t>9, 4 дозы на цикл)</w:t>
      </w:r>
    </w:p>
    <w:p w14:paraId="763C124D" w14:textId="7F1DA258" w:rsidR="000546DA" w:rsidRPr="00F242DD" w:rsidRDefault="000546DA" w:rsidP="00727CDE">
      <w:pPr>
        <w:pStyle w:val="a6"/>
        <w:numPr>
          <w:ilvl w:val="0"/>
          <w:numId w:val="17"/>
        </w:numPr>
        <w:autoSpaceDE w:val="0"/>
        <w:autoSpaceDN w:val="0"/>
        <w:adjustRightInd w:val="0"/>
        <w:spacing w:before="0" w:after="0"/>
        <w:rPr>
          <w:szCs w:val="24"/>
          <w:lang w:eastAsia="ru-RU"/>
        </w:rPr>
      </w:pPr>
      <w:r w:rsidRPr="00F242DD">
        <w:rPr>
          <w:szCs w:val="24"/>
          <w:lang w:eastAsia="ru-RU"/>
        </w:rPr>
        <w:t>Мелфалан</w:t>
      </w:r>
      <w:r w:rsidRPr="00F242DD">
        <w:rPr>
          <w:rFonts w:eastAsia="Times New Roman"/>
          <w:szCs w:val="24"/>
          <w:lang w:eastAsia="ru-RU"/>
        </w:rPr>
        <w:t>**</w:t>
      </w:r>
      <w:r w:rsidRPr="00F242DD">
        <w:rPr>
          <w:szCs w:val="24"/>
          <w:lang w:eastAsia="ru-RU"/>
        </w:rPr>
        <w:t xml:space="preserve"> 9 мг/м</w:t>
      </w:r>
      <w:r w:rsidRPr="00F242DD">
        <w:rPr>
          <w:szCs w:val="24"/>
          <w:vertAlign w:val="superscript"/>
          <w:lang w:eastAsia="ru-RU"/>
        </w:rPr>
        <w:t>2</w:t>
      </w:r>
      <w:r w:rsidRPr="00F242DD">
        <w:rPr>
          <w:szCs w:val="24"/>
          <w:lang w:eastAsia="ru-RU"/>
        </w:rPr>
        <w:t xml:space="preserve"> и преднизолон</w:t>
      </w:r>
      <w:r w:rsidR="009A138D" w:rsidRPr="00F242DD">
        <w:rPr>
          <w:szCs w:val="24"/>
          <w:lang w:eastAsia="ru-RU"/>
        </w:rPr>
        <w:t>**</w:t>
      </w:r>
      <w:r w:rsidRPr="00F242DD">
        <w:rPr>
          <w:szCs w:val="24"/>
          <w:lang w:eastAsia="ru-RU"/>
        </w:rPr>
        <w:t xml:space="preserve"> 60 мг/м</w:t>
      </w:r>
      <w:r w:rsidRPr="00F242DD">
        <w:rPr>
          <w:szCs w:val="24"/>
          <w:vertAlign w:val="superscript"/>
          <w:lang w:eastAsia="ru-RU"/>
        </w:rPr>
        <w:t>2</w:t>
      </w:r>
      <w:r w:rsidR="004C0C25">
        <w:rPr>
          <w:szCs w:val="24"/>
          <w:lang w:eastAsia="ru-RU"/>
        </w:rPr>
        <w:t>энтерально в дни 1</w:t>
      </w:r>
      <w:r w:rsidR="00521D08">
        <w:rPr>
          <w:szCs w:val="24"/>
          <w:lang w:eastAsia="ru-RU"/>
        </w:rPr>
        <w:t>-</w:t>
      </w:r>
      <w:r w:rsidRPr="00F242DD">
        <w:rPr>
          <w:szCs w:val="24"/>
          <w:lang w:eastAsia="ru-RU"/>
        </w:rPr>
        <w:t>4</w:t>
      </w:r>
      <w:r w:rsidR="006312BA" w:rsidRPr="00F242DD">
        <w:rPr>
          <w:szCs w:val="24"/>
          <w:lang w:eastAsia="ru-RU"/>
        </w:rPr>
        <w:t>-й</w:t>
      </w:r>
      <w:r w:rsidRPr="00F242DD">
        <w:rPr>
          <w:szCs w:val="24"/>
          <w:lang w:eastAsia="ru-RU"/>
        </w:rPr>
        <w:t xml:space="preserve"> </w:t>
      </w:r>
      <w:r w:rsidR="006312BA" w:rsidRPr="00F242DD">
        <w:rPr>
          <w:szCs w:val="24"/>
          <w:lang w:eastAsia="ru-RU"/>
        </w:rPr>
        <w:t>9</w:t>
      </w:r>
      <w:r w:rsidRPr="00F242DD">
        <w:rPr>
          <w:szCs w:val="24"/>
          <w:lang w:eastAsia="ru-RU"/>
        </w:rPr>
        <w:t xml:space="preserve"> шестинедельных циклов (циклы 1</w:t>
      </w:r>
      <w:r w:rsidR="006312BA" w:rsidRPr="00F242DD">
        <w:rPr>
          <w:szCs w:val="24"/>
          <w:lang w:eastAsia="ru-RU"/>
        </w:rPr>
        <w:t>‒</w:t>
      </w:r>
      <w:r w:rsidRPr="00F242DD">
        <w:rPr>
          <w:szCs w:val="24"/>
          <w:lang w:eastAsia="ru-RU"/>
        </w:rPr>
        <w:t>9)</w:t>
      </w:r>
    </w:p>
    <w:p w14:paraId="7997136C" w14:textId="77777777" w:rsidR="000546DA" w:rsidRPr="00F242DD" w:rsidRDefault="000546DA" w:rsidP="00131E36">
      <w:pPr>
        <w:spacing w:before="0" w:after="0"/>
        <w:contextualSpacing/>
        <w:rPr>
          <w:rFonts w:eastAsia="Times New Roman"/>
          <w:b/>
          <w:szCs w:val="24"/>
          <w:lang w:eastAsia="ru-RU"/>
        </w:rPr>
      </w:pPr>
      <w:r w:rsidRPr="00F242DD">
        <w:rPr>
          <w:rFonts w:eastAsia="Times New Roman"/>
          <w:b/>
          <w:szCs w:val="24"/>
          <w:lang w:eastAsia="ru-RU"/>
        </w:rPr>
        <w:t>VD</w:t>
      </w:r>
    </w:p>
    <w:p w14:paraId="33D11564" w14:textId="77777777" w:rsidR="00BF55DF" w:rsidRPr="00F242DD" w:rsidRDefault="00BF55DF" w:rsidP="00727CDE">
      <w:pPr>
        <w:numPr>
          <w:ilvl w:val="0"/>
          <w:numId w:val="14"/>
        </w:numPr>
        <w:spacing w:before="0" w:after="0"/>
        <w:contextualSpacing/>
        <w:jc w:val="left"/>
        <w:rPr>
          <w:rFonts w:eastAsia="Times New Roman"/>
          <w:szCs w:val="24"/>
          <w:lang w:eastAsia="ru-RU"/>
        </w:rPr>
      </w:pPr>
      <w:r w:rsidRPr="00F242DD">
        <w:rPr>
          <w:rFonts w:eastAsia="Times New Roman"/>
          <w:szCs w:val="24"/>
          <w:lang w:eastAsia="ru-RU"/>
        </w:rPr>
        <w:t>1‒4-й курсы:</w:t>
      </w:r>
    </w:p>
    <w:p w14:paraId="772E5A3E" w14:textId="77777777" w:rsidR="00BF55DF" w:rsidRPr="00F242DD" w:rsidRDefault="00BF55DF" w:rsidP="00727CDE">
      <w:pPr>
        <w:numPr>
          <w:ilvl w:val="1"/>
          <w:numId w:val="14"/>
        </w:numPr>
        <w:spacing w:before="0" w:after="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11-й</w:t>
      </w:r>
    </w:p>
    <w:p w14:paraId="4848F036" w14:textId="77777777" w:rsidR="00BF55DF" w:rsidRPr="00F242DD" w:rsidRDefault="00BF55DF" w:rsidP="00727CDE">
      <w:pPr>
        <w:numPr>
          <w:ilvl w:val="1"/>
          <w:numId w:val="14"/>
        </w:numPr>
        <w:spacing w:before="0" w:after="0"/>
        <w:contextualSpacing/>
        <w:jc w:val="left"/>
        <w:rPr>
          <w:rFonts w:eastAsia="Times New Roman"/>
          <w:szCs w:val="24"/>
          <w:lang w:eastAsia="ru-RU"/>
        </w:rPr>
      </w:pPr>
      <w:r w:rsidRPr="00F242DD">
        <w:rPr>
          <w:rFonts w:eastAsia="Times New Roman"/>
          <w:szCs w:val="24"/>
          <w:lang w:eastAsia="ru-RU"/>
        </w:rPr>
        <w:t xml:space="preserve">Дексаметазон** </w:t>
      </w:r>
      <w:r w:rsidR="00705691" w:rsidRPr="00F242DD">
        <w:rPr>
          <w:rFonts w:eastAsia="Times New Roman"/>
          <w:szCs w:val="24"/>
          <w:lang w:eastAsia="ru-RU"/>
        </w:rPr>
        <w:t xml:space="preserve">40 </w:t>
      </w:r>
      <w:r w:rsidRPr="00F242DD">
        <w:rPr>
          <w:rFonts w:eastAsia="Times New Roman"/>
          <w:szCs w:val="24"/>
          <w:lang w:eastAsia="ru-RU"/>
        </w:rPr>
        <w:t>мг внутрь, дни 1</w:t>
      </w:r>
      <w:r w:rsidR="00705691" w:rsidRPr="00F242DD">
        <w:rPr>
          <w:rFonts w:eastAsia="Times New Roman"/>
          <w:szCs w:val="24"/>
          <w:lang w:eastAsia="ru-RU"/>
        </w:rPr>
        <w:t xml:space="preserve">-4 и 9-12 (циклы 1, 2) и дни 1-4 (циклы 3, 4) </w:t>
      </w:r>
      <w:r w:rsidRPr="00F242DD">
        <w:rPr>
          <w:rFonts w:eastAsia="Times New Roman"/>
          <w:szCs w:val="24"/>
          <w:lang w:eastAsia="ru-RU"/>
        </w:rPr>
        <w:t xml:space="preserve"> </w:t>
      </w:r>
    </w:p>
    <w:p w14:paraId="313432D7" w14:textId="77777777" w:rsidR="00BF55DF" w:rsidRPr="00F242DD" w:rsidRDefault="00BF55DF" w:rsidP="00BF55DF">
      <w:pPr>
        <w:spacing w:before="0" w:after="0"/>
        <w:contextualSpacing/>
        <w:rPr>
          <w:rFonts w:eastAsia="Times New Roman"/>
          <w:szCs w:val="24"/>
          <w:lang w:eastAsia="ru-RU"/>
        </w:rPr>
      </w:pPr>
      <w:r w:rsidRPr="00F242DD">
        <w:rPr>
          <w:rFonts w:eastAsia="Times New Roman"/>
          <w:szCs w:val="24"/>
          <w:lang w:eastAsia="ru-RU"/>
        </w:rPr>
        <w:t>Лечение возобновляется на 22-й день.</w:t>
      </w:r>
    </w:p>
    <w:p w14:paraId="3A8F392C" w14:textId="77777777" w:rsidR="00BF55DF" w:rsidRPr="00F242DD" w:rsidRDefault="00BF55DF" w:rsidP="00727CDE">
      <w:pPr>
        <w:numPr>
          <w:ilvl w:val="0"/>
          <w:numId w:val="14"/>
        </w:numPr>
        <w:spacing w:before="0" w:after="0"/>
        <w:contextualSpacing/>
        <w:jc w:val="left"/>
        <w:rPr>
          <w:rFonts w:eastAsia="Times New Roman"/>
          <w:szCs w:val="24"/>
          <w:lang w:eastAsia="ru-RU"/>
        </w:rPr>
      </w:pPr>
      <w:r w:rsidRPr="00F242DD">
        <w:rPr>
          <w:rFonts w:eastAsia="Times New Roman"/>
          <w:szCs w:val="24"/>
          <w:lang w:eastAsia="ru-RU"/>
        </w:rPr>
        <w:t>5‒8-й курсы:</w:t>
      </w:r>
    </w:p>
    <w:p w14:paraId="2391295F" w14:textId="77777777" w:rsidR="00BF55DF" w:rsidRPr="00F242DD" w:rsidRDefault="00BF55DF" w:rsidP="00727CDE">
      <w:pPr>
        <w:numPr>
          <w:ilvl w:val="1"/>
          <w:numId w:val="14"/>
        </w:numPr>
        <w:spacing w:before="0" w:after="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11-й</w:t>
      </w:r>
    </w:p>
    <w:p w14:paraId="12ECF9EE" w14:textId="77777777" w:rsidR="00BF55DF" w:rsidRPr="00F242DD" w:rsidRDefault="00BF55DF" w:rsidP="00727CDE">
      <w:pPr>
        <w:numPr>
          <w:ilvl w:val="1"/>
          <w:numId w:val="14"/>
        </w:numPr>
        <w:spacing w:before="0" w:after="0"/>
        <w:contextualSpacing/>
        <w:jc w:val="left"/>
        <w:rPr>
          <w:rFonts w:eastAsia="Times New Roman"/>
          <w:szCs w:val="24"/>
          <w:lang w:eastAsia="ru-RU"/>
        </w:rPr>
      </w:pPr>
      <w:r w:rsidRPr="00F242DD">
        <w:rPr>
          <w:rFonts w:eastAsia="Times New Roman"/>
          <w:szCs w:val="24"/>
          <w:lang w:eastAsia="ru-RU"/>
        </w:rPr>
        <w:t xml:space="preserve">Дексаметазон** 20 мг внутрь, дни 1, 2, 4, 5-й </w:t>
      </w:r>
    </w:p>
    <w:p w14:paraId="283CDFD3" w14:textId="77777777" w:rsidR="00BF55DF" w:rsidRPr="00F242DD" w:rsidRDefault="00BF55DF" w:rsidP="00BF55DF">
      <w:pPr>
        <w:spacing w:before="0" w:after="0"/>
        <w:contextualSpacing/>
        <w:rPr>
          <w:rFonts w:eastAsia="Times New Roman"/>
          <w:szCs w:val="24"/>
          <w:lang w:eastAsia="ru-RU"/>
        </w:rPr>
      </w:pPr>
      <w:r w:rsidRPr="00F242DD">
        <w:rPr>
          <w:rFonts w:eastAsia="Times New Roman"/>
          <w:szCs w:val="24"/>
          <w:lang w:eastAsia="ru-RU"/>
        </w:rPr>
        <w:t>Лечение возобновляется на 22-й день.</w:t>
      </w:r>
    </w:p>
    <w:p w14:paraId="42637C9E" w14:textId="77777777" w:rsidR="000546DA" w:rsidRPr="00F242DD" w:rsidRDefault="000546DA" w:rsidP="00131E36">
      <w:pPr>
        <w:spacing w:before="0" w:after="0"/>
        <w:contextualSpacing/>
        <w:rPr>
          <w:rFonts w:eastAsia="Times New Roman"/>
          <w:szCs w:val="24"/>
          <w:lang w:eastAsia="ru-RU"/>
        </w:rPr>
      </w:pPr>
      <w:r w:rsidRPr="00F242DD">
        <w:rPr>
          <w:rFonts w:eastAsia="Times New Roman"/>
          <w:b/>
          <w:szCs w:val="24"/>
          <w:lang w:eastAsia="ru-RU"/>
        </w:rPr>
        <w:t>VCP</w:t>
      </w:r>
      <w:r w:rsidRPr="00F242DD">
        <w:rPr>
          <w:rFonts w:eastAsia="Times New Roman"/>
          <w:szCs w:val="24"/>
          <w:lang w:eastAsia="ru-RU"/>
        </w:rPr>
        <w:t xml:space="preserve"> (для пациентов </w:t>
      </w:r>
      <w:r w:rsidR="006312BA" w:rsidRPr="00F242DD">
        <w:rPr>
          <w:rFonts w:eastAsia="Times New Roman"/>
          <w:szCs w:val="24"/>
          <w:lang w:eastAsia="ru-RU"/>
        </w:rPr>
        <w:t>с ММ</w:t>
      </w:r>
      <w:r w:rsidRPr="00F242DD">
        <w:rPr>
          <w:rFonts w:eastAsia="Times New Roman"/>
          <w:szCs w:val="24"/>
          <w:lang w:eastAsia="ru-RU"/>
        </w:rPr>
        <w:t xml:space="preserve"> старше 75 лет)</w:t>
      </w:r>
    </w:p>
    <w:p w14:paraId="7DB08080" w14:textId="77777777" w:rsidR="000546DA" w:rsidRPr="00F242DD" w:rsidRDefault="000546DA" w:rsidP="00727CDE">
      <w:pPr>
        <w:numPr>
          <w:ilvl w:val="0"/>
          <w:numId w:val="18"/>
        </w:numPr>
        <w:spacing w:before="0" w:after="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8, 15, 22</w:t>
      </w:r>
      <w:r w:rsidR="006312BA" w:rsidRPr="00F242DD">
        <w:rPr>
          <w:rFonts w:eastAsia="Times New Roman"/>
          <w:szCs w:val="24"/>
          <w:lang w:eastAsia="ru-RU"/>
        </w:rPr>
        <w:t>-й</w:t>
      </w:r>
    </w:p>
    <w:p w14:paraId="773EBD29" w14:textId="77777777" w:rsidR="000546DA" w:rsidRPr="00F242DD" w:rsidRDefault="000546DA" w:rsidP="00727CDE">
      <w:pPr>
        <w:numPr>
          <w:ilvl w:val="0"/>
          <w:numId w:val="18"/>
        </w:numPr>
        <w:spacing w:before="0" w:after="0"/>
        <w:contextualSpacing/>
        <w:jc w:val="left"/>
        <w:rPr>
          <w:rFonts w:eastAsia="Times New Roman"/>
          <w:szCs w:val="24"/>
          <w:lang w:eastAsia="ru-RU"/>
        </w:rPr>
      </w:pPr>
      <w:r w:rsidRPr="00F242DD">
        <w:rPr>
          <w:rFonts w:eastAsia="Times New Roman"/>
          <w:szCs w:val="24"/>
          <w:lang w:eastAsia="ru-RU"/>
        </w:rPr>
        <w:t>Преднизолон** 30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3CEBC81A" w14:textId="77777777" w:rsidR="000546DA" w:rsidRPr="00F242DD" w:rsidRDefault="000546DA" w:rsidP="00727CDE">
      <w:pPr>
        <w:numPr>
          <w:ilvl w:val="0"/>
          <w:numId w:val="18"/>
        </w:numPr>
        <w:spacing w:before="0" w:after="0"/>
        <w:contextualSpacing/>
        <w:jc w:val="left"/>
        <w:rPr>
          <w:rFonts w:eastAsia="Times New Roman"/>
          <w:szCs w:val="24"/>
          <w:lang w:eastAsia="ru-RU"/>
        </w:rPr>
      </w:pPr>
      <w:r w:rsidRPr="00F242DD">
        <w:rPr>
          <w:rFonts w:eastAsia="Times New Roman"/>
          <w:szCs w:val="24"/>
          <w:lang w:eastAsia="ru-RU"/>
        </w:rPr>
        <w:t>Циклофосфамид** 50 мг внутрь, дни 1</w:t>
      </w:r>
      <w:r w:rsidR="006312BA" w:rsidRPr="00F242DD">
        <w:rPr>
          <w:rFonts w:eastAsia="Times New Roman"/>
          <w:szCs w:val="24"/>
          <w:lang w:eastAsia="ru-RU"/>
        </w:rPr>
        <w:t>‒</w:t>
      </w:r>
      <w:r w:rsidRPr="00F242DD">
        <w:rPr>
          <w:rFonts w:eastAsia="Times New Roman"/>
          <w:szCs w:val="24"/>
          <w:lang w:eastAsia="ru-RU"/>
        </w:rPr>
        <w:t>21</w:t>
      </w:r>
      <w:r w:rsidR="006312BA" w:rsidRPr="00F242DD">
        <w:rPr>
          <w:rFonts w:eastAsia="Times New Roman"/>
          <w:szCs w:val="24"/>
          <w:lang w:eastAsia="ru-RU"/>
        </w:rPr>
        <w:t>-й</w:t>
      </w:r>
    </w:p>
    <w:p w14:paraId="3C68712D"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возобновляется на 36</w:t>
      </w:r>
      <w:r w:rsidR="006312BA" w:rsidRPr="00F242DD">
        <w:rPr>
          <w:rFonts w:eastAsia="Times New Roman"/>
          <w:szCs w:val="24"/>
          <w:lang w:eastAsia="ru-RU"/>
        </w:rPr>
        <w:t>-й</w:t>
      </w:r>
      <w:r w:rsidRPr="00F242DD">
        <w:rPr>
          <w:rFonts w:eastAsia="Times New Roman"/>
          <w:szCs w:val="24"/>
          <w:lang w:eastAsia="ru-RU"/>
        </w:rPr>
        <w:t xml:space="preserve"> день</w:t>
      </w:r>
      <w:r w:rsidR="00E86459" w:rsidRPr="00F242DD">
        <w:rPr>
          <w:rFonts w:eastAsia="Times New Roman"/>
          <w:szCs w:val="24"/>
          <w:lang w:eastAsia="ru-RU"/>
        </w:rPr>
        <w:t>.</w:t>
      </w:r>
    </w:p>
    <w:p w14:paraId="0DCA9C20"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Проводят 8</w:t>
      </w:r>
      <w:r w:rsidR="006312BA" w:rsidRPr="00F242DD">
        <w:rPr>
          <w:rFonts w:eastAsia="Times New Roman"/>
          <w:szCs w:val="24"/>
          <w:lang w:eastAsia="ru-RU"/>
        </w:rPr>
        <w:t>‒</w:t>
      </w:r>
      <w:r w:rsidRPr="00F242DD">
        <w:rPr>
          <w:rFonts w:eastAsia="Times New Roman"/>
          <w:szCs w:val="24"/>
          <w:lang w:eastAsia="ru-RU"/>
        </w:rPr>
        <w:t>9 курсов</w:t>
      </w:r>
    </w:p>
    <w:p w14:paraId="30D423C2" w14:textId="77777777" w:rsidR="000546DA" w:rsidRPr="00F242DD" w:rsidRDefault="000546DA" w:rsidP="00131E36">
      <w:pPr>
        <w:spacing w:before="0" w:after="0"/>
        <w:contextualSpacing/>
        <w:rPr>
          <w:rFonts w:eastAsia="Times New Roman"/>
          <w:b/>
          <w:szCs w:val="24"/>
        </w:rPr>
      </w:pPr>
      <w:r w:rsidRPr="00F242DD">
        <w:rPr>
          <w:rFonts w:eastAsia="Times New Roman"/>
          <w:b/>
          <w:szCs w:val="24"/>
        </w:rPr>
        <w:t>Rd</w:t>
      </w:r>
      <w:r w:rsidR="00F74B6B" w:rsidRPr="00F242DD">
        <w:rPr>
          <w:rFonts w:eastAsia="Times New Roman"/>
          <w:b/>
          <w:szCs w:val="24"/>
        </w:rPr>
        <w:t xml:space="preserve"> </w:t>
      </w:r>
      <w:r w:rsidR="00F74B6B" w:rsidRPr="00F242DD">
        <w:rPr>
          <w:rFonts w:eastAsia="Times New Roman"/>
          <w:b/>
          <w:szCs w:val="24"/>
        </w:rPr>
        <w:fldChar w:fldCharType="begin" w:fldLock="1"/>
      </w:r>
      <w:r w:rsidR="00626692" w:rsidRPr="00F242DD">
        <w:rPr>
          <w:rFonts w:eastAsia="Times New Roman"/>
          <w:b/>
          <w:szCs w:val="24"/>
        </w:rPr>
        <w:instrText>ADDIN CSL_CITATION {"citationItems":[{"id":"ITEM-1","itemData":{"DOI":"10.1016/S1470-2045(09)70284-0","ISSN":"14702045","abstract":"Background: High-dose dexamethasone is a mainstay of therapy for multiple myeloma. We studied whether low-dose dexamethasone in combination with lenalidomide is non-inferior to and has lower toxicity than high-dose dexamethasone plus lenalidomide. Methods: Patients with untreated symptomatic myeloma were randomly assigned in this open-label non-inferiority trial to lenalidomide 25 mg on days 1-21 plus dexamethasone 40 mg on days 1-4, 9-12, and 17-20 of a 28-day cycle (high dose), or lenalidomide given on the same schedule with dexamethasone 40 mg on days 1, 8, 15, and 22 of a 28-day cycle (low dose). After four cycles, patients could discontinue therapy to pursue stem-cell transplantation or continue treatment until disease progression. The primary endpoint was response rate after four cycles assessed with European Group for Blood and Bone Marrow Transplant criteria. The non-inferiority margin was an absolute difference of 15% in response rate. Analysis was by modified intention to treat. This trial is registered with ClinicalTrials.gov, number NCT00098475. Findings: 445 patients were randomly assigned: 223 to high-dose and 222 to low-dose regimens. 169 (79%) of 214 patients receiving high-dose therapy and 142 (68%) of 205 patients on low-dose therapy had complete or partial response within four cycles (odds ratio 1·75, 80% CI 1·30-2·32; p=0·008). However, at the second interim analysis at 1 year, overall survival was 96% (95% CI 94-99) in the low-dose dexamethasone group compared with 87% (82-92) in the high-dose group (p=0·0002). As a result, the trial was stopped and patients on high-dose therapy were crossed over to low-dose therapy. 117 patients (52%) on the high-dose regimen had grade three or worse toxic effects in the first 4 months, compared with 76 (35%) of the 220 on the low-dose regimen for whom toxicity data were available (p=0·0001), 12 of 222 on high dose and one of 220 on low-dose dexamethasone died in the first 4 months (p=0·003). The three most common grade three or higher toxicities were deep-vein thrombosis, 57 (26%) of 223 versus 27 (12%) of 220 (p=0·0003); infections including pneumonia, 35 (16%) of 223 versus 20 (9%) of 220 (p=0·04), and fatigue 33 (15%) of 223 versus 20 (9%) of 220 (p=0·08), respectively. Interpretation: Lenalidomide plus low-dose dexamethasone is associated with better short-term overall survival and with lower toxicity than lenalidomide plus high-dose dexamethasone in patients with newly diagnosed myeloma. Fund…","author":[{"dropping-particle":"","family":"Rajkumar","given":"S. Vincent","non-dropping-particle":"","parse-names":false,"suffix":""},{"dropping-particle":"","family":"Jacobus","given":"Susanna","non-dropping-particle":"","parse-names":false,"suffix":""},{"dropping-particle":"","family":"Callander","given":"Natalie S.","non-dropping-particle":"","parse-names":false,"suffix":""},{"dropping-particle":"","family":"Fonseca","given":"Rafael","non-dropping-particle":"","parse-names":false,"suffix":""},{"dropping-particle":"","family":"Vesole","given":"David H.","non-dropping-particle":"","parse-names":false,"suffix":""},{"dropping-particle":"","family":"Williams","given":"Michael E.","non-dropping-particle":"","parse-names":false,"suffix":""},{"dropping-particle":"","family":"Abonour","given":"Rafat","non-dropping-particle":"","parse-names":false,"suffix":""},{"dropping-particle":"","family":"Siegel","given":"David S.","non-dropping-particle":"","parse-names":false,"suffix":""},{"dropping-particle":"","family":"Katz","given":"Michael","non-dropping-particle":"","parse-names":false,"suffix":""},{"dropping-particle":"","family":"Greipp","given":"Philip R.","non-dropping-particle":"","parse-names":false,"suffix":""}],"container-title":"The Lancet Oncology","id":"ITEM-1","issue":"1","issued":{"date-parts":[["2010"]]},"page":"29-37","publisher":"Lancet Publishing Group","title":"Lenalidomide plus high-dose dexamethasone versus lenalidomide plus low-dose dexamethasone as initial therapy for newly diagnosed multiple myeloma: an open-label randomised controlled trial","type":"article-journal","volume":"11"},"uris":["http://www.mendeley.com/documents/?uuid=f61bdf50-959d-3819-8498-c167642ffdfb"]}],"mendeley":{"formattedCitation":"[77]","plainTextFormattedCitation":"[77]","previouslyFormattedCitation":"[77]"},"properties":{"noteIndex":0},"schema":"https://github.com/citation-style-language/schema/raw/master/csl-citation.json"}</w:instrText>
      </w:r>
      <w:r w:rsidR="00F74B6B" w:rsidRPr="00F242DD">
        <w:rPr>
          <w:rFonts w:eastAsia="Times New Roman"/>
          <w:b/>
          <w:szCs w:val="24"/>
        </w:rPr>
        <w:fldChar w:fldCharType="separate"/>
      </w:r>
      <w:r w:rsidR="00F74B6B" w:rsidRPr="00F242DD">
        <w:rPr>
          <w:rFonts w:eastAsia="Times New Roman"/>
          <w:noProof/>
          <w:szCs w:val="24"/>
        </w:rPr>
        <w:t>[77]</w:t>
      </w:r>
      <w:r w:rsidR="00F74B6B" w:rsidRPr="00F242DD">
        <w:rPr>
          <w:rFonts w:eastAsia="Times New Roman"/>
          <w:b/>
          <w:szCs w:val="24"/>
        </w:rPr>
        <w:fldChar w:fldCharType="end"/>
      </w:r>
    </w:p>
    <w:p w14:paraId="556CA2CA" w14:textId="77777777" w:rsidR="00BF55DF" w:rsidRPr="00F242DD" w:rsidRDefault="00BF55DF" w:rsidP="00727CDE">
      <w:pPr>
        <w:pStyle w:val="31"/>
        <w:numPr>
          <w:ilvl w:val="0"/>
          <w:numId w:val="19"/>
        </w:numPr>
        <w:tabs>
          <w:tab w:val="left" w:pos="720"/>
        </w:tabs>
        <w:suppressAutoHyphens/>
        <w:spacing w:line="360" w:lineRule="auto"/>
        <w:contextualSpacing/>
        <w:jc w:val="left"/>
        <w:rPr>
          <w:rFonts w:eastAsia="Times New Roman"/>
        </w:rPr>
      </w:pPr>
      <w:r w:rsidRPr="00F242DD">
        <w:rPr>
          <w:rFonts w:eastAsia="Times New Roman"/>
        </w:rPr>
        <w:t>Леналидомид** 25 мг внутрь, дни 1‒21-й</w:t>
      </w:r>
    </w:p>
    <w:p w14:paraId="43AE0D01" w14:textId="77777777" w:rsidR="00BF55DF" w:rsidRPr="00F242DD" w:rsidRDefault="00BF55DF" w:rsidP="00727CDE">
      <w:pPr>
        <w:pStyle w:val="31"/>
        <w:numPr>
          <w:ilvl w:val="0"/>
          <w:numId w:val="19"/>
        </w:numPr>
        <w:tabs>
          <w:tab w:val="left" w:pos="720"/>
        </w:tabs>
        <w:suppressAutoHyphens/>
        <w:spacing w:line="360" w:lineRule="auto"/>
        <w:contextualSpacing/>
        <w:jc w:val="left"/>
        <w:rPr>
          <w:rFonts w:eastAsia="Times New Roman"/>
        </w:rPr>
      </w:pPr>
      <w:r w:rsidRPr="00F242DD">
        <w:rPr>
          <w:rFonts w:eastAsia="Times New Roman"/>
        </w:rPr>
        <w:t>Дексаметазон** 40 мг внутрь, дни 1, 8, 15, 22-й</w:t>
      </w:r>
    </w:p>
    <w:p w14:paraId="0735AF3E" w14:textId="77777777" w:rsidR="00BF55DF" w:rsidRPr="00F242DD" w:rsidRDefault="00BF55DF" w:rsidP="00BF55DF">
      <w:pPr>
        <w:spacing w:before="0" w:after="0"/>
        <w:contextualSpacing/>
        <w:rPr>
          <w:rFonts w:eastAsia="Times New Roman"/>
          <w:szCs w:val="24"/>
        </w:rPr>
      </w:pPr>
      <w:r w:rsidRPr="00F242DD">
        <w:rPr>
          <w:rFonts w:eastAsia="Times New Roman"/>
          <w:szCs w:val="24"/>
        </w:rPr>
        <w:t>Лечение возобновляется на 29-й день.</w:t>
      </w:r>
    </w:p>
    <w:p w14:paraId="319082C4" w14:textId="77777777" w:rsidR="00BF55DF" w:rsidRPr="00F242DD" w:rsidRDefault="00BF55DF" w:rsidP="00BF55DF">
      <w:pPr>
        <w:spacing w:before="0" w:after="0"/>
        <w:contextualSpacing/>
        <w:rPr>
          <w:rFonts w:eastAsia="Times New Roman"/>
          <w:szCs w:val="24"/>
        </w:rPr>
      </w:pPr>
      <w:r w:rsidRPr="00F242DD">
        <w:rPr>
          <w:rFonts w:eastAsia="Times New Roman"/>
          <w:szCs w:val="24"/>
        </w:rPr>
        <w:t>Лечение продолжают до прогрессирования или развития неприемлемой токсичности.</w:t>
      </w:r>
    </w:p>
    <w:p w14:paraId="0FF5573F" w14:textId="77777777" w:rsidR="00BF55DF" w:rsidRPr="00F242DD" w:rsidRDefault="00BF55DF" w:rsidP="00BF55DF">
      <w:pPr>
        <w:spacing w:before="0" w:after="0"/>
        <w:contextualSpacing/>
        <w:rPr>
          <w:rFonts w:eastAsia="Times New Roman"/>
          <w:b/>
          <w:szCs w:val="24"/>
          <w:lang w:eastAsia="ru-RU"/>
        </w:rPr>
      </w:pPr>
      <w:r w:rsidRPr="00F242DD">
        <w:rPr>
          <w:rFonts w:eastAsia="Times New Roman"/>
          <w:b/>
          <w:szCs w:val="24"/>
          <w:lang w:eastAsia="ru-RU"/>
        </w:rPr>
        <w:lastRenderedPageBreak/>
        <w:t>MP</w:t>
      </w:r>
      <w:r w:rsidRPr="00F242DD">
        <w:rPr>
          <w:rFonts w:eastAsia="Times New Roman"/>
          <w:b/>
          <w:szCs w:val="24"/>
          <w:lang w:val="en-US" w:eastAsia="ru-RU"/>
        </w:rPr>
        <w:t>R</w:t>
      </w:r>
    </w:p>
    <w:p w14:paraId="5220CEA6" w14:textId="77777777" w:rsidR="00BF55DF" w:rsidRPr="00F242DD" w:rsidRDefault="00BF55DF" w:rsidP="00727CDE">
      <w:pPr>
        <w:pStyle w:val="a6"/>
        <w:numPr>
          <w:ilvl w:val="0"/>
          <w:numId w:val="20"/>
        </w:numPr>
        <w:spacing w:before="0" w:after="0"/>
        <w:jc w:val="left"/>
        <w:rPr>
          <w:rFonts w:eastAsia="Times New Roman"/>
          <w:szCs w:val="24"/>
          <w:lang w:eastAsia="ru-RU"/>
        </w:rPr>
      </w:pPr>
      <w:r w:rsidRPr="00F242DD">
        <w:rPr>
          <w:rFonts w:eastAsia="Times New Roman"/>
          <w:szCs w:val="24"/>
          <w:lang w:eastAsia="ru-RU"/>
        </w:rPr>
        <w:t>Мелфалан** 0,18 мг/кг внутрь, дни 1‒4-й</w:t>
      </w:r>
    </w:p>
    <w:p w14:paraId="4FA48A13" w14:textId="77777777" w:rsidR="00BF55DF" w:rsidRPr="00F242DD" w:rsidRDefault="00BF55DF" w:rsidP="00727CDE">
      <w:pPr>
        <w:pStyle w:val="a6"/>
        <w:numPr>
          <w:ilvl w:val="0"/>
          <w:numId w:val="20"/>
        </w:numPr>
        <w:spacing w:before="0" w:after="0"/>
        <w:jc w:val="left"/>
        <w:rPr>
          <w:rFonts w:eastAsia="Times New Roman"/>
          <w:szCs w:val="24"/>
          <w:lang w:eastAsia="ru-RU"/>
        </w:rPr>
      </w:pPr>
      <w:r w:rsidRPr="00F242DD">
        <w:rPr>
          <w:rFonts w:eastAsia="Times New Roman"/>
          <w:szCs w:val="24"/>
          <w:lang w:eastAsia="ru-RU"/>
        </w:rPr>
        <w:t>Преднизолон** 2 мг/кг внутрь, дни 1‒4-й</w:t>
      </w:r>
    </w:p>
    <w:p w14:paraId="7651D796" w14:textId="77777777" w:rsidR="00BF55DF" w:rsidRPr="00F242DD" w:rsidRDefault="00BF55DF" w:rsidP="00727CDE">
      <w:pPr>
        <w:pStyle w:val="a6"/>
        <w:numPr>
          <w:ilvl w:val="0"/>
          <w:numId w:val="20"/>
        </w:numPr>
        <w:spacing w:before="0" w:after="0"/>
        <w:jc w:val="left"/>
        <w:rPr>
          <w:rFonts w:eastAsia="Times New Roman"/>
          <w:szCs w:val="24"/>
          <w:lang w:eastAsia="ru-RU"/>
        </w:rPr>
      </w:pPr>
      <w:r w:rsidRPr="00F242DD">
        <w:rPr>
          <w:rFonts w:eastAsia="Times New Roman"/>
          <w:szCs w:val="24"/>
          <w:lang w:eastAsia="ru-RU"/>
        </w:rPr>
        <w:t>Леналидомид** 10 мг внутрь, дни 1‒21-й</w:t>
      </w:r>
    </w:p>
    <w:p w14:paraId="3CC889C8" w14:textId="77777777" w:rsidR="00BF55DF" w:rsidRPr="00F242DD" w:rsidRDefault="00BF55DF" w:rsidP="00BF55DF">
      <w:pPr>
        <w:spacing w:before="0" w:after="0"/>
        <w:contextualSpacing/>
        <w:rPr>
          <w:rFonts w:eastAsia="Times New Roman"/>
          <w:szCs w:val="24"/>
          <w:lang w:eastAsia="ru-RU"/>
        </w:rPr>
      </w:pPr>
      <w:r w:rsidRPr="00F242DD">
        <w:rPr>
          <w:rFonts w:eastAsia="Times New Roman"/>
          <w:szCs w:val="24"/>
          <w:lang w:eastAsia="ru-RU"/>
        </w:rPr>
        <w:t>Лечение возобновляется на 29-й день.</w:t>
      </w:r>
    </w:p>
    <w:p w14:paraId="745A93E5" w14:textId="77777777" w:rsidR="00BF55DF" w:rsidRPr="00F242DD" w:rsidRDefault="00BF55DF" w:rsidP="00BF55DF">
      <w:pPr>
        <w:spacing w:before="0" w:after="0"/>
        <w:contextualSpacing/>
        <w:rPr>
          <w:rFonts w:eastAsia="Times New Roman"/>
          <w:szCs w:val="24"/>
          <w:lang w:eastAsia="ru-RU"/>
        </w:rPr>
      </w:pPr>
      <w:r w:rsidRPr="00F242DD">
        <w:rPr>
          <w:rFonts w:eastAsia="Times New Roman"/>
          <w:szCs w:val="24"/>
          <w:lang w:eastAsia="ru-RU"/>
        </w:rPr>
        <w:t>После 9 курсов продолжается терапия леналидомидом в монорежиме в дозе 10 мг/сут с 1-го по 21-й дни 28-дневного цикла.</w:t>
      </w:r>
    </w:p>
    <w:p w14:paraId="51E8BB04" w14:textId="77777777" w:rsidR="000546DA" w:rsidRPr="00F242DD" w:rsidRDefault="000546DA" w:rsidP="00131E36">
      <w:pPr>
        <w:spacing w:before="0" w:after="0"/>
        <w:contextualSpacing/>
        <w:rPr>
          <w:rFonts w:eastAsia="Times New Roman"/>
          <w:b/>
          <w:szCs w:val="24"/>
          <w:lang w:eastAsia="ru-RU"/>
        </w:rPr>
      </w:pPr>
      <w:r w:rsidRPr="00F242DD">
        <w:rPr>
          <w:rFonts w:eastAsia="Times New Roman"/>
          <w:b/>
          <w:szCs w:val="24"/>
          <w:lang w:eastAsia="ru-RU"/>
        </w:rPr>
        <w:t>MP (7-дневная)</w:t>
      </w:r>
    </w:p>
    <w:p w14:paraId="685B67FC" w14:textId="77777777" w:rsidR="000546DA" w:rsidRPr="00F242DD" w:rsidRDefault="000546DA" w:rsidP="00727CDE">
      <w:pPr>
        <w:numPr>
          <w:ilvl w:val="0"/>
          <w:numId w:val="21"/>
        </w:numPr>
        <w:spacing w:before="0" w:after="0"/>
        <w:contextualSpacing/>
        <w:jc w:val="left"/>
        <w:rPr>
          <w:rFonts w:eastAsia="Times New Roman"/>
          <w:szCs w:val="24"/>
          <w:lang w:eastAsia="ru-RU"/>
        </w:rPr>
      </w:pPr>
      <w:r w:rsidRPr="00F242DD">
        <w:rPr>
          <w:rFonts w:eastAsia="Times New Roman"/>
          <w:szCs w:val="24"/>
          <w:lang w:eastAsia="ru-RU"/>
        </w:rPr>
        <w:t>Мелфалан** 8</w:t>
      </w:r>
      <w:r w:rsidR="006312BA" w:rsidRPr="00F242DD">
        <w:rPr>
          <w:rFonts w:eastAsia="Times New Roman"/>
          <w:szCs w:val="24"/>
          <w:lang w:eastAsia="ru-RU"/>
        </w:rPr>
        <w:t>‒</w:t>
      </w:r>
      <w:r w:rsidRPr="00F242DD">
        <w:rPr>
          <w:rFonts w:eastAsia="Times New Roman"/>
          <w:szCs w:val="24"/>
          <w:lang w:eastAsia="ru-RU"/>
        </w:rPr>
        <w:t>10 мг внутрь, дни 1</w:t>
      </w:r>
      <w:r w:rsidR="006312BA" w:rsidRPr="00F242DD">
        <w:rPr>
          <w:rFonts w:eastAsia="Times New Roman"/>
          <w:szCs w:val="24"/>
          <w:lang w:eastAsia="ru-RU"/>
        </w:rPr>
        <w:t>‒</w:t>
      </w:r>
      <w:r w:rsidRPr="00F242DD">
        <w:rPr>
          <w:rFonts w:eastAsia="Times New Roman"/>
          <w:szCs w:val="24"/>
          <w:lang w:eastAsia="ru-RU"/>
        </w:rPr>
        <w:t>7</w:t>
      </w:r>
      <w:r w:rsidR="006312BA" w:rsidRPr="00F242DD">
        <w:rPr>
          <w:rFonts w:eastAsia="Times New Roman"/>
          <w:szCs w:val="24"/>
          <w:lang w:eastAsia="ru-RU"/>
        </w:rPr>
        <w:t>-й</w:t>
      </w:r>
    </w:p>
    <w:p w14:paraId="15B11F18" w14:textId="77777777" w:rsidR="000546DA" w:rsidRPr="00F242DD" w:rsidRDefault="000546DA" w:rsidP="00727CDE">
      <w:pPr>
        <w:numPr>
          <w:ilvl w:val="0"/>
          <w:numId w:val="21"/>
        </w:numPr>
        <w:spacing w:before="0" w:after="0"/>
        <w:contextualSpacing/>
        <w:jc w:val="left"/>
        <w:rPr>
          <w:rFonts w:eastAsia="Times New Roman"/>
          <w:szCs w:val="24"/>
          <w:lang w:eastAsia="ru-RU"/>
        </w:rPr>
      </w:pPr>
      <w:r w:rsidRPr="00F242DD">
        <w:rPr>
          <w:rFonts w:eastAsia="Times New Roman"/>
          <w:szCs w:val="24"/>
          <w:lang w:eastAsia="ru-RU"/>
        </w:rPr>
        <w:t>Преднизолон** 60 мг внутрь, дни 1</w:t>
      </w:r>
      <w:r w:rsidR="006312BA" w:rsidRPr="00F242DD">
        <w:rPr>
          <w:rFonts w:eastAsia="Times New Roman"/>
          <w:szCs w:val="24"/>
          <w:lang w:eastAsia="ru-RU"/>
        </w:rPr>
        <w:t>‒</w:t>
      </w:r>
      <w:r w:rsidRPr="00F242DD">
        <w:rPr>
          <w:rFonts w:eastAsia="Times New Roman"/>
          <w:szCs w:val="24"/>
          <w:lang w:eastAsia="ru-RU"/>
        </w:rPr>
        <w:t>7</w:t>
      </w:r>
      <w:r w:rsidR="006312BA" w:rsidRPr="00F242DD">
        <w:rPr>
          <w:rFonts w:eastAsia="Times New Roman"/>
          <w:szCs w:val="24"/>
          <w:lang w:eastAsia="ru-RU"/>
        </w:rPr>
        <w:t>-й</w:t>
      </w:r>
    </w:p>
    <w:p w14:paraId="47028873"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возобновляется на 43</w:t>
      </w:r>
      <w:r w:rsidR="006312BA" w:rsidRPr="00F242DD">
        <w:rPr>
          <w:rFonts w:eastAsia="Times New Roman"/>
          <w:szCs w:val="24"/>
          <w:lang w:eastAsia="ru-RU"/>
        </w:rPr>
        <w:t>-й</w:t>
      </w:r>
      <w:r w:rsidRPr="00F242DD">
        <w:rPr>
          <w:rFonts w:eastAsia="Times New Roman"/>
          <w:szCs w:val="24"/>
          <w:lang w:eastAsia="ru-RU"/>
        </w:rPr>
        <w:t xml:space="preserve"> день</w:t>
      </w:r>
      <w:r w:rsidR="00E86459" w:rsidRPr="00F242DD">
        <w:rPr>
          <w:rFonts w:eastAsia="Times New Roman"/>
          <w:szCs w:val="24"/>
          <w:lang w:eastAsia="ru-RU"/>
        </w:rPr>
        <w:t>.</w:t>
      </w:r>
    </w:p>
    <w:p w14:paraId="47398E7A"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Проводят до достижения фазы плато</w:t>
      </w:r>
      <w:r w:rsidR="00E86459" w:rsidRPr="00F242DD">
        <w:rPr>
          <w:rFonts w:eastAsia="Times New Roman"/>
          <w:szCs w:val="24"/>
          <w:lang w:eastAsia="ru-RU"/>
        </w:rPr>
        <w:t>.</w:t>
      </w:r>
    </w:p>
    <w:p w14:paraId="061BAAFA" w14:textId="77777777" w:rsidR="000546DA" w:rsidRPr="00F242DD" w:rsidRDefault="000546DA" w:rsidP="00131E36">
      <w:pPr>
        <w:spacing w:before="0" w:after="0"/>
        <w:contextualSpacing/>
        <w:rPr>
          <w:rFonts w:eastAsia="Times New Roman"/>
          <w:b/>
          <w:szCs w:val="24"/>
          <w:lang w:eastAsia="ru-RU"/>
        </w:rPr>
      </w:pPr>
      <w:r w:rsidRPr="00F242DD">
        <w:rPr>
          <w:rFonts w:eastAsia="Times New Roman"/>
          <w:b/>
          <w:szCs w:val="24"/>
          <w:lang w:eastAsia="ru-RU"/>
        </w:rPr>
        <w:t>MP (4-дневная)</w:t>
      </w:r>
    </w:p>
    <w:p w14:paraId="6E7AE553" w14:textId="77777777" w:rsidR="000546DA" w:rsidRPr="00F242DD" w:rsidRDefault="000546DA" w:rsidP="00727CDE">
      <w:pPr>
        <w:pStyle w:val="a6"/>
        <w:numPr>
          <w:ilvl w:val="0"/>
          <w:numId w:val="22"/>
        </w:numPr>
        <w:spacing w:before="0" w:after="0"/>
        <w:jc w:val="left"/>
        <w:rPr>
          <w:rFonts w:eastAsia="Times New Roman"/>
          <w:szCs w:val="24"/>
          <w:lang w:eastAsia="ru-RU"/>
        </w:rPr>
      </w:pPr>
      <w:r w:rsidRPr="00F242DD">
        <w:rPr>
          <w:rFonts w:eastAsia="Times New Roman"/>
          <w:szCs w:val="24"/>
          <w:lang w:eastAsia="ru-RU"/>
        </w:rPr>
        <w:t>Мелфалан** 9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7BBC9D4E" w14:textId="77777777" w:rsidR="000546DA" w:rsidRPr="00F242DD" w:rsidRDefault="000546DA" w:rsidP="00727CDE">
      <w:pPr>
        <w:pStyle w:val="a6"/>
        <w:numPr>
          <w:ilvl w:val="0"/>
          <w:numId w:val="22"/>
        </w:numPr>
        <w:spacing w:before="0" w:after="0"/>
        <w:jc w:val="left"/>
        <w:rPr>
          <w:rFonts w:eastAsia="Times New Roman"/>
          <w:szCs w:val="24"/>
          <w:lang w:eastAsia="ru-RU"/>
        </w:rPr>
      </w:pPr>
      <w:r w:rsidRPr="00F242DD">
        <w:rPr>
          <w:rFonts w:eastAsia="Times New Roman"/>
          <w:szCs w:val="24"/>
          <w:lang w:eastAsia="ru-RU"/>
        </w:rPr>
        <w:t>Преднизолон** 100 мг внутрь, дни 1</w:t>
      </w:r>
      <w:r w:rsidR="006312BA" w:rsidRPr="00F242DD">
        <w:rPr>
          <w:rFonts w:eastAsia="Times New Roman"/>
          <w:szCs w:val="24"/>
          <w:lang w:eastAsia="ru-RU"/>
        </w:rPr>
        <w:t>‒</w:t>
      </w:r>
      <w:r w:rsidRPr="00F242DD">
        <w:rPr>
          <w:rFonts w:eastAsia="Times New Roman"/>
          <w:szCs w:val="24"/>
          <w:lang w:eastAsia="ru-RU"/>
        </w:rPr>
        <w:t>4</w:t>
      </w:r>
      <w:r w:rsidR="006312BA" w:rsidRPr="00F242DD">
        <w:rPr>
          <w:rFonts w:eastAsia="Times New Roman"/>
          <w:szCs w:val="24"/>
          <w:lang w:eastAsia="ru-RU"/>
        </w:rPr>
        <w:t>-й</w:t>
      </w:r>
    </w:p>
    <w:p w14:paraId="0DEBB8CB"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возобновляется на 43</w:t>
      </w:r>
      <w:r w:rsidR="006312BA" w:rsidRPr="00F242DD">
        <w:rPr>
          <w:rFonts w:eastAsia="Times New Roman"/>
          <w:szCs w:val="24"/>
          <w:lang w:eastAsia="ru-RU"/>
        </w:rPr>
        <w:t>-й</w:t>
      </w:r>
      <w:r w:rsidRPr="00F242DD">
        <w:rPr>
          <w:rFonts w:eastAsia="Times New Roman"/>
          <w:szCs w:val="24"/>
          <w:lang w:eastAsia="ru-RU"/>
        </w:rPr>
        <w:t xml:space="preserve"> день</w:t>
      </w:r>
      <w:r w:rsidR="00E86459" w:rsidRPr="00F242DD">
        <w:rPr>
          <w:rFonts w:eastAsia="Times New Roman"/>
          <w:szCs w:val="24"/>
          <w:lang w:eastAsia="ru-RU"/>
        </w:rPr>
        <w:t>.</w:t>
      </w:r>
    </w:p>
    <w:p w14:paraId="271CF62D"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Проводят до достижения фазы плато</w:t>
      </w:r>
      <w:r w:rsidR="00E86459" w:rsidRPr="00F242DD">
        <w:rPr>
          <w:rFonts w:eastAsia="Times New Roman"/>
          <w:szCs w:val="24"/>
          <w:lang w:eastAsia="ru-RU"/>
        </w:rPr>
        <w:t>.</w:t>
      </w:r>
    </w:p>
    <w:p w14:paraId="1D1CD931" w14:textId="77777777" w:rsidR="000546DA" w:rsidRPr="00F242DD" w:rsidRDefault="000546DA" w:rsidP="00131E36">
      <w:pPr>
        <w:spacing w:before="0" w:after="0"/>
        <w:contextualSpacing/>
        <w:rPr>
          <w:rFonts w:eastAsia="Times New Roman"/>
          <w:b/>
          <w:szCs w:val="24"/>
          <w:lang w:eastAsia="ru-RU"/>
        </w:rPr>
      </w:pPr>
      <w:r w:rsidRPr="00F242DD">
        <w:rPr>
          <w:rFonts w:eastAsia="Times New Roman"/>
          <w:b/>
          <w:szCs w:val="24"/>
          <w:lang w:eastAsia="ru-RU"/>
        </w:rPr>
        <w:t>СР</w:t>
      </w:r>
    </w:p>
    <w:p w14:paraId="76C4F328" w14:textId="77777777" w:rsidR="000546DA" w:rsidRPr="00F242DD" w:rsidRDefault="000546DA" w:rsidP="00727CDE">
      <w:pPr>
        <w:pStyle w:val="a6"/>
        <w:numPr>
          <w:ilvl w:val="0"/>
          <w:numId w:val="23"/>
        </w:numPr>
        <w:spacing w:before="0" w:after="0"/>
        <w:jc w:val="left"/>
        <w:rPr>
          <w:rFonts w:eastAsia="Times New Roman"/>
          <w:szCs w:val="24"/>
          <w:lang w:eastAsia="ru-RU"/>
        </w:rPr>
      </w:pPr>
      <w:r w:rsidRPr="00F242DD">
        <w:rPr>
          <w:rFonts w:eastAsia="Times New Roman"/>
          <w:szCs w:val="24"/>
          <w:lang w:eastAsia="ru-RU"/>
        </w:rPr>
        <w:t>Циклофосфамид** 200 мг в/м ежедневно или 400 мг в/м через день под контролем показателей кр</w:t>
      </w:r>
      <w:r w:rsidR="006312BA" w:rsidRPr="00F242DD">
        <w:rPr>
          <w:rFonts w:eastAsia="Times New Roman"/>
          <w:szCs w:val="24"/>
          <w:lang w:eastAsia="ru-RU"/>
        </w:rPr>
        <w:t>ови. Прервать при нейтрофилах &lt;</w:t>
      </w:r>
      <w:r w:rsidRPr="00F242DD">
        <w:rPr>
          <w:rFonts w:eastAsia="Times New Roman"/>
          <w:szCs w:val="24"/>
          <w:lang w:eastAsia="ru-RU"/>
        </w:rPr>
        <w:t>1</w:t>
      </w:r>
      <w:r w:rsidR="006312BA" w:rsidRPr="00F242DD">
        <w:rPr>
          <w:rFonts w:eastAsia="Times New Roman"/>
          <w:szCs w:val="24"/>
          <w:lang w:eastAsia="ru-RU"/>
        </w:rPr>
        <w:t xml:space="preserve"> × </w:t>
      </w:r>
      <w:r w:rsidRPr="00F242DD">
        <w:rPr>
          <w:rFonts w:eastAsia="Times New Roman"/>
          <w:szCs w:val="24"/>
          <w:lang w:eastAsia="ru-RU"/>
        </w:rPr>
        <w:t>10</w:t>
      </w:r>
      <w:r w:rsidRPr="00F242DD">
        <w:rPr>
          <w:rFonts w:eastAsia="Times New Roman"/>
          <w:szCs w:val="24"/>
          <w:vertAlign w:val="superscript"/>
          <w:lang w:eastAsia="ru-RU"/>
        </w:rPr>
        <w:t>9</w:t>
      </w:r>
      <w:r w:rsidRPr="00F242DD">
        <w:rPr>
          <w:rFonts w:eastAsia="Times New Roman"/>
          <w:szCs w:val="24"/>
          <w:lang w:eastAsia="ru-RU"/>
        </w:rPr>
        <w:t>/л, тромбоцитах &lt; 75</w:t>
      </w:r>
      <w:r w:rsidR="006312BA" w:rsidRPr="00F242DD">
        <w:rPr>
          <w:rFonts w:eastAsia="Times New Roman"/>
          <w:szCs w:val="24"/>
          <w:lang w:eastAsia="ru-RU"/>
        </w:rPr>
        <w:t xml:space="preserve"> × </w:t>
      </w:r>
      <w:r w:rsidRPr="00F242DD">
        <w:rPr>
          <w:rFonts w:eastAsia="Times New Roman"/>
          <w:szCs w:val="24"/>
          <w:lang w:eastAsia="ru-RU"/>
        </w:rPr>
        <w:t>10</w:t>
      </w:r>
      <w:r w:rsidRPr="00F242DD">
        <w:rPr>
          <w:rFonts w:eastAsia="Times New Roman"/>
          <w:szCs w:val="24"/>
          <w:vertAlign w:val="superscript"/>
          <w:lang w:eastAsia="ru-RU"/>
        </w:rPr>
        <w:t>9</w:t>
      </w:r>
      <w:r w:rsidRPr="00F242DD">
        <w:rPr>
          <w:rFonts w:eastAsia="Times New Roman"/>
          <w:szCs w:val="24"/>
          <w:lang w:eastAsia="ru-RU"/>
        </w:rPr>
        <w:t>/л</w:t>
      </w:r>
      <w:r w:rsidR="006312BA" w:rsidRPr="00F242DD">
        <w:rPr>
          <w:rFonts w:eastAsia="Times New Roman"/>
          <w:szCs w:val="24"/>
          <w:lang w:eastAsia="ru-RU"/>
        </w:rPr>
        <w:t>.</w:t>
      </w:r>
      <w:r w:rsidRPr="00F242DD">
        <w:rPr>
          <w:rFonts w:eastAsia="Times New Roman"/>
          <w:szCs w:val="24"/>
          <w:lang w:eastAsia="ru-RU"/>
        </w:rPr>
        <w:t xml:space="preserve"> Средняя суммарная доза составляет 6</w:t>
      </w:r>
      <w:r w:rsidR="006312BA" w:rsidRPr="00F242DD">
        <w:rPr>
          <w:rFonts w:eastAsia="Times New Roman"/>
          <w:szCs w:val="24"/>
          <w:lang w:eastAsia="ru-RU"/>
        </w:rPr>
        <w:t>‒</w:t>
      </w:r>
      <w:r w:rsidRPr="00F242DD">
        <w:rPr>
          <w:rFonts w:eastAsia="Times New Roman"/>
          <w:szCs w:val="24"/>
          <w:lang w:eastAsia="ru-RU"/>
        </w:rPr>
        <w:t xml:space="preserve">8 г. </w:t>
      </w:r>
      <w:r w:rsidR="006312BA" w:rsidRPr="00F242DD">
        <w:rPr>
          <w:rFonts w:eastAsia="Times New Roman"/>
          <w:szCs w:val="24"/>
          <w:lang w:eastAsia="ru-RU"/>
        </w:rPr>
        <w:t xml:space="preserve"> </w:t>
      </w:r>
    </w:p>
    <w:p w14:paraId="7CB134DF" w14:textId="77777777" w:rsidR="000546DA" w:rsidRPr="00F242DD" w:rsidRDefault="000546DA" w:rsidP="00727CDE">
      <w:pPr>
        <w:pStyle w:val="a6"/>
        <w:numPr>
          <w:ilvl w:val="0"/>
          <w:numId w:val="23"/>
        </w:numPr>
        <w:spacing w:before="0" w:after="0"/>
        <w:jc w:val="left"/>
        <w:rPr>
          <w:rFonts w:eastAsia="Times New Roman"/>
          <w:szCs w:val="24"/>
          <w:lang w:eastAsia="ru-RU"/>
        </w:rPr>
      </w:pPr>
      <w:r w:rsidRPr="00F242DD">
        <w:rPr>
          <w:rFonts w:eastAsia="Times New Roman"/>
          <w:szCs w:val="24"/>
          <w:lang w:eastAsia="ru-RU"/>
        </w:rPr>
        <w:t>Преднизолон** 40</w:t>
      </w:r>
      <w:r w:rsidR="006312BA" w:rsidRPr="00F242DD">
        <w:rPr>
          <w:rFonts w:eastAsia="Times New Roman"/>
          <w:szCs w:val="24"/>
          <w:lang w:eastAsia="ru-RU"/>
        </w:rPr>
        <w:t>‒</w:t>
      </w:r>
      <w:r w:rsidRPr="00F242DD">
        <w:rPr>
          <w:rFonts w:eastAsia="Times New Roman"/>
          <w:szCs w:val="24"/>
          <w:lang w:eastAsia="ru-RU"/>
        </w:rPr>
        <w:t>60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6312BA" w:rsidRPr="00F242DD">
        <w:rPr>
          <w:rFonts w:eastAsia="Times New Roman"/>
          <w:szCs w:val="24"/>
          <w:lang w:eastAsia="ru-RU"/>
        </w:rPr>
        <w:t>‒</w:t>
      </w:r>
      <w:r w:rsidRPr="00F242DD">
        <w:rPr>
          <w:rFonts w:eastAsia="Times New Roman"/>
          <w:szCs w:val="24"/>
          <w:lang w:eastAsia="ru-RU"/>
        </w:rPr>
        <w:t>7</w:t>
      </w:r>
      <w:r w:rsidR="006312BA" w:rsidRPr="00F242DD">
        <w:rPr>
          <w:rFonts w:eastAsia="Times New Roman"/>
          <w:szCs w:val="24"/>
          <w:lang w:eastAsia="ru-RU"/>
        </w:rPr>
        <w:t>-й</w:t>
      </w:r>
      <w:r w:rsidRPr="00F242DD">
        <w:rPr>
          <w:rFonts w:eastAsia="Times New Roman"/>
          <w:szCs w:val="24"/>
          <w:lang w:eastAsia="ru-RU"/>
        </w:rPr>
        <w:t xml:space="preserve"> </w:t>
      </w:r>
    </w:p>
    <w:p w14:paraId="35464C38"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возобновляется на 21</w:t>
      </w:r>
      <w:r w:rsidR="006312BA" w:rsidRPr="00F242DD">
        <w:rPr>
          <w:rFonts w:eastAsia="Times New Roman"/>
          <w:szCs w:val="24"/>
          <w:lang w:eastAsia="ru-RU"/>
        </w:rPr>
        <w:t>‒</w:t>
      </w:r>
      <w:r w:rsidRPr="00F242DD">
        <w:rPr>
          <w:rFonts w:eastAsia="Times New Roman"/>
          <w:szCs w:val="24"/>
          <w:lang w:eastAsia="ru-RU"/>
        </w:rPr>
        <w:t>28</w:t>
      </w:r>
      <w:r w:rsidR="006312BA" w:rsidRPr="00F242DD">
        <w:rPr>
          <w:rFonts w:eastAsia="Times New Roman"/>
          <w:szCs w:val="24"/>
          <w:lang w:eastAsia="ru-RU"/>
        </w:rPr>
        <w:t>-й</w:t>
      </w:r>
      <w:r w:rsidRPr="00F242DD">
        <w:rPr>
          <w:rFonts w:eastAsia="Times New Roman"/>
          <w:szCs w:val="24"/>
          <w:lang w:eastAsia="ru-RU"/>
        </w:rPr>
        <w:t xml:space="preserve"> день после восстановления показателей крови.</w:t>
      </w:r>
    </w:p>
    <w:p w14:paraId="64E6C7E6" w14:textId="77777777" w:rsidR="000546DA" w:rsidRPr="00F242DD" w:rsidRDefault="000546DA" w:rsidP="00131E36">
      <w:pPr>
        <w:spacing w:before="0" w:after="0"/>
        <w:contextualSpacing/>
        <w:rPr>
          <w:rFonts w:eastAsia="Times New Roman"/>
          <w:szCs w:val="24"/>
        </w:rPr>
      </w:pPr>
      <w:r w:rsidRPr="00F242DD">
        <w:rPr>
          <w:rFonts w:eastAsia="Times New Roman"/>
          <w:b/>
          <w:szCs w:val="24"/>
        </w:rPr>
        <w:t xml:space="preserve">BP </w:t>
      </w:r>
    </w:p>
    <w:p w14:paraId="048FAE4E" w14:textId="77777777" w:rsidR="000546DA" w:rsidRPr="00F242DD" w:rsidRDefault="000546DA" w:rsidP="00727CDE">
      <w:pPr>
        <w:pStyle w:val="a6"/>
        <w:numPr>
          <w:ilvl w:val="0"/>
          <w:numId w:val="24"/>
        </w:numPr>
        <w:suppressAutoHyphens/>
        <w:spacing w:before="0" w:after="0"/>
        <w:jc w:val="left"/>
        <w:rPr>
          <w:rFonts w:eastAsia="Times New Roman"/>
          <w:szCs w:val="24"/>
        </w:rPr>
      </w:pPr>
      <w:r w:rsidRPr="00F242DD">
        <w:rPr>
          <w:rFonts w:eastAsia="Times New Roman"/>
          <w:szCs w:val="24"/>
        </w:rPr>
        <w:t>Бендамустин</w:t>
      </w:r>
      <w:r w:rsidRPr="00F242DD">
        <w:rPr>
          <w:rFonts w:eastAsia="Times New Roman"/>
          <w:szCs w:val="24"/>
          <w:lang w:eastAsia="ru-RU"/>
        </w:rPr>
        <w:t>**</w:t>
      </w:r>
      <w:r w:rsidRPr="00F242DD">
        <w:rPr>
          <w:rFonts w:eastAsia="Times New Roman"/>
          <w:szCs w:val="24"/>
        </w:rPr>
        <w:t xml:space="preserve"> 100</w:t>
      </w:r>
      <w:r w:rsidR="00E86459" w:rsidRPr="00F242DD">
        <w:rPr>
          <w:rFonts w:eastAsia="Times New Roman"/>
          <w:szCs w:val="24"/>
        </w:rPr>
        <w:t>‒</w:t>
      </w:r>
      <w:r w:rsidRPr="00F242DD">
        <w:rPr>
          <w:rFonts w:eastAsia="Times New Roman"/>
          <w:szCs w:val="24"/>
        </w:rPr>
        <w:t>150 мг/м</w:t>
      </w:r>
      <w:r w:rsidRPr="00F242DD">
        <w:rPr>
          <w:rFonts w:eastAsia="Times New Roman"/>
          <w:szCs w:val="24"/>
          <w:vertAlign w:val="superscript"/>
        </w:rPr>
        <w:t>2</w:t>
      </w:r>
      <w:r w:rsidRPr="00F242DD">
        <w:rPr>
          <w:rFonts w:eastAsia="Times New Roman"/>
          <w:szCs w:val="24"/>
        </w:rPr>
        <w:t xml:space="preserve"> в/в в дни 1, 2</w:t>
      </w:r>
      <w:r w:rsidR="00E86459" w:rsidRPr="00F242DD">
        <w:rPr>
          <w:rFonts w:eastAsia="Times New Roman"/>
          <w:szCs w:val="24"/>
        </w:rPr>
        <w:t>-й</w:t>
      </w:r>
    </w:p>
    <w:p w14:paraId="171EA175" w14:textId="77777777" w:rsidR="000546DA" w:rsidRPr="00F242DD" w:rsidRDefault="000546DA" w:rsidP="00727CDE">
      <w:pPr>
        <w:pStyle w:val="a6"/>
        <w:numPr>
          <w:ilvl w:val="0"/>
          <w:numId w:val="24"/>
        </w:numPr>
        <w:suppressAutoHyphens/>
        <w:spacing w:before="0" w:after="0"/>
        <w:jc w:val="left"/>
        <w:rPr>
          <w:rFonts w:eastAsia="Times New Roman"/>
          <w:szCs w:val="24"/>
        </w:rPr>
      </w:pPr>
      <w:r w:rsidRPr="00F242DD">
        <w:rPr>
          <w:rFonts w:eastAsia="Times New Roman"/>
          <w:szCs w:val="24"/>
        </w:rPr>
        <w:t>Преднизолон</w:t>
      </w:r>
      <w:r w:rsidRPr="00F242DD">
        <w:rPr>
          <w:rFonts w:eastAsia="Times New Roman"/>
          <w:szCs w:val="24"/>
          <w:lang w:eastAsia="ru-RU"/>
        </w:rPr>
        <w:t>**</w:t>
      </w:r>
      <w:r w:rsidRPr="00F242DD">
        <w:rPr>
          <w:rFonts w:eastAsia="Times New Roman"/>
          <w:szCs w:val="24"/>
        </w:rPr>
        <w:t xml:space="preserve"> 60 мг/м</w:t>
      </w:r>
      <w:r w:rsidRPr="00F242DD">
        <w:rPr>
          <w:rFonts w:eastAsia="Times New Roman"/>
          <w:szCs w:val="24"/>
          <w:vertAlign w:val="superscript"/>
        </w:rPr>
        <w:t>2</w:t>
      </w:r>
      <w:r w:rsidRPr="00F242DD">
        <w:rPr>
          <w:rFonts w:eastAsia="Times New Roman"/>
          <w:szCs w:val="24"/>
        </w:rPr>
        <w:t xml:space="preserve"> внутрь в дни 1</w:t>
      </w:r>
      <w:r w:rsidR="00E86459" w:rsidRPr="00F242DD">
        <w:rPr>
          <w:rFonts w:eastAsia="Times New Roman"/>
          <w:szCs w:val="24"/>
        </w:rPr>
        <w:t>‒</w:t>
      </w:r>
      <w:r w:rsidRPr="00F242DD">
        <w:rPr>
          <w:rFonts w:eastAsia="Times New Roman"/>
          <w:szCs w:val="24"/>
        </w:rPr>
        <w:t>7</w:t>
      </w:r>
      <w:r w:rsidR="00E86459" w:rsidRPr="00F242DD">
        <w:rPr>
          <w:rFonts w:eastAsia="Times New Roman"/>
          <w:szCs w:val="24"/>
          <w:lang w:eastAsia="ru-RU"/>
        </w:rPr>
        <w:t>-й</w:t>
      </w:r>
    </w:p>
    <w:p w14:paraId="0D24C50C" w14:textId="77777777" w:rsidR="000546DA" w:rsidRPr="00F242DD" w:rsidRDefault="000546DA" w:rsidP="00131E36">
      <w:pPr>
        <w:spacing w:before="0" w:after="0"/>
        <w:contextualSpacing/>
        <w:rPr>
          <w:rFonts w:eastAsia="Times New Roman"/>
          <w:szCs w:val="24"/>
        </w:rPr>
      </w:pPr>
      <w:r w:rsidRPr="00F242DD">
        <w:rPr>
          <w:rFonts w:eastAsia="Times New Roman"/>
          <w:szCs w:val="24"/>
        </w:rPr>
        <w:t>Лечение возобновляется на 29</w:t>
      </w:r>
      <w:r w:rsidR="00E86459" w:rsidRPr="00F242DD">
        <w:rPr>
          <w:rFonts w:eastAsia="Times New Roman"/>
          <w:szCs w:val="24"/>
          <w:lang w:eastAsia="ru-RU"/>
        </w:rPr>
        <w:t>-й</w:t>
      </w:r>
      <w:r w:rsidRPr="00F242DD">
        <w:rPr>
          <w:rFonts w:eastAsia="Times New Roman"/>
          <w:szCs w:val="24"/>
        </w:rPr>
        <w:t xml:space="preserve"> день</w:t>
      </w:r>
      <w:r w:rsidR="00E86459" w:rsidRPr="00F242DD">
        <w:rPr>
          <w:rFonts w:eastAsia="Times New Roman"/>
          <w:szCs w:val="24"/>
        </w:rPr>
        <w:t>.</w:t>
      </w:r>
    </w:p>
    <w:p w14:paraId="56A81208" w14:textId="77777777" w:rsidR="000546DA" w:rsidRPr="00F242DD" w:rsidRDefault="000546DA" w:rsidP="00131E36">
      <w:pPr>
        <w:spacing w:before="0" w:after="0"/>
        <w:contextualSpacing/>
        <w:rPr>
          <w:rFonts w:eastAsia="Times New Roman"/>
          <w:b/>
          <w:szCs w:val="24"/>
          <w:lang w:eastAsia="ru-RU"/>
        </w:rPr>
      </w:pPr>
      <w:r w:rsidRPr="00F242DD">
        <w:rPr>
          <w:rFonts w:eastAsia="Times New Roman"/>
          <w:b/>
          <w:szCs w:val="24"/>
          <w:lang w:eastAsia="ru-RU"/>
        </w:rPr>
        <w:t>Монотерапия дексаметазоном</w:t>
      </w:r>
    </w:p>
    <w:p w14:paraId="08C8B159" w14:textId="77777777" w:rsidR="000546DA" w:rsidRPr="00F242DD" w:rsidRDefault="000546DA" w:rsidP="00727CDE">
      <w:pPr>
        <w:pStyle w:val="a6"/>
        <w:numPr>
          <w:ilvl w:val="0"/>
          <w:numId w:val="25"/>
        </w:numPr>
        <w:spacing w:before="0" w:after="0"/>
        <w:jc w:val="left"/>
        <w:rPr>
          <w:rFonts w:eastAsia="Times New Roman"/>
          <w:szCs w:val="24"/>
          <w:lang w:eastAsia="ru-RU"/>
        </w:rPr>
      </w:pPr>
      <w:r w:rsidRPr="00F242DD">
        <w:rPr>
          <w:rFonts w:eastAsia="Times New Roman"/>
          <w:szCs w:val="24"/>
          <w:lang w:eastAsia="ru-RU"/>
        </w:rPr>
        <w:t>Дексаметазон** 40 мг внутрь, дни 1</w:t>
      </w:r>
      <w:r w:rsidR="00E86459" w:rsidRPr="00F242DD">
        <w:rPr>
          <w:rFonts w:eastAsia="Times New Roman"/>
          <w:szCs w:val="24"/>
          <w:lang w:eastAsia="ru-RU"/>
        </w:rPr>
        <w:t>‒</w:t>
      </w:r>
      <w:r w:rsidRPr="00F242DD">
        <w:rPr>
          <w:rFonts w:eastAsia="Times New Roman"/>
          <w:szCs w:val="24"/>
          <w:lang w:eastAsia="ru-RU"/>
        </w:rPr>
        <w:t>4</w:t>
      </w:r>
      <w:r w:rsidR="00E86459" w:rsidRPr="00F242DD">
        <w:rPr>
          <w:rFonts w:eastAsia="Times New Roman"/>
          <w:szCs w:val="24"/>
          <w:lang w:eastAsia="ru-RU"/>
        </w:rPr>
        <w:t>-й</w:t>
      </w:r>
      <w:r w:rsidRPr="00F242DD">
        <w:rPr>
          <w:rFonts w:eastAsia="Times New Roman"/>
          <w:szCs w:val="24"/>
          <w:lang w:eastAsia="ru-RU"/>
        </w:rPr>
        <w:t>, 9</w:t>
      </w:r>
      <w:r w:rsidR="00E86459" w:rsidRPr="00F242DD">
        <w:rPr>
          <w:rFonts w:eastAsia="Times New Roman"/>
          <w:szCs w:val="24"/>
          <w:lang w:eastAsia="ru-RU"/>
        </w:rPr>
        <w:t>‒</w:t>
      </w:r>
      <w:r w:rsidRPr="00F242DD">
        <w:rPr>
          <w:rFonts w:eastAsia="Times New Roman"/>
          <w:szCs w:val="24"/>
          <w:lang w:eastAsia="ru-RU"/>
        </w:rPr>
        <w:t>12</w:t>
      </w:r>
      <w:r w:rsidR="00E86459" w:rsidRPr="00F242DD">
        <w:rPr>
          <w:rFonts w:eastAsia="Times New Roman"/>
          <w:szCs w:val="24"/>
          <w:lang w:eastAsia="ru-RU"/>
        </w:rPr>
        <w:t>-й</w:t>
      </w:r>
      <w:r w:rsidRPr="00F242DD">
        <w:rPr>
          <w:rFonts w:eastAsia="Times New Roman"/>
          <w:szCs w:val="24"/>
          <w:lang w:eastAsia="ru-RU"/>
        </w:rPr>
        <w:t>, 17</w:t>
      </w:r>
      <w:r w:rsidR="00E86459" w:rsidRPr="00F242DD">
        <w:rPr>
          <w:rFonts w:eastAsia="Times New Roman"/>
          <w:szCs w:val="24"/>
          <w:lang w:eastAsia="ru-RU"/>
        </w:rPr>
        <w:t>‒</w:t>
      </w:r>
      <w:r w:rsidRPr="00F242DD">
        <w:rPr>
          <w:rFonts w:eastAsia="Times New Roman"/>
          <w:szCs w:val="24"/>
          <w:lang w:eastAsia="ru-RU"/>
        </w:rPr>
        <w:t>20</w:t>
      </w:r>
      <w:r w:rsidR="00E86459" w:rsidRPr="00F242DD">
        <w:rPr>
          <w:rFonts w:eastAsia="Times New Roman"/>
          <w:szCs w:val="24"/>
          <w:lang w:eastAsia="ru-RU"/>
        </w:rPr>
        <w:t>-й</w:t>
      </w:r>
    </w:p>
    <w:p w14:paraId="16486127"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возобновляется на 29</w:t>
      </w:r>
      <w:r w:rsidR="00E86459" w:rsidRPr="00F242DD">
        <w:rPr>
          <w:rFonts w:eastAsia="Times New Roman"/>
          <w:szCs w:val="24"/>
          <w:lang w:eastAsia="ru-RU"/>
        </w:rPr>
        <w:t>‒</w:t>
      </w:r>
      <w:r w:rsidRPr="00F242DD">
        <w:rPr>
          <w:rFonts w:eastAsia="Times New Roman"/>
          <w:szCs w:val="24"/>
          <w:lang w:eastAsia="ru-RU"/>
        </w:rPr>
        <w:t>35</w:t>
      </w:r>
      <w:r w:rsidR="00E86459" w:rsidRPr="00F242DD">
        <w:rPr>
          <w:rFonts w:eastAsia="Times New Roman"/>
          <w:szCs w:val="24"/>
          <w:lang w:eastAsia="ru-RU"/>
        </w:rPr>
        <w:t>-й</w:t>
      </w:r>
      <w:r w:rsidRPr="00F242DD">
        <w:rPr>
          <w:rFonts w:eastAsia="Times New Roman"/>
          <w:szCs w:val="24"/>
          <w:lang w:eastAsia="ru-RU"/>
        </w:rPr>
        <w:t xml:space="preserve"> день</w:t>
      </w:r>
    </w:p>
    <w:p w14:paraId="3AD5F783" w14:textId="77777777" w:rsidR="00521D08" w:rsidRDefault="00521D08" w:rsidP="00131E36">
      <w:pPr>
        <w:spacing w:before="0" w:after="0"/>
        <w:contextualSpacing/>
        <w:rPr>
          <w:rFonts w:eastAsia="Times New Roman"/>
          <w:b/>
          <w:i/>
          <w:szCs w:val="24"/>
          <w:lang w:eastAsia="ru-RU"/>
        </w:rPr>
      </w:pPr>
    </w:p>
    <w:p w14:paraId="3D8528F1" w14:textId="77777777" w:rsidR="00521D08" w:rsidRDefault="00521D08" w:rsidP="00131E36">
      <w:pPr>
        <w:spacing w:before="0" w:after="0"/>
        <w:contextualSpacing/>
        <w:rPr>
          <w:rFonts w:eastAsia="Times New Roman"/>
          <w:b/>
          <w:i/>
          <w:szCs w:val="24"/>
          <w:lang w:eastAsia="ru-RU"/>
        </w:rPr>
      </w:pPr>
    </w:p>
    <w:p w14:paraId="388082EA" w14:textId="77777777" w:rsidR="00521D08" w:rsidRDefault="00521D08" w:rsidP="00131E36">
      <w:pPr>
        <w:spacing w:before="0" w:after="0"/>
        <w:contextualSpacing/>
        <w:rPr>
          <w:rFonts w:eastAsia="Times New Roman"/>
          <w:b/>
          <w:i/>
          <w:szCs w:val="24"/>
          <w:lang w:eastAsia="ru-RU"/>
        </w:rPr>
      </w:pPr>
    </w:p>
    <w:p w14:paraId="71C3C305" w14:textId="77777777" w:rsidR="000546DA" w:rsidRPr="00F242DD" w:rsidRDefault="000546DA" w:rsidP="00131E36">
      <w:pPr>
        <w:spacing w:before="0" w:after="0"/>
        <w:contextualSpacing/>
        <w:rPr>
          <w:rFonts w:eastAsia="Times New Roman"/>
          <w:b/>
          <w:i/>
          <w:szCs w:val="24"/>
          <w:lang w:eastAsia="ru-RU"/>
        </w:rPr>
      </w:pPr>
      <w:r w:rsidRPr="00F242DD">
        <w:rPr>
          <w:rFonts w:eastAsia="Times New Roman"/>
          <w:b/>
          <w:i/>
          <w:szCs w:val="24"/>
          <w:lang w:eastAsia="ru-RU"/>
        </w:rPr>
        <w:lastRenderedPageBreak/>
        <w:t>Схемы индукционной терапии первичных пациентов – кандидатов на аутологичную трансплантацию</w:t>
      </w:r>
    </w:p>
    <w:p w14:paraId="7E1D9D4F" w14:textId="77777777" w:rsidR="000546DA" w:rsidRPr="00F242DD" w:rsidRDefault="000546DA" w:rsidP="00131E36">
      <w:pPr>
        <w:spacing w:before="0" w:after="0"/>
        <w:contextualSpacing/>
        <w:rPr>
          <w:rFonts w:eastAsia="Times New Roman"/>
          <w:b/>
          <w:szCs w:val="24"/>
          <w:lang w:eastAsia="ru-RU"/>
        </w:rPr>
      </w:pPr>
      <w:r w:rsidRPr="00F242DD">
        <w:rPr>
          <w:rFonts w:eastAsia="Times New Roman"/>
          <w:b/>
          <w:szCs w:val="24"/>
          <w:lang w:eastAsia="ru-RU"/>
        </w:rPr>
        <w:t>PAD</w:t>
      </w:r>
    </w:p>
    <w:p w14:paraId="5128E1B3" w14:textId="77777777" w:rsidR="000546DA" w:rsidRPr="00F242DD" w:rsidRDefault="000546DA" w:rsidP="00727CDE">
      <w:pPr>
        <w:pStyle w:val="a6"/>
        <w:numPr>
          <w:ilvl w:val="0"/>
          <w:numId w:val="25"/>
        </w:numPr>
        <w:spacing w:before="0" w:after="0"/>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w:t>
      </w:r>
      <w:r w:rsidR="00E86459" w:rsidRPr="00F242DD">
        <w:rPr>
          <w:rFonts w:eastAsia="Times New Roman"/>
          <w:szCs w:val="24"/>
          <w:lang w:eastAsia="ru-RU"/>
        </w:rPr>
        <w:t>-й</w:t>
      </w:r>
    </w:p>
    <w:p w14:paraId="28676F90" w14:textId="77777777" w:rsidR="000546DA" w:rsidRPr="00F242DD" w:rsidRDefault="000546DA" w:rsidP="00727CDE">
      <w:pPr>
        <w:pStyle w:val="a6"/>
        <w:numPr>
          <w:ilvl w:val="0"/>
          <w:numId w:val="25"/>
        </w:numPr>
        <w:spacing w:before="0" w:after="0"/>
        <w:jc w:val="left"/>
        <w:rPr>
          <w:rFonts w:eastAsia="Times New Roman"/>
          <w:szCs w:val="24"/>
          <w:lang w:eastAsia="ru-RU"/>
        </w:rPr>
      </w:pPr>
      <w:r w:rsidRPr="00F242DD">
        <w:rPr>
          <w:rFonts w:eastAsia="Times New Roman"/>
          <w:szCs w:val="24"/>
          <w:lang w:eastAsia="ru-RU"/>
        </w:rPr>
        <w:t>Доксорубицин** 9 мг/м</w:t>
      </w:r>
      <w:r w:rsidRPr="00F242DD">
        <w:rPr>
          <w:rFonts w:eastAsia="Times New Roman"/>
          <w:szCs w:val="24"/>
          <w:vertAlign w:val="superscript"/>
          <w:lang w:eastAsia="ru-RU"/>
        </w:rPr>
        <w:t>2</w:t>
      </w:r>
      <w:r w:rsidRPr="00F242DD">
        <w:rPr>
          <w:rFonts w:eastAsia="Times New Roman"/>
          <w:szCs w:val="24"/>
          <w:lang w:eastAsia="ru-RU"/>
        </w:rPr>
        <w:t xml:space="preserve"> в виде постоянной инфузии или ежедневно болюсно, дни 1</w:t>
      </w:r>
      <w:r w:rsidR="00E86459" w:rsidRPr="00F242DD">
        <w:rPr>
          <w:rFonts w:eastAsia="Times New Roman"/>
          <w:szCs w:val="24"/>
          <w:lang w:eastAsia="ru-RU"/>
        </w:rPr>
        <w:t>‒</w:t>
      </w:r>
      <w:r w:rsidRPr="00F242DD">
        <w:rPr>
          <w:rFonts w:eastAsia="Times New Roman"/>
          <w:szCs w:val="24"/>
          <w:lang w:eastAsia="ru-RU"/>
        </w:rPr>
        <w:t>4</w:t>
      </w:r>
      <w:r w:rsidR="00E86459" w:rsidRPr="00F242DD">
        <w:rPr>
          <w:rFonts w:eastAsia="Times New Roman"/>
          <w:szCs w:val="24"/>
          <w:lang w:eastAsia="ru-RU"/>
        </w:rPr>
        <w:t>-й</w:t>
      </w:r>
    </w:p>
    <w:p w14:paraId="232FB17E" w14:textId="77777777" w:rsidR="000546DA" w:rsidRPr="00F242DD" w:rsidRDefault="000546DA" w:rsidP="00727CDE">
      <w:pPr>
        <w:pStyle w:val="a6"/>
        <w:numPr>
          <w:ilvl w:val="0"/>
          <w:numId w:val="25"/>
        </w:numPr>
        <w:spacing w:before="0" w:after="0"/>
        <w:jc w:val="left"/>
        <w:rPr>
          <w:rFonts w:eastAsia="Times New Roman"/>
          <w:szCs w:val="24"/>
          <w:lang w:eastAsia="ru-RU"/>
        </w:rPr>
      </w:pPr>
      <w:r w:rsidRPr="00F242DD">
        <w:rPr>
          <w:rFonts w:eastAsia="Times New Roman"/>
          <w:szCs w:val="24"/>
          <w:lang w:eastAsia="ru-RU"/>
        </w:rPr>
        <w:t>Дексаметазон** 40 мг в/в кап</w:t>
      </w:r>
      <w:r w:rsidR="00E86459" w:rsidRPr="00F242DD">
        <w:rPr>
          <w:rFonts w:eastAsia="Times New Roman"/>
          <w:szCs w:val="24"/>
          <w:lang w:eastAsia="ru-RU"/>
        </w:rPr>
        <w:t>ельно</w:t>
      </w:r>
      <w:r w:rsidRPr="00F242DD">
        <w:rPr>
          <w:rFonts w:eastAsia="Times New Roman"/>
          <w:szCs w:val="24"/>
          <w:lang w:eastAsia="ru-RU"/>
        </w:rPr>
        <w:t xml:space="preserve"> или внутрь, 1 цикл – дни 1</w:t>
      </w:r>
      <w:r w:rsidR="00E86459" w:rsidRPr="00F242DD">
        <w:rPr>
          <w:rFonts w:eastAsia="Times New Roman"/>
          <w:szCs w:val="24"/>
          <w:lang w:eastAsia="ru-RU"/>
        </w:rPr>
        <w:t>‒</w:t>
      </w:r>
      <w:r w:rsidRPr="00F242DD">
        <w:rPr>
          <w:rFonts w:eastAsia="Times New Roman"/>
          <w:szCs w:val="24"/>
          <w:lang w:eastAsia="ru-RU"/>
        </w:rPr>
        <w:t>4</w:t>
      </w:r>
      <w:r w:rsidR="00E86459" w:rsidRPr="00F242DD">
        <w:rPr>
          <w:rFonts w:eastAsia="Times New Roman"/>
          <w:szCs w:val="24"/>
          <w:lang w:eastAsia="ru-RU"/>
        </w:rPr>
        <w:t>-й</w:t>
      </w:r>
      <w:r w:rsidRPr="00F242DD">
        <w:rPr>
          <w:rFonts w:eastAsia="Times New Roman"/>
          <w:szCs w:val="24"/>
          <w:lang w:eastAsia="ru-RU"/>
        </w:rPr>
        <w:t xml:space="preserve"> и 8</w:t>
      </w:r>
      <w:r w:rsidR="00E86459" w:rsidRPr="00F242DD">
        <w:rPr>
          <w:rFonts w:eastAsia="Times New Roman"/>
          <w:szCs w:val="24"/>
          <w:lang w:eastAsia="ru-RU"/>
        </w:rPr>
        <w:t>‒</w:t>
      </w:r>
      <w:r w:rsidRPr="00F242DD">
        <w:rPr>
          <w:rFonts w:eastAsia="Times New Roman"/>
          <w:szCs w:val="24"/>
          <w:lang w:eastAsia="ru-RU"/>
        </w:rPr>
        <w:t>11</w:t>
      </w:r>
      <w:r w:rsidR="00E86459" w:rsidRPr="00F242DD">
        <w:rPr>
          <w:rFonts w:eastAsia="Times New Roman"/>
          <w:szCs w:val="24"/>
          <w:lang w:eastAsia="ru-RU"/>
        </w:rPr>
        <w:t>-й</w:t>
      </w:r>
      <w:r w:rsidRPr="00F242DD">
        <w:rPr>
          <w:rFonts w:eastAsia="Times New Roman"/>
          <w:szCs w:val="24"/>
          <w:lang w:eastAsia="ru-RU"/>
        </w:rPr>
        <w:t>, далее – дни 1</w:t>
      </w:r>
      <w:r w:rsidR="00E86459" w:rsidRPr="00F242DD">
        <w:rPr>
          <w:rFonts w:eastAsia="Times New Roman"/>
          <w:szCs w:val="24"/>
          <w:lang w:eastAsia="ru-RU"/>
        </w:rPr>
        <w:t>‒</w:t>
      </w:r>
      <w:r w:rsidRPr="00F242DD">
        <w:rPr>
          <w:rFonts w:eastAsia="Times New Roman"/>
          <w:szCs w:val="24"/>
          <w:lang w:eastAsia="ru-RU"/>
        </w:rPr>
        <w:t>4</w:t>
      </w:r>
      <w:r w:rsidR="00E86459" w:rsidRPr="00F242DD">
        <w:rPr>
          <w:rFonts w:eastAsia="Times New Roman"/>
          <w:szCs w:val="24"/>
          <w:lang w:eastAsia="ru-RU"/>
        </w:rPr>
        <w:t>-й</w:t>
      </w:r>
    </w:p>
    <w:p w14:paraId="77B901DE"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возобновляется на 22</w:t>
      </w:r>
      <w:r w:rsidR="004204B1" w:rsidRPr="00F242DD">
        <w:rPr>
          <w:rFonts w:eastAsia="Times New Roman"/>
          <w:szCs w:val="24"/>
          <w:lang w:eastAsia="ru-RU"/>
        </w:rPr>
        <w:t>-й</w:t>
      </w:r>
      <w:r w:rsidRPr="00F242DD">
        <w:rPr>
          <w:rFonts w:eastAsia="Times New Roman"/>
          <w:szCs w:val="24"/>
          <w:lang w:eastAsia="ru-RU"/>
        </w:rPr>
        <w:t xml:space="preserve"> день</w:t>
      </w:r>
      <w:r w:rsidR="00E86459" w:rsidRPr="00F242DD">
        <w:rPr>
          <w:rFonts w:eastAsia="Times New Roman"/>
          <w:szCs w:val="24"/>
          <w:lang w:eastAsia="ru-RU"/>
        </w:rPr>
        <w:t>.</w:t>
      </w:r>
    </w:p>
    <w:p w14:paraId="0F898C59" w14:textId="77777777" w:rsidR="000546DA" w:rsidRPr="00F242DD" w:rsidRDefault="000546DA" w:rsidP="00131E36">
      <w:pPr>
        <w:spacing w:before="0" w:after="0"/>
        <w:contextualSpacing/>
        <w:rPr>
          <w:rFonts w:eastAsia="Times New Roman"/>
          <w:b/>
          <w:szCs w:val="24"/>
          <w:lang w:eastAsia="ru-RU"/>
        </w:rPr>
      </w:pPr>
      <w:r w:rsidRPr="00F242DD">
        <w:rPr>
          <w:rFonts w:eastAsia="Times New Roman"/>
          <w:b/>
          <w:szCs w:val="24"/>
          <w:lang w:eastAsia="ru-RU"/>
        </w:rPr>
        <w:t>VCD</w:t>
      </w:r>
    </w:p>
    <w:p w14:paraId="2AD9FEFC" w14:textId="77777777" w:rsidR="000546DA" w:rsidRPr="00F242DD" w:rsidRDefault="000546DA" w:rsidP="00727CDE">
      <w:pPr>
        <w:pStyle w:val="a6"/>
        <w:numPr>
          <w:ilvl w:val="0"/>
          <w:numId w:val="26"/>
        </w:numPr>
        <w:spacing w:before="0" w:after="0"/>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w:t>
      </w:r>
      <w:r w:rsidR="004204B1" w:rsidRPr="00F242DD">
        <w:rPr>
          <w:rFonts w:eastAsia="Times New Roman"/>
          <w:szCs w:val="24"/>
          <w:lang w:eastAsia="ru-RU"/>
        </w:rPr>
        <w:t>-й</w:t>
      </w:r>
    </w:p>
    <w:p w14:paraId="0817DC6C" w14:textId="77777777" w:rsidR="000546DA" w:rsidRPr="00F242DD" w:rsidRDefault="000546DA" w:rsidP="00727CDE">
      <w:pPr>
        <w:pStyle w:val="a6"/>
        <w:numPr>
          <w:ilvl w:val="0"/>
          <w:numId w:val="26"/>
        </w:numPr>
        <w:spacing w:before="0" w:after="0"/>
        <w:jc w:val="left"/>
        <w:rPr>
          <w:rFonts w:eastAsia="Times New Roman"/>
          <w:szCs w:val="24"/>
          <w:lang w:eastAsia="ru-RU"/>
        </w:rPr>
      </w:pPr>
      <w:r w:rsidRPr="00F242DD">
        <w:rPr>
          <w:rFonts w:eastAsia="Times New Roman"/>
          <w:szCs w:val="24"/>
          <w:lang w:eastAsia="ru-RU"/>
        </w:rPr>
        <w:t>Циклофосфамид** 400 мг/м</w:t>
      </w:r>
      <w:r w:rsidRPr="00F242DD">
        <w:rPr>
          <w:rFonts w:eastAsia="Times New Roman"/>
          <w:szCs w:val="24"/>
          <w:vertAlign w:val="superscript"/>
          <w:lang w:eastAsia="ru-RU"/>
        </w:rPr>
        <w:t>2</w:t>
      </w:r>
      <w:r w:rsidRPr="00F242DD">
        <w:rPr>
          <w:rFonts w:eastAsia="Times New Roman"/>
          <w:szCs w:val="24"/>
          <w:lang w:eastAsia="ru-RU"/>
        </w:rPr>
        <w:t>, в/в кап</w:t>
      </w:r>
      <w:r w:rsidR="004204B1" w:rsidRPr="00F242DD">
        <w:rPr>
          <w:rFonts w:eastAsia="Times New Roman"/>
          <w:szCs w:val="24"/>
          <w:lang w:eastAsia="ru-RU"/>
        </w:rPr>
        <w:t>ельно</w:t>
      </w:r>
      <w:r w:rsidRPr="00F242DD">
        <w:rPr>
          <w:rFonts w:eastAsia="Times New Roman"/>
          <w:szCs w:val="24"/>
          <w:lang w:eastAsia="ru-RU"/>
        </w:rPr>
        <w:t>, дни 1, 8</w:t>
      </w:r>
      <w:r w:rsidR="004204B1" w:rsidRPr="00F242DD">
        <w:rPr>
          <w:rFonts w:eastAsia="Times New Roman"/>
          <w:szCs w:val="24"/>
          <w:lang w:eastAsia="ru-RU"/>
        </w:rPr>
        <w:t>-й</w:t>
      </w:r>
      <w:r w:rsidRPr="00F242DD">
        <w:rPr>
          <w:rFonts w:eastAsia="Times New Roman"/>
          <w:szCs w:val="24"/>
          <w:lang w:eastAsia="ru-RU"/>
        </w:rPr>
        <w:t xml:space="preserve"> </w:t>
      </w:r>
    </w:p>
    <w:p w14:paraId="166FCAAB" w14:textId="77777777" w:rsidR="000546DA" w:rsidRPr="00F242DD" w:rsidRDefault="000546DA" w:rsidP="00131E36">
      <w:pPr>
        <w:spacing w:before="0" w:after="0"/>
        <w:ind w:left="708" w:firstLine="708"/>
        <w:contextualSpacing/>
        <w:rPr>
          <w:rFonts w:eastAsia="Times New Roman"/>
          <w:szCs w:val="24"/>
          <w:lang w:eastAsia="ru-RU"/>
        </w:rPr>
      </w:pPr>
      <w:r w:rsidRPr="00F242DD">
        <w:rPr>
          <w:rFonts w:eastAsia="Times New Roman"/>
          <w:szCs w:val="24"/>
          <w:lang w:eastAsia="ru-RU"/>
        </w:rPr>
        <w:t>или 200 мг в/в кап</w:t>
      </w:r>
      <w:r w:rsidR="004204B1" w:rsidRPr="00F242DD">
        <w:rPr>
          <w:rFonts w:eastAsia="Times New Roman"/>
          <w:szCs w:val="24"/>
          <w:lang w:eastAsia="ru-RU"/>
        </w:rPr>
        <w:t>ельно</w:t>
      </w:r>
      <w:r w:rsidRPr="00F242DD">
        <w:rPr>
          <w:rFonts w:eastAsia="Times New Roman"/>
          <w:szCs w:val="24"/>
          <w:lang w:eastAsia="ru-RU"/>
        </w:rPr>
        <w:t>, дни 1, 4, 8, 11</w:t>
      </w:r>
      <w:r w:rsidR="004204B1" w:rsidRPr="00F242DD">
        <w:rPr>
          <w:rFonts w:eastAsia="Times New Roman"/>
          <w:szCs w:val="24"/>
          <w:lang w:eastAsia="ru-RU"/>
        </w:rPr>
        <w:t>-й</w:t>
      </w:r>
      <w:r w:rsidRPr="00F242DD">
        <w:rPr>
          <w:rFonts w:eastAsia="Times New Roman"/>
          <w:szCs w:val="24"/>
          <w:lang w:eastAsia="ru-RU"/>
        </w:rPr>
        <w:t xml:space="preserve"> </w:t>
      </w:r>
    </w:p>
    <w:p w14:paraId="59BEB4C5" w14:textId="77777777" w:rsidR="000546DA" w:rsidRPr="00F242DD" w:rsidRDefault="000546DA" w:rsidP="00131E36">
      <w:pPr>
        <w:spacing w:before="0" w:after="0"/>
        <w:ind w:left="708" w:firstLine="708"/>
        <w:contextualSpacing/>
        <w:rPr>
          <w:rFonts w:eastAsia="Times New Roman"/>
          <w:szCs w:val="24"/>
          <w:lang w:eastAsia="ru-RU"/>
        </w:rPr>
      </w:pPr>
      <w:r w:rsidRPr="00F242DD">
        <w:rPr>
          <w:rFonts w:eastAsia="Times New Roman"/>
          <w:szCs w:val="24"/>
          <w:lang w:eastAsia="ru-RU"/>
        </w:rPr>
        <w:t>или 50 мг внутрь, дни 1</w:t>
      </w:r>
      <w:r w:rsidR="004204B1" w:rsidRPr="00F242DD">
        <w:rPr>
          <w:rFonts w:eastAsia="Times New Roman"/>
          <w:szCs w:val="24"/>
          <w:lang w:eastAsia="ru-RU"/>
        </w:rPr>
        <w:t>‒</w:t>
      </w:r>
      <w:r w:rsidRPr="00F242DD">
        <w:rPr>
          <w:rFonts w:eastAsia="Times New Roman"/>
          <w:szCs w:val="24"/>
          <w:lang w:eastAsia="ru-RU"/>
        </w:rPr>
        <w:t>14</w:t>
      </w:r>
      <w:r w:rsidR="004204B1" w:rsidRPr="00F242DD">
        <w:rPr>
          <w:rFonts w:eastAsia="Times New Roman"/>
          <w:szCs w:val="24"/>
          <w:lang w:eastAsia="ru-RU"/>
        </w:rPr>
        <w:t>-й</w:t>
      </w:r>
    </w:p>
    <w:p w14:paraId="0429E1AE" w14:textId="77777777" w:rsidR="000546DA" w:rsidRPr="00F242DD" w:rsidRDefault="000546DA" w:rsidP="00727CDE">
      <w:pPr>
        <w:pStyle w:val="a6"/>
        <w:numPr>
          <w:ilvl w:val="0"/>
          <w:numId w:val="27"/>
        </w:numPr>
        <w:spacing w:before="0" w:after="0"/>
        <w:jc w:val="left"/>
        <w:rPr>
          <w:rFonts w:eastAsia="Times New Roman"/>
          <w:szCs w:val="24"/>
          <w:lang w:eastAsia="ru-RU"/>
        </w:rPr>
      </w:pPr>
      <w:r w:rsidRPr="00F242DD">
        <w:rPr>
          <w:rFonts w:eastAsia="Times New Roman"/>
          <w:szCs w:val="24"/>
          <w:lang w:eastAsia="ru-RU"/>
        </w:rPr>
        <w:t>Дексаметазон** 40 мг в/в кап</w:t>
      </w:r>
      <w:r w:rsidR="004204B1" w:rsidRPr="00F242DD">
        <w:rPr>
          <w:rFonts w:eastAsia="Times New Roman"/>
          <w:szCs w:val="24"/>
          <w:lang w:eastAsia="ru-RU"/>
        </w:rPr>
        <w:t>ельно</w:t>
      </w:r>
      <w:r w:rsidRPr="00F242DD">
        <w:rPr>
          <w:rFonts w:eastAsia="Times New Roman"/>
          <w:szCs w:val="24"/>
          <w:lang w:eastAsia="ru-RU"/>
        </w:rPr>
        <w:t xml:space="preserve"> или внутрь, 1 цикл – дни 1</w:t>
      </w:r>
      <w:r w:rsidR="004204B1" w:rsidRPr="00F242DD">
        <w:rPr>
          <w:rFonts w:eastAsia="Times New Roman"/>
          <w:szCs w:val="24"/>
          <w:lang w:eastAsia="ru-RU"/>
        </w:rPr>
        <w:t>‒</w:t>
      </w:r>
      <w:r w:rsidRPr="00F242DD">
        <w:rPr>
          <w:rFonts w:eastAsia="Times New Roman"/>
          <w:szCs w:val="24"/>
          <w:lang w:eastAsia="ru-RU"/>
        </w:rPr>
        <w:t>4</w:t>
      </w:r>
      <w:r w:rsidR="004204B1" w:rsidRPr="00F242DD">
        <w:rPr>
          <w:rFonts w:eastAsia="Times New Roman"/>
          <w:szCs w:val="24"/>
          <w:lang w:eastAsia="ru-RU"/>
        </w:rPr>
        <w:t>-й</w:t>
      </w:r>
      <w:r w:rsidRPr="00F242DD">
        <w:rPr>
          <w:rFonts w:eastAsia="Times New Roman"/>
          <w:szCs w:val="24"/>
          <w:lang w:eastAsia="ru-RU"/>
        </w:rPr>
        <w:t xml:space="preserve"> и 8</w:t>
      </w:r>
      <w:r w:rsidR="004204B1" w:rsidRPr="00F242DD">
        <w:rPr>
          <w:rFonts w:eastAsia="Times New Roman"/>
          <w:szCs w:val="24"/>
          <w:lang w:eastAsia="ru-RU"/>
        </w:rPr>
        <w:t>‒</w:t>
      </w:r>
      <w:r w:rsidRPr="00F242DD">
        <w:rPr>
          <w:rFonts w:eastAsia="Times New Roman"/>
          <w:szCs w:val="24"/>
          <w:lang w:eastAsia="ru-RU"/>
        </w:rPr>
        <w:t>11</w:t>
      </w:r>
      <w:r w:rsidR="004204B1" w:rsidRPr="00F242DD">
        <w:rPr>
          <w:rFonts w:eastAsia="Times New Roman"/>
          <w:szCs w:val="24"/>
          <w:lang w:eastAsia="ru-RU"/>
        </w:rPr>
        <w:t>-й</w:t>
      </w:r>
      <w:r w:rsidRPr="00F242DD">
        <w:rPr>
          <w:rFonts w:eastAsia="Times New Roman"/>
          <w:szCs w:val="24"/>
          <w:lang w:eastAsia="ru-RU"/>
        </w:rPr>
        <w:t>, далее – дни 1</w:t>
      </w:r>
      <w:r w:rsidR="004204B1" w:rsidRPr="00F242DD">
        <w:rPr>
          <w:rFonts w:eastAsia="Times New Roman"/>
          <w:szCs w:val="24"/>
          <w:lang w:eastAsia="ru-RU"/>
        </w:rPr>
        <w:t>‒</w:t>
      </w:r>
      <w:r w:rsidRPr="00F242DD">
        <w:rPr>
          <w:rFonts w:eastAsia="Times New Roman"/>
          <w:szCs w:val="24"/>
          <w:lang w:eastAsia="ru-RU"/>
        </w:rPr>
        <w:t>4</w:t>
      </w:r>
      <w:r w:rsidR="004204B1" w:rsidRPr="00F242DD">
        <w:rPr>
          <w:rFonts w:eastAsia="Times New Roman"/>
          <w:szCs w:val="24"/>
          <w:lang w:eastAsia="ru-RU"/>
        </w:rPr>
        <w:t>-й</w:t>
      </w:r>
      <w:r w:rsidRPr="00F242DD">
        <w:rPr>
          <w:rFonts w:eastAsia="Times New Roman"/>
          <w:szCs w:val="24"/>
          <w:lang w:eastAsia="ru-RU"/>
        </w:rPr>
        <w:t xml:space="preserve"> </w:t>
      </w:r>
    </w:p>
    <w:p w14:paraId="55C38A34" w14:textId="77777777" w:rsidR="000546DA" w:rsidRPr="00F242DD" w:rsidRDefault="000546DA" w:rsidP="00131E36">
      <w:pPr>
        <w:pStyle w:val="a6"/>
        <w:spacing w:before="0" w:after="0"/>
        <w:ind w:left="1080"/>
        <w:rPr>
          <w:rFonts w:eastAsia="Times New Roman"/>
          <w:szCs w:val="24"/>
          <w:lang w:eastAsia="ru-RU"/>
        </w:rPr>
      </w:pPr>
      <w:r w:rsidRPr="00F242DD">
        <w:rPr>
          <w:rFonts w:eastAsia="Times New Roman"/>
          <w:szCs w:val="24"/>
          <w:lang w:eastAsia="ru-RU"/>
        </w:rPr>
        <w:t>или 20 мг внутрь, дни 1, 2, 4, 5, 8, 9, 11, 12</w:t>
      </w:r>
      <w:r w:rsidR="004204B1" w:rsidRPr="00F242DD">
        <w:rPr>
          <w:rFonts w:eastAsia="Times New Roman"/>
          <w:szCs w:val="24"/>
          <w:lang w:eastAsia="ru-RU"/>
        </w:rPr>
        <w:t>-й</w:t>
      </w:r>
    </w:p>
    <w:p w14:paraId="4999DD5C"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возобновляется на 22</w:t>
      </w:r>
      <w:r w:rsidR="004204B1" w:rsidRPr="00F242DD">
        <w:rPr>
          <w:rFonts w:eastAsia="Times New Roman"/>
          <w:szCs w:val="24"/>
          <w:lang w:eastAsia="ru-RU"/>
        </w:rPr>
        <w:t>-й</w:t>
      </w:r>
      <w:r w:rsidRPr="00F242DD">
        <w:rPr>
          <w:rFonts w:eastAsia="Times New Roman"/>
          <w:szCs w:val="24"/>
          <w:lang w:eastAsia="ru-RU"/>
        </w:rPr>
        <w:t xml:space="preserve"> день</w:t>
      </w:r>
      <w:r w:rsidR="004204B1" w:rsidRPr="00F242DD">
        <w:rPr>
          <w:rFonts w:eastAsia="Times New Roman"/>
          <w:szCs w:val="24"/>
          <w:lang w:eastAsia="ru-RU"/>
        </w:rPr>
        <w:t>.</w:t>
      </w:r>
    </w:p>
    <w:p w14:paraId="2ECDDE8D" w14:textId="77777777" w:rsidR="000546DA" w:rsidRPr="00F242DD" w:rsidRDefault="000546DA" w:rsidP="00131E36">
      <w:pPr>
        <w:spacing w:before="0" w:after="0"/>
        <w:contextualSpacing/>
        <w:rPr>
          <w:rFonts w:eastAsia="Times New Roman"/>
          <w:b/>
          <w:i/>
          <w:szCs w:val="24"/>
          <w:lang w:eastAsia="ru-RU"/>
        </w:rPr>
      </w:pPr>
      <w:r w:rsidRPr="00F242DD">
        <w:rPr>
          <w:rFonts w:eastAsia="Times New Roman"/>
          <w:b/>
          <w:i/>
          <w:szCs w:val="24"/>
          <w:lang w:eastAsia="ru-RU"/>
        </w:rPr>
        <w:t>Схемы лечения рецидивов</w:t>
      </w:r>
    </w:p>
    <w:p w14:paraId="2ADF8FAE" w14:textId="77777777" w:rsidR="000546DA" w:rsidRPr="00F242DD" w:rsidRDefault="000546DA" w:rsidP="00131E36">
      <w:pPr>
        <w:spacing w:before="0" w:after="0"/>
        <w:contextualSpacing/>
        <w:rPr>
          <w:rFonts w:eastAsia="Times New Roman"/>
          <w:b/>
          <w:szCs w:val="24"/>
          <w:lang w:eastAsia="ru-RU"/>
        </w:rPr>
      </w:pPr>
      <w:r w:rsidRPr="00F242DD">
        <w:rPr>
          <w:rFonts w:eastAsia="Times New Roman"/>
          <w:b/>
          <w:szCs w:val="24"/>
          <w:lang w:eastAsia="ru-RU"/>
        </w:rPr>
        <w:t>Монотерапия бортезомибом</w:t>
      </w:r>
    </w:p>
    <w:p w14:paraId="5D97D27D" w14:textId="77777777" w:rsidR="000546DA" w:rsidRPr="00F242DD" w:rsidRDefault="000546DA" w:rsidP="00727CDE">
      <w:pPr>
        <w:numPr>
          <w:ilvl w:val="0"/>
          <w:numId w:val="15"/>
        </w:numPr>
        <w:spacing w:before="0" w:after="0"/>
        <w:contextualSpacing/>
        <w:jc w:val="left"/>
        <w:rPr>
          <w:rFonts w:eastAsia="Times New Roman"/>
          <w:szCs w:val="24"/>
          <w:lang w:eastAsia="ru-RU"/>
        </w:rPr>
      </w:pPr>
      <w:r w:rsidRPr="00F242DD">
        <w:rPr>
          <w:rFonts w:eastAsia="Times New Roman"/>
          <w:szCs w:val="24"/>
          <w:lang w:eastAsia="ru-RU"/>
        </w:rPr>
        <w:t>1</w:t>
      </w:r>
      <w:r w:rsidR="004204B1" w:rsidRPr="00F242DD">
        <w:rPr>
          <w:rFonts w:eastAsia="Times New Roman"/>
          <w:szCs w:val="24"/>
          <w:lang w:eastAsia="ru-RU"/>
        </w:rPr>
        <w:t>‒</w:t>
      </w:r>
      <w:r w:rsidRPr="00F242DD">
        <w:rPr>
          <w:rFonts w:eastAsia="Times New Roman"/>
          <w:szCs w:val="24"/>
          <w:lang w:eastAsia="ru-RU"/>
        </w:rPr>
        <w:t>8</w:t>
      </w:r>
      <w:r w:rsidR="004204B1" w:rsidRPr="00F242DD">
        <w:rPr>
          <w:rFonts w:eastAsia="Times New Roman"/>
          <w:szCs w:val="24"/>
          <w:lang w:eastAsia="ru-RU"/>
        </w:rPr>
        <w:t>-й</w:t>
      </w:r>
      <w:r w:rsidRPr="00F242DD">
        <w:rPr>
          <w:rFonts w:eastAsia="Times New Roman"/>
          <w:szCs w:val="24"/>
          <w:lang w:eastAsia="ru-RU"/>
        </w:rPr>
        <w:t xml:space="preserve"> курсы:</w:t>
      </w:r>
    </w:p>
    <w:p w14:paraId="2472DBCE" w14:textId="77777777" w:rsidR="000546DA" w:rsidRPr="00F242DD" w:rsidRDefault="000546DA" w:rsidP="00727CDE">
      <w:pPr>
        <w:numPr>
          <w:ilvl w:val="1"/>
          <w:numId w:val="15"/>
        </w:numPr>
        <w:spacing w:before="0" w:after="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w:t>
      </w:r>
      <w:r w:rsidR="004204B1" w:rsidRPr="00F242DD">
        <w:rPr>
          <w:rFonts w:eastAsia="Times New Roman"/>
          <w:szCs w:val="24"/>
          <w:lang w:eastAsia="ru-RU"/>
        </w:rPr>
        <w:t>-й</w:t>
      </w:r>
    </w:p>
    <w:p w14:paraId="656731DE"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возобновляется на 22</w:t>
      </w:r>
      <w:r w:rsidR="004204B1" w:rsidRPr="00F242DD">
        <w:rPr>
          <w:rFonts w:eastAsia="Times New Roman"/>
          <w:szCs w:val="24"/>
          <w:lang w:eastAsia="ru-RU"/>
        </w:rPr>
        <w:t>-й</w:t>
      </w:r>
      <w:r w:rsidRPr="00F242DD">
        <w:rPr>
          <w:rFonts w:eastAsia="Times New Roman"/>
          <w:szCs w:val="24"/>
          <w:lang w:eastAsia="ru-RU"/>
        </w:rPr>
        <w:t xml:space="preserve"> день</w:t>
      </w:r>
      <w:r w:rsidR="004204B1" w:rsidRPr="00F242DD">
        <w:rPr>
          <w:rFonts w:eastAsia="Times New Roman"/>
          <w:szCs w:val="24"/>
          <w:lang w:eastAsia="ru-RU"/>
        </w:rPr>
        <w:t>.</w:t>
      </w:r>
    </w:p>
    <w:p w14:paraId="42F10F27" w14:textId="77777777" w:rsidR="000546DA" w:rsidRPr="00F242DD" w:rsidRDefault="000546DA" w:rsidP="00727CDE">
      <w:pPr>
        <w:numPr>
          <w:ilvl w:val="0"/>
          <w:numId w:val="15"/>
        </w:numPr>
        <w:spacing w:before="0" w:after="0"/>
        <w:contextualSpacing/>
        <w:jc w:val="left"/>
        <w:rPr>
          <w:rFonts w:eastAsia="Times New Roman"/>
          <w:szCs w:val="24"/>
          <w:lang w:eastAsia="ru-RU"/>
        </w:rPr>
      </w:pPr>
      <w:r w:rsidRPr="00F242DD">
        <w:rPr>
          <w:rFonts w:eastAsia="Times New Roman"/>
          <w:szCs w:val="24"/>
          <w:lang w:eastAsia="ru-RU"/>
        </w:rPr>
        <w:t>9</w:t>
      </w:r>
      <w:r w:rsidR="004204B1" w:rsidRPr="00F242DD">
        <w:rPr>
          <w:rFonts w:eastAsia="Times New Roman"/>
          <w:szCs w:val="24"/>
          <w:lang w:eastAsia="ru-RU"/>
        </w:rPr>
        <w:t>‒</w:t>
      </w:r>
      <w:r w:rsidRPr="00F242DD">
        <w:rPr>
          <w:rFonts w:eastAsia="Times New Roman"/>
          <w:szCs w:val="24"/>
          <w:lang w:eastAsia="ru-RU"/>
        </w:rPr>
        <w:t>11</w:t>
      </w:r>
      <w:r w:rsidR="004204B1" w:rsidRPr="00F242DD">
        <w:rPr>
          <w:rFonts w:eastAsia="Times New Roman"/>
          <w:szCs w:val="24"/>
          <w:lang w:eastAsia="ru-RU"/>
        </w:rPr>
        <w:t>-й</w:t>
      </w:r>
      <w:r w:rsidRPr="00F242DD">
        <w:rPr>
          <w:rFonts w:eastAsia="Times New Roman"/>
          <w:szCs w:val="24"/>
          <w:lang w:eastAsia="ru-RU"/>
        </w:rPr>
        <w:t xml:space="preserve"> курсы:</w:t>
      </w:r>
    </w:p>
    <w:p w14:paraId="34DF2E86" w14:textId="77777777" w:rsidR="000546DA" w:rsidRPr="00F242DD" w:rsidRDefault="000546DA" w:rsidP="00727CDE">
      <w:pPr>
        <w:numPr>
          <w:ilvl w:val="1"/>
          <w:numId w:val="15"/>
        </w:numPr>
        <w:spacing w:before="0" w:after="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8, 15, 22</w:t>
      </w:r>
      <w:r w:rsidR="004204B1" w:rsidRPr="00F242DD">
        <w:rPr>
          <w:rFonts w:eastAsia="Times New Roman"/>
          <w:szCs w:val="24"/>
          <w:lang w:eastAsia="ru-RU"/>
        </w:rPr>
        <w:t>-й</w:t>
      </w:r>
    </w:p>
    <w:p w14:paraId="71089EF9"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возобновляется на 36</w:t>
      </w:r>
      <w:r w:rsidR="004204B1" w:rsidRPr="00F242DD">
        <w:rPr>
          <w:rFonts w:eastAsia="Times New Roman"/>
          <w:szCs w:val="24"/>
          <w:lang w:eastAsia="ru-RU"/>
        </w:rPr>
        <w:t>-й</w:t>
      </w:r>
      <w:r w:rsidRPr="00F242DD">
        <w:rPr>
          <w:rFonts w:eastAsia="Times New Roman"/>
          <w:szCs w:val="24"/>
          <w:lang w:eastAsia="ru-RU"/>
        </w:rPr>
        <w:t xml:space="preserve"> день</w:t>
      </w:r>
      <w:r w:rsidR="004204B1" w:rsidRPr="00F242DD">
        <w:rPr>
          <w:rFonts w:eastAsia="Times New Roman"/>
          <w:szCs w:val="24"/>
          <w:lang w:eastAsia="ru-RU"/>
        </w:rPr>
        <w:t>.</w:t>
      </w:r>
    </w:p>
    <w:p w14:paraId="72C79D8E" w14:textId="77777777" w:rsidR="000546DA" w:rsidRPr="00F242DD" w:rsidRDefault="000546DA" w:rsidP="00131E36">
      <w:pPr>
        <w:spacing w:before="0" w:after="0"/>
        <w:contextualSpacing/>
        <w:rPr>
          <w:rFonts w:eastAsia="Times New Roman"/>
          <w:b/>
          <w:szCs w:val="24"/>
          <w:lang w:eastAsia="ru-RU"/>
        </w:rPr>
      </w:pPr>
      <w:r w:rsidRPr="00F242DD">
        <w:rPr>
          <w:rFonts w:eastAsia="Times New Roman"/>
          <w:b/>
          <w:szCs w:val="24"/>
          <w:lang w:eastAsia="ru-RU"/>
        </w:rPr>
        <w:t>Vel</w:t>
      </w:r>
      <w:r w:rsidR="004204B1" w:rsidRPr="00F242DD">
        <w:rPr>
          <w:rFonts w:eastAsia="Times New Roman"/>
          <w:b/>
          <w:szCs w:val="24"/>
          <w:lang w:eastAsia="ru-RU"/>
        </w:rPr>
        <w:t xml:space="preserve"> </w:t>
      </w:r>
      <w:r w:rsidRPr="00F242DD">
        <w:rPr>
          <w:rFonts w:eastAsia="Times New Roman"/>
          <w:b/>
          <w:szCs w:val="24"/>
          <w:lang w:eastAsia="ru-RU"/>
        </w:rPr>
        <w:t>+</w:t>
      </w:r>
      <w:r w:rsidR="004204B1" w:rsidRPr="00F242DD">
        <w:rPr>
          <w:rFonts w:eastAsia="Times New Roman"/>
          <w:b/>
          <w:szCs w:val="24"/>
          <w:lang w:eastAsia="ru-RU"/>
        </w:rPr>
        <w:t xml:space="preserve"> </w:t>
      </w:r>
      <w:r w:rsidRPr="00F242DD">
        <w:rPr>
          <w:rFonts w:eastAsia="Times New Roman"/>
          <w:b/>
          <w:szCs w:val="24"/>
          <w:lang w:eastAsia="ru-RU"/>
        </w:rPr>
        <w:t>PLD</w:t>
      </w:r>
    </w:p>
    <w:p w14:paraId="6EF44E63" w14:textId="77777777" w:rsidR="000546DA" w:rsidRPr="00F242DD" w:rsidRDefault="000546DA" w:rsidP="00727CDE">
      <w:pPr>
        <w:pStyle w:val="a6"/>
        <w:numPr>
          <w:ilvl w:val="0"/>
          <w:numId w:val="27"/>
        </w:numPr>
        <w:spacing w:before="0" w:after="0"/>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w:t>
      </w:r>
      <w:r w:rsidR="004204B1" w:rsidRPr="00F242DD">
        <w:rPr>
          <w:rFonts w:eastAsia="Times New Roman"/>
          <w:szCs w:val="24"/>
          <w:lang w:eastAsia="ru-RU"/>
        </w:rPr>
        <w:t>-й</w:t>
      </w:r>
    </w:p>
    <w:p w14:paraId="2D702B45" w14:textId="77777777" w:rsidR="000546DA" w:rsidRPr="00F242DD" w:rsidRDefault="000546DA" w:rsidP="00727CDE">
      <w:pPr>
        <w:pStyle w:val="a6"/>
        <w:numPr>
          <w:ilvl w:val="0"/>
          <w:numId w:val="27"/>
        </w:numPr>
        <w:spacing w:before="0" w:after="0"/>
        <w:jc w:val="left"/>
        <w:rPr>
          <w:rFonts w:eastAsia="Times New Roman"/>
          <w:szCs w:val="24"/>
          <w:lang w:eastAsia="ru-RU"/>
        </w:rPr>
      </w:pPr>
      <w:r w:rsidRPr="00F242DD">
        <w:rPr>
          <w:rFonts w:eastAsia="Times New Roman"/>
          <w:szCs w:val="24"/>
          <w:lang w:eastAsia="ru-RU"/>
        </w:rPr>
        <w:t>Доксорубицин** (пегилированный, липосомальный) 30 мг/м</w:t>
      </w:r>
      <w:r w:rsidRPr="00F242DD">
        <w:rPr>
          <w:rFonts w:eastAsia="Times New Roman"/>
          <w:szCs w:val="24"/>
          <w:vertAlign w:val="superscript"/>
          <w:lang w:eastAsia="ru-RU"/>
        </w:rPr>
        <w:t>2</w:t>
      </w:r>
      <w:r w:rsidRPr="00F242DD">
        <w:rPr>
          <w:rFonts w:eastAsia="Times New Roman"/>
          <w:szCs w:val="24"/>
          <w:lang w:eastAsia="ru-RU"/>
        </w:rPr>
        <w:t xml:space="preserve"> в/в, день 4</w:t>
      </w:r>
      <w:r w:rsidR="004204B1" w:rsidRPr="00F242DD">
        <w:rPr>
          <w:rFonts w:eastAsia="Times New Roman"/>
          <w:szCs w:val="24"/>
          <w:lang w:eastAsia="ru-RU"/>
        </w:rPr>
        <w:t>-й</w:t>
      </w:r>
    </w:p>
    <w:p w14:paraId="4338C0EB"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возобновляется на 22</w:t>
      </w:r>
      <w:r w:rsidR="004204B1" w:rsidRPr="00F242DD">
        <w:rPr>
          <w:rFonts w:eastAsia="Times New Roman"/>
          <w:szCs w:val="24"/>
          <w:lang w:eastAsia="ru-RU"/>
        </w:rPr>
        <w:t>-й</w:t>
      </w:r>
      <w:r w:rsidRPr="00F242DD">
        <w:rPr>
          <w:rFonts w:eastAsia="Times New Roman"/>
          <w:szCs w:val="24"/>
          <w:lang w:eastAsia="ru-RU"/>
        </w:rPr>
        <w:t xml:space="preserve"> день</w:t>
      </w:r>
      <w:r w:rsidR="004204B1" w:rsidRPr="00F242DD">
        <w:rPr>
          <w:rFonts w:eastAsia="Times New Roman"/>
          <w:szCs w:val="24"/>
          <w:lang w:eastAsia="ru-RU"/>
        </w:rPr>
        <w:t>.</w:t>
      </w:r>
    </w:p>
    <w:p w14:paraId="734DE2D1"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Проводят 8 курсов</w:t>
      </w:r>
      <w:r w:rsidR="004204B1" w:rsidRPr="00F242DD">
        <w:rPr>
          <w:rFonts w:eastAsia="Times New Roman"/>
          <w:szCs w:val="24"/>
          <w:lang w:eastAsia="ru-RU"/>
        </w:rPr>
        <w:t>.</w:t>
      </w:r>
    </w:p>
    <w:p w14:paraId="314FE2A7" w14:textId="77777777" w:rsidR="000546DA" w:rsidRPr="00F242DD" w:rsidRDefault="000546DA" w:rsidP="00131E36">
      <w:pPr>
        <w:spacing w:before="0" w:after="0"/>
        <w:contextualSpacing/>
        <w:rPr>
          <w:rFonts w:eastAsia="Times New Roman"/>
          <w:b/>
          <w:szCs w:val="24"/>
          <w:lang w:eastAsia="ru-RU"/>
        </w:rPr>
      </w:pPr>
      <w:r w:rsidRPr="00F242DD">
        <w:rPr>
          <w:rFonts w:eastAsia="Times New Roman"/>
          <w:b/>
          <w:szCs w:val="24"/>
          <w:lang w:eastAsia="ru-RU"/>
        </w:rPr>
        <w:t>VCD с непрерывным приемом циклофосфамида</w:t>
      </w:r>
    </w:p>
    <w:p w14:paraId="60B7012D" w14:textId="77777777" w:rsidR="000546DA" w:rsidRPr="00F242DD" w:rsidRDefault="000546DA" w:rsidP="00727CDE">
      <w:pPr>
        <w:numPr>
          <w:ilvl w:val="0"/>
          <w:numId w:val="16"/>
        </w:numPr>
        <w:spacing w:before="0" w:after="0"/>
        <w:contextualSpacing/>
        <w:jc w:val="left"/>
        <w:rPr>
          <w:rFonts w:eastAsia="Times New Roman"/>
          <w:szCs w:val="24"/>
          <w:lang w:eastAsia="ru-RU"/>
        </w:rPr>
      </w:pPr>
      <w:r w:rsidRPr="00F242DD">
        <w:rPr>
          <w:rFonts w:eastAsia="Times New Roman"/>
          <w:szCs w:val="24"/>
          <w:lang w:eastAsia="ru-RU"/>
        </w:rPr>
        <w:t>1</w:t>
      </w:r>
      <w:r w:rsidR="004204B1" w:rsidRPr="00F242DD">
        <w:rPr>
          <w:rFonts w:eastAsia="Times New Roman"/>
          <w:szCs w:val="24"/>
          <w:lang w:eastAsia="ru-RU"/>
        </w:rPr>
        <w:t>‒</w:t>
      </w:r>
      <w:r w:rsidRPr="00F242DD">
        <w:rPr>
          <w:rFonts w:eastAsia="Times New Roman"/>
          <w:szCs w:val="24"/>
          <w:lang w:eastAsia="ru-RU"/>
        </w:rPr>
        <w:t>8</w:t>
      </w:r>
      <w:r w:rsidR="004204B1" w:rsidRPr="00F242DD">
        <w:rPr>
          <w:rFonts w:eastAsia="Times New Roman"/>
          <w:szCs w:val="24"/>
          <w:lang w:eastAsia="ru-RU"/>
        </w:rPr>
        <w:t>-й</w:t>
      </w:r>
      <w:r w:rsidRPr="00F242DD">
        <w:rPr>
          <w:rFonts w:eastAsia="Times New Roman"/>
          <w:szCs w:val="24"/>
          <w:lang w:eastAsia="ru-RU"/>
        </w:rPr>
        <w:t xml:space="preserve"> курсы:</w:t>
      </w:r>
    </w:p>
    <w:p w14:paraId="67B4F363" w14:textId="77777777" w:rsidR="000546DA" w:rsidRPr="00F242DD" w:rsidRDefault="000546DA" w:rsidP="00727CDE">
      <w:pPr>
        <w:numPr>
          <w:ilvl w:val="1"/>
          <w:numId w:val="16"/>
        </w:numPr>
        <w:spacing w:before="0" w:after="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w:t>
      </w:r>
      <w:r w:rsidR="004204B1" w:rsidRPr="00F242DD">
        <w:rPr>
          <w:rFonts w:eastAsia="Times New Roman"/>
          <w:szCs w:val="24"/>
          <w:lang w:eastAsia="ru-RU"/>
        </w:rPr>
        <w:t>-й</w:t>
      </w:r>
    </w:p>
    <w:p w14:paraId="23EA0737" w14:textId="77777777" w:rsidR="000546DA" w:rsidRPr="00F242DD" w:rsidRDefault="000546DA" w:rsidP="00727CDE">
      <w:pPr>
        <w:numPr>
          <w:ilvl w:val="1"/>
          <w:numId w:val="16"/>
        </w:numPr>
        <w:spacing w:before="0" w:after="0"/>
        <w:contextualSpacing/>
        <w:jc w:val="left"/>
        <w:rPr>
          <w:rFonts w:eastAsia="Times New Roman"/>
          <w:szCs w:val="24"/>
          <w:lang w:eastAsia="ru-RU"/>
        </w:rPr>
      </w:pPr>
      <w:r w:rsidRPr="00F242DD">
        <w:rPr>
          <w:rFonts w:eastAsia="Times New Roman"/>
          <w:szCs w:val="24"/>
          <w:lang w:eastAsia="ru-RU"/>
        </w:rPr>
        <w:lastRenderedPageBreak/>
        <w:t>Циклофосфамид** 50 мг внутрь, дни 1</w:t>
      </w:r>
      <w:r w:rsidR="004204B1" w:rsidRPr="00F242DD">
        <w:rPr>
          <w:rFonts w:eastAsia="Times New Roman"/>
          <w:szCs w:val="24"/>
          <w:lang w:eastAsia="ru-RU"/>
        </w:rPr>
        <w:t>‒</w:t>
      </w:r>
      <w:r w:rsidRPr="00F242DD">
        <w:rPr>
          <w:rFonts w:eastAsia="Times New Roman"/>
          <w:szCs w:val="24"/>
          <w:lang w:eastAsia="ru-RU"/>
        </w:rPr>
        <w:t>21</w:t>
      </w:r>
      <w:r w:rsidR="004204B1" w:rsidRPr="00F242DD">
        <w:rPr>
          <w:rFonts w:eastAsia="Times New Roman"/>
          <w:szCs w:val="24"/>
          <w:lang w:eastAsia="ru-RU"/>
        </w:rPr>
        <w:t>-й</w:t>
      </w:r>
    </w:p>
    <w:p w14:paraId="6423922F" w14:textId="77777777" w:rsidR="000546DA" w:rsidRPr="00F242DD" w:rsidRDefault="000546DA" w:rsidP="00727CDE">
      <w:pPr>
        <w:numPr>
          <w:ilvl w:val="1"/>
          <w:numId w:val="16"/>
        </w:numPr>
        <w:spacing w:before="0" w:after="0"/>
        <w:contextualSpacing/>
        <w:jc w:val="left"/>
        <w:rPr>
          <w:rFonts w:eastAsia="Times New Roman"/>
          <w:szCs w:val="24"/>
          <w:lang w:eastAsia="ru-RU"/>
        </w:rPr>
      </w:pPr>
      <w:r w:rsidRPr="00F242DD">
        <w:rPr>
          <w:rFonts w:eastAsia="Times New Roman"/>
          <w:szCs w:val="24"/>
          <w:lang w:eastAsia="ru-RU"/>
        </w:rPr>
        <w:t>Дексаметазон** 20 мг внутрь, дни 1, 2, 4, 5, 8, 9, 11, 12</w:t>
      </w:r>
      <w:r w:rsidR="004204B1" w:rsidRPr="00F242DD">
        <w:rPr>
          <w:rFonts w:eastAsia="Times New Roman"/>
          <w:szCs w:val="24"/>
          <w:lang w:eastAsia="ru-RU"/>
        </w:rPr>
        <w:t>-й</w:t>
      </w:r>
    </w:p>
    <w:p w14:paraId="43AC00AC"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возобновляется на 22</w:t>
      </w:r>
      <w:r w:rsidR="004204B1" w:rsidRPr="00F242DD">
        <w:rPr>
          <w:rFonts w:eastAsia="Times New Roman"/>
          <w:szCs w:val="24"/>
          <w:lang w:eastAsia="ru-RU"/>
        </w:rPr>
        <w:t>-й</w:t>
      </w:r>
      <w:r w:rsidRPr="00F242DD">
        <w:rPr>
          <w:rFonts w:eastAsia="Times New Roman"/>
          <w:szCs w:val="24"/>
          <w:lang w:eastAsia="ru-RU"/>
        </w:rPr>
        <w:t xml:space="preserve"> день</w:t>
      </w:r>
      <w:r w:rsidR="004204B1" w:rsidRPr="00F242DD">
        <w:rPr>
          <w:rFonts w:eastAsia="Times New Roman"/>
          <w:szCs w:val="24"/>
          <w:lang w:eastAsia="ru-RU"/>
        </w:rPr>
        <w:t>.</w:t>
      </w:r>
    </w:p>
    <w:p w14:paraId="38A29A08" w14:textId="77777777" w:rsidR="000546DA" w:rsidRPr="00F242DD" w:rsidRDefault="000546DA" w:rsidP="00727CDE">
      <w:pPr>
        <w:numPr>
          <w:ilvl w:val="0"/>
          <w:numId w:val="16"/>
        </w:numPr>
        <w:spacing w:before="0" w:after="0"/>
        <w:contextualSpacing/>
        <w:jc w:val="left"/>
        <w:rPr>
          <w:rFonts w:eastAsia="Times New Roman"/>
          <w:szCs w:val="24"/>
          <w:lang w:eastAsia="ru-RU"/>
        </w:rPr>
      </w:pPr>
      <w:r w:rsidRPr="00F242DD">
        <w:rPr>
          <w:rFonts w:eastAsia="Times New Roman"/>
          <w:szCs w:val="24"/>
          <w:lang w:eastAsia="ru-RU"/>
        </w:rPr>
        <w:t>9</w:t>
      </w:r>
      <w:r w:rsidR="004204B1" w:rsidRPr="00F242DD">
        <w:rPr>
          <w:rFonts w:eastAsia="Times New Roman"/>
          <w:szCs w:val="24"/>
          <w:lang w:eastAsia="ru-RU"/>
        </w:rPr>
        <w:t>‒</w:t>
      </w:r>
      <w:r w:rsidRPr="00F242DD">
        <w:rPr>
          <w:rFonts w:eastAsia="Times New Roman"/>
          <w:szCs w:val="24"/>
          <w:lang w:eastAsia="ru-RU"/>
        </w:rPr>
        <w:t>11</w:t>
      </w:r>
      <w:r w:rsidR="004204B1" w:rsidRPr="00F242DD">
        <w:rPr>
          <w:rFonts w:eastAsia="Times New Roman"/>
          <w:szCs w:val="24"/>
          <w:lang w:eastAsia="ru-RU"/>
        </w:rPr>
        <w:t>-й</w:t>
      </w:r>
      <w:r w:rsidRPr="00F242DD">
        <w:rPr>
          <w:rFonts w:eastAsia="Times New Roman"/>
          <w:szCs w:val="24"/>
          <w:lang w:eastAsia="ru-RU"/>
        </w:rPr>
        <w:t xml:space="preserve"> курсы:</w:t>
      </w:r>
    </w:p>
    <w:p w14:paraId="50FBECB0" w14:textId="77777777" w:rsidR="000546DA" w:rsidRPr="00F242DD" w:rsidRDefault="000546DA" w:rsidP="00727CDE">
      <w:pPr>
        <w:numPr>
          <w:ilvl w:val="1"/>
          <w:numId w:val="16"/>
        </w:numPr>
        <w:spacing w:before="0" w:after="0"/>
        <w:contextualSpacing/>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8, 15, 22</w:t>
      </w:r>
      <w:r w:rsidR="004204B1" w:rsidRPr="00F242DD">
        <w:rPr>
          <w:rFonts w:eastAsia="Times New Roman"/>
          <w:szCs w:val="24"/>
          <w:lang w:eastAsia="ru-RU"/>
        </w:rPr>
        <w:t>-й</w:t>
      </w:r>
    </w:p>
    <w:p w14:paraId="6BB3F639" w14:textId="77777777" w:rsidR="000546DA" w:rsidRPr="00F242DD" w:rsidRDefault="000546DA" w:rsidP="00727CDE">
      <w:pPr>
        <w:numPr>
          <w:ilvl w:val="1"/>
          <w:numId w:val="16"/>
        </w:numPr>
        <w:spacing w:before="0" w:after="0"/>
        <w:contextualSpacing/>
        <w:jc w:val="left"/>
        <w:rPr>
          <w:rFonts w:eastAsia="Times New Roman"/>
          <w:szCs w:val="24"/>
          <w:lang w:eastAsia="ru-RU"/>
        </w:rPr>
      </w:pPr>
      <w:r w:rsidRPr="00F242DD">
        <w:rPr>
          <w:rFonts w:eastAsia="Times New Roman"/>
          <w:szCs w:val="24"/>
          <w:lang w:eastAsia="ru-RU"/>
        </w:rPr>
        <w:t>Циклофосфамид** 50 мг внутрь, дни 1</w:t>
      </w:r>
      <w:r w:rsidR="004204B1" w:rsidRPr="00F242DD">
        <w:rPr>
          <w:rFonts w:eastAsia="Times New Roman"/>
          <w:szCs w:val="24"/>
          <w:lang w:eastAsia="ru-RU"/>
        </w:rPr>
        <w:t>‒</w:t>
      </w:r>
      <w:r w:rsidRPr="00F242DD">
        <w:rPr>
          <w:rFonts w:eastAsia="Times New Roman"/>
          <w:szCs w:val="24"/>
          <w:lang w:eastAsia="ru-RU"/>
        </w:rPr>
        <w:t>35</w:t>
      </w:r>
      <w:r w:rsidR="004204B1" w:rsidRPr="00F242DD">
        <w:rPr>
          <w:rFonts w:eastAsia="Times New Roman"/>
          <w:szCs w:val="24"/>
          <w:lang w:eastAsia="ru-RU"/>
        </w:rPr>
        <w:t>-й</w:t>
      </w:r>
      <w:r w:rsidRPr="00F242DD">
        <w:rPr>
          <w:rFonts w:eastAsia="Times New Roman"/>
          <w:szCs w:val="24"/>
          <w:lang w:eastAsia="ru-RU"/>
        </w:rPr>
        <w:t xml:space="preserve"> </w:t>
      </w:r>
    </w:p>
    <w:p w14:paraId="71F9E430" w14:textId="77777777" w:rsidR="000546DA" w:rsidRPr="00F242DD" w:rsidRDefault="000546DA" w:rsidP="00727CDE">
      <w:pPr>
        <w:numPr>
          <w:ilvl w:val="1"/>
          <w:numId w:val="16"/>
        </w:numPr>
        <w:spacing w:before="0" w:after="0"/>
        <w:contextualSpacing/>
        <w:jc w:val="left"/>
        <w:rPr>
          <w:rFonts w:eastAsia="Times New Roman"/>
          <w:szCs w:val="24"/>
          <w:lang w:eastAsia="ru-RU"/>
        </w:rPr>
      </w:pPr>
      <w:r w:rsidRPr="00F242DD">
        <w:rPr>
          <w:rFonts w:eastAsia="Times New Roman"/>
          <w:szCs w:val="24"/>
          <w:lang w:eastAsia="ru-RU"/>
        </w:rPr>
        <w:t>Дексаметазон** 20 мг внутрь, дни 1, 2, 8, 9, 15, 16, 22, 23</w:t>
      </w:r>
      <w:r w:rsidR="004204B1" w:rsidRPr="00F242DD">
        <w:rPr>
          <w:rFonts w:eastAsia="Times New Roman"/>
          <w:szCs w:val="24"/>
          <w:lang w:eastAsia="ru-RU"/>
        </w:rPr>
        <w:t>-й</w:t>
      </w:r>
    </w:p>
    <w:p w14:paraId="1AB3EC77"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возобновляется на 36</w:t>
      </w:r>
      <w:r w:rsidR="004204B1" w:rsidRPr="00F242DD">
        <w:rPr>
          <w:rFonts w:eastAsia="Times New Roman"/>
          <w:szCs w:val="24"/>
          <w:lang w:eastAsia="ru-RU"/>
        </w:rPr>
        <w:t>-й</w:t>
      </w:r>
      <w:r w:rsidRPr="00F242DD">
        <w:rPr>
          <w:rFonts w:eastAsia="Times New Roman"/>
          <w:szCs w:val="24"/>
          <w:lang w:eastAsia="ru-RU"/>
        </w:rPr>
        <w:t xml:space="preserve"> день</w:t>
      </w:r>
      <w:r w:rsidR="004204B1" w:rsidRPr="00F242DD">
        <w:rPr>
          <w:rFonts w:eastAsia="Times New Roman"/>
          <w:szCs w:val="24"/>
          <w:lang w:eastAsia="ru-RU"/>
        </w:rPr>
        <w:t>.</w:t>
      </w:r>
    </w:p>
    <w:p w14:paraId="038361C8" w14:textId="77777777" w:rsidR="000546DA" w:rsidRPr="00F242DD" w:rsidRDefault="000546DA" w:rsidP="00131E36">
      <w:pPr>
        <w:spacing w:before="0" w:after="0"/>
        <w:contextualSpacing/>
        <w:rPr>
          <w:rFonts w:eastAsia="Times New Roman"/>
          <w:b/>
          <w:szCs w:val="24"/>
          <w:lang w:eastAsia="ru-RU"/>
        </w:rPr>
      </w:pPr>
      <w:r w:rsidRPr="00F242DD">
        <w:rPr>
          <w:rFonts w:eastAsia="Times New Roman"/>
          <w:b/>
          <w:szCs w:val="24"/>
          <w:lang w:eastAsia="ru-RU"/>
        </w:rPr>
        <w:t>CVD</w:t>
      </w:r>
    </w:p>
    <w:p w14:paraId="624AF33F" w14:textId="77777777" w:rsidR="000546DA" w:rsidRPr="00F242DD" w:rsidRDefault="000546DA" w:rsidP="00727CDE">
      <w:pPr>
        <w:pStyle w:val="a6"/>
        <w:numPr>
          <w:ilvl w:val="0"/>
          <w:numId w:val="28"/>
        </w:numPr>
        <w:spacing w:before="0" w:after="0"/>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4, 8, 11</w:t>
      </w:r>
      <w:r w:rsidR="004204B1" w:rsidRPr="00F242DD">
        <w:rPr>
          <w:rFonts w:eastAsia="Times New Roman"/>
          <w:szCs w:val="24"/>
          <w:lang w:eastAsia="ru-RU"/>
        </w:rPr>
        <w:t>-й</w:t>
      </w:r>
    </w:p>
    <w:p w14:paraId="70629D90" w14:textId="77777777" w:rsidR="000546DA" w:rsidRPr="00F242DD" w:rsidRDefault="000546DA" w:rsidP="00727CDE">
      <w:pPr>
        <w:pStyle w:val="a6"/>
        <w:numPr>
          <w:ilvl w:val="0"/>
          <w:numId w:val="28"/>
        </w:numPr>
        <w:spacing w:before="0" w:after="0"/>
        <w:jc w:val="left"/>
        <w:rPr>
          <w:rFonts w:eastAsia="Times New Roman"/>
          <w:szCs w:val="24"/>
          <w:lang w:eastAsia="ru-RU"/>
        </w:rPr>
      </w:pPr>
      <w:r w:rsidRPr="00F242DD">
        <w:rPr>
          <w:rFonts w:eastAsia="Times New Roman"/>
          <w:szCs w:val="24"/>
          <w:lang w:eastAsia="ru-RU"/>
        </w:rPr>
        <w:t>Циклофосфамид** 500 мг внутрь, дни 1, 8, 15</w:t>
      </w:r>
      <w:r w:rsidR="004204B1" w:rsidRPr="00F242DD">
        <w:rPr>
          <w:rFonts w:eastAsia="Times New Roman"/>
          <w:szCs w:val="24"/>
          <w:lang w:eastAsia="ru-RU"/>
        </w:rPr>
        <w:t>-й</w:t>
      </w:r>
    </w:p>
    <w:p w14:paraId="124389D0" w14:textId="77777777" w:rsidR="000546DA" w:rsidRPr="00F242DD" w:rsidRDefault="000546DA" w:rsidP="00727CDE">
      <w:pPr>
        <w:pStyle w:val="a6"/>
        <w:numPr>
          <w:ilvl w:val="0"/>
          <w:numId w:val="28"/>
        </w:numPr>
        <w:spacing w:before="0" w:after="0"/>
        <w:jc w:val="left"/>
        <w:rPr>
          <w:rFonts w:eastAsia="Times New Roman"/>
          <w:szCs w:val="24"/>
          <w:lang w:eastAsia="ru-RU"/>
        </w:rPr>
      </w:pPr>
      <w:r w:rsidRPr="00F242DD">
        <w:rPr>
          <w:rFonts w:eastAsia="Times New Roman"/>
          <w:szCs w:val="24"/>
          <w:lang w:eastAsia="ru-RU"/>
        </w:rPr>
        <w:t>Дексаметазон** 20 мг внутрь, дни 1, 2, 4, 5, 8, 9, 11, 12</w:t>
      </w:r>
      <w:r w:rsidR="004204B1" w:rsidRPr="00F242DD">
        <w:rPr>
          <w:rFonts w:eastAsia="Times New Roman"/>
          <w:szCs w:val="24"/>
          <w:lang w:eastAsia="ru-RU"/>
        </w:rPr>
        <w:t>-й</w:t>
      </w:r>
    </w:p>
    <w:p w14:paraId="440AA4A3"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возобновляется на 22</w:t>
      </w:r>
      <w:r w:rsidR="004204B1" w:rsidRPr="00F242DD">
        <w:rPr>
          <w:rFonts w:eastAsia="Times New Roman"/>
          <w:szCs w:val="24"/>
          <w:lang w:eastAsia="ru-RU"/>
        </w:rPr>
        <w:t>-й</w:t>
      </w:r>
      <w:r w:rsidRPr="00F242DD">
        <w:rPr>
          <w:rFonts w:eastAsia="Times New Roman"/>
          <w:szCs w:val="24"/>
          <w:lang w:eastAsia="ru-RU"/>
        </w:rPr>
        <w:t xml:space="preserve"> день</w:t>
      </w:r>
      <w:r w:rsidR="004204B1" w:rsidRPr="00F242DD">
        <w:rPr>
          <w:rFonts w:eastAsia="Times New Roman"/>
          <w:szCs w:val="24"/>
          <w:lang w:eastAsia="ru-RU"/>
        </w:rPr>
        <w:t>.</w:t>
      </w:r>
    </w:p>
    <w:p w14:paraId="675AE445"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Проводят 9 курсов</w:t>
      </w:r>
      <w:r w:rsidR="004204B1" w:rsidRPr="00F242DD">
        <w:rPr>
          <w:rFonts w:eastAsia="Times New Roman"/>
          <w:szCs w:val="24"/>
          <w:lang w:eastAsia="ru-RU"/>
        </w:rPr>
        <w:t>.</w:t>
      </w:r>
    </w:p>
    <w:p w14:paraId="24F409DA" w14:textId="77777777" w:rsidR="000546DA" w:rsidRPr="00F242DD" w:rsidRDefault="000546DA" w:rsidP="00131E36">
      <w:pPr>
        <w:spacing w:before="0" w:after="0"/>
        <w:contextualSpacing/>
        <w:rPr>
          <w:rFonts w:eastAsia="Times New Roman"/>
          <w:b/>
          <w:szCs w:val="24"/>
          <w:lang w:eastAsia="ru-RU"/>
        </w:rPr>
      </w:pPr>
      <w:r w:rsidRPr="00F242DD">
        <w:rPr>
          <w:rFonts w:eastAsia="Times New Roman"/>
          <w:b/>
          <w:szCs w:val="24"/>
          <w:lang w:eastAsia="ru-RU"/>
        </w:rPr>
        <w:t>RD</w:t>
      </w:r>
    </w:p>
    <w:p w14:paraId="412AC16B" w14:textId="77777777" w:rsidR="000546DA" w:rsidRPr="00F242DD" w:rsidRDefault="000546DA" w:rsidP="00727CDE">
      <w:pPr>
        <w:pStyle w:val="a6"/>
        <w:numPr>
          <w:ilvl w:val="0"/>
          <w:numId w:val="29"/>
        </w:numPr>
        <w:spacing w:before="0" w:after="0"/>
        <w:jc w:val="left"/>
        <w:rPr>
          <w:rFonts w:eastAsia="Times New Roman"/>
          <w:szCs w:val="24"/>
          <w:lang w:eastAsia="ru-RU"/>
        </w:rPr>
      </w:pPr>
      <w:r w:rsidRPr="00F242DD">
        <w:rPr>
          <w:rFonts w:eastAsia="Times New Roman"/>
          <w:szCs w:val="24"/>
          <w:lang w:eastAsia="ru-RU"/>
        </w:rPr>
        <w:t>Леналидомид** 25 мг внутрь, дни 1</w:t>
      </w:r>
      <w:r w:rsidR="004204B1" w:rsidRPr="00F242DD">
        <w:rPr>
          <w:rFonts w:eastAsia="Times New Roman"/>
          <w:szCs w:val="24"/>
          <w:lang w:eastAsia="ru-RU"/>
        </w:rPr>
        <w:t>‒</w:t>
      </w:r>
      <w:r w:rsidRPr="00F242DD">
        <w:rPr>
          <w:rFonts w:eastAsia="Times New Roman"/>
          <w:szCs w:val="24"/>
          <w:lang w:eastAsia="ru-RU"/>
        </w:rPr>
        <w:t>21</w:t>
      </w:r>
      <w:r w:rsidR="004204B1" w:rsidRPr="00F242DD">
        <w:rPr>
          <w:rFonts w:eastAsia="Times New Roman"/>
          <w:szCs w:val="24"/>
          <w:lang w:eastAsia="ru-RU"/>
        </w:rPr>
        <w:t>-й</w:t>
      </w:r>
    </w:p>
    <w:p w14:paraId="204AFBD1" w14:textId="77777777" w:rsidR="000546DA" w:rsidRPr="00F242DD" w:rsidRDefault="000546DA" w:rsidP="00727CDE">
      <w:pPr>
        <w:pStyle w:val="a6"/>
        <w:numPr>
          <w:ilvl w:val="0"/>
          <w:numId w:val="29"/>
        </w:numPr>
        <w:spacing w:before="0" w:after="0"/>
        <w:jc w:val="left"/>
        <w:rPr>
          <w:rFonts w:eastAsia="Times New Roman"/>
          <w:szCs w:val="24"/>
          <w:lang w:eastAsia="ru-RU"/>
        </w:rPr>
      </w:pPr>
      <w:r w:rsidRPr="00F242DD">
        <w:rPr>
          <w:rFonts w:eastAsia="Times New Roman"/>
          <w:szCs w:val="24"/>
          <w:lang w:eastAsia="ru-RU"/>
        </w:rPr>
        <w:t>Дексаметазон** 40 мг внутрь, 1</w:t>
      </w:r>
      <w:r w:rsidR="004204B1" w:rsidRPr="00F242DD">
        <w:rPr>
          <w:rFonts w:eastAsia="Times New Roman"/>
          <w:szCs w:val="24"/>
          <w:lang w:eastAsia="ru-RU"/>
        </w:rPr>
        <w:t>‒</w:t>
      </w:r>
      <w:r w:rsidRPr="00F242DD">
        <w:rPr>
          <w:rFonts w:eastAsia="Times New Roman"/>
          <w:szCs w:val="24"/>
          <w:lang w:eastAsia="ru-RU"/>
        </w:rPr>
        <w:t>4</w:t>
      </w:r>
      <w:r w:rsidR="004204B1" w:rsidRPr="00F242DD">
        <w:rPr>
          <w:rFonts w:eastAsia="Times New Roman"/>
          <w:szCs w:val="24"/>
          <w:lang w:eastAsia="ru-RU"/>
        </w:rPr>
        <w:t>-й</w:t>
      </w:r>
      <w:r w:rsidRPr="00F242DD">
        <w:rPr>
          <w:rFonts w:eastAsia="Times New Roman"/>
          <w:szCs w:val="24"/>
          <w:lang w:eastAsia="ru-RU"/>
        </w:rPr>
        <w:t xml:space="preserve"> циклы – дни 1</w:t>
      </w:r>
      <w:r w:rsidR="004204B1" w:rsidRPr="00F242DD">
        <w:rPr>
          <w:rFonts w:eastAsia="Times New Roman"/>
          <w:szCs w:val="24"/>
          <w:lang w:eastAsia="ru-RU"/>
        </w:rPr>
        <w:t>‒</w:t>
      </w:r>
      <w:r w:rsidRPr="00F242DD">
        <w:rPr>
          <w:rFonts w:eastAsia="Times New Roman"/>
          <w:szCs w:val="24"/>
          <w:lang w:eastAsia="ru-RU"/>
        </w:rPr>
        <w:t>4</w:t>
      </w:r>
      <w:r w:rsidR="004204B1" w:rsidRPr="00F242DD">
        <w:rPr>
          <w:rFonts w:eastAsia="Times New Roman"/>
          <w:szCs w:val="24"/>
          <w:lang w:eastAsia="ru-RU"/>
        </w:rPr>
        <w:t>-й</w:t>
      </w:r>
      <w:r w:rsidRPr="00F242DD">
        <w:rPr>
          <w:rFonts w:eastAsia="Times New Roman"/>
          <w:szCs w:val="24"/>
          <w:lang w:eastAsia="ru-RU"/>
        </w:rPr>
        <w:t>, 9</w:t>
      </w:r>
      <w:r w:rsidR="004204B1" w:rsidRPr="00F242DD">
        <w:rPr>
          <w:rFonts w:eastAsia="Times New Roman"/>
          <w:szCs w:val="24"/>
          <w:lang w:eastAsia="ru-RU"/>
        </w:rPr>
        <w:t>‒</w:t>
      </w:r>
      <w:r w:rsidRPr="00F242DD">
        <w:rPr>
          <w:rFonts w:eastAsia="Times New Roman"/>
          <w:szCs w:val="24"/>
          <w:lang w:eastAsia="ru-RU"/>
        </w:rPr>
        <w:t>12</w:t>
      </w:r>
      <w:r w:rsidR="004204B1" w:rsidRPr="00F242DD">
        <w:rPr>
          <w:rFonts w:eastAsia="Times New Roman"/>
          <w:szCs w:val="24"/>
          <w:lang w:eastAsia="ru-RU"/>
        </w:rPr>
        <w:t>-й</w:t>
      </w:r>
      <w:r w:rsidRPr="00F242DD">
        <w:rPr>
          <w:rFonts w:eastAsia="Times New Roman"/>
          <w:szCs w:val="24"/>
          <w:lang w:eastAsia="ru-RU"/>
        </w:rPr>
        <w:t>, 17</w:t>
      </w:r>
      <w:r w:rsidR="004204B1" w:rsidRPr="00F242DD">
        <w:rPr>
          <w:rFonts w:eastAsia="Times New Roman"/>
          <w:szCs w:val="24"/>
          <w:lang w:eastAsia="ru-RU"/>
        </w:rPr>
        <w:t>‒</w:t>
      </w:r>
      <w:r w:rsidRPr="00F242DD">
        <w:rPr>
          <w:rFonts w:eastAsia="Times New Roman"/>
          <w:szCs w:val="24"/>
          <w:lang w:eastAsia="ru-RU"/>
        </w:rPr>
        <w:t>20</w:t>
      </w:r>
      <w:r w:rsidR="004204B1" w:rsidRPr="00F242DD">
        <w:rPr>
          <w:rFonts w:eastAsia="Times New Roman"/>
          <w:szCs w:val="24"/>
          <w:lang w:eastAsia="ru-RU"/>
        </w:rPr>
        <w:t>-й</w:t>
      </w:r>
      <w:r w:rsidRPr="00F242DD">
        <w:rPr>
          <w:rFonts w:eastAsia="Times New Roman"/>
          <w:szCs w:val="24"/>
          <w:lang w:eastAsia="ru-RU"/>
        </w:rPr>
        <w:t>, далее – только дни 1</w:t>
      </w:r>
      <w:r w:rsidR="004204B1" w:rsidRPr="00F242DD">
        <w:rPr>
          <w:rFonts w:eastAsia="Times New Roman"/>
          <w:szCs w:val="24"/>
          <w:lang w:eastAsia="ru-RU"/>
        </w:rPr>
        <w:t>‒</w:t>
      </w:r>
      <w:r w:rsidRPr="00F242DD">
        <w:rPr>
          <w:rFonts w:eastAsia="Times New Roman"/>
          <w:szCs w:val="24"/>
          <w:lang w:eastAsia="ru-RU"/>
        </w:rPr>
        <w:t>4</w:t>
      </w:r>
      <w:r w:rsidR="004204B1" w:rsidRPr="00F242DD">
        <w:rPr>
          <w:rFonts w:eastAsia="Times New Roman"/>
          <w:szCs w:val="24"/>
          <w:lang w:eastAsia="ru-RU"/>
        </w:rPr>
        <w:t>-й</w:t>
      </w:r>
    </w:p>
    <w:p w14:paraId="77AB4183"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возобновляется на 29</w:t>
      </w:r>
      <w:r w:rsidR="004204B1" w:rsidRPr="00F242DD">
        <w:rPr>
          <w:rFonts w:eastAsia="Times New Roman"/>
          <w:szCs w:val="24"/>
          <w:lang w:eastAsia="ru-RU"/>
        </w:rPr>
        <w:t>-й</w:t>
      </w:r>
      <w:r w:rsidRPr="00F242DD">
        <w:rPr>
          <w:rFonts w:eastAsia="Times New Roman"/>
          <w:szCs w:val="24"/>
          <w:lang w:eastAsia="ru-RU"/>
        </w:rPr>
        <w:t xml:space="preserve"> день</w:t>
      </w:r>
      <w:r w:rsidR="004204B1" w:rsidRPr="00F242DD">
        <w:rPr>
          <w:rFonts w:eastAsia="Times New Roman"/>
          <w:szCs w:val="24"/>
          <w:lang w:eastAsia="ru-RU"/>
        </w:rPr>
        <w:t>.</w:t>
      </w:r>
    </w:p>
    <w:p w14:paraId="7FFD2E74"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продолжают до прогрессирования или развития неприемлемой токсичности</w:t>
      </w:r>
      <w:r w:rsidR="004204B1" w:rsidRPr="00F242DD">
        <w:rPr>
          <w:rFonts w:eastAsia="Times New Roman"/>
          <w:szCs w:val="24"/>
          <w:lang w:eastAsia="ru-RU"/>
        </w:rPr>
        <w:t>.</w:t>
      </w:r>
    </w:p>
    <w:p w14:paraId="2EEC1FB0" w14:textId="77777777" w:rsidR="000546DA" w:rsidRPr="00F242DD" w:rsidRDefault="000546DA" w:rsidP="00131E36">
      <w:pPr>
        <w:spacing w:before="0" w:after="0"/>
        <w:contextualSpacing/>
        <w:rPr>
          <w:rFonts w:eastAsia="Times New Roman"/>
          <w:b/>
          <w:szCs w:val="24"/>
          <w:lang w:eastAsia="ru-RU"/>
        </w:rPr>
      </w:pPr>
      <w:r w:rsidRPr="00F242DD">
        <w:rPr>
          <w:rFonts w:eastAsia="Times New Roman"/>
          <w:b/>
          <w:szCs w:val="24"/>
          <w:lang w:eastAsia="ru-RU"/>
        </w:rPr>
        <w:t>RD модифицированный</w:t>
      </w:r>
    </w:p>
    <w:p w14:paraId="33886D0B" w14:textId="77777777" w:rsidR="000546DA" w:rsidRPr="00F242DD" w:rsidRDefault="000546DA" w:rsidP="00727CDE">
      <w:pPr>
        <w:pStyle w:val="a6"/>
        <w:numPr>
          <w:ilvl w:val="0"/>
          <w:numId w:val="30"/>
        </w:numPr>
        <w:spacing w:before="0" w:after="0"/>
        <w:jc w:val="left"/>
        <w:rPr>
          <w:rFonts w:eastAsia="Times New Roman"/>
          <w:szCs w:val="24"/>
          <w:lang w:eastAsia="ru-RU"/>
        </w:rPr>
      </w:pPr>
      <w:r w:rsidRPr="00F242DD">
        <w:rPr>
          <w:rFonts w:eastAsia="Times New Roman"/>
          <w:szCs w:val="24"/>
          <w:lang w:eastAsia="ru-RU"/>
        </w:rPr>
        <w:t>Леналидомид** 25 мг внутрь, дни 1</w:t>
      </w:r>
      <w:r w:rsidR="004204B1" w:rsidRPr="00F242DD">
        <w:rPr>
          <w:rFonts w:eastAsia="Times New Roman"/>
          <w:szCs w:val="24"/>
          <w:lang w:eastAsia="ru-RU"/>
        </w:rPr>
        <w:t>‒</w:t>
      </w:r>
      <w:r w:rsidRPr="00F242DD">
        <w:rPr>
          <w:rFonts w:eastAsia="Times New Roman"/>
          <w:szCs w:val="24"/>
          <w:lang w:eastAsia="ru-RU"/>
        </w:rPr>
        <w:t>21</w:t>
      </w:r>
      <w:r w:rsidR="004204B1" w:rsidRPr="00F242DD">
        <w:rPr>
          <w:rFonts w:eastAsia="Times New Roman"/>
          <w:szCs w:val="24"/>
          <w:lang w:eastAsia="ru-RU"/>
        </w:rPr>
        <w:t>-й</w:t>
      </w:r>
    </w:p>
    <w:p w14:paraId="13CC0B20" w14:textId="77777777" w:rsidR="000546DA" w:rsidRPr="00F242DD" w:rsidRDefault="000546DA" w:rsidP="00727CDE">
      <w:pPr>
        <w:pStyle w:val="a6"/>
        <w:numPr>
          <w:ilvl w:val="0"/>
          <w:numId w:val="30"/>
        </w:numPr>
        <w:spacing w:before="0" w:after="0"/>
        <w:jc w:val="left"/>
        <w:rPr>
          <w:rFonts w:eastAsia="Times New Roman"/>
          <w:szCs w:val="24"/>
          <w:lang w:eastAsia="ru-RU"/>
        </w:rPr>
      </w:pPr>
      <w:r w:rsidRPr="00F242DD">
        <w:rPr>
          <w:rFonts w:eastAsia="Times New Roman"/>
          <w:szCs w:val="24"/>
          <w:lang w:eastAsia="ru-RU"/>
        </w:rPr>
        <w:t>Дексаметазон** 40 мг внутрь, 1</w:t>
      </w:r>
      <w:r w:rsidR="004204B1" w:rsidRPr="00F242DD">
        <w:rPr>
          <w:rFonts w:eastAsia="Times New Roman"/>
          <w:szCs w:val="24"/>
          <w:lang w:eastAsia="ru-RU"/>
        </w:rPr>
        <w:t>‒</w:t>
      </w:r>
      <w:r w:rsidRPr="00F242DD">
        <w:rPr>
          <w:rFonts w:eastAsia="Times New Roman"/>
          <w:szCs w:val="24"/>
          <w:lang w:eastAsia="ru-RU"/>
        </w:rPr>
        <w:t>4</w:t>
      </w:r>
      <w:r w:rsidR="004204B1" w:rsidRPr="00F242DD">
        <w:rPr>
          <w:rFonts w:eastAsia="Times New Roman"/>
          <w:szCs w:val="24"/>
          <w:lang w:eastAsia="ru-RU"/>
        </w:rPr>
        <w:t>-й</w:t>
      </w:r>
      <w:r w:rsidRPr="00F242DD">
        <w:rPr>
          <w:rFonts w:eastAsia="Times New Roman"/>
          <w:szCs w:val="24"/>
          <w:lang w:eastAsia="ru-RU"/>
        </w:rPr>
        <w:t xml:space="preserve"> циклы – дни 1</w:t>
      </w:r>
      <w:r w:rsidR="004204B1" w:rsidRPr="00F242DD">
        <w:rPr>
          <w:rFonts w:eastAsia="Times New Roman"/>
          <w:szCs w:val="24"/>
          <w:lang w:eastAsia="ru-RU"/>
        </w:rPr>
        <w:t>‒</w:t>
      </w:r>
      <w:r w:rsidRPr="00F242DD">
        <w:rPr>
          <w:rFonts w:eastAsia="Times New Roman"/>
          <w:szCs w:val="24"/>
          <w:lang w:eastAsia="ru-RU"/>
        </w:rPr>
        <w:t>4</w:t>
      </w:r>
      <w:r w:rsidR="004204B1" w:rsidRPr="00F242DD">
        <w:rPr>
          <w:rFonts w:eastAsia="Times New Roman"/>
          <w:szCs w:val="24"/>
          <w:lang w:eastAsia="ru-RU"/>
        </w:rPr>
        <w:t>-й</w:t>
      </w:r>
      <w:r w:rsidRPr="00F242DD">
        <w:rPr>
          <w:rFonts w:eastAsia="Times New Roman"/>
          <w:szCs w:val="24"/>
          <w:lang w:eastAsia="ru-RU"/>
        </w:rPr>
        <w:t>, 15</w:t>
      </w:r>
      <w:r w:rsidR="004204B1" w:rsidRPr="00F242DD">
        <w:rPr>
          <w:rFonts w:eastAsia="Times New Roman"/>
          <w:szCs w:val="24"/>
          <w:lang w:eastAsia="ru-RU"/>
        </w:rPr>
        <w:t>‒</w:t>
      </w:r>
      <w:r w:rsidRPr="00F242DD">
        <w:rPr>
          <w:rFonts w:eastAsia="Times New Roman"/>
          <w:szCs w:val="24"/>
          <w:lang w:eastAsia="ru-RU"/>
        </w:rPr>
        <w:t>18</w:t>
      </w:r>
      <w:r w:rsidR="004204B1" w:rsidRPr="00F242DD">
        <w:rPr>
          <w:rFonts w:eastAsia="Times New Roman"/>
          <w:szCs w:val="24"/>
          <w:lang w:eastAsia="ru-RU"/>
        </w:rPr>
        <w:t>-й</w:t>
      </w:r>
      <w:r w:rsidRPr="00F242DD">
        <w:rPr>
          <w:rFonts w:eastAsia="Times New Roman"/>
          <w:szCs w:val="24"/>
          <w:lang w:eastAsia="ru-RU"/>
        </w:rPr>
        <w:t>, далее – только дни 1, 8, 15, 22</w:t>
      </w:r>
      <w:r w:rsidR="004204B1" w:rsidRPr="00F242DD">
        <w:rPr>
          <w:rFonts w:eastAsia="Times New Roman"/>
          <w:szCs w:val="24"/>
          <w:lang w:eastAsia="ru-RU"/>
        </w:rPr>
        <w:t>-й</w:t>
      </w:r>
    </w:p>
    <w:p w14:paraId="15D39315"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возобновляется на 29</w:t>
      </w:r>
      <w:r w:rsidR="004204B1" w:rsidRPr="00F242DD">
        <w:rPr>
          <w:rFonts w:eastAsia="Times New Roman"/>
          <w:szCs w:val="24"/>
          <w:lang w:eastAsia="ru-RU"/>
        </w:rPr>
        <w:t>-й</w:t>
      </w:r>
      <w:r w:rsidRPr="00F242DD">
        <w:rPr>
          <w:rFonts w:eastAsia="Times New Roman"/>
          <w:szCs w:val="24"/>
          <w:lang w:eastAsia="ru-RU"/>
        </w:rPr>
        <w:t xml:space="preserve"> день</w:t>
      </w:r>
      <w:r w:rsidR="004204B1" w:rsidRPr="00F242DD">
        <w:rPr>
          <w:rFonts w:eastAsia="Times New Roman"/>
          <w:szCs w:val="24"/>
          <w:lang w:eastAsia="ru-RU"/>
        </w:rPr>
        <w:t>.</w:t>
      </w:r>
    </w:p>
    <w:p w14:paraId="70BE58E7"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продолжают до прогрессирования или развития неприемлемой токсичности</w:t>
      </w:r>
      <w:r w:rsidR="004204B1" w:rsidRPr="00F242DD">
        <w:rPr>
          <w:rFonts w:eastAsia="Times New Roman"/>
          <w:szCs w:val="24"/>
          <w:lang w:eastAsia="ru-RU"/>
        </w:rPr>
        <w:t>.</w:t>
      </w:r>
    </w:p>
    <w:p w14:paraId="516592AC" w14:textId="77777777" w:rsidR="000546DA" w:rsidRPr="00F242DD" w:rsidRDefault="000546DA" w:rsidP="00131E36">
      <w:pPr>
        <w:spacing w:before="0" w:after="0"/>
        <w:contextualSpacing/>
        <w:rPr>
          <w:rFonts w:eastAsia="Times New Roman"/>
          <w:b/>
          <w:szCs w:val="24"/>
        </w:rPr>
      </w:pPr>
      <w:r w:rsidRPr="00F242DD">
        <w:rPr>
          <w:rFonts w:eastAsia="Times New Roman"/>
          <w:b/>
          <w:szCs w:val="24"/>
        </w:rPr>
        <w:t>Rd</w:t>
      </w:r>
    </w:p>
    <w:p w14:paraId="40B8BAF5" w14:textId="77777777" w:rsidR="000546DA" w:rsidRPr="00F242DD" w:rsidRDefault="000546DA" w:rsidP="00727CDE">
      <w:pPr>
        <w:pStyle w:val="31"/>
        <w:numPr>
          <w:ilvl w:val="0"/>
          <w:numId w:val="31"/>
        </w:numPr>
        <w:tabs>
          <w:tab w:val="left" w:pos="720"/>
        </w:tabs>
        <w:suppressAutoHyphens/>
        <w:spacing w:line="360" w:lineRule="auto"/>
        <w:contextualSpacing/>
        <w:jc w:val="left"/>
        <w:rPr>
          <w:rFonts w:eastAsia="Times New Roman"/>
        </w:rPr>
      </w:pPr>
      <w:r w:rsidRPr="00F242DD">
        <w:rPr>
          <w:rFonts w:eastAsia="Times New Roman"/>
        </w:rPr>
        <w:t>Леналидомид** 25 мг внутрь, дни 1</w:t>
      </w:r>
      <w:r w:rsidR="004204B1" w:rsidRPr="00F242DD">
        <w:rPr>
          <w:rFonts w:eastAsia="Times New Roman"/>
        </w:rPr>
        <w:t>‒</w:t>
      </w:r>
      <w:r w:rsidRPr="00F242DD">
        <w:rPr>
          <w:rFonts w:eastAsia="Times New Roman"/>
        </w:rPr>
        <w:t>21</w:t>
      </w:r>
      <w:r w:rsidR="004204B1" w:rsidRPr="00F242DD">
        <w:rPr>
          <w:rFonts w:eastAsia="Times New Roman"/>
        </w:rPr>
        <w:t>-й</w:t>
      </w:r>
    </w:p>
    <w:p w14:paraId="09E9271E" w14:textId="77777777" w:rsidR="000546DA" w:rsidRPr="00F242DD" w:rsidRDefault="000546DA" w:rsidP="00727CDE">
      <w:pPr>
        <w:pStyle w:val="31"/>
        <w:numPr>
          <w:ilvl w:val="0"/>
          <w:numId w:val="31"/>
        </w:numPr>
        <w:tabs>
          <w:tab w:val="left" w:pos="720"/>
        </w:tabs>
        <w:suppressAutoHyphens/>
        <w:spacing w:line="360" w:lineRule="auto"/>
        <w:contextualSpacing/>
        <w:jc w:val="left"/>
        <w:rPr>
          <w:rFonts w:eastAsia="Times New Roman"/>
        </w:rPr>
      </w:pPr>
      <w:r w:rsidRPr="00F242DD">
        <w:rPr>
          <w:rFonts w:eastAsia="Times New Roman"/>
        </w:rPr>
        <w:t>Дексаметазон** 40 мг внутрь, дни 1, 8, 15, 22</w:t>
      </w:r>
      <w:r w:rsidR="004204B1" w:rsidRPr="00F242DD">
        <w:rPr>
          <w:rFonts w:eastAsia="Times New Roman"/>
        </w:rPr>
        <w:t>-й</w:t>
      </w:r>
    </w:p>
    <w:p w14:paraId="508E62C5" w14:textId="77777777" w:rsidR="000546DA" w:rsidRPr="00F242DD" w:rsidRDefault="000546DA" w:rsidP="00131E36">
      <w:pPr>
        <w:spacing w:before="0" w:after="0"/>
        <w:contextualSpacing/>
        <w:rPr>
          <w:rFonts w:eastAsia="Times New Roman"/>
          <w:szCs w:val="24"/>
        </w:rPr>
      </w:pPr>
      <w:r w:rsidRPr="00F242DD">
        <w:rPr>
          <w:rFonts w:eastAsia="Times New Roman"/>
          <w:szCs w:val="24"/>
        </w:rPr>
        <w:t>Лечение возобновляется на 29</w:t>
      </w:r>
      <w:r w:rsidR="004204B1" w:rsidRPr="00F242DD">
        <w:rPr>
          <w:rFonts w:eastAsia="Times New Roman"/>
          <w:szCs w:val="24"/>
          <w:lang w:eastAsia="ru-RU"/>
        </w:rPr>
        <w:t>-й</w:t>
      </w:r>
      <w:r w:rsidRPr="00F242DD">
        <w:rPr>
          <w:rFonts w:eastAsia="Times New Roman"/>
          <w:szCs w:val="24"/>
        </w:rPr>
        <w:t xml:space="preserve"> день</w:t>
      </w:r>
      <w:r w:rsidR="004204B1" w:rsidRPr="00F242DD">
        <w:rPr>
          <w:rFonts w:eastAsia="Times New Roman"/>
          <w:szCs w:val="24"/>
        </w:rPr>
        <w:t>.</w:t>
      </w:r>
    </w:p>
    <w:p w14:paraId="016FF43D" w14:textId="77777777" w:rsidR="000546DA" w:rsidRPr="00F242DD" w:rsidRDefault="000546DA" w:rsidP="00131E36">
      <w:pPr>
        <w:spacing w:before="0" w:after="0"/>
        <w:contextualSpacing/>
        <w:rPr>
          <w:rFonts w:eastAsia="Times New Roman"/>
          <w:szCs w:val="24"/>
        </w:rPr>
      </w:pPr>
      <w:r w:rsidRPr="00F242DD">
        <w:rPr>
          <w:rFonts w:eastAsia="Times New Roman"/>
          <w:szCs w:val="24"/>
        </w:rPr>
        <w:t>Лечение продолжают до прогрессирования или развития неприемлемой токсичности</w:t>
      </w:r>
      <w:r w:rsidR="004204B1" w:rsidRPr="00F242DD">
        <w:rPr>
          <w:rFonts w:eastAsia="Times New Roman"/>
          <w:szCs w:val="24"/>
        </w:rPr>
        <w:t>.</w:t>
      </w:r>
    </w:p>
    <w:p w14:paraId="3EF98561" w14:textId="77777777" w:rsidR="000546DA" w:rsidRPr="00F242DD" w:rsidRDefault="000546DA" w:rsidP="00131E36">
      <w:pPr>
        <w:spacing w:before="0" w:after="0"/>
        <w:contextualSpacing/>
        <w:rPr>
          <w:rFonts w:eastAsia="Times New Roman"/>
          <w:b/>
          <w:szCs w:val="24"/>
          <w:lang w:val="en-US" w:eastAsia="ru-RU"/>
        </w:rPr>
      </w:pPr>
      <w:r w:rsidRPr="00F242DD">
        <w:rPr>
          <w:rFonts w:eastAsia="Times New Roman"/>
          <w:b/>
          <w:szCs w:val="24"/>
          <w:lang w:eastAsia="ru-RU"/>
        </w:rPr>
        <w:t>VRD</w:t>
      </w:r>
      <w:r w:rsidR="00626692" w:rsidRPr="00F242DD">
        <w:rPr>
          <w:rFonts w:eastAsia="Times New Roman"/>
          <w:b/>
          <w:szCs w:val="24"/>
          <w:lang w:val="en-US" w:eastAsia="ru-RU"/>
        </w:rPr>
        <w:t xml:space="preserve"> </w:t>
      </w:r>
      <w:r w:rsidR="00626692" w:rsidRPr="00F242DD">
        <w:rPr>
          <w:rFonts w:eastAsia="Times New Roman"/>
          <w:b/>
          <w:szCs w:val="24"/>
          <w:lang w:val="en-US" w:eastAsia="ru-RU"/>
        </w:rPr>
        <w:fldChar w:fldCharType="begin" w:fldLock="1"/>
      </w:r>
      <w:r w:rsidR="00315D6A" w:rsidRPr="00F242DD">
        <w:rPr>
          <w:rFonts w:eastAsia="Times New Roman"/>
          <w:b/>
          <w:szCs w:val="24"/>
          <w:lang w:val="en-US" w:eastAsia="ru-RU"/>
        </w:rPr>
        <w:instrText>ADDIN CSL_CITATION {"citationItems":[{"id":"ITEM-1","itemData":{"DOI":"10.1310/hpj5201-27","ISSN":"19451253","abstract":"The complexity of cancer chemotherapy requires pharmacists be familiar with the complicated regimens and highly toxic agents used. This column reviews various issues related to preparation, dispensing, and administration of antineoplastic therapy, and the agents, both commercially available and investigational, used to treat malignant diseases. Questions or suggestions for topics should be addressed to Dominic A. Solimando, Jr, President, Oncology Pharmacy Services, Inc., 4201 Wilson Blvd #110-545, Arlington, VA 22203, OncRxSvc@comcast.net; or J. Aubrey Waddell, Professor, University of Tennessee College of Pharmacy; Oncology Pharmacist, Pharmacy Department, Blount Memorial Hospital, 907 E. Lamar Alexander Parkway, Maryville, TN 37804, Email: waddfour@charter.net. The information presented in this review is based on published data and clinical expertise and includes information not included in the product labeling. Incorporation of such published data provides a more robust assessment of the drugs and assists pharmacists in evaluation of orders for off-label use of these agents.","author":[{"dropping-particle":"","family":"Punke","given":"Alexandra P.","non-dropping-particle":"","parse-names":false,"suffix":""},{"dropping-particle":"","family":"Waddell","given":"J. Aubrey","non-dropping-particle":"","parse-names":false,"suffix":""},{"dropping-particle":"","family":"Solimando","given":"Dominic A.","non-dropping-particle":"","parse-names":false,"suffix":""}],"container-title":"Hospital Pharmacy","id":"ITEM-1","issue":"1","issued":{"date-parts":[["2017","1","1"]]},"page":"27-32","publisher":"SAGE Publications Ltd","title":"Lenalidomide, bortezomib, and dexamethasone (RVD) regimen for multiple myeloma","type":"article-journal","volume":"52"},"uris":["http://www.mendeley.com/documents/?uuid=cfe68f09-af24-3441-b51b-8e081d82c949"]}],"mendeley":{"formattedCitation":"[78]","plainTextFormattedCitation":"[78]","previouslyFormattedCitation":"[78]"},"properties":{"noteIndex":0},"schema":"https://github.com/citation-style-language/schema/raw/master/csl-citation.json"}</w:instrText>
      </w:r>
      <w:r w:rsidR="00626692" w:rsidRPr="00F242DD">
        <w:rPr>
          <w:rFonts w:eastAsia="Times New Roman"/>
          <w:b/>
          <w:szCs w:val="24"/>
          <w:lang w:val="en-US" w:eastAsia="ru-RU"/>
        </w:rPr>
        <w:fldChar w:fldCharType="separate"/>
      </w:r>
      <w:r w:rsidR="00626692" w:rsidRPr="00F242DD">
        <w:rPr>
          <w:rFonts w:eastAsia="Times New Roman"/>
          <w:noProof/>
          <w:szCs w:val="24"/>
          <w:lang w:val="en-US" w:eastAsia="ru-RU"/>
        </w:rPr>
        <w:t>[78]</w:t>
      </w:r>
      <w:r w:rsidR="00626692" w:rsidRPr="00F242DD">
        <w:rPr>
          <w:rFonts w:eastAsia="Times New Roman"/>
          <w:b/>
          <w:szCs w:val="24"/>
          <w:lang w:val="en-US" w:eastAsia="ru-RU"/>
        </w:rPr>
        <w:fldChar w:fldCharType="end"/>
      </w:r>
    </w:p>
    <w:p w14:paraId="057E9D14" w14:textId="77777777" w:rsidR="000546DA" w:rsidRPr="00F242DD" w:rsidRDefault="000546DA" w:rsidP="00727CDE">
      <w:pPr>
        <w:pStyle w:val="a6"/>
        <w:numPr>
          <w:ilvl w:val="0"/>
          <w:numId w:val="32"/>
        </w:numPr>
        <w:spacing w:before="0" w:after="0"/>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или в/в, дни 1, </w:t>
      </w:r>
      <w:r w:rsidR="00626692" w:rsidRPr="00F242DD">
        <w:rPr>
          <w:rFonts w:eastAsia="Times New Roman"/>
          <w:szCs w:val="24"/>
          <w:lang w:eastAsia="ru-RU"/>
        </w:rPr>
        <w:t>4</w:t>
      </w:r>
      <w:r w:rsidRPr="00F242DD">
        <w:rPr>
          <w:rFonts w:eastAsia="Times New Roman"/>
          <w:szCs w:val="24"/>
          <w:lang w:eastAsia="ru-RU"/>
        </w:rPr>
        <w:t xml:space="preserve">, </w:t>
      </w:r>
      <w:r w:rsidR="00626692" w:rsidRPr="00F242DD">
        <w:rPr>
          <w:rFonts w:eastAsia="Times New Roman"/>
          <w:szCs w:val="24"/>
          <w:lang w:eastAsia="ru-RU"/>
        </w:rPr>
        <w:t>8, 11</w:t>
      </w:r>
      <w:r w:rsidR="004204B1" w:rsidRPr="00F242DD">
        <w:rPr>
          <w:rFonts w:eastAsia="Times New Roman"/>
          <w:szCs w:val="24"/>
          <w:lang w:eastAsia="ru-RU"/>
        </w:rPr>
        <w:t>-й</w:t>
      </w:r>
    </w:p>
    <w:p w14:paraId="655CC81A" w14:textId="77777777" w:rsidR="000546DA" w:rsidRPr="00F242DD" w:rsidRDefault="000546DA" w:rsidP="00727CDE">
      <w:pPr>
        <w:pStyle w:val="a6"/>
        <w:numPr>
          <w:ilvl w:val="0"/>
          <w:numId w:val="32"/>
        </w:numPr>
        <w:spacing w:before="0" w:after="0"/>
        <w:jc w:val="left"/>
        <w:rPr>
          <w:rFonts w:eastAsia="Times New Roman"/>
          <w:szCs w:val="24"/>
          <w:lang w:eastAsia="ru-RU"/>
        </w:rPr>
      </w:pPr>
      <w:r w:rsidRPr="00F242DD">
        <w:rPr>
          <w:rFonts w:eastAsia="Times New Roman"/>
          <w:szCs w:val="24"/>
          <w:lang w:eastAsia="ru-RU"/>
        </w:rPr>
        <w:t>Леналидомид** 25 мг внутрь, дни 1</w:t>
      </w:r>
      <w:r w:rsidR="004204B1" w:rsidRPr="00F242DD">
        <w:rPr>
          <w:rFonts w:eastAsia="Times New Roman"/>
          <w:szCs w:val="24"/>
          <w:lang w:eastAsia="ru-RU"/>
        </w:rPr>
        <w:t>‒</w:t>
      </w:r>
      <w:r w:rsidRPr="00F242DD">
        <w:rPr>
          <w:rFonts w:eastAsia="Times New Roman"/>
          <w:szCs w:val="24"/>
          <w:lang w:eastAsia="ru-RU"/>
        </w:rPr>
        <w:t>14</w:t>
      </w:r>
      <w:r w:rsidR="004204B1" w:rsidRPr="00F242DD">
        <w:rPr>
          <w:rFonts w:eastAsia="Times New Roman"/>
          <w:szCs w:val="24"/>
          <w:lang w:eastAsia="ru-RU"/>
        </w:rPr>
        <w:t>-й</w:t>
      </w:r>
    </w:p>
    <w:p w14:paraId="3375845C" w14:textId="77777777" w:rsidR="000546DA" w:rsidRPr="00F242DD" w:rsidRDefault="000546DA" w:rsidP="00727CDE">
      <w:pPr>
        <w:pStyle w:val="a6"/>
        <w:numPr>
          <w:ilvl w:val="0"/>
          <w:numId w:val="32"/>
        </w:numPr>
        <w:spacing w:before="0" w:after="0"/>
        <w:jc w:val="left"/>
        <w:rPr>
          <w:rFonts w:eastAsia="Times New Roman"/>
          <w:szCs w:val="24"/>
          <w:lang w:eastAsia="ru-RU"/>
        </w:rPr>
      </w:pPr>
      <w:r w:rsidRPr="00F242DD">
        <w:rPr>
          <w:rFonts w:eastAsia="Times New Roman"/>
          <w:szCs w:val="24"/>
          <w:lang w:eastAsia="ru-RU"/>
        </w:rPr>
        <w:lastRenderedPageBreak/>
        <w:t>Дексаметазон** 40 мг внутрь, дни 1, 8, 15</w:t>
      </w:r>
      <w:r w:rsidR="004204B1" w:rsidRPr="00F242DD">
        <w:rPr>
          <w:rFonts w:eastAsia="Times New Roman"/>
          <w:szCs w:val="24"/>
          <w:lang w:eastAsia="ru-RU"/>
        </w:rPr>
        <w:t>-й</w:t>
      </w:r>
      <w:r w:rsidR="00626692" w:rsidRPr="00F242DD">
        <w:rPr>
          <w:rFonts w:eastAsia="Times New Roman"/>
          <w:szCs w:val="24"/>
          <w:lang w:eastAsia="ru-RU"/>
        </w:rPr>
        <w:t xml:space="preserve"> </w:t>
      </w:r>
    </w:p>
    <w:p w14:paraId="3E637B03" w14:textId="77777777" w:rsidR="000546DA" w:rsidRPr="00F242DD" w:rsidRDefault="000546DA" w:rsidP="00131E36">
      <w:pPr>
        <w:pStyle w:val="a6"/>
        <w:spacing w:before="0" w:after="0"/>
        <w:ind w:left="1080"/>
        <w:jc w:val="left"/>
        <w:rPr>
          <w:rFonts w:eastAsia="Times New Roman"/>
          <w:szCs w:val="24"/>
          <w:lang w:eastAsia="ru-RU"/>
        </w:rPr>
      </w:pPr>
      <w:r w:rsidRPr="00F242DD">
        <w:rPr>
          <w:rFonts w:eastAsia="Times New Roman"/>
          <w:szCs w:val="24"/>
          <w:lang w:eastAsia="ru-RU"/>
        </w:rPr>
        <w:t>Лечение возобновляется на 22</w:t>
      </w:r>
      <w:r w:rsidR="004204B1" w:rsidRPr="00F242DD">
        <w:rPr>
          <w:rFonts w:eastAsia="Times New Roman"/>
          <w:szCs w:val="24"/>
          <w:lang w:eastAsia="ru-RU"/>
        </w:rPr>
        <w:t>-й</w:t>
      </w:r>
      <w:r w:rsidRPr="00F242DD">
        <w:rPr>
          <w:rFonts w:eastAsia="Times New Roman"/>
          <w:szCs w:val="24"/>
          <w:lang w:eastAsia="ru-RU"/>
        </w:rPr>
        <w:t xml:space="preserve"> день</w:t>
      </w:r>
      <w:r w:rsidR="004204B1" w:rsidRPr="00F242DD">
        <w:rPr>
          <w:rFonts w:eastAsia="Times New Roman"/>
          <w:szCs w:val="24"/>
          <w:lang w:eastAsia="ru-RU"/>
        </w:rPr>
        <w:t>.</w:t>
      </w:r>
    </w:p>
    <w:p w14:paraId="097307C5" w14:textId="77777777" w:rsidR="000546DA" w:rsidRPr="00F242DD" w:rsidRDefault="000546DA" w:rsidP="00131E36">
      <w:pPr>
        <w:spacing w:before="0" w:after="0"/>
        <w:contextualSpacing/>
        <w:rPr>
          <w:rFonts w:eastAsia="Times New Roman"/>
          <w:b/>
          <w:szCs w:val="24"/>
        </w:rPr>
      </w:pPr>
      <w:r w:rsidRPr="00F242DD">
        <w:rPr>
          <w:rFonts w:eastAsia="Times New Roman"/>
          <w:b/>
          <w:szCs w:val="24"/>
        </w:rPr>
        <w:t>RAD</w:t>
      </w:r>
    </w:p>
    <w:p w14:paraId="1CFDD6B4" w14:textId="77777777" w:rsidR="000546DA" w:rsidRPr="00F242DD" w:rsidRDefault="000546DA" w:rsidP="00727CDE">
      <w:pPr>
        <w:pStyle w:val="a6"/>
        <w:numPr>
          <w:ilvl w:val="0"/>
          <w:numId w:val="33"/>
        </w:numPr>
        <w:suppressAutoHyphens/>
        <w:spacing w:before="0" w:after="0"/>
        <w:jc w:val="left"/>
        <w:rPr>
          <w:rFonts w:eastAsia="Times New Roman"/>
          <w:szCs w:val="24"/>
        </w:rPr>
      </w:pPr>
      <w:r w:rsidRPr="00F242DD">
        <w:rPr>
          <w:rFonts w:eastAsia="Times New Roman"/>
          <w:szCs w:val="24"/>
        </w:rPr>
        <w:t>Леналидомид</w:t>
      </w:r>
      <w:r w:rsidRPr="00F242DD">
        <w:rPr>
          <w:rFonts w:eastAsia="Times New Roman"/>
          <w:szCs w:val="24"/>
          <w:lang w:eastAsia="ru-RU"/>
        </w:rPr>
        <w:t>**</w:t>
      </w:r>
      <w:r w:rsidRPr="00F242DD">
        <w:rPr>
          <w:rFonts w:eastAsia="Times New Roman"/>
          <w:szCs w:val="24"/>
        </w:rPr>
        <w:t xml:space="preserve"> 25 мг внутрь, дни 1</w:t>
      </w:r>
      <w:r w:rsidR="004204B1" w:rsidRPr="00F242DD">
        <w:rPr>
          <w:rFonts w:eastAsia="Times New Roman"/>
          <w:szCs w:val="24"/>
        </w:rPr>
        <w:t>‒</w:t>
      </w:r>
      <w:r w:rsidRPr="00F242DD">
        <w:rPr>
          <w:rFonts w:eastAsia="Times New Roman"/>
          <w:szCs w:val="24"/>
        </w:rPr>
        <w:t>21</w:t>
      </w:r>
      <w:r w:rsidR="004204B1" w:rsidRPr="00F242DD">
        <w:rPr>
          <w:rFonts w:eastAsia="Times New Roman"/>
          <w:szCs w:val="24"/>
          <w:lang w:eastAsia="ru-RU"/>
        </w:rPr>
        <w:t>-й</w:t>
      </w:r>
    </w:p>
    <w:p w14:paraId="51226B77" w14:textId="77777777" w:rsidR="000546DA" w:rsidRPr="00F242DD" w:rsidRDefault="000546DA" w:rsidP="00727CDE">
      <w:pPr>
        <w:pStyle w:val="a6"/>
        <w:numPr>
          <w:ilvl w:val="0"/>
          <w:numId w:val="33"/>
        </w:numPr>
        <w:suppressAutoHyphens/>
        <w:spacing w:before="0" w:after="0"/>
        <w:jc w:val="left"/>
        <w:rPr>
          <w:rFonts w:eastAsia="Times New Roman"/>
          <w:szCs w:val="24"/>
        </w:rPr>
      </w:pPr>
      <w:r w:rsidRPr="00F242DD">
        <w:rPr>
          <w:rFonts w:eastAsia="Times New Roman"/>
          <w:szCs w:val="24"/>
        </w:rPr>
        <w:t>Доксорубицин</w:t>
      </w:r>
      <w:r w:rsidRPr="00F242DD">
        <w:rPr>
          <w:rFonts w:eastAsia="Times New Roman"/>
          <w:szCs w:val="24"/>
          <w:lang w:eastAsia="ru-RU"/>
        </w:rPr>
        <w:t>**</w:t>
      </w:r>
      <w:r w:rsidRPr="00F242DD">
        <w:rPr>
          <w:rFonts w:eastAsia="Times New Roman"/>
          <w:szCs w:val="24"/>
        </w:rPr>
        <w:t xml:space="preserve"> 9 мг/м</w:t>
      </w:r>
      <w:r w:rsidRPr="00F242DD">
        <w:rPr>
          <w:rFonts w:eastAsia="Times New Roman"/>
          <w:szCs w:val="24"/>
          <w:vertAlign w:val="superscript"/>
        </w:rPr>
        <w:t>2</w:t>
      </w:r>
      <w:r w:rsidRPr="00F242DD">
        <w:rPr>
          <w:rFonts w:eastAsia="Times New Roman"/>
          <w:szCs w:val="24"/>
        </w:rPr>
        <w:t xml:space="preserve"> в виде постоянной инфузии или ежедневно болюсно, дни 1</w:t>
      </w:r>
      <w:r w:rsidR="004204B1" w:rsidRPr="00F242DD">
        <w:rPr>
          <w:rFonts w:eastAsia="Times New Roman"/>
          <w:szCs w:val="24"/>
        </w:rPr>
        <w:t>‒</w:t>
      </w:r>
      <w:r w:rsidRPr="00F242DD">
        <w:rPr>
          <w:rFonts w:eastAsia="Times New Roman"/>
          <w:szCs w:val="24"/>
        </w:rPr>
        <w:t>4</w:t>
      </w:r>
      <w:r w:rsidR="004204B1" w:rsidRPr="00F242DD">
        <w:rPr>
          <w:rFonts w:eastAsia="Times New Roman"/>
          <w:szCs w:val="24"/>
          <w:lang w:eastAsia="ru-RU"/>
        </w:rPr>
        <w:t>-й</w:t>
      </w:r>
    </w:p>
    <w:p w14:paraId="30819749" w14:textId="77777777" w:rsidR="000546DA" w:rsidRPr="00F242DD" w:rsidRDefault="000546DA" w:rsidP="00727CDE">
      <w:pPr>
        <w:pStyle w:val="a6"/>
        <w:numPr>
          <w:ilvl w:val="0"/>
          <w:numId w:val="33"/>
        </w:numPr>
        <w:suppressAutoHyphens/>
        <w:spacing w:before="0" w:after="0"/>
        <w:jc w:val="left"/>
        <w:rPr>
          <w:rFonts w:eastAsia="Times New Roman"/>
          <w:szCs w:val="24"/>
        </w:rPr>
      </w:pPr>
      <w:r w:rsidRPr="00F242DD">
        <w:rPr>
          <w:rFonts w:eastAsia="Times New Roman"/>
          <w:szCs w:val="24"/>
        </w:rPr>
        <w:t xml:space="preserve">Дексаметазон 40 мг </w:t>
      </w:r>
      <w:r w:rsidR="004204B1" w:rsidRPr="00F242DD">
        <w:rPr>
          <w:rFonts w:eastAsia="Times New Roman"/>
          <w:szCs w:val="24"/>
        </w:rPr>
        <w:t>в/в</w:t>
      </w:r>
      <w:r w:rsidRPr="00F242DD">
        <w:rPr>
          <w:rFonts w:eastAsia="Times New Roman"/>
          <w:szCs w:val="24"/>
        </w:rPr>
        <w:t xml:space="preserve"> или внутрь в дни 1</w:t>
      </w:r>
      <w:r w:rsidR="004204B1" w:rsidRPr="00F242DD">
        <w:rPr>
          <w:rFonts w:eastAsia="Times New Roman"/>
          <w:szCs w:val="24"/>
        </w:rPr>
        <w:t>‒</w:t>
      </w:r>
      <w:r w:rsidRPr="00F242DD">
        <w:rPr>
          <w:rFonts w:eastAsia="Times New Roman"/>
          <w:szCs w:val="24"/>
        </w:rPr>
        <w:t>4</w:t>
      </w:r>
      <w:r w:rsidR="004204B1" w:rsidRPr="00F242DD">
        <w:rPr>
          <w:rFonts w:eastAsia="Times New Roman"/>
          <w:szCs w:val="24"/>
          <w:lang w:eastAsia="ru-RU"/>
        </w:rPr>
        <w:t>-й</w:t>
      </w:r>
      <w:r w:rsidRPr="00F242DD">
        <w:rPr>
          <w:rFonts w:eastAsia="Times New Roman"/>
          <w:szCs w:val="24"/>
        </w:rPr>
        <w:t>, 17</w:t>
      </w:r>
      <w:r w:rsidR="004204B1" w:rsidRPr="00F242DD">
        <w:rPr>
          <w:rFonts w:eastAsia="Times New Roman"/>
          <w:szCs w:val="24"/>
        </w:rPr>
        <w:t>‒</w:t>
      </w:r>
      <w:r w:rsidRPr="00F242DD">
        <w:rPr>
          <w:rFonts w:eastAsia="Times New Roman"/>
          <w:szCs w:val="24"/>
        </w:rPr>
        <w:t>20</w:t>
      </w:r>
      <w:r w:rsidR="004204B1" w:rsidRPr="00F242DD">
        <w:rPr>
          <w:rFonts w:eastAsia="Times New Roman"/>
          <w:szCs w:val="24"/>
          <w:lang w:eastAsia="ru-RU"/>
        </w:rPr>
        <w:t>-й</w:t>
      </w:r>
    </w:p>
    <w:p w14:paraId="7695AA4D" w14:textId="77777777" w:rsidR="000546DA" w:rsidRPr="00F242DD" w:rsidRDefault="000546DA" w:rsidP="00131E36">
      <w:pPr>
        <w:spacing w:before="0" w:after="0"/>
        <w:contextualSpacing/>
        <w:rPr>
          <w:rFonts w:eastAsia="Times New Roman"/>
          <w:szCs w:val="24"/>
        </w:rPr>
      </w:pPr>
      <w:r w:rsidRPr="00F242DD">
        <w:rPr>
          <w:rFonts w:eastAsia="Times New Roman"/>
          <w:szCs w:val="24"/>
        </w:rPr>
        <w:t>Лечение возобновляется на 29</w:t>
      </w:r>
      <w:r w:rsidR="004204B1" w:rsidRPr="00F242DD">
        <w:rPr>
          <w:rFonts w:eastAsia="Times New Roman"/>
          <w:szCs w:val="24"/>
          <w:lang w:eastAsia="ru-RU"/>
        </w:rPr>
        <w:t>-й</w:t>
      </w:r>
      <w:r w:rsidRPr="00F242DD">
        <w:rPr>
          <w:rFonts w:eastAsia="Times New Roman"/>
          <w:szCs w:val="24"/>
        </w:rPr>
        <w:t xml:space="preserve"> день</w:t>
      </w:r>
      <w:r w:rsidR="004204B1" w:rsidRPr="00F242DD">
        <w:rPr>
          <w:rFonts w:eastAsia="Times New Roman"/>
          <w:szCs w:val="24"/>
        </w:rPr>
        <w:t>.</w:t>
      </w:r>
    </w:p>
    <w:p w14:paraId="66B3438E" w14:textId="77777777" w:rsidR="000546DA" w:rsidRPr="00F242DD" w:rsidRDefault="000546DA" w:rsidP="00131E36">
      <w:pPr>
        <w:spacing w:before="0" w:after="0"/>
        <w:contextualSpacing/>
        <w:rPr>
          <w:rFonts w:eastAsia="Times New Roman"/>
          <w:b/>
          <w:szCs w:val="24"/>
        </w:rPr>
      </w:pPr>
      <w:r w:rsidRPr="00F242DD">
        <w:rPr>
          <w:rFonts w:eastAsia="Times New Roman"/>
          <w:b/>
          <w:szCs w:val="24"/>
        </w:rPr>
        <w:t>RCD</w:t>
      </w:r>
    </w:p>
    <w:p w14:paraId="06339AE5" w14:textId="77777777" w:rsidR="000546DA" w:rsidRPr="00F242DD" w:rsidRDefault="000546DA" w:rsidP="00727CDE">
      <w:pPr>
        <w:pStyle w:val="a6"/>
        <w:numPr>
          <w:ilvl w:val="0"/>
          <w:numId w:val="34"/>
        </w:numPr>
        <w:suppressAutoHyphens/>
        <w:spacing w:before="0" w:after="0"/>
        <w:jc w:val="left"/>
        <w:rPr>
          <w:rFonts w:eastAsia="Times New Roman"/>
          <w:szCs w:val="24"/>
        </w:rPr>
      </w:pPr>
      <w:r w:rsidRPr="00F242DD">
        <w:rPr>
          <w:rFonts w:eastAsia="Times New Roman"/>
          <w:szCs w:val="24"/>
        </w:rPr>
        <w:t>Леналидомид</w:t>
      </w:r>
      <w:r w:rsidRPr="00F242DD">
        <w:rPr>
          <w:rFonts w:eastAsia="Times New Roman"/>
          <w:szCs w:val="24"/>
          <w:lang w:eastAsia="ru-RU"/>
        </w:rPr>
        <w:t>**</w:t>
      </w:r>
      <w:r w:rsidRPr="00F242DD">
        <w:rPr>
          <w:rFonts w:eastAsia="Times New Roman"/>
          <w:szCs w:val="24"/>
        </w:rPr>
        <w:t xml:space="preserve"> 25 мг внутрь, дни 1</w:t>
      </w:r>
      <w:r w:rsidR="004204B1" w:rsidRPr="00F242DD">
        <w:rPr>
          <w:rFonts w:eastAsia="Times New Roman"/>
          <w:szCs w:val="24"/>
        </w:rPr>
        <w:t>‒</w:t>
      </w:r>
      <w:r w:rsidRPr="00F242DD">
        <w:rPr>
          <w:rFonts w:eastAsia="Times New Roman"/>
          <w:szCs w:val="24"/>
        </w:rPr>
        <w:t>21</w:t>
      </w:r>
      <w:r w:rsidR="004204B1" w:rsidRPr="00F242DD">
        <w:rPr>
          <w:rFonts w:eastAsia="Times New Roman"/>
          <w:szCs w:val="24"/>
          <w:lang w:eastAsia="ru-RU"/>
        </w:rPr>
        <w:t>-й</w:t>
      </w:r>
    </w:p>
    <w:p w14:paraId="04CA03C9" w14:textId="77777777" w:rsidR="000546DA" w:rsidRPr="00F242DD" w:rsidRDefault="000546DA" w:rsidP="00727CDE">
      <w:pPr>
        <w:pStyle w:val="a6"/>
        <w:numPr>
          <w:ilvl w:val="0"/>
          <w:numId w:val="34"/>
        </w:numPr>
        <w:suppressAutoHyphens/>
        <w:spacing w:before="0" w:after="0"/>
        <w:jc w:val="left"/>
        <w:rPr>
          <w:rFonts w:eastAsia="Times New Roman"/>
          <w:szCs w:val="24"/>
        </w:rPr>
      </w:pPr>
      <w:r w:rsidRPr="00F242DD">
        <w:rPr>
          <w:rFonts w:eastAsia="Times New Roman"/>
          <w:szCs w:val="24"/>
        </w:rPr>
        <w:t>Циклофосфамид</w:t>
      </w:r>
      <w:r w:rsidRPr="00F242DD">
        <w:rPr>
          <w:rFonts w:eastAsia="Times New Roman"/>
          <w:szCs w:val="24"/>
          <w:lang w:eastAsia="ru-RU"/>
        </w:rPr>
        <w:t>**</w:t>
      </w:r>
      <w:r w:rsidRPr="00F242DD">
        <w:rPr>
          <w:rFonts w:eastAsia="Times New Roman"/>
          <w:szCs w:val="24"/>
        </w:rPr>
        <w:t xml:space="preserve"> 500 мг внутрь в дни 1,</w:t>
      </w:r>
      <w:r w:rsidR="004204B1" w:rsidRPr="00F242DD">
        <w:rPr>
          <w:rFonts w:eastAsia="Times New Roman"/>
          <w:szCs w:val="24"/>
        </w:rPr>
        <w:t xml:space="preserve"> </w:t>
      </w:r>
      <w:r w:rsidRPr="00F242DD">
        <w:rPr>
          <w:rFonts w:eastAsia="Times New Roman"/>
          <w:szCs w:val="24"/>
        </w:rPr>
        <w:t>8,</w:t>
      </w:r>
      <w:r w:rsidR="004204B1" w:rsidRPr="00F242DD">
        <w:rPr>
          <w:rFonts w:eastAsia="Times New Roman"/>
          <w:szCs w:val="24"/>
        </w:rPr>
        <w:t xml:space="preserve"> </w:t>
      </w:r>
      <w:r w:rsidRPr="00F242DD">
        <w:rPr>
          <w:rFonts w:eastAsia="Times New Roman"/>
          <w:szCs w:val="24"/>
        </w:rPr>
        <w:t>15,</w:t>
      </w:r>
      <w:r w:rsidR="004204B1" w:rsidRPr="00F242DD">
        <w:rPr>
          <w:rFonts w:eastAsia="Times New Roman"/>
          <w:szCs w:val="24"/>
        </w:rPr>
        <w:t xml:space="preserve"> </w:t>
      </w:r>
      <w:r w:rsidRPr="00F242DD">
        <w:rPr>
          <w:rFonts w:eastAsia="Times New Roman"/>
          <w:szCs w:val="24"/>
        </w:rPr>
        <w:t>21</w:t>
      </w:r>
      <w:r w:rsidR="004204B1" w:rsidRPr="00F242DD">
        <w:rPr>
          <w:rFonts w:eastAsia="Times New Roman"/>
          <w:szCs w:val="24"/>
          <w:lang w:eastAsia="ru-RU"/>
        </w:rPr>
        <w:t>-й</w:t>
      </w:r>
    </w:p>
    <w:p w14:paraId="54FFD929" w14:textId="77777777" w:rsidR="000546DA" w:rsidRPr="00F242DD" w:rsidRDefault="000546DA" w:rsidP="00727CDE">
      <w:pPr>
        <w:pStyle w:val="a6"/>
        <w:numPr>
          <w:ilvl w:val="0"/>
          <w:numId w:val="34"/>
        </w:numPr>
        <w:suppressAutoHyphens/>
        <w:spacing w:before="0" w:after="0"/>
        <w:jc w:val="left"/>
        <w:rPr>
          <w:rFonts w:eastAsia="Times New Roman"/>
          <w:szCs w:val="24"/>
        </w:rPr>
      </w:pPr>
      <w:r w:rsidRPr="00F242DD">
        <w:rPr>
          <w:rFonts w:eastAsia="Times New Roman"/>
          <w:szCs w:val="24"/>
        </w:rPr>
        <w:t>Дексаметазон</w:t>
      </w:r>
      <w:r w:rsidRPr="00F242DD">
        <w:rPr>
          <w:rFonts w:eastAsia="Times New Roman"/>
          <w:szCs w:val="24"/>
          <w:lang w:eastAsia="ru-RU"/>
        </w:rPr>
        <w:t>**</w:t>
      </w:r>
      <w:r w:rsidRPr="00F242DD">
        <w:rPr>
          <w:rFonts w:eastAsia="Times New Roman"/>
          <w:szCs w:val="24"/>
        </w:rPr>
        <w:t xml:space="preserve"> 20 мг </w:t>
      </w:r>
      <w:r w:rsidR="004204B1" w:rsidRPr="00F242DD">
        <w:rPr>
          <w:rFonts w:eastAsia="Times New Roman"/>
          <w:szCs w:val="24"/>
        </w:rPr>
        <w:t>в/в</w:t>
      </w:r>
      <w:r w:rsidRPr="00F242DD">
        <w:rPr>
          <w:rFonts w:eastAsia="Times New Roman"/>
          <w:szCs w:val="24"/>
        </w:rPr>
        <w:t xml:space="preserve"> или внутрь в дни 1</w:t>
      </w:r>
      <w:r w:rsidR="004204B1" w:rsidRPr="00F242DD">
        <w:rPr>
          <w:rFonts w:eastAsia="Times New Roman"/>
          <w:szCs w:val="24"/>
        </w:rPr>
        <w:t>‒</w:t>
      </w:r>
      <w:r w:rsidRPr="00F242DD">
        <w:rPr>
          <w:rFonts w:eastAsia="Times New Roman"/>
          <w:szCs w:val="24"/>
        </w:rPr>
        <w:t>4</w:t>
      </w:r>
      <w:r w:rsidR="004204B1" w:rsidRPr="00F242DD">
        <w:rPr>
          <w:rFonts w:eastAsia="Times New Roman"/>
          <w:szCs w:val="24"/>
          <w:lang w:eastAsia="ru-RU"/>
        </w:rPr>
        <w:t>-й</w:t>
      </w:r>
      <w:r w:rsidRPr="00F242DD">
        <w:rPr>
          <w:rFonts w:eastAsia="Times New Roman"/>
          <w:szCs w:val="24"/>
        </w:rPr>
        <w:t>, 8</w:t>
      </w:r>
      <w:r w:rsidR="004204B1" w:rsidRPr="00F242DD">
        <w:rPr>
          <w:rFonts w:eastAsia="Times New Roman"/>
          <w:szCs w:val="24"/>
        </w:rPr>
        <w:t>‒</w:t>
      </w:r>
      <w:r w:rsidRPr="00F242DD">
        <w:rPr>
          <w:rFonts w:eastAsia="Times New Roman"/>
          <w:szCs w:val="24"/>
        </w:rPr>
        <w:t>11</w:t>
      </w:r>
      <w:r w:rsidR="004204B1" w:rsidRPr="00F242DD">
        <w:rPr>
          <w:rFonts w:eastAsia="Times New Roman"/>
          <w:szCs w:val="24"/>
          <w:lang w:eastAsia="ru-RU"/>
        </w:rPr>
        <w:t>-й</w:t>
      </w:r>
    </w:p>
    <w:p w14:paraId="763ADB00" w14:textId="77777777" w:rsidR="000546DA" w:rsidRPr="00F242DD" w:rsidRDefault="000546DA" w:rsidP="00131E36">
      <w:pPr>
        <w:spacing w:before="0" w:after="0"/>
        <w:contextualSpacing/>
        <w:rPr>
          <w:rFonts w:eastAsia="Times New Roman"/>
          <w:szCs w:val="24"/>
        </w:rPr>
      </w:pPr>
      <w:r w:rsidRPr="00F242DD">
        <w:rPr>
          <w:rFonts w:eastAsia="Times New Roman"/>
          <w:szCs w:val="24"/>
        </w:rPr>
        <w:t>Лечение возобновляется на 29</w:t>
      </w:r>
      <w:r w:rsidR="004204B1" w:rsidRPr="00F242DD">
        <w:rPr>
          <w:rFonts w:eastAsia="Times New Roman"/>
          <w:szCs w:val="24"/>
          <w:lang w:eastAsia="ru-RU"/>
        </w:rPr>
        <w:t>-й</w:t>
      </w:r>
      <w:r w:rsidRPr="00F242DD">
        <w:rPr>
          <w:rFonts w:eastAsia="Times New Roman"/>
          <w:szCs w:val="24"/>
        </w:rPr>
        <w:t xml:space="preserve"> день</w:t>
      </w:r>
      <w:r w:rsidR="004204B1" w:rsidRPr="00F242DD">
        <w:rPr>
          <w:rFonts w:eastAsia="Times New Roman"/>
          <w:szCs w:val="24"/>
        </w:rPr>
        <w:t>.</w:t>
      </w:r>
    </w:p>
    <w:p w14:paraId="4AF0786C" w14:textId="77777777" w:rsidR="000546DA" w:rsidRPr="00F242DD" w:rsidRDefault="000546DA" w:rsidP="00131E36">
      <w:pPr>
        <w:spacing w:before="0" w:after="0"/>
        <w:contextualSpacing/>
        <w:rPr>
          <w:rFonts w:eastAsia="Times New Roman"/>
          <w:b/>
          <w:szCs w:val="24"/>
        </w:rPr>
      </w:pPr>
      <w:r w:rsidRPr="00F242DD">
        <w:rPr>
          <w:rFonts w:eastAsia="Times New Roman"/>
          <w:b/>
          <w:szCs w:val="24"/>
        </w:rPr>
        <w:t xml:space="preserve">RCP </w:t>
      </w:r>
    </w:p>
    <w:p w14:paraId="0648B6F5" w14:textId="77777777" w:rsidR="000546DA" w:rsidRPr="00F242DD" w:rsidRDefault="000546DA" w:rsidP="00727CDE">
      <w:pPr>
        <w:pStyle w:val="a6"/>
        <w:numPr>
          <w:ilvl w:val="0"/>
          <w:numId w:val="35"/>
        </w:numPr>
        <w:suppressAutoHyphens/>
        <w:spacing w:before="0" w:after="0"/>
        <w:jc w:val="left"/>
        <w:rPr>
          <w:rFonts w:eastAsia="Times New Roman"/>
          <w:szCs w:val="24"/>
        </w:rPr>
      </w:pPr>
      <w:r w:rsidRPr="00F242DD">
        <w:rPr>
          <w:rFonts w:eastAsia="Times New Roman"/>
          <w:szCs w:val="24"/>
        </w:rPr>
        <w:t>Леналидомид</w:t>
      </w:r>
      <w:r w:rsidRPr="00F242DD">
        <w:rPr>
          <w:rFonts w:eastAsia="Times New Roman"/>
          <w:szCs w:val="24"/>
          <w:lang w:eastAsia="ru-RU"/>
        </w:rPr>
        <w:t>**</w:t>
      </w:r>
      <w:r w:rsidRPr="00F242DD">
        <w:rPr>
          <w:rFonts w:eastAsia="Times New Roman"/>
          <w:szCs w:val="24"/>
        </w:rPr>
        <w:t xml:space="preserve"> 25 мг внутрь, дни 1</w:t>
      </w:r>
      <w:r w:rsidR="004204B1" w:rsidRPr="00F242DD">
        <w:rPr>
          <w:rFonts w:eastAsia="Times New Roman"/>
          <w:szCs w:val="24"/>
        </w:rPr>
        <w:t>‒</w:t>
      </w:r>
      <w:r w:rsidRPr="00F242DD">
        <w:rPr>
          <w:rFonts w:eastAsia="Times New Roman"/>
          <w:szCs w:val="24"/>
        </w:rPr>
        <w:t>21</w:t>
      </w:r>
      <w:r w:rsidR="004204B1" w:rsidRPr="00F242DD">
        <w:rPr>
          <w:rFonts w:eastAsia="Times New Roman"/>
          <w:szCs w:val="24"/>
          <w:lang w:eastAsia="ru-RU"/>
        </w:rPr>
        <w:t>-й</w:t>
      </w:r>
    </w:p>
    <w:p w14:paraId="2E9F81D0" w14:textId="77777777" w:rsidR="000546DA" w:rsidRPr="00F242DD" w:rsidRDefault="000546DA" w:rsidP="00727CDE">
      <w:pPr>
        <w:pStyle w:val="a6"/>
        <w:numPr>
          <w:ilvl w:val="0"/>
          <w:numId w:val="35"/>
        </w:numPr>
        <w:suppressAutoHyphens/>
        <w:spacing w:before="0" w:after="0"/>
        <w:jc w:val="left"/>
        <w:rPr>
          <w:rFonts w:eastAsia="Times New Roman"/>
          <w:szCs w:val="24"/>
        </w:rPr>
      </w:pPr>
      <w:r w:rsidRPr="00F242DD">
        <w:rPr>
          <w:rFonts w:eastAsia="Times New Roman"/>
          <w:szCs w:val="24"/>
        </w:rPr>
        <w:t>Циклофосфамид</w:t>
      </w:r>
      <w:r w:rsidRPr="00F242DD">
        <w:rPr>
          <w:rFonts w:eastAsia="Times New Roman"/>
          <w:szCs w:val="24"/>
          <w:lang w:eastAsia="ru-RU"/>
        </w:rPr>
        <w:t>**</w:t>
      </w:r>
      <w:r w:rsidRPr="00F242DD">
        <w:rPr>
          <w:rFonts w:eastAsia="Times New Roman"/>
          <w:szCs w:val="24"/>
        </w:rPr>
        <w:t xml:space="preserve"> 300 мг/м</w:t>
      </w:r>
      <w:r w:rsidRPr="00F242DD">
        <w:rPr>
          <w:rFonts w:eastAsia="Times New Roman"/>
          <w:szCs w:val="24"/>
          <w:vertAlign w:val="superscript"/>
        </w:rPr>
        <w:t>2</w:t>
      </w:r>
      <w:r w:rsidRPr="00F242DD">
        <w:rPr>
          <w:rFonts w:eastAsia="Times New Roman"/>
          <w:szCs w:val="24"/>
        </w:rPr>
        <w:t xml:space="preserve"> внутрь в дни 1, 8, 15</w:t>
      </w:r>
      <w:r w:rsidR="00522C92" w:rsidRPr="00F242DD">
        <w:rPr>
          <w:rFonts w:eastAsia="Times New Roman"/>
          <w:szCs w:val="24"/>
          <w:lang w:eastAsia="ru-RU"/>
        </w:rPr>
        <w:t>-й</w:t>
      </w:r>
    </w:p>
    <w:p w14:paraId="3843D3DE" w14:textId="77777777" w:rsidR="000546DA" w:rsidRPr="00F242DD" w:rsidRDefault="000546DA" w:rsidP="00727CDE">
      <w:pPr>
        <w:pStyle w:val="a6"/>
        <w:numPr>
          <w:ilvl w:val="0"/>
          <w:numId w:val="35"/>
        </w:numPr>
        <w:suppressAutoHyphens/>
        <w:spacing w:before="0" w:after="0"/>
        <w:jc w:val="left"/>
        <w:rPr>
          <w:rFonts w:eastAsia="Times New Roman"/>
          <w:szCs w:val="24"/>
        </w:rPr>
      </w:pPr>
      <w:r w:rsidRPr="00F242DD">
        <w:rPr>
          <w:rFonts w:eastAsia="Times New Roman"/>
          <w:szCs w:val="24"/>
        </w:rPr>
        <w:t>Преднизолон</w:t>
      </w:r>
      <w:r w:rsidRPr="00F242DD">
        <w:rPr>
          <w:rFonts w:eastAsia="Times New Roman"/>
          <w:szCs w:val="24"/>
          <w:lang w:eastAsia="ru-RU"/>
        </w:rPr>
        <w:t>**</w:t>
      </w:r>
      <w:r w:rsidRPr="00F242DD">
        <w:rPr>
          <w:rFonts w:eastAsia="Times New Roman"/>
          <w:szCs w:val="24"/>
        </w:rPr>
        <w:t xml:space="preserve"> 100 мг внутрь через день</w:t>
      </w:r>
    </w:p>
    <w:p w14:paraId="1D23B42E" w14:textId="77777777" w:rsidR="000546DA" w:rsidRPr="00F242DD" w:rsidRDefault="000546DA" w:rsidP="00131E36">
      <w:pPr>
        <w:spacing w:before="0" w:after="0"/>
        <w:contextualSpacing/>
        <w:rPr>
          <w:rFonts w:eastAsia="Times New Roman"/>
          <w:szCs w:val="24"/>
        </w:rPr>
      </w:pPr>
      <w:r w:rsidRPr="00F242DD">
        <w:rPr>
          <w:rFonts w:eastAsia="Times New Roman"/>
          <w:szCs w:val="24"/>
        </w:rPr>
        <w:t>Лечение возобновляется на 29</w:t>
      </w:r>
      <w:r w:rsidR="00522C92" w:rsidRPr="00F242DD">
        <w:rPr>
          <w:rFonts w:eastAsia="Times New Roman"/>
          <w:szCs w:val="24"/>
          <w:lang w:eastAsia="ru-RU"/>
        </w:rPr>
        <w:t>-й</w:t>
      </w:r>
      <w:r w:rsidRPr="00F242DD">
        <w:rPr>
          <w:rFonts w:eastAsia="Times New Roman"/>
          <w:szCs w:val="24"/>
        </w:rPr>
        <w:t xml:space="preserve"> день</w:t>
      </w:r>
      <w:r w:rsidR="00522C92" w:rsidRPr="00F242DD">
        <w:rPr>
          <w:rFonts w:eastAsia="Times New Roman"/>
          <w:szCs w:val="24"/>
        </w:rPr>
        <w:t>.</w:t>
      </w:r>
    </w:p>
    <w:p w14:paraId="7DC41BF4" w14:textId="77777777" w:rsidR="000546DA" w:rsidRPr="00F242DD" w:rsidRDefault="000546DA" w:rsidP="00131E36">
      <w:pPr>
        <w:spacing w:before="0" w:after="0"/>
        <w:contextualSpacing/>
        <w:rPr>
          <w:rFonts w:eastAsia="Times New Roman"/>
          <w:b/>
          <w:szCs w:val="24"/>
        </w:rPr>
      </w:pPr>
      <w:r w:rsidRPr="00F242DD">
        <w:rPr>
          <w:rFonts w:eastAsia="Times New Roman"/>
          <w:b/>
          <w:szCs w:val="24"/>
        </w:rPr>
        <w:t>BP</w:t>
      </w:r>
    </w:p>
    <w:p w14:paraId="67715846" w14:textId="77777777" w:rsidR="000546DA" w:rsidRPr="00F242DD" w:rsidRDefault="000546DA" w:rsidP="00727CDE">
      <w:pPr>
        <w:pStyle w:val="a6"/>
        <w:numPr>
          <w:ilvl w:val="0"/>
          <w:numId w:val="36"/>
        </w:numPr>
        <w:suppressAutoHyphens/>
        <w:spacing w:before="0" w:after="0"/>
        <w:jc w:val="left"/>
        <w:rPr>
          <w:rFonts w:eastAsia="Times New Roman"/>
          <w:szCs w:val="24"/>
        </w:rPr>
      </w:pPr>
      <w:r w:rsidRPr="00F242DD">
        <w:rPr>
          <w:rFonts w:eastAsia="Times New Roman"/>
          <w:szCs w:val="24"/>
        </w:rPr>
        <w:t>Бендамустин</w:t>
      </w:r>
      <w:r w:rsidRPr="00F242DD">
        <w:rPr>
          <w:rFonts w:eastAsia="Times New Roman"/>
          <w:szCs w:val="24"/>
          <w:lang w:eastAsia="ru-RU"/>
        </w:rPr>
        <w:t>**</w:t>
      </w:r>
      <w:r w:rsidRPr="00F242DD">
        <w:rPr>
          <w:rFonts w:eastAsia="Times New Roman"/>
          <w:szCs w:val="24"/>
        </w:rPr>
        <w:t xml:space="preserve">   100 мг/м</w:t>
      </w:r>
      <w:r w:rsidRPr="00F242DD">
        <w:rPr>
          <w:rFonts w:eastAsia="Times New Roman"/>
          <w:szCs w:val="24"/>
          <w:vertAlign w:val="superscript"/>
        </w:rPr>
        <w:t>2</w:t>
      </w:r>
      <w:r w:rsidRPr="00F242DD">
        <w:rPr>
          <w:rFonts w:eastAsia="Times New Roman"/>
          <w:szCs w:val="24"/>
        </w:rPr>
        <w:t xml:space="preserve"> в/в, дни 1, 2</w:t>
      </w:r>
      <w:r w:rsidR="00522C92" w:rsidRPr="00F242DD">
        <w:rPr>
          <w:rFonts w:eastAsia="Times New Roman"/>
          <w:szCs w:val="24"/>
          <w:lang w:eastAsia="ru-RU"/>
        </w:rPr>
        <w:t>-й</w:t>
      </w:r>
    </w:p>
    <w:p w14:paraId="0254605B" w14:textId="77777777" w:rsidR="000546DA" w:rsidRPr="00F242DD" w:rsidRDefault="000546DA" w:rsidP="00727CDE">
      <w:pPr>
        <w:pStyle w:val="a6"/>
        <w:numPr>
          <w:ilvl w:val="0"/>
          <w:numId w:val="36"/>
        </w:numPr>
        <w:suppressAutoHyphens/>
        <w:spacing w:before="0" w:after="0"/>
        <w:jc w:val="left"/>
        <w:rPr>
          <w:rFonts w:eastAsia="Times New Roman"/>
          <w:szCs w:val="24"/>
        </w:rPr>
      </w:pPr>
      <w:r w:rsidRPr="00F242DD">
        <w:rPr>
          <w:rFonts w:eastAsia="Times New Roman"/>
          <w:szCs w:val="24"/>
        </w:rPr>
        <w:t>Преднизолон</w:t>
      </w:r>
      <w:r w:rsidRPr="00F242DD">
        <w:rPr>
          <w:rFonts w:eastAsia="Times New Roman"/>
          <w:szCs w:val="24"/>
          <w:lang w:eastAsia="ru-RU"/>
        </w:rPr>
        <w:t>**</w:t>
      </w:r>
      <w:r w:rsidRPr="00F242DD">
        <w:rPr>
          <w:rFonts w:eastAsia="Times New Roman"/>
          <w:szCs w:val="24"/>
        </w:rPr>
        <w:t xml:space="preserve">   1 мг/кг внутрь, дни 1</w:t>
      </w:r>
      <w:r w:rsidR="00522C92" w:rsidRPr="00F242DD">
        <w:rPr>
          <w:rFonts w:eastAsia="Times New Roman"/>
          <w:szCs w:val="24"/>
        </w:rPr>
        <w:t>‒</w:t>
      </w:r>
      <w:r w:rsidRPr="00F242DD">
        <w:rPr>
          <w:rFonts w:eastAsia="Times New Roman"/>
          <w:szCs w:val="24"/>
        </w:rPr>
        <w:t>4</w:t>
      </w:r>
      <w:r w:rsidR="00522C92" w:rsidRPr="00F242DD">
        <w:rPr>
          <w:rFonts w:eastAsia="Times New Roman"/>
          <w:szCs w:val="24"/>
          <w:lang w:eastAsia="ru-RU"/>
        </w:rPr>
        <w:t>-й</w:t>
      </w:r>
    </w:p>
    <w:p w14:paraId="7A013E40" w14:textId="77777777" w:rsidR="000546DA" w:rsidRPr="00F242DD" w:rsidRDefault="000546DA" w:rsidP="00131E36">
      <w:pPr>
        <w:spacing w:before="0" w:after="0"/>
        <w:contextualSpacing/>
        <w:rPr>
          <w:rFonts w:eastAsia="Times New Roman"/>
          <w:szCs w:val="24"/>
        </w:rPr>
      </w:pPr>
      <w:r w:rsidRPr="00F242DD">
        <w:rPr>
          <w:rFonts w:eastAsia="Times New Roman"/>
          <w:szCs w:val="24"/>
        </w:rPr>
        <w:t>Лечение возобновляется на 29</w:t>
      </w:r>
      <w:r w:rsidR="00522C92" w:rsidRPr="00F242DD">
        <w:rPr>
          <w:rFonts w:eastAsia="Times New Roman"/>
          <w:szCs w:val="24"/>
          <w:lang w:eastAsia="ru-RU"/>
        </w:rPr>
        <w:t>-й</w:t>
      </w:r>
      <w:r w:rsidRPr="00F242DD">
        <w:rPr>
          <w:rFonts w:eastAsia="Times New Roman"/>
          <w:szCs w:val="24"/>
        </w:rPr>
        <w:t xml:space="preserve"> день</w:t>
      </w:r>
      <w:r w:rsidR="00522C92" w:rsidRPr="00F242DD">
        <w:rPr>
          <w:rFonts w:eastAsia="Times New Roman"/>
          <w:szCs w:val="24"/>
        </w:rPr>
        <w:t>.</w:t>
      </w:r>
    </w:p>
    <w:p w14:paraId="1CBE0A20" w14:textId="77777777" w:rsidR="000546DA" w:rsidRPr="00F242DD" w:rsidRDefault="000546DA" w:rsidP="00131E36">
      <w:pPr>
        <w:spacing w:before="0" w:after="0"/>
        <w:contextualSpacing/>
        <w:rPr>
          <w:rFonts w:eastAsia="Times New Roman"/>
          <w:szCs w:val="24"/>
        </w:rPr>
      </w:pPr>
      <w:r w:rsidRPr="00F242DD">
        <w:rPr>
          <w:rFonts w:eastAsia="Times New Roman"/>
          <w:b/>
          <w:szCs w:val="24"/>
        </w:rPr>
        <w:t>BBD</w:t>
      </w:r>
    </w:p>
    <w:p w14:paraId="4197352F" w14:textId="77777777" w:rsidR="000546DA" w:rsidRPr="00F242DD" w:rsidRDefault="000546DA" w:rsidP="00727CDE">
      <w:pPr>
        <w:pStyle w:val="a6"/>
        <w:numPr>
          <w:ilvl w:val="0"/>
          <w:numId w:val="37"/>
        </w:numPr>
        <w:suppressAutoHyphens/>
        <w:spacing w:before="0" w:after="0"/>
        <w:jc w:val="left"/>
        <w:rPr>
          <w:rFonts w:eastAsia="Times New Roman"/>
          <w:szCs w:val="24"/>
        </w:rPr>
      </w:pPr>
      <w:r w:rsidRPr="00F242DD">
        <w:rPr>
          <w:rFonts w:eastAsia="Times New Roman"/>
          <w:szCs w:val="24"/>
        </w:rPr>
        <w:t>Бендамустин</w:t>
      </w:r>
      <w:r w:rsidRPr="00F242DD">
        <w:rPr>
          <w:rFonts w:eastAsia="Times New Roman"/>
          <w:szCs w:val="24"/>
          <w:lang w:eastAsia="ru-RU"/>
        </w:rPr>
        <w:t>**</w:t>
      </w:r>
      <w:r w:rsidRPr="00F242DD">
        <w:rPr>
          <w:rFonts w:eastAsia="Times New Roman"/>
          <w:szCs w:val="24"/>
        </w:rPr>
        <w:t xml:space="preserve"> 70 мг/м</w:t>
      </w:r>
      <w:r w:rsidRPr="00F242DD">
        <w:rPr>
          <w:rFonts w:eastAsia="Times New Roman"/>
          <w:szCs w:val="24"/>
          <w:vertAlign w:val="superscript"/>
        </w:rPr>
        <w:t>2</w:t>
      </w:r>
      <w:r w:rsidRPr="00F242DD">
        <w:rPr>
          <w:rFonts w:eastAsia="Times New Roman"/>
          <w:szCs w:val="24"/>
        </w:rPr>
        <w:t xml:space="preserve"> в/в, дни 1, 4</w:t>
      </w:r>
      <w:r w:rsidR="00522C92" w:rsidRPr="00F242DD">
        <w:rPr>
          <w:rFonts w:eastAsia="Times New Roman"/>
          <w:szCs w:val="24"/>
          <w:lang w:eastAsia="ru-RU"/>
        </w:rPr>
        <w:t>-й</w:t>
      </w:r>
    </w:p>
    <w:p w14:paraId="60E01175" w14:textId="77777777" w:rsidR="000546DA" w:rsidRPr="00F242DD" w:rsidRDefault="000546DA" w:rsidP="00727CDE">
      <w:pPr>
        <w:pStyle w:val="a6"/>
        <w:numPr>
          <w:ilvl w:val="0"/>
          <w:numId w:val="37"/>
        </w:numPr>
        <w:suppressAutoHyphens/>
        <w:spacing w:before="0" w:after="0"/>
        <w:jc w:val="left"/>
        <w:rPr>
          <w:rFonts w:eastAsia="Times New Roman"/>
          <w:szCs w:val="24"/>
        </w:rPr>
      </w:pPr>
      <w:r w:rsidRPr="00F242DD">
        <w:rPr>
          <w:rFonts w:eastAsia="Times New Roman"/>
          <w:szCs w:val="24"/>
        </w:rPr>
        <w:t>Бортезомиб</w:t>
      </w:r>
      <w:r w:rsidRPr="00F242DD">
        <w:rPr>
          <w:rFonts w:eastAsia="Times New Roman"/>
          <w:szCs w:val="24"/>
          <w:lang w:eastAsia="ru-RU"/>
        </w:rPr>
        <w:t>**</w:t>
      </w:r>
      <w:r w:rsidRPr="00F242DD">
        <w:rPr>
          <w:rFonts w:eastAsia="Times New Roman"/>
          <w:szCs w:val="24"/>
        </w:rPr>
        <w:t xml:space="preserve"> 1,3 мг/м</w:t>
      </w:r>
      <w:r w:rsidRPr="00F242DD">
        <w:rPr>
          <w:rFonts w:eastAsia="Times New Roman"/>
          <w:szCs w:val="24"/>
          <w:vertAlign w:val="superscript"/>
        </w:rPr>
        <w:t>2</w:t>
      </w:r>
      <w:r w:rsidRPr="00F242DD">
        <w:rPr>
          <w:rFonts w:eastAsia="Times New Roman"/>
          <w:szCs w:val="24"/>
          <w:lang w:eastAsia="ru-RU"/>
        </w:rPr>
        <w:t xml:space="preserve">п/к или </w:t>
      </w:r>
      <w:r w:rsidRPr="00F242DD">
        <w:rPr>
          <w:rFonts w:eastAsia="Times New Roman"/>
          <w:szCs w:val="24"/>
        </w:rPr>
        <w:t>в/в, дни 1, 4, 8, 11</w:t>
      </w:r>
      <w:r w:rsidR="00522C92" w:rsidRPr="00F242DD">
        <w:rPr>
          <w:rFonts w:eastAsia="Times New Roman"/>
          <w:szCs w:val="24"/>
          <w:lang w:eastAsia="ru-RU"/>
        </w:rPr>
        <w:t>-й</w:t>
      </w:r>
    </w:p>
    <w:p w14:paraId="0F0A96FD" w14:textId="77777777" w:rsidR="000546DA" w:rsidRPr="00F242DD" w:rsidRDefault="000546DA" w:rsidP="00727CDE">
      <w:pPr>
        <w:pStyle w:val="a6"/>
        <w:numPr>
          <w:ilvl w:val="0"/>
          <w:numId w:val="37"/>
        </w:numPr>
        <w:suppressAutoHyphens/>
        <w:spacing w:before="0" w:after="0"/>
        <w:jc w:val="left"/>
        <w:rPr>
          <w:rFonts w:eastAsia="Times New Roman"/>
          <w:szCs w:val="24"/>
        </w:rPr>
      </w:pPr>
      <w:r w:rsidRPr="00F242DD">
        <w:rPr>
          <w:rFonts w:eastAsia="Times New Roman"/>
          <w:szCs w:val="24"/>
        </w:rPr>
        <w:t>Дексаметазон</w:t>
      </w:r>
      <w:r w:rsidRPr="00F242DD">
        <w:rPr>
          <w:rFonts w:eastAsia="Times New Roman"/>
          <w:szCs w:val="24"/>
          <w:lang w:eastAsia="ru-RU"/>
        </w:rPr>
        <w:t>**</w:t>
      </w:r>
      <w:r w:rsidRPr="00F242DD">
        <w:rPr>
          <w:rFonts w:eastAsia="Times New Roman"/>
          <w:szCs w:val="24"/>
        </w:rPr>
        <w:t xml:space="preserve"> 20 мг внутрь в дни 1, 4, 8, 11</w:t>
      </w:r>
      <w:r w:rsidR="00522C92" w:rsidRPr="00F242DD">
        <w:rPr>
          <w:rFonts w:eastAsia="Times New Roman"/>
          <w:szCs w:val="24"/>
          <w:lang w:eastAsia="ru-RU"/>
        </w:rPr>
        <w:t>-й</w:t>
      </w:r>
    </w:p>
    <w:p w14:paraId="244F2774" w14:textId="77777777" w:rsidR="000546DA" w:rsidRPr="00F242DD" w:rsidRDefault="000546DA" w:rsidP="00131E36">
      <w:pPr>
        <w:spacing w:before="0" w:after="0"/>
        <w:contextualSpacing/>
        <w:rPr>
          <w:rFonts w:eastAsia="Times New Roman"/>
          <w:b/>
          <w:szCs w:val="24"/>
          <w:shd w:val="clear" w:color="auto" w:fill="FFFF00"/>
        </w:rPr>
      </w:pPr>
      <w:r w:rsidRPr="00F242DD">
        <w:rPr>
          <w:rFonts w:eastAsia="Times New Roman"/>
          <w:szCs w:val="24"/>
        </w:rPr>
        <w:t>Лечение возобновляется на 29</w:t>
      </w:r>
      <w:r w:rsidR="00522C92" w:rsidRPr="00F242DD">
        <w:rPr>
          <w:rFonts w:eastAsia="Times New Roman"/>
          <w:szCs w:val="24"/>
          <w:lang w:eastAsia="ru-RU"/>
        </w:rPr>
        <w:t>-й</w:t>
      </w:r>
      <w:r w:rsidRPr="00F242DD">
        <w:rPr>
          <w:rFonts w:eastAsia="Times New Roman"/>
          <w:szCs w:val="24"/>
        </w:rPr>
        <w:t xml:space="preserve"> день</w:t>
      </w:r>
      <w:r w:rsidR="00522C92" w:rsidRPr="00F242DD">
        <w:rPr>
          <w:rFonts w:eastAsia="Times New Roman"/>
          <w:szCs w:val="24"/>
        </w:rPr>
        <w:t>.</w:t>
      </w:r>
    </w:p>
    <w:p w14:paraId="0BA941D2" w14:textId="77777777" w:rsidR="000546DA" w:rsidRPr="00F242DD" w:rsidRDefault="000546DA" w:rsidP="00131E36">
      <w:pPr>
        <w:spacing w:before="0" w:after="0"/>
        <w:contextualSpacing/>
        <w:rPr>
          <w:rFonts w:eastAsia="Times New Roman"/>
          <w:b/>
          <w:szCs w:val="24"/>
        </w:rPr>
      </w:pPr>
      <w:r w:rsidRPr="00F242DD">
        <w:rPr>
          <w:rFonts w:eastAsia="Times New Roman"/>
          <w:b/>
          <w:szCs w:val="24"/>
        </w:rPr>
        <w:t>BRD</w:t>
      </w:r>
    </w:p>
    <w:p w14:paraId="774EBCFF" w14:textId="77777777" w:rsidR="000546DA" w:rsidRPr="00F242DD" w:rsidRDefault="000546DA" w:rsidP="00727CDE">
      <w:pPr>
        <w:pStyle w:val="a6"/>
        <w:numPr>
          <w:ilvl w:val="0"/>
          <w:numId w:val="38"/>
        </w:numPr>
        <w:suppressAutoHyphens/>
        <w:spacing w:before="0" w:after="0"/>
        <w:jc w:val="left"/>
        <w:rPr>
          <w:rFonts w:eastAsia="Times New Roman"/>
          <w:szCs w:val="24"/>
        </w:rPr>
      </w:pPr>
      <w:r w:rsidRPr="00F242DD">
        <w:rPr>
          <w:rFonts w:eastAsia="Times New Roman"/>
          <w:szCs w:val="24"/>
        </w:rPr>
        <w:t>Бендамустин</w:t>
      </w:r>
      <w:r w:rsidRPr="00F242DD">
        <w:rPr>
          <w:rFonts w:eastAsia="Times New Roman"/>
          <w:szCs w:val="24"/>
          <w:lang w:eastAsia="ru-RU"/>
        </w:rPr>
        <w:t>**</w:t>
      </w:r>
      <w:r w:rsidRPr="00F242DD">
        <w:rPr>
          <w:rFonts w:eastAsia="Times New Roman"/>
          <w:szCs w:val="24"/>
        </w:rPr>
        <w:t xml:space="preserve"> 75 мг/м</w:t>
      </w:r>
      <w:r w:rsidRPr="00F242DD">
        <w:rPr>
          <w:rFonts w:eastAsia="Times New Roman"/>
          <w:szCs w:val="24"/>
          <w:vertAlign w:val="superscript"/>
        </w:rPr>
        <w:t>2</w:t>
      </w:r>
      <w:r w:rsidRPr="00F242DD">
        <w:rPr>
          <w:rFonts w:eastAsia="Times New Roman"/>
          <w:szCs w:val="24"/>
        </w:rPr>
        <w:t xml:space="preserve"> в/в, дни 1, 2</w:t>
      </w:r>
      <w:r w:rsidR="00522C92" w:rsidRPr="00F242DD">
        <w:rPr>
          <w:rFonts w:eastAsia="Times New Roman"/>
          <w:szCs w:val="24"/>
          <w:lang w:eastAsia="ru-RU"/>
        </w:rPr>
        <w:t>-й</w:t>
      </w:r>
    </w:p>
    <w:p w14:paraId="22B58D2E" w14:textId="77777777" w:rsidR="000546DA" w:rsidRPr="00F242DD" w:rsidRDefault="000546DA" w:rsidP="00727CDE">
      <w:pPr>
        <w:pStyle w:val="a6"/>
        <w:numPr>
          <w:ilvl w:val="0"/>
          <w:numId w:val="38"/>
        </w:numPr>
        <w:suppressAutoHyphens/>
        <w:spacing w:before="0" w:after="0"/>
        <w:jc w:val="left"/>
        <w:rPr>
          <w:rFonts w:eastAsia="Times New Roman"/>
          <w:szCs w:val="24"/>
        </w:rPr>
      </w:pPr>
      <w:r w:rsidRPr="00F242DD">
        <w:rPr>
          <w:rFonts w:eastAsia="Times New Roman"/>
          <w:szCs w:val="24"/>
        </w:rPr>
        <w:t>Леналидомид</w:t>
      </w:r>
      <w:r w:rsidRPr="00F242DD">
        <w:rPr>
          <w:rFonts w:eastAsia="Times New Roman"/>
          <w:szCs w:val="24"/>
          <w:lang w:eastAsia="ru-RU"/>
        </w:rPr>
        <w:t>**</w:t>
      </w:r>
      <w:r w:rsidRPr="00F242DD">
        <w:rPr>
          <w:rFonts w:eastAsia="Times New Roman"/>
          <w:szCs w:val="24"/>
        </w:rPr>
        <w:t xml:space="preserve"> 10 мг внутрь, дни 1</w:t>
      </w:r>
      <w:r w:rsidR="00522C92" w:rsidRPr="00F242DD">
        <w:rPr>
          <w:rFonts w:eastAsia="Times New Roman"/>
          <w:szCs w:val="24"/>
        </w:rPr>
        <w:t>‒</w:t>
      </w:r>
      <w:r w:rsidRPr="00F242DD">
        <w:rPr>
          <w:rFonts w:eastAsia="Times New Roman"/>
          <w:szCs w:val="24"/>
        </w:rPr>
        <w:t>21</w:t>
      </w:r>
      <w:r w:rsidR="00522C92" w:rsidRPr="00F242DD">
        <w:rPr>
          <w:rFonts w:eastAsia="Times New Roman"/>
          <w:szCs w:val="24"/>
          <w:lang w:eastAsia="ru-RU"/>
        </w:rPr>
        <w:t>-й</w:t>
      </w:r>
    </w:p>
    <w:p w14:paraId="29F5F202" w14:textId="77777777" w:rsidR="000546DA" w:rsidRPr="00F242DD" w:rsidRDefault="000546DA" w:rsidP="00727CDE">
      <w:pPr>
        <w:pStyle w:val="a6"/>
        <w:numPr>
          <w:ilvl w:val="0"/>
          <w:numId w:val="38"/>
        </w:numPr>
        <w:suppressAutoHyphens/>
        <w:spacing w:before="0" w:after="0"/>
        <w:jc w:val="left"/>
        <w:rPr>
          <w:rFonts w:eastAsia="Times New Roman"/>
          <w:szCs w:val="24"/>
        </w:rPr>
      </w:pPr>
      <w:r w:rsidRPr="00F242DD">
        <w:rPr>
          <w:rFonts w:eastAsia="Times New Roman"/>
          <w:szCs w:val="24"/>
        </w:rPr>
        <w:t>Дексаметазон</w:t>
      </w:r>
      <w:r w:rsidRPr="00F242DD">
        <w:rPr>
          <w:rFonts w:eastAsia="Times New Roman"/>
          <w:szCs w:val="24"/>
          <w:lang w:eastAsia="ru-RU"/>
        </w:rPr>
        <w:t>**</w:t>
      </w:r>
      <w:r w:rsidRPr="00F242DD">
        <w:rPr>
          <w:rFonts w:eastAsia="Times New Roman"/>
          <w:szCs w:val="24"/>
        </w:rPr>
        <w:t xml:space="preserve"> 40 мг внутрь или в/в, дни 1, 8, 15, 22</w:t>
      </w:r>
      <w:r w:rsidR="00522C92" w:rsidRPr="00F242DD">
        <w:rPr>
          <w:rFonts w:eastAsia="Times New Roman"/>
          <w:szCs w:val="24"/>
          <w:lang w:eastAsia="ru-RU"/>
        </w:rPr>
        <w:t>-й</w:t>
      </w:r>
    </w:p>
    <w:p w14:paraId="5B51F777" w14:textId="77777777" w:rsidR="000546DA" w:rsidRPr="00F242DD" w:rsidRDefault="000546DA" w:rsidP="00131E36">
      <w:pPr>
        <w:spacing w:before="0" w:after="0"/>
        <w:contextualSpacing/>
        <w:rPr>
          <w:rFonts w:eastAsia="Times New Roman"/>
          <w:szCs w:val="24"/>
        </w:rPr>
      </w:pPr>
      <w:r w:rsidRPr="00F242DD">
        <w:rPr>
          <w:rFonts w:eastAsia="Times New Roman"/>
          <w:szCs w:val="24"/>
        </w:rPr>
        <w:t>Лечение возобновляется на 29</w:t>
      </w:r>
      <w:r w:rsidR="00522C92" w:rsidRPr="00F242DD">
        <w:rPr>
          <w:rFonts w:eastAsia="Times New Roman"/>
          <w:szCs w:val="24"/>
          <w:lang w:eastAsia="ru-RU"/>
        </w:rPr>
        <w:t>-й</w:t>
      </w:r>
      <w:r w:rsidRPr="00F242DD">
        <w:rPr>
          <w:rFonts w:eastAsia="Times New Roman"/>
          <w:szCs w:val="24"/>
        </w:rPr>
        <w:t xml:space="preserve"> день</w:t>
      </w:r>
      <w:r w:rsidR="00522C92" w:rsidRPr="00F242DD">
        <w:rPr>
          <w:rFonts w:eastAsia="Times New Roman"/>
          <w:szCs w:val="24"/>
        </w:rPr>
        <w:t>.</w:t>
      </w:r>
    </w:p>
    <w:p w14:paraId="728F67AB" w14:textId="77777777" w:rsidR="000546DA" w:rsidRPr="00F242DD" w:rsidRDefault="000546DA" w:rsidP="00131E36">
      <w:pPr>
        <w:spacing w:before="0" w:after="0"/>
        <w:contextualSpacing/>
        <w:rPr>
          <w:rFonts w:eastAsia="Times New Roman"/>
          <w:b/>
          <w:szCs w:val="24"/>
        </w:rPr>
      </w:pPr>
      <w:r w:rsidRPr="00F242DD">
        <w:rPr>
          <w:rFonts w:eastAsia="Times New Roman"/>
          <w:b/>
          <w:szCs w:val="24"/>
        </w:rPr>
        <w:t>Pom+dex</w:t>
      </w:r>
    </w:p>
    <w:p w14:paraId="02890A5A" w14:textId="77777777" w:rsidR="000546DA" w:rsidRPr="00F242DD" w:rsidRDefault="000546DA" w:rsidP="00727CDE">
      <w:pPr>
        <w:pStyle w:val="a6"/>
        <w:numPr>
          <w:ilvl w:val="0"/>
          <w:numId w:val="39"/>
        </w:numPr>
        <w:suppressAutoHyphens/>
        <w:spacing w:before="0" w:after="0"/>
        <w:jc w:val="left"/>
        <w:rPr>
          <w:rFonts w:eastAsia="Times New Roman"/>
          <w:szCs w:val="24"/>
        </w:rPr>
      </w:pPr>
      <w:r w:rsidRPr="00F242DD">
        <w:rPr>
          <w:rFonts w:eastAsia="Times New Roman"/>
          <w:szCs w:val="24"/>
        </w:rPr>
        <w:t>Помалидомид 4 мг внутрь, дни 1</w:t>
      </w:r>
      <w:r w:rsidR="00522C92" w:rsidRPr="00F242DD">
        <w:rPr>
          <w:rFonts w:eastAsia="Times New Roman"/>
          <w:szCs w:val="24"/>
        </w:rPr>
        <w:t>‒</w:t>
      </w:r>
      <w:r w:rsidRPr="00F242DD">
        <w:rPr>
          <w:rFonts w:eastAsia="Times New Roman"/>
          <w:szCs w:val="24"/>
          <w:lang w:val="en-US"/>
        </w:rPr>
        <w:t>21</w:t>
      </w:r>
      <w:r w:rsidR="00522C92" w:rsidRPr="00F242DD">
        <w:rPr>
          <w:rFonts w:eastAsia="Times New Roman"/>
          <w:szCs w:val="24"/>
          <w:lang w:eastAsia="ru-RU"/>
        </w:rPr>
        <w:t>-й</w:t>
      </w:r>
    </w:p>
    <w:p w14:paraId="5E5EE2A7" w14:textId="77777777" w:rsidR="000546DA" w:rsidRPr="00F242DD" w:rsidRDefault="000546DA" w:rsidP="00727CDE">
      <w:pPr>
        <w:pStyle w:val="a6"/>
        <w:numPr>
          <w:ilvl w:val="0"/>
          <w:numId w:val="39"/>
        </w:numPr>
        <w:suppressAutoHyphens/>
        <w:spacing w:before="0" w:after="0"/>
        <w:jc w:val="left"/>
        <w:rPr>
          <w:rFonts w:eastAsia="Times New Roman"/>
          <w:szCs w:val="24"/>
        </w:rPr>
      </w:pPr>
      <w:r w:rsidRPr="00F242DD">
        <w:rPr>
          <w:rFonts w:eastAsia="Times New Roman"/>
          <w:szCs w:val="24"/>
        </w:rPr>
        <w:lastRenderedPageBreak/>
        <w:t>Дексаметазон</w:t>
      </w:r>
      <w:r w:rsidRPr="00F242DD">
        <w:rPr>
          <w:rFonts w:eastAsia="Times New Roman"/>
          <w:szCs w:val="24"/>
          <w:lang w:eastAsia="ru-RU"/>
        </w:rPr>
        <w:t>**</w:t>
      </w:r>
      <w:r w:rsidRPr="00F242DD">
        <w:rPr>
          <w:rFonts w:eastAsia="Times New Roman"/>
          <w:szCs w:val="24"/>
        </w:rPr>
        <w:t xml:space="preserve"> 40 мг внутрь, дни 1, 8, 15, 22</w:t>
      </w:r>
      <w:r w:rsidR="00522C92" w:rsidRPr="00F242DD">
        <w:rPr>
          <w:rFonts w:eastAsia="Times New Roman"/>
          <w:szCs w:val="24"/>
          <w:lang w:eastAsia="ru-RU"/>
        </w:rPr>
        <w:t>-й</w:t>
      </w:r>
    </w:p>
    <w:p w14:paraId="792A1734" w14:textId="77777777" w:rsidR="000546DA" w:rsidRPr="00F242DD" w:rsidRDefault="000546DA" w:rsidP="00131E36">
      <w:pPr>
        <w:spacing w:before="0" w:after="0"/>
        <w:contextualSpacing/>
        <w:rPr>
          <w:rFonts w:eastAsia="Times New Roman"/>
          <w:szCs w:val="24"/>
        </w:rPr>
      </w:pPr>
      <w:r w:rsidRPr="00F242DD">
        <w:rPr>
          <w:rFonts w:eastAsia="Times New Roman"/>
          <w:szCs w:val="24"/>
        </w:rPr>
        <w:t>Лечение возобновляется на 29</w:t>
      </w:r>
      <w:r w:rsidR="00522C92" w:rsidRPr="00F242DD">
        <w:rPr>
          <w:rFonts w:eastAsia="Times New Roman"/>
          <w:szCs w:val="24"/>
          <w:lang w:eastAsia="ru-RU"/>
        </w:rPr>
        <w:t>-й</w:t>
      </w:r>
      <w:r w:rsidRPr="00F242DD">
        <w:rPr>
          <w:rFonts w:eastAsia="Times New Roman"/>
          <w:szCs w:val="24"/>
        </w:rPr>
        <w:t xml:space="preserve"> день</w:t>
      </w:r>
      <w:r w:rsidR="00522C92" w:rsidRPr="00F242DD">
        <w:rPr>
          <w:rFonts w:eastAsia="Times New Roman"/>
          <w:szCs w:val="24"/>
        </w:rPr>
        <w:t>.</w:t>
      </w:r>
    </w:p>
    <w:p w14:paraId="5EC9245E" w14:textId="77777777" w:rsidR="000546DA" w:rsidRPr="00F242DD" w:rsidRDefault="000546DA" w:rsidP="00131E36">
      <w:pPr>
        <w:spacing w:before="0" w:after="0"/>
        <w:contextualSpacing/>
        <w:rPr>
          <w:rFonts w:eastAsia="Times New Roman"/>
          <w:b/>
          <w:szCs w:val="24"/>
        </w:rPr>
      </w:pPr>
      <w:r w:rsidRPr="00F242DD">
        <w:rPr>
          <w:rFonts w:eastAsia="Times New Roman"/>
          <w:b/>
          <w:szCs w:val="24"/>
        </w:rPr>
        <w:t>Карфилзомиб (монотерапия)</w:t>
      </w:r>
    </w:p>
    <w:p w14:paraId="65851B5D" w14:textId="1EA49216" w:rsidR="000546DA" w:rsidRPr="00F242DD" w:rsidRDefault="000546DA" w:rsidP="00727CDE">
      <w:pPr>
        <w:pStyle w:val="a6"/>
        <w:numPr>
          <w:ilvl w:val="0"/>
          <w:numId w:val="40"/>
        </w:numPr>
        <w:spacing w:before="0" w:after="0"/>
        <w:jc w:val="left"/>
        <w:rPr>
          <w:rFonts w:eastAsia="Times New Roman"/>
          <w:szCs w:val="24"/>
        </w:rPr>
      </w:pPr>
      <w:r w:rsidRPr="00F242DD">
        <w:rPr>
          <w:rFonts w:eastAsia="Times New Roman"/>
          <w:szCs w:val="24"/>
        </w:rPr>
        <w:t>Карфилзомиб</w:t>
      </w:r>
      <w:r w:rsidRPr="00F242DD">
        <w:rPr>
          <w:rFonts w:eastAsia="Times New Roman"/>
          <w:szCs w:val="24"/>
          <w:lang w:eastAsia="ru-RU"/>
        </w:rPr>
        <w:t>**</w:t>
      </w:r>
      <w:r w:rsidR="00521D08">
        <w:rPr>
          <w:rFonts w:eastAsia="Times New Roman"/>
          <w:szCs w:val="24"/>
        </w:rPr>
        <w:t xml:space="preserve">  </w:t>
      </w:r>
      <w:r w:rsidRPr="00F242DD">
        <w:rPr>
          <w:rFonts w:eastAsia="Times New Roman"/>
          <w:szCs w:val="24"/>
        </w:rPr>
        <w:t>20 мг/м</w:t>
      </w:r>
      <w:r w:rsidRPr="00F242DD">
        <w:rPr>
          <w:rFonts w:eastAsia="Times New Roman"/>
          <w:szCs w:val="24"/>
          <w:vertAlign w:val="superscript"/>
        </w:rPr>
        <w:t>2</w:t>
      </w:r>
      <w:r w:rsidRPr="00F242DD">
        <w:rPr>
          <w:rFonts w:eastAsia="Times New Roman"/>
          <w:szCs w:val="24"/>
        </w:rPr>
        <w:t xml:space="preserve"> в</w:t>
      </w:r>
      <w:r w:rsidR="006A0AFE" w:rsidRPr="00F242DD">
        <w:rPr>
          <w:rFonts w:eastAsia="Times New Roman"/>
          <w:szCs w:val="24"/>
        </w:rPr>
        <w:t>/в,</w:t>
      </w:r>
      <w:r w:rsidRPr="00F242DD">
        <w:rPr>
          <w:rFonts w:eastAsia="Times New Roman"/>
          <w:szCs w:val="24"/>
        </w:rPr>
        <w:t xml:space="preserve"> дни 1, 2, 8, 9, 15, 16</w:t>
      </w:r>
      <w:r w:rsidR="00522C92" w:rsidRPr="00F242DD">
        <w:rPr>
          <w:rFonts w:eastAsia="Times New Roman"/>
          <w:szCs w:val="24"/>
          <w:lang w:eastAsia="ru-RU"/>
        </w:rPr>
        <w:t>-й</w:t>
      </w:r>
      <w:r w:rsidRPr="00F242DD">
        <w:rPr>
          <w:rFonts w:eastAsia="Times New Roman"/>
          <w:szCs w:val="24"/>
        </w:rPr>
        <w:t xml:space="preserve"> </w:t>
      </w:r>
      <w:r w:rsidR="00522C92" w:rsidRPr="00F242DD">
        <w:rPr>
          <w:rFonts w:eastAsia="Times New Roman"/>
          <w:szCs w:val="24"/>
        </w:rPr>
        <w:t>‒ 1-</w:t>
      </w:r>
      <w:r w:rsidRPr="00F242DD">
        <w:rPr>
          <w:rFonts w:eastAsia="Times New Roman"/>
          <w:szCs w:val="24"/>
        </w:rPr>
        <w:t>й цикл,</w:t>
      </w:r>
    </w:p>
    <w:p w14:paraId="3E77AA3C" w14:textId="77777777" w:rsidR="000546DA" w:rsidRPr="00F242DD" w:rsidRDefault="000546DA" w:rsidP="00131E36">
      <w:pPr>
        <w:pStyle w:val="a6"/>
        <w:spacing w:before="0" w:after="0"/>
        <w:ind w:left="1428" w:firstLine="696"/>
        <w:rPr>
          <w:rFonts w:eastAsia="Times New Roman"/>
          <w:szCs w:val="24"/>
        </w:rPr>
      </w:pPr>
      <w:r w:rsidRPr="00F242DD">
        <w:rPr>
          <w:rFonts w:eastAsia="Times New Roman"/>
          <w:szCs w:val="24"/>
        </w:rPr>
        <w:t xml:space="preserve"> 27 мг/м</w:t>
      </w:r>
      <w:r w:rsidRPr="00F242DD">
        <w:rPr>
          <w:rFonts w:eastAsia="Times New Roman"/>
          <w:szCs w:val="24"/>
          <w:vertAlign w:val="superscript"/>
        </w:rPr>
        <w:t xml:space="preserve">2 </w:t>
      </w:r>
      <w:r w:rsidRPr="00F242DD">
        <w:rPr>
          <w:rFonts w:eastAsia="Times New Roman"/>
          <w:szCs w:val="24"/>
        </w:rPr>
        <w:t>в дни 1, 2, 8, 9, 15, 16</w:t>
      </w:r>
      <w:r w:rsidR="00522C92" w:rsidRPr="00F242DD">
        <w:rPr>
          <w:rFonts w:eastAsia="Times New Roman"/>
          <w:szCs w:val="24"/>
          <w:lang w:eastAsia="ru-RU"/>
        </w:rPr>
        <w:t xml:space="preserve">-й ‒ </w:t>
      </w:r>
      <w:r w:rsidRPr="00F242DD">
        <w:rPr>
          <w:rFonts w:eastAsia="Times New Roman"/>
          <w:szCs w:val="24"/>
        </w:rPr>
        <w:t>последующие циклы.</w:t>
      </w:r>
    </w:p>
    <w:p w14:paraId="0FCA8569" w14:textId="77777777" w:rsidR="000546DA" w:rsidRPr="00F242DD" w:rsidRDefault="000546DA" w:rsidP="00131E36">
      <w:pPr>
        <w:spacing w:before="0" w:after="0"/>
        <w:contextualSpacing/>
        <w:rPr>
          <w:rFonts w:eastAsia="Times New Roman"/>
          <w:szCs w:val="24"/>
        </w:rPr>
      </w:pPr>
      <w:r w:rsidRPr="00F242DD">
        <w:rPr>
          <w:rFonts w:eastAsia="Times New Roman"/>
          <w:szCs w:val="24"/>
        </w:rPr>
        <w:t>Лечение возобновляется на 29</w:t>
      </w:r>
      <w:r w:rsidR="00522C92" w:rsidRPr="00F242DD">
        <w:rPr>
          <w:rFonts w:eastAsia="Times New Roman"/>
          <w:szCs w:val="24"/>
          <w:lang w:eastAsia="ru-RU"/>
        </w:rPr>
        <w:t>-й</w:t>
      </w:r>
      <w:r w:rsidRPr="00F242DD">
        <w:rPr>
          <w:rFonts w:eastAsia="Times New Roman"/>
          <w:szCs w:val="24"/>
        </w:rPr>
        <w:t xml:space="preserve"> день.</w:t>
      </w:r>
    </w:p>
    <w:p w14:paraId="676CB6CD" w14:textId="77777777" w:rsidR="000546DA" w:rsidRPr="00F242DD" w:rsidRDefault="000546DA" w:rsidP="00131E36">
      <w:pPr>
        <w:pStyle w:val="a6"/>
        <w:spacing w:before="0" w:after="0"/>
        <w:ind w:left="0"/>
        <w:rPr>
          <w:rFonts w:eastAsia="Times New Roman"/>
          <w:szCs w:val="24"/>
        </w:rPr>
      </w:pPr>
      <w:r w:rsidRPr="00F242DD">
        <w:rPr>
          <w:rFonts w:eastAsia="Times New Roman"/>
          <w:szCs w:val="24"/>
        </w:rPr>
        <w:t>Лечение продолжают до прогрессирования или развития неприемлемой токсичности</w:t>
      </w:r>
      <w:r w:rsidR="00522C92" w:rsidRPr="00F242DD">
        <w:rPr>
          <w:rFonts w:eastAsia="Times New Roman"/>
          <w:szCs w:val="24"/>
        </w:rPr>
        <w:t>.</w:t>
      </w:r>
    </w:p>
    <w:p w14:paraId="50ADD660" w14:textId="77777777" w:rsidR="000546DA" w:rsidRPr="00F242DD" w:rsidRDefault="000546DA" w:rsidP="00131E36">
      <w:pPr>
        <w:spacing w:before="0" w:after="0"/>
        <w:contextualSpacing/>
        <w:rPr>
          <w:rFonts w:eastAsia="Times New Roman"/>
          <w:b/>
          <w:szCs w:val="24"/>
        </w:rPr>
      </w:pPr>
      <w:r w:rsidRPr="00F242DD">
        <w:rPr>
          <w:rFonts w:eastAsia="Times New Roman"/>
          <w:b/>
          <w:szCs w:val="24"/>
        </w:rPr>
        <w:t>К</w:t>
      </w:r>
      <w:r w:rsidRPr="00F242DD">
        <w:rPr>
          <w:rFonts w:eastAsia="Times New Roman"/>
          <w:b/>
          <w:szCs w:val="24"/>
          <w:lang w:val="en-US"/>
        </w:rPr>
        <w:t>d</w:t>
      </w:r>
      <w:r w:rsidR="00315D6A" w:rsidRPr="00F242DD">
        <w:rPr>
          <w:rFonts w:eastAsia="Times New Roman"/>
          <w:b/>
          <w:szCs w:val="24"/>
        </w:rPr>
        <w:t xml:space="preserve"> </w:t>
      </w:r>
      <w:r w:rsidR="00315D6A" w:rsidRPr="00F242DD">
        <w:rPr>
          <w:rFonts w:eastAsia="Times New Roman"/>
          <w:b/>
          <w:szCs w:val="24"/>
        </w:rPr>
        <w:fldChar w:fldCharType="begin" w:fldLock="1"/>
      </w:r>
      <w:r w:rsidR="00315D6A" w:rsidRPr="00F242DD">
        <w:rPr>
          <w:rFonts w:eastAsia="Times New Roman"/>
          <w:b/>
          <w:szCs w:val="24"/>
        </w:rPr>
        <w:instrText>ADDIN CSL_CITATION {"citationItems":[{"id":"ITEM-1","itemData":{"DOI":"10.1016/S1470-2045(17)30578-8","ISSN":"14745488","abstract":"Background The phase 3 ENDEAVOR trial was a head-to-head comparison of two proteasome inhibitors in patients with relapsed or refractory multiple myeloma. Progression-free survival was previously reported to be significantly longer with carfilzomib administered in combination with dexamethasone than with bortezomib and dexamethasone in an interim analysis. The aim of this second interim analysis was to compare overall survival between the two treatment groups. Methods ENDEAVOR was a phase 3, open-label, randomised controlled trial in patients with relapsed or refractory multiple myeloma. Patients were recruited from 198 hospitals and outpatient clinics in 27 countries in Europe, North America, South America, and the Asia-Pacific region. Patients were aged 18 years or older, had relapsed or refractory multiple myeloma, and had received between one and three previous lines of therapy. Patients were randomly assigned (1:1) to receive carfilzomib and dexamethasone (carfilzomib group) or bortezomib and dexamethasone (bortezomib group) through a blocked randomisation scheme (block size of four), stratified by International Staging System stage, previous lines of treatment, previous proteasome inhibitor therapy, and planned route of bortezomib delivery if assigned to the bortezomib group. Carfilzomib (20 mg/m2 on days 1 and 2 of cycle 1; 56 mg/m2 thereafter) was given as a 30-min intravenous infusion on days 1, 2, 8, 9, 15, and 16 of 28-day cycles; bortezomib (1·3 mg/m2) was given as an intravenous bolus or subcutaneous injection on days 1, 4, 8, and 11 of 21-day cycles. Dexamethasone (20 mg oral or intravenous infusion) was given on days 1, 2, 8, 9, 15, 16, 22, and 23 in the carfilzomib group and on days 1, 2, 4, 5, 8, 9, 11, and 12 in the bortezomib group. The primary endpoint of ENDEAVOR, progression-free survival, has been previously reported. A stratified log-rank test was used to compare overall survival between treatment groups for this prospectively planned second interim analysis. Efficacy assessments were done in all randomly assigned patients (the intention-to-treat population) and the safety analysis included patients who received at least one dose of study treatment. This trial is registered with ClinicalTrials.gov, number NCT01568866, and is no longer enrolling patients. Findings Between June 20, 2012, and June 30, 2014, 1096 patients were assessed for eligibility, of whom 929 were randomly assigned (464 to the carfilzomib group and 465 to the bo…","author":[{"dropping-particle":"","family":"Dimopoulos","given":"Meletios A.","non-dropping-particle":"","parse-names":false,"suffix":""},{"dropping-particle":"","family":"Goldschmidt","given":"Hartmut","non-dropping-particle":"","parse-names":false,"suffix":""},{"dropping-particle":"","family":"Niesvizky","given":"Ruben","non-dropping-particle":"","parse-names":false,"suffix":""},{"dropping-particle":"","family":"Joshua","given":"Douglas","non-dropping-particle":"","parse-names":false,"suffix":""},{"dropping-particle":"","family":"Chng","given":"Wee Joo","non-dropping-particle":"","parse-names":false,"suffix":""},{"dropping-particle":"","family":"Oriol","given":"Albert","non-dropping-particle":"","parse-names":false,"suffix":""},{"dropping-particle":"","family":"Orlowski","given":"Robert Z.","non-dropping-particle":"","parse-names":false,"suffix":""},{"dropping-particle":"","family":"Ludwig","given":"Heinz","non-dropping-particle":"","parse-names":false,"suffix":""},{"dropping-particle":"","family":"Facon","given":"Thierry","non-dropping-particle":"","parse-names":false,"suffix":""},{"dropping-particle":"","family":"Hajek","given":"Roman","non-dropping-particle":"","parse-names":false,"suffix":""},{"dropping-particle":"","family":"Weisel","given":"Katja","non-dropping-particle":"","parse-names":false,"suffix":""},{"dropping-particle":"","family":"Hungria","given":"Vania","non-dropping-particle":"","parse-names":false,"suffix":""},{"dropping-particle":"","family":"Minuk","given":"Leonard","non-dropping-particle":"","parse-names":false,"suffix":""},{"dropping-particle":"","family":"Feng","given":"Shibao","non-dropping-particle":"","parse-names":false,"suffix":""},{"dropping-particle":"","family":"Zahlten-Kumeli","given":"Anita","non-dropping-particle":"","parse-names":false,"suffix":""},{"dropping-particle":"","family":"Kimball","given":"Amy S.","non-dropping-particle":"","parse-names":false,"suffix":""},{"dropping-particle":"","family":"Moreau","given":"Philippe","non-dropping-particle":"","parse-names":false,"suffix":""}],"container-title":"The Lancet Oncology","id":"ITEM-1","issue":"10","issued":{"date-parts":[["2017","10","1"]]},"page":"1327-1337","publisher":"Lancet Publishing Group","title":"Carfilzomib or bortezomib in relapsed or refractory multiple myeloma (ENDEAVOR): an interim overall survival analysis of an open-label, randomised, phase 3 trial","type":"article-journal","volume":"18"},"uris":["http://www.mendeley.com/documents/?uuid=976186ac-156b-337b-a43f-69fd2ae8697c"]}],"mendeley":{"formattedCitation":"[79]","plainTextFormattedCitation":"[79]"},"properties":{"noteIndex":0},"schema":"https://github.com/citation-style-language/schema/raw/master/csl-citation.json"}</w:instrText>
      </w:r>
      <w:r w:rsidR="00315D6A" w:rsidRPr="00F242DD">
        <w:rPr>
          <w:rFonts w:eastAsia="Times New Roman"/>
          <w:b/>
          <w:szCs w:val="24"/>
        </w:rPr>
        <w:fldChar w:fldCharType="separate"/>
      </w:r>
      <w:r w:rsidR="00315D6A" w:rsidRPr="00F242DD">
        <w:rPr>
          <w:rFonts w:eastAsia="Times New Roman"/>
          <w:noProof/>
          <w:szCs w:val="24"/>
        </w:rPr>
        <w:t>[79]</w:t>
      </w:r>
      <w:r w:rsidR="00315D6A" w:rsidRPr="00F242DD">
        <w:rPr>
          <w:rFonts w:eastAsia="Times New Roman"/>
          <w:b/>
          <w:szCs w:val="24"/>
        </w:rPr>
        <w:fldChar w:fldCharType="end"/>
      </w:r>
    </w:p>
    <w:p w14:paraId="3805FD0A" w14:textId="77777777" w:rsidR="000546DA" w:rsidRPr="00F242DD" w:rsidRDefault="000546DA" w:rsidP="00727CDE">
      <w:pPr>
        <w:pStyle w:val="a6"/>
        <w:numPr>
          <w:ilvl w:val="0"/>
          <w:numId w:val="40"/>
        </w:numPr>
        <w:suppressAutoHyphens/>
        <w:spacing w:before="0" w:after="0"/>
        <w:jc w:val="left"/>
        <w:rPr>
          <w:rFonts w:eastAsia="Times New Roman"/>
          <w:szCs w:val="24"/>
        </w:rPr>
      </w:pPr>
      <w:r w:rsidRPr="00F242DD">
        <w:rPr>
          <w:rFonts w:eastAsia="Times New Roman"/>
          <w:szCs w:val="24"/>
        </w:rPr>
        <w:t>Карфилзомиб</w:t>
      </w:r>
      <w:r w:rsidRPr="00F242DD">
        <w:rPr>
          <w:rFonts w:eastAsia="Times New Roman"/>
          <w:szCs w:val="24"/>
          <w:lang w:eastAsia="ru-RU"/>
        </w:rPr>
        <w:t>**</w:t>
      </w:r>
      <w:r w:rsidRPr="00F242DD">
        <w:rPr>
          <w:rFonts w:eastAsia="Times New Roman"/>
          <w:szCs w:val="24"/>
        </w:rPr>
        <w:t xml:space="preserve"> 56 мг/м</w:t>
      </w:r>
      <w:r w:rsidRPr="00F242DD">
        <w:rPr>
          <w:rFonts w:eastAsia="Times New Roman"/>
          <w:szCs w:val="24"/>
          <w:vertAlign w:val="superscript"/>
        </w:rPr>
        <w:t>2</w:t>
      </w:r>
      <w:r w:rsidRPr="00F242DD">
        <w:rPr>
          <w:rFonts w:eastAsia="Times New Roman"/>
          <w:szCs w:val="24"/>
        </w:rPr>
        <w:t xml:space="preserve"> в/в, дни 1, 2, 8, 9, 15, 16</w:t>
      </w:r>
      <w:r w:rsidR="00522C92" w:rsidRPr="00F242DD">
        <w:rPr>
          <w:rFonts w:eastAsia="Times New Roman"/>
          <w:szCs w:val="24"/>
          <w:lang w:eastAsia="ru-RU"/>
        </w:rPr>
        <w:t>-й</w:t>
      </w:r>
      <w:r w:rsidRPr="00F242DD">
        <w:rPr>
          <w:rFonts w:eastAsia="Times New Roman"/>
          <w:szCs w:val="24"/>
        </w:rPr>
        <w:t xml:space="preserve"> (20 мг/м</w:t>
      </w:r>
      <w:r w:rsidRPr="00F242DD">
        <w:rPr>
          <w:rFonts w:eastAsia="Times New Roman"/>
          <w:szCs w:val="24"/>
          <w:vertAlign w:val="superscript"/>
        </w:rPr>
        <w:t xml:space="preserve">2 </w:t>
      </w:r>
      <w:r w:rsidRPr="00F242DD">
        <w:rPr>
          <w:rFonts w:eastAsia="Times New Roman"/>
          <w:szCs w:val="24"/>
        </w:rPr>
        <w:t>в дни 1,</w:t>
      </w:r>
      <w:r w:rsidR="00522C92" w:rsidRPr="00F242DD">
        <w:rPr>
          <w:rFonts w:eastAsia="Times New Roman"/>
          <w:szCs w:val="24"/>
        </w:rPr>
        <w:t xml:space="preserve"> </w:t>
      </w:r>
      <w:r w:rsidRPr="00F242DD">
        <w:rPr>
          <w:rFonts w:eastAsia="Times New Roman"/>
          <w:szCs w:val="24"/>
        </w:rPr>
        <w:t>2</w:t>
      </w:r>
      <w:r w:rsidR="00522C92" w:rsidRPr="00F242DD">
        <w:rPr>
          <w:rFonts w:eastAsia="Times New Roman"/>
          <w:szCs w:val="24"/>
        </w:rPr>
        <w:t>-й</w:t>
      </w:r>
      <w:r w:rsidRPr="00F242DD">
        <w:rPr>
          <w:rFonts w:eastAsia="Times New Roman"/>
          <w:szCs w:val="24"/>
        </w:rPr>
        <w:t xml:space="preserve"> </w:t>
      </w:r>
      <w:r w:rsidR="00522C92" w:rsidRPr="00F242DD">
        <w:rPr>
          <w:rFonts w:eastAsia="Times New Roman"/>
          <w:szCs w:val="24"/>
        </w:rPr>
        <w:t>1-</w:t>
      </w:r>
      <w:r w:rsidRPr="00F242DD">
        <w:rPr>
          <w:rFonts w:eastAsia="Times New Roman"/>
          <w:szCs w:val="24"/>
        </w:rPr>
        <w:t xml:space="preserve">го цикла) </w:t>
      </w:r>
    </w:p>
    <w:p w14:paraId="58C92C24" w14:textId="77777777" w:rsidR="000546DA" w:rsidRPr="00F242DD" w:rsidRDefault="000546DA" w:rsidP="00727CDE">
      <w:pPr>
        <w:pStyle w:val="a6"/>
        <w:numPr>
          <w:ilvl w:val="0"/>
          <w:numId w:val="40"/>
        </w:numPr>
        <w:suppressAutoHyphens/>
        <w:spacing w:before="0" w:after="0"/>
        <w:jc w:val="left"/>
        <w:rPr>
          <w:rFonts w:eastAsia="Times New Roman"/>
          <w:szCs w:val="24"/>
        </w:rPr>
      </w:pPr>
      <w:r w:rsidRPr="00F242DD">
        <w:rPr>
          <w:rFonts w:eastAsia="Times New Roman"/>
          <w:szCs w:val="24"/>
        </w:rPr>
        <w:t>Дексаметазон</w:t>
      </w:r>
      <w:r w:rsidRPr="00F242DD">
        <w:rPr>
          <w:rFonts w:eastAsia="Times New Roman"/>
          <w:szCs w:val="24"/>
          <w:lang w:eastAsia="ru-RU"/>
        </w:rPr>
        <w:t>**</w:t>
      </w:r>
      <w:r w:rsidRPr="00F242DD">
        <w:rPr>
          <w:rFonts w:eastAsia="Times New Roman"/>
          <w:szCs w:val="24"/>
        </w:rPr>
        <w:t xml:space="preserve"> 20 мг в дни 1, 2, 8, 9, 15, 16, 22, 23</w:t>
      </w:r>
      <w:r w:rsidR="00522C92" w:rsidRPr="00F242DD">
        <w:rPr>
          <w:rFonts w:eastAsia="Times New Roman"/>
          <w:szCs w:val="24"/>
          <w:lang w:eastAsia="ru-RU"/>
        </w:rPr>
        <w:t>-й</w:t>
      </w:r>
    </w:p>
    <w:p w14:paraId="38AF542B" w14:textId="77777777" w:rsidR="000546DA" w:rsidRPr="00F242DD" w:rsidRDefault="000546DA" w:rsidP="00131E36">
      <w:pPr>
        <w:suppressAutoHyphens/>
        <w:spacing w:before="0" w:after="0"/>
        <w:contextualSpacing/>
        <w:rPr>
          <w:rFonts w:eastAsia="Times New Roman"/>
          <w:szCs w:val="24"/>
        </w:rPr>
      </w:pPr>
      <w:r w:rsidRPr="00F242DD">
        <w:rPr>
          <w:rFonts w:eastAsia="Times New Roman"/>
          <w:szCs w:val="24"/>
        </w:rPr>
        <w:t>Лечение возобновляется на 29</w:t>
      </w:r>
      <w:r w:rsidR="00522C92" w:rsidRPr="00F242DD">
        <w:rPr>
          <w:rFonts w:eastAsia="Times New Roman"/>
          <w:szCs w:val="24"/>
          <w:lang w:eastAsia="ru-RU"/>
        </w:rPr>
        <w:t>-й</w:t>
      </w:r>
      <w:r w:rsidRPr="00F242DD">
        <w:rPr>
          <w:rFonts w:eastAsia="Times New Roman"/>
          <w:szCs w:val="24"/>
        </w:rPr>
        <w:t xml:space="preserve"> день.</w:t>
      </w:r>
    </w:p>
    <w:p w14:paraId="393CCF76" w14:textId="77777777" w:rsidR="000546DA" w:rsidRPr="00F242DD" w:rsidRDefault="000546DA" w:rsidP="00131E36">
      <w:pPr>
        <w:suppressAutoHyphens/>
        <w:spacing w:before="0" w:after="0"/>
        <w:contextualSpacing/>
        <w:rPr>
          <w:rFonts w:eastAsia="Times New Roman"/>
          <w:szCs w:val="24"/>
        </w:rPr>
      </w:pPr>
      <w:r w:rsidRPr="00F242DD">
        <w:rPr>
          <w:rFonts w:eastAsia="Times New Roman"/>
          <w:szCs w:val="24"/>
        </w:rPr>
        <w:t>Лечение продолжают до прогрессирования или развития неприемлемой токсичности</w:t>
      </w:r>
      <w:r w:rsidR="00522C92" w:rsidRPr="00F242DD">
        <w:rPr>
          <w:rFonts w:eastAsia="Times New Roman"/>
          <w:szCs w:val="24"/>
        </w:rPr>
        <w:t>.</w:t>
      </w:r>
    </w:p>
    <w:p w14:paraId="6CEFB389" w14:textId="77777777" w:rsidR="000546DA" w:rsidRPr="00F242DD" w:rsidRDefault="000546DA" w:rsidP="00131E36">
      <w:pPr>
        <w:spacing w:before="0" w:after="0"/>
        <w:contextualSpacing/>
        <w:rPr>
          <w:rFonts w:eastAsia="Times New Roman"/>
          <w:b/>
          <w:szCs w:val="24"/>
        </w:rPr>
      </w:pPr>
      <w:r w:rsidRPr="00F242DD">
        <w:rPr>
          <w:rFonts w:eastAsia="Times New Roman"/>
          <w:b/>
          <w:szCs w:val="24"/>
        </w:rPr>
        <w:t>KRd</w:t>
      </w:r>
    </w:p>
    <w:p w14:paraId="42C78E86" w14:textId="77777777" w:rsidR="000546DA" w:rsidRPr="00F242DD" w:rsidRDefault="000546DA" w:rsidP="00727CDE">
      <w:pPr>
        <w:pStyle w:val="a6"/>
        <w:numPr>
          <w:ilvl w:val="0"/>
          <w:numId w:val="41"/>
        </w:numPr>
        <w:suppressAutoHyphens/>
        <w:spacing w:before="0" w:after="0"/>
        <w:jc w:val="left"/>
        <w:rPr>
          <w:rFonts w:eastAsia="Times New Roman"/>
          <w:szCs w:val="24"/>
        </w:rPr>
      </w:pPr>
      <w:r w:rsidRPr="00F242DD">
        <w:rPr>
          <w:rFonts w:eastAsia="Times New Roman"/>
          <w:szCs w:val="24"/>
        </w:rPr>
        <w:t>Карфилзомиб</w:t>
      </w:r>
      <w:r w:rsidRPr="00F242DD">
        <w:rPr>
          <w:rFonts w:eastAsia="Times New Roman"/>
          <w:szCs w:val="24"/>
          <w:lang w:eastAsia="ru-RU"/>
        </w:rPr>
        <w:t>**</w:t>
      </w:r>
      <w:r w:rsidRPr="00F242DD">
        <w:rPr>
          <w:rFonts w:eastAsia="Times New Roman"/>
          <w:szCs w:val="24"/>
        </w:rPr>
        <w:t xml:space="preserve">     20 мг/м</w:t>
      </w:r>
      <w:r w:rsidRPr="00F242DD">
        <w:rPr>
          <w:rFonts w:eastAsia="Times New Roman"/>
          <w:szCs w:val="24"/>
          <w:vertAlign w:val="superscript"/>
        </w:rPr>
        <w:t>2</w:t>
      </w:r>
      <w:r w:rsidRPr="00F242DD">
        <w:rPr>
          <w:rFonts w:eastAsia="Times New Roman"/>
          <w:szCs w:val="24"/>
        </w:rPr>
        <w:t xml:space="preserve"> в/в, дни 1, 2</w:t>
      </w:r>
      <w:r w:rsidR="00522C92" w:rsidRPr="00F242DD">
        <w:rPr>
          <w:rFonts w:eastAsia="Times New Roman"/>
          <w:szCs w:val="24"/>
          <w:lang w:eastAsia="ru-RU"/>
        </w:rPr>
        <w:t>-й</w:t>
      </w:r>
      <w:r w:rsidRPr="00F242DD">
        <w:rPr>
          <w:rFonts w:eastAsia="Times New Roman"/>
          <w:szCs w:val="24"/>
        </w:rPr>
        <w:t>, далее в дозе 27 мг/м</w:t>
      </w:r>
      <w:r w:rsidRPr="00F242DD">
        <w:rPr>
          <w:rFonts w:eastAsia="Times New Roman"/>
          <w:szCs w:val="24"/>
          <w:vertAlign w:val="superscript"/>
        </w:rPr>
        <w:t>2</w:t>
      </w:r>
      <w:r w:rsidRPr="00F242DD">
        <w:rPr>
          <w:rFonts w:eastAsia="Times New Roman"/>
          <w:szCs w:val="24"/>
        </w:rPr>
        <w:t>, дни 8, 9, 15, 16</w:t>
      </w:r>
      <w:r w:rsidR="00522C92" w:rsidRPr="00F242DD">
        <w:rPr>
          <w:rFonts w:eastAsia="Times New Roman"/>
          <w:szCs w:val="24"/>
          <w:lang w:eastAsia="ru-RU"/>
        </w:rPr>
        <w:t>-й</w:t>
      </w:r>
      <w:r w:rsidRPr="00F242DD">
        <w:rPr>
          <w:rFonts w:eastAsia="Times New Roman"/>
          <w:szCs w:val="24"/>
        </w:rPr>
        <w:t xml:space="preserve"> только в 1-</w:t>
      </w:r>
      <w:r w:rsidR="00522C92" w:rsidRPr="00F242DD">
        <w:rPr>
          <w:rFonts w:eastAsia="Times New Roman"/>
          <w:szCs w:val="24"/>
        </w:rPr>
        <w:t>м цикле</w:t>
      </w:r>
    </w:p>
    <w:p w14:paraId="7CB378FA" w14:textId="77777777" w:rsidR="000546DA" w:rsidRPr="00F242DD" w:rsidRDefault="000546DA" w:rsidP="00727CDE">
      <w:pPr>
        <w:pStyle w:val="a6"/>
        <w:numPr>
          <w:ilvl w:val="3"/>
          <w:numId w:val="41"/>
        </w:numPr>
        <w:suppressAutoHyphens/>
        <w:spacing w:before="0" w:after="0"/>
        <w:rPr>
          <w:rFonts w:eastAsia="Times New Roman"/>
          <w:szCs w:val="24"/>
        </w:rPr>
      </w:pPr>
      <w:r w:rsidRPr="00F242DD">
        <w:rPr>
          <w:rFonts w:eastAsia="Times New Roman"/>
          <w:szCs w:val="24"/>
        </w:rPr>
        <w:t>в дозе 27 мг/м</w:t>
      </w:r>
      <w:r w:rsidRPr="00F242DD">
        <w:rPr>
          <w:rFonts w:eastAsia="Times New Roman"/>
          <w:szCs w:val="24"/>
          <w:vertAlign w:val="superscript"/>
        </w:rPr>
        <w:t>2</w:t>
      </w:r>
      <w:r w:rsidRPr="00F242DD">
        <w:rPr>
          <w:rFonts w:eastAsia="Times New Roman"/>
          <w:szCs w:val="24"/>
        </w:rPr>
        <w:t xml:space="preserve"> в дни 1, 2, 8, 9, 15, 16</w:t>
      </w:r>
      <w:r w:rsidR="00522C92" w:rsidRPr="00F242DD">
        <w:rPr>
          <w:rFonts w:eastAsia="Times New Roman"/>
          <w:szCs w:val="24"/>
          <w:lang w:eastAsia="ru-RU"/>
        </w:rPr>
        <w:t>-й</w:t>
      </w:r>
      <w:r w:rsidRPr="00F242DD">
        <w:rPr>
          <w:rFonts w:eastAsia="Times New Roman"/>
          <w:szCs w:val="24"/>
        </w:rPr>
        <w:t xml:space="preserve"> в циклах 2</w:t>
      </w:r>
      <w:r w:rsidR="00522C92" w:rsidRPr="00F242DD">
        <w:rPr>
          <w:rFonts w:eastAsia="Times New Roman"/>
          <w:szCs w:val="24"/>
        </w:rPr>
        <w:t>‒</w:t>
      </w:r>
      <w:r w:rsidRPr="00F242DD">
        <w:rPr>
          <w:rFonts w:eastAsia="Times New Roman"/>
          <w:szCs w:val="24"/>
        </w:rPr>
        <w:t xml:space="preserve">12. </w:t>
      </w:r>
    </w:p>
    <w:p w14:paraId="0C3507E8" w14:textId="77777777" w:rsidR="000546DA" w:rsidRPr="00F242DD" w:rsidRDefault="000546DA" w:rsidP="00727CDE">
      <w:pPr>
        <w:pStyle w:val="a6"/>
        <w:numPr>
          <w:ilvl w:val="3"/>
          <w:numId w:val="41"/>
        </w:numPr>
        <w:suppressAutoHyphens/>
        <w:spacing w:before="0" w:after="0"/>
        <w:rPr>
          <w:rFonts w:eastAsia="Times New Roman"/>
          <w:szCs w:val="24"/>
        </w:rPr>
      </w:pPr>
      <w:r w:rsidRPr="00F242DD">
        <w:rPr>
          <w:rFonts w:eastAsia="Times New Roman"/>
          <w:szCs w:val="24"/>
        </w:rPr>
        <w:t>Начиная с цикла 13</w:t>
      </w:r>
      <w:r w:rsidR="00522C92" w:rsidRPr="00F242DD">
        <w:rPr>
          <w:rFonts w:eastAsia="Times New Roman"/>
          <w:szCs w:val="24"/>
        </w:rPr>
        <w:t>-го</w:t>
      </w:r>
      <w:r w:rsidRPr="00F242DD">
        <w:rPr>
          <w:rFonts w:eastAsia="Times New Roman"/>
          <w:szCs w:val="24"/>
        </w:rPr>
        <w:t xml:space="preserve"> в дозе 27 мг/м</w:t>
      </w:r>
      <w:r w:rsidRPr="00F242DD">
        <w:rPr>
          <w:rFonts w:eastAsia="Times New Roman"/>
          <w:szCs w:val="24"/>
          <w:vertAlign w:val="superscript"/>
        </w:rPr>
        <w:t>2</w:t>
      </w:r>
      <w:r w:rsidRPr="00F242DD">
        <w:rPr>
          <w:rFonts w:eastAsia="Times New Roman"/>
          <w:szCs w:val="24"/>
        </w:rPr>
        <w:t xml:space="preserve"> в дни 1, 2, 15, 16</w:t>
      </w:r>
      <w:r w:rsidR="00522C92" w:rsidRPr="00F242DD">
        <w:rPr>
          <w:rFonts w:eastAsia="Times New Roman"/>
          <w:szCs w:val="24"/>
          <w:lang w:eastAsia="ru-RU"/>
        </w:rPr>
        <w:t>-й</w:t>
      </w:r>
      <w:r w:rsidRPr="00F242DD">
        <w:rPr>
          <w:rFonts w:eastAsia="Times New Roman"/>
          <w:szCs w:val="24"/>
        </w:rPr>
        <w:t xml:space="preserve">. </w:t>
      </w:r>
    </w:p>
    <w:p w14:paraId="697D1723" w14:textId="77777777" w:rsidR="000546DA" w:rsidRPr="00F242DD" w:rsidRDefault="000546DA" w:rsidP="00727CDE">
      <w:pPr>
        <w:pStyle w:val="a6"/>
        <w:numPr>
          <w:ilvl w:val="0"/>
          <w:numId w:val="41"/>
        </w:numPr>
        <w:suppressAutoHyphens/>
        <w:spacing w:before="0" w:after="0"/>
        <w:jc w:val="left"/>
        <w:rPr>
          <w:rFonts w:eastAsia="Times New Roman"/>
          <w:szCs w:val="24"/>
        </w:rPr>
      </w:pPr>
      <w:r w:rsidRPr="00F242DD">
        <w:rPr>
          <w:rFonts w:eastAsia="Times New Roman"/>
          <w:szCs w:val="24"/>
        </w:rPr>
        <w:t>Леналидомид</w:t>
      </w:r>
      <w:r w:rsidRPr="00F242DD">
        <w:rPr>
          <w:rFonts w:eastAsia="Times New Roman"/>
          <w:szCs w:val="24"/>
          <w:lang w:eastAsia="ru-RU"/>
        </w:rPr>
        <w:t>**</w:t>
      </w:r>
      <w:r w:rsidRPr="00F242DD">
        <w:rPr>
          <w:rFonts w:eastAsia="Times New Roman"/>
          <w:szCs w:val="24"/>
        </w:rPr>
        <w:t xml:space="preserve">   25 мг внутрь, дни 1</w:t>
      </w:r>
      <w:r w:rsidR="00522C92" w:rsidRPr="00F242DD">
        <w:rPr>
          <w:rFonts w:eastAsia="Times New Roman"/>
          <w:szCs w:val="24"/>
        </w:rPr>
        <w:t>‒</w:t>
      </w:r>
      <w:r w:rsidRPr="00F242DD">
        <w:rPr>
          <w:rFonts w:eastAsia="Times New Roman"/>
          <w:szCs w:val="24"/>
        </w:rPr>
        <w:t>21</w:t>
      </w:r>
      <w:r w:rsidR="00522C92" w:rsidRPr="00F242DD">
        <w:rPr>
          <w:rFonts w:eastAsia="Times New Roman"/>
          <w:szCs w:val="24"/>
          <w:lang w:eastAsia="ru-RU"/>
        </w:rPr>
        <w:t>-й</w:t>
      </w:r>
    </w:p>
    <w:p w14:paraId="7EED7AF8" w14:textId="77777777" w:rsidR="000546DA" w:rsidRPr="00F242DD" w:rsidRDefault="000546DA" w:rsidP="00727CDE">
      <w:pPr>
        <w:pStyle w:val="31"/>
        <w:numPr>
          <w:ilvl w:val="0"/>
          <w:numId w:val="41"/>
        </w:numPr>
        <w:suppressAutoHyphens/>
        <w:spacing w:line="360" w:lineRule="auto"/>
        <w:contextualSpacing/>
        <w:jc w:val="left"/>
        <w:rPr>
          <w:rFonts w:eastAsia="Times New Roman"/>
        </w:rPr>
      </w:pPr>
      <w:r w:rsidRPr="00F242DD">
        <w:rPr>
          <w:rFonts w:eastAsia="Times New Roman"/>
        </w:rPr>
        <w:t>Дексаметазон** 40 мг внутрь или в/в, дни 1, 8, 15, 22</w:t>
      </w:r>
      <w:r w:rsidR="00522C92" w:rsidRPr="00F242DD">
        <w:rPr>
          <w:rFonts w:eastAsia="Times New Roman"/>
        </w:rPr>
        <w:t>-й</w:t>
      </w:r>
    </w:p>
    <w:p w14:paraId="77937374" w14:textId="77777777" w:rsidR="000546DA" w:rsidRPr="00F242DD" w:rsidRDefault="000546DA" w:rsidP="00131E36">
      <w:pPr>
        <w:spacing w:before="0" w:after="0"/>
        <w:contextualSpacing/>
        <w:rPr>
          <w:rFonts w:eastAsia="Times New Roman"/>
          <w:szCs w:val="24"/>
        </w:rPr>
      </w:pPr>
      <w:r w:rsidRPr="00F242DD">
        <w:rPr>
          <w:rFonts w:eastAsia="Times New Roman"/>
          <w:szCs w:val="24"/>
        </w:rPr>
        <w:t>Лечение возобновляется на 29</w:t>
      </w:r>
      <w:r w:rsidR="00522C92" w:rsidRPr="00F242DD">
        <w:rPr>
          <w:rFonts w:eastAsia="Times New Roman"/>
          <w:szCs w:val="24"/>
          <w:lang w:eastAsia="ru-RU"/>
        </w:rPr>
        <w:t>-й</w:t>
      </w:r>
      <w:r w:rsidRPr="00F242DD">
        <w:rPr>
          <w:rFonts w:eastAsia="Times New Roman"/>
          <w:szCs w:val="24"/>
        </w:rPr>
        <w:t xml:space="preserve"> день</w:t>
      </w:r>
      <w:r w:rsidR="00522C92" w:rsidRPr="00F242DD">
        <w:rPr>
          <w:rFonts w:eastAsia="Times New Roman"/>
          <w:szCs w:val="24"/>
        </w:rPr>
        <w:t>.</w:t>
      </w:r>
    </w:p>
    <w:p w14:paraId="6EC1109D" w14:textId="77777777" w:rsidR="000546DA" w:rsidRPr="00F242DD" w:rsidRDefault="000546DA" w:rsidP="00131E36">
      <w:pPr>
        <w:pStyle w:val="a6"/>
        <w:spacing w:before="0" w:after="0"/>
        <w:ind w:left="0"/>
        <w:rPr>
          <w:rFonts w:eastAsia="Times New Roman"/>
          <w:szCs w:val="24"/>
        </w:rPr>
      </w:pPr>
      <w:r w:rsidRPr="00F242DD">
        <w:rPr>
          <w:rFonts w:eastAsia="Times New Roman"/>
          <w:szCs w:val="24"/>
        </w:rPr>
        <w:t>Лечение продолжают до прогрессирования или развития неприемлемой токсичности</w:t>
      </w:r>
      <w:r w:rsidR="00522C92" w:rsidRPr="00F242DD">
        <w:rPr>
          <w:rFonts w:eastAsia="Times New Roman"/>
          <w:szCs w:val="24"/>
        </w:rPr>
        <w:t>.</w:t>
      </w:r>
    </w:p>
    <w:p w14:paraId="7FA75164" w14:textId="77777777" w:rsidR="000546DA" w:rsidRPr="00F242DD" w:rsidRDefault="000546DA" w:rsidP="00131E36">
      <w:pPr>
        <w:spacing w:before="0" w:after="0"/>
        <w:contextualSpacing/>
        <w:rPr>
          <w:rFonts w:eastAsia="Times New Roman"/>
          <w:b/>
          <w:szCs w:val="24"/>
        </w:rPr>
      </w:pPr>
      <w:r w:rsidRPr="00F242DD">
        <w:rPr>
          <w:rFonts w:eastAsia="Times New Roman"/>
          <w:b/>
          <w:szCs w:val="24"/>
        </w:rPr>
        <w:t>IxaRd</w:t>
      </w:r>
    </w:p>
    <w:p w14:paraId="50EA5AFE" w14:textId="77777777" w:rsidR="000546DA" w:rsidRPr="00F242DD" w:rsidRDefault="000546DA" w:rsidP="00727CDE">
      <w:pPr>
        <w:pStyle w:val="af7"/>
        <w:numPr>
          <w:ilvl w:val="0"/>
          <w:numId w:val="42"/>
        </w:numPr>
        <w:spacing w:after="0" w:line="360" w:lineRule="auto"/>
        <w:contextualSpacing/>
      </w:pPr>
      <w:r w:rsidRPr="00F242DD">
        <w:t>Иксазомиб</w:t>
      </w:r>
      <w:r w:rsidRPr="00F242DD">
        <w:rPr>
          <w:lang w:eastAsia="ru-RU"/>
        </w:rPr>
        <w:t>**</w:t>
      </w:r>
      <w:r w:rsidRPr="00F242DD">
        <w:t xml:space="preserve"> 4 мг внутрь, дни 1,</w:t>
      </w:r>
      <w:r w:rsidR="00522C92" w:rsidRPr="00F242DD">
        <w:t xml:space="preserve"> </w:t>
      </w:r>
      <w:r w:rsidRPr="00F242DD">
        <w:t>8,</w:t>
      </w:r>
      <w:r w:rsidR="00522C92" w:rsidRPr="00F242DD">
        <w:t xml:space="preserve"> </w:t>
      </w:r>
      <w:r w:rsidRPr="00F242DD">
        <w:t>15</w:t>
      </w:r>
      <w:r w:rsidR="00522C92" w:rsidRPr="00F242DD">
        <w:rPr>
          <w:lang w:eastAsia="ru-RU"/>
        </w:rPr>
        <w:t>-й</w:t>
      </w:r>
    </w:p>
    <w:p w14:paraId="49B1B13E" w14:textId="77777777" w:rsidR="000546DA" w:rsidRPr="00F242DD" w:rsidRDefault="000546DA" w:rsidP="00727CDE">
      <w:pPr>
        <w:pStyle w:val="af7"/>
        <w:numPr>
          <w:ilvl w:val="0"/>
          <w:numId w:val="42"/>
        </w:numPr>
        <w:spacing w:after="0" w:line="360" w:lineRule="auto"/>
        <w:contextualSpacing/>
      </w:pPr>
      <w:r w:rsidRPr="00F242DD">
        <w:t>Леналидомид</w:t>
      </w:r>
      <w:r w:rsidRPr="00F242DD">
        <w:rPr>
          <w:lang w:eastAsia="ru-RU"/>
        </w:rPr>
        <w:t>**</w:t>
      </w:r>
      <w:r w:rsidRPr="00F242DD">
        <w:t xml:space="preserve"> 25 мг внутрь, дни 1</w:t>
      </w:r>
      <w:r w:rsidR="00522C92" w:rsidRPr="00F242DD">
        <w:t>‒</w:t>
      </w:r>
      <w:r w:rsidRPr="00F242DD">
        <w:t>21</w:t>
      </w:r>
      <w:r w:rsidR="00522C92" w:rsidRPr="00F242DD">
        <w:rPr>
          <w:lang w:eastAsia="ru-RU"/>
        </w:rPr>
        <w:t>-й</w:t>
      </w:r>
    </w:p>
    <w:p w14:paraId="40E971BD" w14:textId="77777777" w:rsidR="000546DA" w:rsidRPr="00F242DD" w:rsidRDefault="000546DA" w:rsidP="00727CDE">
      <w:pPr>
        <w:pStyle w:val="af7"/>
        <w:numPr>
          <w:ilvl w:val="0"/>
          <w:numId w:val="42"/>
        </w:numPr>
        <w:spacing w:after="0" w:line="360" w:lineRule="auto"/>
        <w:contextualSpacing/>
      </w:pPr>
      <w:r w:rsidRPr="00F242DD">
        <w:t>Дексаметазон</w:t>
      </w:r>
      <w:r w:rsidRPr="00F242DD">
        <w:rPr>
          <w:lang w:eastAsia="ru-RU"/>
        </w:rPr>
        <w:t>**</w:t>
      </w:r>
      <w:r w:rsidRPr="00F242DD">
        <w:t xml:space="preserve"> 40 мг внутрь, дни 1,</w:t>
      </w:r>
      <w:r w:rsidR="00522C92" w:rsidRPr="00F242DD">
        <w:t xml:space="preserve"> </w:t>
      </w:r>
      <w:r w:rsidRPr="00F242DD">
        <w:t>8,</w:t>
      </w:r>
      <w:r w:rsidR="00522C92" w:rsidRPr="00F242DD">
        <w:t xml:space="preserve"> </w:t>
      </w:r>
      <w:r w:rsidRPr="00F242DD">
        <w:t>15,</w:t>
      </w:r>
      <w:r w:rsidR="00522C92" w:rsidRPr="00F242DD">
        <w:t xml:space="preserve"> </w:t>
      </w:r>
      <w:r w:rsidRPr="00F242DD">
        <w:t>22</w:t>
      </w:r>
      <w:r w:rsidR="00522C92" w:rsidRPr="00F242DD">
        <w:rPr>
          <w:lang w:eastAsia="ru-RU"/>
        </w:rPr>
        <w:t>-й</w:t>
      </w:r>
    </w:p>
    <w:p w14:paraId="56BD2DCF" w14:textId="77777777" w:rsidR="000546DA" w:rsidRPr="00F242DD" w:rsidRDefault="000546DA" w:rsidP="00131E36">
      <w:pPr>
        <w:pStyle w:val="af7"/>
        <w:tabs>
          <w:tab w:val="left" w:pos="0"/>
        </w:tabs>
        <w:spacing w:after="0" w:line="360" w:lineRule="auto"/>
        <w:contextualSpacing/>
      </w:pPr>
      <w:r w:rsidRPr="00F242DD">
        <w:t>Лечение возобновляется на 29</w:t>
      </w:r>
      <w:r w:rsidR="00522C92" w:rsidRPr="00F242DD">
        <w:rPr>
          <w:lang w:eastAsia="ru-RU"/>
        </w:rPr>
        <w:t>-й</w:t>
      </w:r>
      <w:r w:rsidRPr="00F242DD">
        <w:t xml:space="preserve"> день.</w:t>
      </w:r>
    </w:p>
    <w:p w14:paraId="32934959" w14:textId="77777777" w:rsidR="000546DA" w:rsidRPr="00F242DD" w:rsidRDefault="000546DA" w:rsidP="00131E36">
      <w:pPr>
        <w:pStyle w:val="af7"/>
        <w:tabs>
          <w:tab w:val="left" w:pos="0"/>
        </w:tabs>
        <w:spacing w:after="0" w:line="360" w:lineRule="auto"/>
        <w:ind w:firstLine="0"/>
        <w:contextualSpacing/>
        <w:rPr>
          <w:b/>
        </w:rPr>
      </w:pPr>
      <w:r w:rsidRPr="00F242DD">
        <w:rPr>
          <w:b/>
        </w:rPr>
        <w:t>EloRd:</w:t>
      </w:r>
    </w:p>
    <w:p w14:paraId="5771AB6E" w14:textId="77777777" w:rsidR="000546DA" w:rsidRPr="00F242DD" w:rsidRDefault="000546DA" w:rsidP="00727CDE">
      <w:pPr>
        <w:pStyle w:val="a6"/>
        <w:numPr>
          <w:ilvl w:val="0"/>
          <w:numId w:val="43"/>
        </w:numPr>
        <w:autoSpaceDE w:val="0"/>
        <w:autoSpaceDN w:val="0"/>
        <w:adjustRightInd w:val="0"/>
        <w:spacing w:before="0" w:after="0"/>
        <w:jc w:val="left"/>
        <w:rPr>
          <w:szCs w:val="24"/>
          <w:lang w:eastAsia="ru-RU"/>
        </w:rPr>
      </w:pPr>
      <w:r w:rsidRPr="00F242DD">
        <w:rPr>
          <w:szCs w:val="24"/>
          <w:lang w:eastAsia="ru-RU"/>
        </w:rPr>
        <w:t>Элотузумаб</w:t>
      </w:r>
      <w:r w:rsidR="000A0A61" w:rsidRPr="00F242DD">
        <w:rPr>
          <w:szCs w:val="24"/>
          <w:lang w:eastAsia="ru-RU"/>
        </w:rPr>
        <w:t>**</w:t>
      </w:r>
      <w:r w:rsidRPr="00F242DD">
        <w:rPr>
          <w:szCs w:val="24"/>
          <w:lang w:eastAsia="ru-RU"/>
        </w:rPr>
        <w:t xml:space="preserve"> 10 мг/кг в/в, дни 1, 8, 15, 22</w:t>
      </w:r>
      <w:r w:rsidR="00522C92" w:rsidRPr="00F242DD">
        <w:rPr>
          <w:rFonts w:eastAsia="Times New Roman"/>
          <w:szCs w:val="24"/>
          <w:lang w:eastAsia="ru-RU"/>
        </w:rPr>
        <w:t>-й</w:t>
      </w:r>
      <w:r w:rsidRPr="00F242DD">
        <w:rPr>
          <w:szCs w:val="24"/>
          <w:lang w:eastAsia="ru-RU"/>
        </w:rPr>
        <w:t xml:space="preserve"> в 1 и 2-м циклах.  Дни 1,</w:t>
      </w:r>
      <w:r w:rsidR="00522C92" w:rsidRPr="00F242DD">
        <w:rPr>
          <w:szCs w:val="24"/>
          <w:lang w:eastAsia="ru-RU"/>
        </w:rPr>
        <w:t xml:space="preserve"> </w:t>
      </w:r>
      <w:r w:rsidRPr="00F242DD">
        <w:rPr>
          <w:szCs w:val="24"/>
          <w:lang w:eastAsia="ru-RU"/>
        </w:rPr>
        <w:t>15</w:t>
      </w:r>
      <w:r w:rsidR="00522C92" w:rsidRPr="00F242DD">
        <w:rPr>
          <w:rFonts w:eastAsia="Times New Roman"/>
          <w:szCs w:val="24"/>
          <w:lang w:eastAsia="ru-RU"/>
        </w:rPr>
        <w:t>-й ‒</w:t>
      </w:r>
      <w:r w:rsidRPr="00F242DD">
        <w:rPr>
          <w:szCs w:val="24"/>
          <w:lang w:eastAsia="ru-RU"/>
        </w:rPr>
        <w:t xml:space="preserve"> в последующих циклах </w:t>
      </w:r>
    </w:p>
    <w:p w14:paraId="3ECA7B78" w14:textId="77777777" w:rsidR="000546DA" w:rsidRPr="00F242DD" w:rsidRDefault="000546DA" w:rsidP="00727CDE">
      <w:pPr>
        <w:pStyle w:val="a6"/>
        <w:numPr>
          <w:ilvl w:val="0"/>
          <w:numId w:val="43"/>
        </w:numPr>
        <w:autoSpaceDE w:val="0"/>
        <w:autoSpaceDN w:val="0"/>
        <w:adjustRightInd w:val="0"/>
        <w:spacing w:before="0" w:after="0"/>
        <w:jc w:val="left"/>
        <w:rPr>
          <w:szCs w:val="24"/>
          <w:lang w:eastAsia="ru-RU"/>
        </w:rPr>
      </w:pPr>
      <w:r w:rsidRPr="00F242DD">
        <w:rPr>
          <w:szCs w:val="24"/>
          <w:lang w:eastAsia="ru-RU"/>
        </w:rPr>
        <w:t>Леналидомид</w:t>
      </w:r>
      <w:r w:rsidRPr="00F242DD">
        <w:rPr>
          <w:rFonts w:eastAsia="Times New Roman"/>
          <w:szCs w:val="24"/>
          <w:lang w:eastAsia="ru-RU"/>
        </w:rPr>
        <w:t>**</w:t>
      </w:r>
      <w:r w:rsidRPr="00F242DD">
        <w:rPr>
          <w:szCs w:val="24"/>
          <w:lang w:eastAsia="ru-RU"/>
        </w:rPr>
        <w:t xml:space="preserve"> 25 мг внутрь, дни 1</w:t>
      </w:r>
      <w:r w:rsidR="00522C92" w:rsidRPr="00F242DD">
        <w:rPr>
          <w:szCs w:val="24"/>
          <w:lang w:eastAsia="ru-RU"/>
        </w:rPr>
        <w:t>‒</w:t>
      </w:r>
      <w:r w:rsidRPr="00F242DD">
        <w:rPr>
          <w:szCs w:val="24"/>
          <w:lang w:eastAsia="ru-RU"/>
        </w:rPr>
        <w:t>21</w:t>
      </w:r>
      <w:r w:rsidR="00522C92" w:rsidRPr="00F242DD">
        <w:rPr>
          <w:rFonts w:eastAsia="Times New Roman"/>
          <w:szCs w:val="24"/>
          <w:lang w:eastAsia="ru-RU"/>
        </w:rPr>
        <w:t>-й</w:t>
      </w:r>
    </w:p>
    <w:p w14:paraId="78EF82A2" w14:textId="77777777" w:rsidR="000546DA" w:rsidRPr="00F242DD" w:rsidRDefault="000546DA" w:rsidP="00727CDE">
      <w:pPr>
        <w:pStyle w:val="a6"/>
        <w:numPr>
          <w:ilvl w:val="0"/>
          <w:numId w:val="43"/>
        </w:numPr>
        <w:autoSpaceDE w:val="0"/>
        <w:autoSpaceDN w:val="0"/>
        <w:adjustRightInd w:val="0"/>
        <w:spacing w:before="0" w:after="0"/>
        <w:jc w:val="left"/>
        <w:rPr>
          <w:szCs w:val="24"/>
          <w:lang w:eastAsia="ru-RU"/>
        </w:rPr>
      </w:pPr>
      <w:r w:rsidRPr="00F242DD">
        <w:rPr>
          <w:szCs w:val="24"/>
          <w:lang w:eastAsia="ru-RU"/>
        </w:rPr>
        <w:t>Дексаметазон</w:t>
      </w:r>
      <w:r w:rsidRPr="00F242DD">
        <w:rPr>
          <w:rFonts w:eastAsia="Times New Roman"/>
          <w:szCs w:val="24"/>
          <w:lang w:eastAsia="ru-RU"/>
        </w:rPr>
        <w:t>**</w:t>
      </w:r>
      <w:r w:rsidRPr="00F242DD">
        <w:rPr>
          <w:szCs w:val="24"/>
          <w:lang w:eastAsia="ru-RU"/>
        </w:rPr>
        <w:t xml:space="preserve"> 40 мг внутрь или в/в дни 1, 8, 15, 22</w:t>
      </w:r>
      <w:r w:rsidR="00522C92" w:rsidRPr="00F242DD">
        <w:rPr>
          <w:rFonts w:eastAsia="Times New Roman"/>
          <w:szCs w:val="24"/>
          <w:lang w:eastAsia="ru-RU"/>
        </w:rPr>
        <w:t>-й</w:t>
      </w:r>
      <w:r w:rsidRPr="00F242DD">
        <w:rPr>
          <w:szCs w:val="24"/>
          <w:lang w:eastAsia="ru-RU"/>
        </w:rPr>
        <w:t>.</w:t>
      </w:r>
    </w:p>
    <w:p w14:paraId="17736B1A" w14:textId="77777777" w:rsidR="000546DA" w:rsidRPr="00F242DD" w:rsidRDefault="000546DA" w:rsidP="00131E36">
      <w:pPr>
        <w:autoSpaceDE w:val="0"/>
        <w:autoSpaceDN w:val="0"/>
        <w:adjustRightInd w:val="0"/>
        <w:spacing w:before="0" w:after="0"/>
        <w:contextualSpacing/>
        <w:rPr>
          <w:szCs w:val="24"/>
          <w:lang w:eastAsia="ru-RU"/>
        </w:rPr>
      </w:pPr>
      <w:r w:rsidRPr="00F242DD">
        <w:rPr>
          <w:szCs w:val="24"/>
          <w:lang w:eastAsia="ru-RU"/>
        </w:rPr>
        <w:t>Лечение возобновляется на 29</w:t>
      </w:r>
      <w:r w:rsidR="00522C92" w:rsidRPr="00F242DD">
        <w:rPr>
          <w:rFonts w:eastAsia="Times New Roman"/>
          <w:szCs w:val="24"/>
          <w:lang w:eastAsia="ru-RU"/>
        </w:rPr>
        <w:t>-й</w:t>
      </w:r>
      <w:r w:rsidRPr="00F242DD">
        <w:rPr>
          <w:szCs w:val="24"/>
          <w:lang w:eastAsia="ru-RU"/>
        </w:rPr>
        <w:t xml:space="preserve"> день</w:t>
      </w:r>
      <w:r w:rsidR="00522C92" w:rsidRPr="00F242DD">
        <w:rPr>
          <w:szCs w:val="24"/>
          <w:lang w:eastAsia="ru-RU"/>
        </w:rPr>
        <w:t>.</w:t>
      </w:r>
    </w:p>
    <w:p w14:paraId="41E08DCD" w14:textId="77777777" w:rsidR="000546DA" w:rsidRPr="00F242DD" w:rsidRDefault="000546DA" w:rsidP="00131E36">
      <w:pPr>
        <w:autoSpaceDE w:val="0"/>
        <w:autoSpaceDN w:val="0"/>
        <w:adjustRightInd w:val="0"/>
        <w:spacing w:before="0" w:after="0"/>
        <w:contextualSpacing/>
        <w:rPr>
          <w:b/>
          <w:szCs w:val="24"/>
          <w:lang w:eastAsia="ru-RU"/>
        </w:rPr>
      </w:pPr>
      <w:r w:rsidRPr="00F242DD">
        <w:rPr>
          <w:b/>
          <w:szCs w:val="24"/>
          <w:lang w:eastAsia="ru-RU"/>
        </w:rPr>
        <w:t>Даратумумаб (монотерапия):</w:t>
      </w:r>
    </w:p>
    <w:p w14:paraId="5EACC4A4" w14:textId="77777777" w:rsidR="000546DA" w:rsidRPr="00F242DD" w:rsidRDefault="000546DA" w:rsidP="00727CDE">
      <w:pPr>
        <w:numPr>
          <w:ilvl w:val="0"/>
          <w:numId w:val="17"/>
        </w:numPr>
        <w:autoSpaceDE w:val="0"/>
        <w:autoSpaceDN w:val="0"/>
        <w:adjustRightInd w:val="0"/>
        <w:spacing w:before="0" w:after="0"/>
        <w:contextualSpacing/>
        <w:jc w:val="left"/>
        <w:rPr>
          <w:szCs w:val="24"/>
          <w:lang w:eastAsia="ru-RU"/>
        </w:rPr>
      </w:pPr>
      <w:r w:rsidRPr="00F242DD">
        <w:rPr>
          <w:szCs w:val="24"/>
          <w:lang w:eastAsia="ru-RU"/>
        </w:rPr>
        <w:lastRenderedPageBreak/>
        <w:t>Даратумумаб</w:t>
      </w:r>
      <w:r w:rsidRPr="00F242DD">
        <w:rPr>
          <w:rFonts w:eastAsia="Times New Roman"/>
          <w:szCs w:val="24"/>
          <w:lang w:eastAsia="ru-RU"/>
        </w:rPr>
        <w:t>**</w:t>
      </w:r>
      <w:r w:rsidRPr="00F242DD">
        <w:rPr>
          <w:szCs w:val="24"/>
          <w:lang w:eastAsia="ru-RU"/>
        </w:rPr>
        <w:t xml:space="preserve"> 16 мг/кг в/в </w:t>
      </w:r>
    </w:p>
    <w:p w14:paraId="2500B93F" w14:textId="77777777" w:rsidR="000546DA" w:rsidRPr="00F242DD" w:rsidRDefault="000546DA" w:rsidP="00727CDE">
      <w:pPr>
        <w:numPr>
          <w:ilvl w:val="1"/>
          <w:numId w:val="17"/>
        </w:numPr>
        <w:autoSpaceDE w:val="0"/>
        <w:autoSpaceDN w:val="0"/>
        <w:adjustRightInd w:val="0"/>
        <w:spacing w:before="0" w:after="0"/>
        <w:contextualSpacing/>
        <w:jc w:val="left"/>
        <w:rPr>
          <w:szCs w:val="24"/>
          <w:lang w:eastAsia="ru-RU"/>
        </w:rPr>
      </w:pPr>
      <w:r w:rsidRPr="00F242DD">
        <w:rPr>
          <w:szCs w:val="24"/>
          <w:lang w:eastAsia="ru-RU"/>
        </w:rPr>
        <w:t>1 раз в неделю в 1</w:t>
      </w:r>
      <w:r w:rsidR="00522C92" w:rsidRPr="00F242DD">
        <w:rPr>
          <w:szCs w:val="24"/>
          <w:lang w:eastAsia="ru-RU"/>
        </w:rPr>
        <w:t>‒</w:t>
      </w:r>
      <w:r w:rsidRPr="00F242DD">
        <w:rPr>
          <w:szCs w:val="24"/>
          <w:lang w:eastAsia="ru-RU"/>
        </w:rPr>
        <w:t>8</w:t>
      </w:r>
      <w:r w:rsidR="00522C92" w:rsidRPr="00F242DD">
        <w:rPr>
          <w:rFonts w:eastAsia="Times New Roman"/>
          <w:szCs w:val="24"/>
          <w:lang w:eastAsia="ru-RU"/>
        </w:rPr>
        <w:t>-ю</w:t>
      </w:r>
      <w:r w:rsidRPr="00F242DD">
        <w:rPr>
          <w:szCs w:val="24"/>
          <w:lang w:eastAsia="ru-RU"/>
        </w:rPr>
        <w:t xml:space="preserve"> недели (всего 8 доз) </w:t>
      </w:r>
    </w:p>
    <w:p w14:paraId="27CF6E6B" w14:textId="77777777" w:rsidR="000546DA" w:rsidRPr="00F242DD" w:rsidRDefault="000546DA" w:rsidP="00727CDE">
      <w:pPr>
        <w:numPr>
          <w:ilvl w:val="1"/>
          <w:numId w:val="17"/>
        </w:numPr>
        <w:autoSpaceDE w:val="0"/>
        <w:autoSpaceDN w:val="0"/>
        <w:adjustRightInd w:val="0"/>
        <w:spacing w:before="0" w:after="0"/>
        <w:contextualSpacing/>
        <w:jc w:val="left"/>
        <w:rPr>
          <w:szCs w:val="24"/>
          <w:lang w:eastAsia="ru-RU"/>
        </w:rPr>
      </w:pPr>
      <w:r w:rsidRPr="00F242DD">
        <w:rPr>
          <w:szCs w:val="24"/>
          <w:lang w:eastAsia="ru-RU"/>
        </w:rPr>
        <w:t>1 раз в 2 недели в 9</w:t>
      </w:r>
      <w:r w:rsidR="00522C92" w:rsidRPr="00F242DD">
        <w:rPr>
          <w:szCs w:val="24"/>
          <w:lang w:eastAsia="ru-RU"/>
        </w:rPr>
        <w:t>‒</w:t>
      </w:r>
      <w:r w:rsidRPr="00F242DD">
        <w:rPr>
          <w:szCs w:val="24"/>
          <w:lang w:eastAsia="ru-RU"/>
        </w:rPr>
        <w:t>24</w:t>
      </w:r>
      <w:r w:rsidR="00522C92" w:rsidRPr="00F242DD">
        <w:rPr>
          <w:rFonts w:eastAsia="Times New Roman"/>
          <w:szCs w:val="24"/>
          <w:lang w:eastAsia="ru-RU"/>
        </w:rPr>
        <w:t>-ю</w:t>
      </w:r>
      <w:r w:rsidR="00522C92" w:rsidRPr="00F242DD">
        <w:rPr>
          <w:szCs w:val="24"/>
          <w:lang w:eastAsia="ru-RU"/>
        </w:rPr>
        <w:t xml:space="preserve"> недели (всего 8 доз)</w:t>
      </w:r>
    </w:p>
    <w:p w14:paraId="5BCBD21D" w14:textId="77777777" w:rsidR="000546DA" w:rsidRPr="00F242DD" w:rsidRDefault="000546DA" w:rsidP="00727CDE">
      <w:pPr>
        <w:numPr>
          <w:ilvl w:val="1"/>
          <w:numId w:val="17"/>
        </w:numPr>
        <w:autoSpaceDE w:val="0"/>
        <w:autoSpaceDN w:val="0"/>
        <w:adjustRightInd w:val="0"/>
        <w:spacing w:before="0" w:after="0"/>
        <w:contextualSpacing/>
        <w:jc w:val="left"/>
        <w:rPr>
          <w:szCs w:val="24"/>
          <w:lang w:eastAsia="ru-RU"/>
        </w:rPr>
      </w:pPr>
      <w:r w:rsidRPr="00F242DD">
        <w:rPr>
          <w:szCs w:val="24"/>
          <w:lang w:eastAsia="ru-RU"/>
        </w:rPr>
        <w:t>1 раз в 4 недели с 25</w:t>
      </w:r>
      <w:r w:rsidR="00522C92" w:rsidRPr="00F242DD">
        <w:rPr>
          <w:szCs w:val="24"/>
          <w:lang w:eastAsia="ru-RU"/>
        </w:rPr>
        <w:t>-й</w:t>
      </w:r>
      <w:r w:rsidRPr="00F242DD">
        <w:rPr>
          <w:szCs w:val="24"/>
          <w:lang w:eastAsia="ru-RU"/>
        </w:rPr>
        <w:t xml:space="preserve"> недели </w:t>
      </w:r>
    </w:p>
    <w:p w14:paraId="35489B2C" w14:textId="77777777" w:rsidR="000546DA" w:rsidRPr="00F242DD" w:rsidRDefault="000546DA" w:rsidP="00727CDE">
      <w:pPr>
        <w:numPr>
          <w:ilvl w:val="1"/>
          <w:numId w:val="17"/>
        </w:numPr>
        <w:autoSpaceDE w:val="0"/>
        <w:autoSpaceDN w:val="0"/>
        <w:adjustRightInd w:val="0"/>
        <w:spacing w:before="0" w:after="0"/>
        <w:contextualSpacing/>
        <w:jc w:val="left"/>
        <w:rPr>
          <w:szCs w:val="24"/>
          <w:lang w:eastAsia="ru-RU"/>
        </w:rPr>
      </w:pPr>
      <w:r w:rsidRPr="00F242DD">
        <w:rPr>
          <w:szCs w:val="24"/>
          <w:lang w:eastAsia="ru-RU"/>
        </w:rPr>
        <w:t>Далее до прогрессирования или до развития непереносимости</w:t>
      </w:r>
      <w:r w:rsidR="00522C92" w:rsidRPr="00F242DD">
        <w:rPr>
          <w:szCs w:val="24"/>
          <w:lang w:eastAsia="ru-RU"/>
        </w:rPr>
        <w:t>.</w:t>
      </w:r>
    </w:p>
    <w:p w14:paraId="3D75AB65" w14:textId="77777777" w:rsidR="000546DA" w:rsidRPr="00F242DD" w:rsidRDefault="000546DA" w:rsidP="00131E36">
      <w:pPr>
        <w:autoSpaceDE w:val="0"/>
        <w:autoSpaceDN w:val="0"/>
        <w:adjustRightInd w:val="0"/>
        <w:spacing w:before="0" w:after="0"/>
        <w:ind w:left="1440"/>
        <w:contextualSpacing/>
        <w:jc w:val="left"/>
        <w:rPr>
          <w:szCs w:val="24"/>
          <w:lang w:eastAsia="ru-RU"/>
        </w:rPr>
      </w:pPr>
    </w:p>
    <w:p w14:paraId="663D154F" w14:textId="77777777" w:rsidR="000546DA" w:rsidRPr="00F242DD" w:rsidRDefault="000546DA" w:rsidP="00131E36">
      <w:pPr>
        <w:autoSpaceDE w:val="0"/>
        <w:autoSpaceDN w:val="0"/>
        <w:adjustRightInd w:val="0"/>
        <w:spacing w:before="0" w:after="0"/>
        <w:contextualSpacing/>
        <w:rPr>
          <w:b/>
          <w:szCs w:val="24"/>
          <w:lang w:eastAsia="ru-RU"/>
        </w:rPr>
      </w:pPr>
      <w:r w:rsidRPr="00F242DD">
        <w:rPr>
          <w:b/>
          <w:szCs w:val="24"/>
          <w:lang w:val="en-US" w:eastAsia="ru-RU"/>
        </w:rPr>
        <w:t>Dara</w:t>
      </w:r>
      <w:r w:rsidRPr="00F242DD">
        <w:rPr>
          <w:b/>
          <w:szCs w:val="24"/>
          <w:lang w:eastAsia="ru-RU"/>
        </w:rPr>
        <w:t>-</w:t>
      </w:r>
      <w:r w:rsidRPr="00F242DD">
        <w:rPr>
          <w:b/>
          <w:szCs w:val="24"/>
          <w:lang w:val="en-US" w:eastAsia="ru-RU"/>
        </w:rPr>
        <w:t>VD</w:t>
      </w:r>
    </w:p>
    <w:p w14:paraId="50676CD0" w14:textId="77777777" w:rsidR="000546DA" w:rsidRPr="00F242DD" w:rsidRDefault="000546DA" w:rsidP="00727CDE">
      <w:pPr>
        <w:pStyle w:val="a6"/>
        <w:numPr>
          <w:ilvl w:val="0"/>
          <w:numId w:val="44"/>
        </w:numPr>
        <w:spacing w:before="0" w:after="0"/>
        <w:rPr>
          <w:rFonts w:eastAsia="Times New Roman"/>
          <w:b/>
          <w:szCs w:val="24"/>
          <w:u w:val="single"/>
          <w:lang w:eastAsia="ru-RU"/>
        </w:rPr>
      </w:pPr>
      <w:r w:rsidRPr="00F242DD">
        <w:rPr>
          <w:rFonts w:eastAsia="Times New Roman"/>
          <w:szCs w:val="24"/>
          <w:lang w:eastAsia="ru-RU"/>
        </w:rPr>
        <w:t>Даратумумаб**</w:t>
      </w:r>
      <w:r w:rsidRPr="00F242DD">
        <w:rPr>
          <w:rFonts w:eastAsia="Times New Roman"/>
          <w:szCs w:val="24"/>
          <w:lang w:eastAsia="ru-RU"/>
        </w:rPr>
        <w:tab/>
        <w:t xml:space="preserve">16 мг/кг в/в </w:t>
      </w:r>
    </w:p>
    <w:p w14:paraId="2AC63DBB" w14:textId="77777777" w:rsidR="000546DA" w:rsidRPr="00F242DD" w:rsidRDefault="000546DA" w:rsidP="00727CDE">
      <w:pPr>
        <w:pStyle w:val="a6"/>
        <w:numPr>
          <w:ilvl w:val="1"/>
          <w:numId w:val="45"/>
        </w:numPr>
        <w:spacing w:before="0" w:after="0"/>
        <w:rPr>
          <w:rFonts w:eastAsia="Times New Roman"/>
          <w:b/>
          <w:szCs w:val="24"/>
          <w:u w:val="single"/>
          <w:lang w:eastAsia="ru-RU"/>
        </w:rPr>
      </w:pPr>
      <w:r w:rsidRPr="00F242DD">
        <w:rPr>
          <w:rFonts w:eastAsia="Times New Roman"/>
          <w:szCs w:val="24"/>
          <w:lang w:eastAsia="ru-RU"/>
        </w:rPr>
        <w:t>1 раз в неделю в 1</w:t>
      </w:r>
      <w:r w:rsidR="00522C92" w:rsidRPr="00F242DD">
        <w:rPr>
          <w:rFonts w:eastAsia="Times New Roman"/>
          <w:szCs w:val="24"/>
          <w:lang w:eastAsia="ru-RU"/>
        </w:rPr>
        <w:t>‒</w:t>
      </w:r>
      <w:r w:rsidRPr="00F242DD">
        <w:rPr>
          <w:rFonts w:eastAsia="Times New Roman"/>
          <w:szCs w:val="24"/>
          <w:lang w:eastAsia="ru-RU"/>
        </w:rPr>
        <w:t>9</w:t>
      </w:r>
      <w:r w:rsidR="00522C92" w:rsidRPr="00F242DD">
        <w:rPr>
          <w:rFonts w:eastAsia="Times New Roman"/>
          <w:szCs w:val="24"/>
          <w:lang w:eastAsia="ru-RU"/>
        </w:rPr>
        <w:t>-ю</w:t>
      </w:r>
      <w:r w:rsidRPr="00F242DD">
        <w:rPr>
          <w:rFonts w:eastAsia="Times New Roman"/>
          <w:szCs w:val="24"/>
          <w:lang w:eastAsia="ru-RU"/>
        </w:rPr>
        <w:t xml:space="preserve"> недели (всего 9 доз)</w:t>
      </w:r>
    </w:p>
    <w:p w14:paraId="123B046E" w14:textId="77777777" w:rsidR="000546DA" w:rsidRPr="00F242DD" w:rsidRDefault="000546DA" w:rsidP="00727CDE">
      <w:pPr>
        <w:pStyle w:val="a6"/>
        <w:numPr>
          <w:ilvl w:val="1"/>
          <w:numId w:val="45"/>
        </w:numPr>
        <w:spacing w:before="0" w:after="0"/>
        <w:rPr>
          <w:rFonts w:eastAsia="Times New Roman"/>
          <w:b/>
          <w:szCs w:val="24"/>
          <w:u w:val="single"/>
          <w:lang w:eastAsia="ru-RU"/>
        </w:rPr>
      </w:pPr>
      <w:r w:rsidRPr="00F242DD">
        <w:rPr>
          <w:rFonts w:eastAsia="Times New Roman"/>
          <w:szCs w:val="24"/>
          <w:lang w:eastAsia="ru-RU"/>
        </w:rPr>
        <w:t>1 раз в 3 недели в 10</w:t>
      </w:r>
      <w:r w:rsidR="00522C92" w:rsidRPr="00F242DD">
        <w:rPr>
          <w:rFonts w:eastAsia="Times New Roman"/>
          <w:szCs w:val="24"/>
          <w:lang w:eastAsia="ru-RU"/>
        </w:rPr>
        <w:t>‒</w:t>
      </w:r>
      <w:r w:rsidRPr="00F242DD">
        <w:rPr>
          <w:rFonts w:eastAsia="Times New Roman"/>
          <w:szCs w:val="24"/>
          <w:lang w:eastAsia="ru-RU"/>
        </w:rPr>
        <w:t>24</w:t>
      </w:r>
      <w:r w:rsidR="00522C92" w:rsidRPr="00F242DD">
        <w:rPr>
          <w:rFonts w:eastAsia="Times New Roman"/>
          <w:szCs w:val="24"/>
          <w:lang w:eastAsia="ru-RU"/>
        </w:rPr>
        <w:t>-ю</w:t>
      </w:r>
      <w:r w:rsidRPr="00F242DD">
        <w:rPr>
          <w:rFonts w:eastAsia="Times New Roman"/>
          <w:szCs w:val="24"/>
          <w:lang w:eastAsia="ru-RU"/>
        </w:rPr>
        <w:t xml:space="preserve"> недели (всего 5 доз)</w:t>
      </w:r>
    </w:p>
    <w:p w14:paraId="7D25AD19" w14:textId="77777777" w:rsidR="000546DA" w:rsidRPr="00F242DD" w:rsidRDefault="000546DA" w:rsidP="00727CDE">
      <w:pPr>
        <w:pStyle w:val="a6"/>
        <w:numPr>
          <w:ilvl w:val="1"/>
          <w:numId w:val="45"/>
        </w:numPr>
        <w:spacing w:before="0" w:after="0"/>
        <w:rPr>
          <w:rFonts w:eastAsia="Times New Roman"/>
          <w:b/>
          <w:szCs w:val="24"/>
          <w:u w:val="single"/>
          <w:lang w:eastAsia="ru-RU"/>
        </w:rPr>
      </w:pPr>
      <w:r w:rsidRPr="00F242DD">
        <w:rPr>
          <w:rFonts w:eastAsia="Times New Roman"/>
          <w:szCs w:val="24"/>
          <w:lang w:eastAsia="ru-RU"/>
        </w:rPr>
        <w:t>1 раз в 4 недели с 25</w:t>
      </w:r>
      <w:r w:rsidR="00522C92" w:rsidRPr="00F242DD">
        <w:rPr>
          <w:rFonts w:eastAsia="Times New Roman"/>
          <w:szCs w:val="24"/>
          <w:lang w:eastAsia="ru-RU"/>
        </w:rPr>
        <w:t>-й</w:t>
      </w:r>
      <w:r w:rsidRPr="00F242DD">
        <w:rPr>
          <w:rFonts w:eastAsia="Times New Roman"/>
          <w:szCs w:val="24"/>
          <w:lang w:eastAsia="ru-RU"/>
        </w:rPr>
        <w:t xml:space="preserve"> недели до прогрессии</w:t>
      </w:r>
    </w:p>
    <w:p w14:paraId="296EA0AE" w14:textId="77777777" w:rsidR="000546DA" w:rsidRPr="00F242DD" w:rsidRDefault="000546DA" w:rsidP="00727CDE">
      <w:pPr>
        <w:pStyle w:val="a6"/>
        <w:numPr>
          <w:ilvl w:val="0"/>
          <w:numId w:val="44"/>
        </w:numPr>
        <w:spacing w:before="0" w:after="0"/>
        <w:jc w:val="left"/>
        <w:rPr>
          <w:rFonts w:eastAsia="Times New Roman"/>
          <w:szCs w:val="24"/>
          <w:lang w:eastAsia="ru-RU"/>
        </w:rPr>
      </w:pPr>
      <w:r w:rsidRPr="00F242DD">
        <w:rPr>
          <w:rFonts w:eastAsia="Times New Roman"/>
          <w:szCs w:val="24"/>
          <w:lang w:eastAsia="ru-RU"/>
        </w:rPr>
        <w:t>Бортезомиб** 1,3 мг/м</w:t>
      </w:r>
      <w:r w:rsidRPr="00F242DD">
        <w:rPr>
          <w:rFonts w:eastAsia="Times New Roman"/>
          <w:szCs w:val="24"/>
          <w:vertAlign w:val="superscript"/>
          <w:lang w:eastAsia="ru-RU"/>
        </w:rPr>
        <w:t>2</w:t>
      </w:r>
      <w:r w:rsidRPr="00F242DD">
        <w:rPr>
          <w:rFonts w:eastAsia="Times New Roman"/>
          <w:szCs w:val="24"/>
          <w:lang w:eastAsia="ru-RU"/>
        </w:rPr>
        <w:t xml:space="preserve"> п/к в 1, 4, 8, 11</w:t>
      </w:r>
      <w:r w:rsidR="00522C92" w:rsidRPr="00F242DD">
        <w:rPr>
          <w:rFonts w:eastAsia="Times New Roman"/>
          <w:szCs w:val="24"/>
          <w:lang w:eastAsia="ru-RU"/>
        </w:rPr>
        <w:t>-й</w:t>
      </w:r>
      <w:r w:rsidRPr="00F242DD">
        <w:rPr>
          <w:rFonts w:eastAsia="Times New Roman"/>
          <w:szCs w:val="24"/>
          <w:lang w:eastAsia="ru-RU"/>
        </w:rPr>
        <w:t xml:space="preserve"> дни повторяющихся 3-недельных циклов в течение 8 циклов</w:t>
      </w:r>
    </w:p>
    <w:p w14:paraId="1416EBC9" w14:textId="77777777" w:rsidR="000546DA" w:rsidRPr="00F242DD" w:rsidRDefault="000546DA" w:rsidP="00727CDE">
      <w:pPr>
        <w:pStyle w:val="a6"/>
        <w:numPr>
          <w:ilvl w:val="0"/>
          <w:numId w:val="44"/>
        </w:numPr>
        <w:spacing w:before="0" w:after="0"/>
        <w:jc w:val="left"/>
        <w:rPr>
          <w:rFonts w:eastAsia="Times New Roman"/>
          <w:szCs w:val="24"/>
          <w:lang w:eastAsia="ru-RU"/>
        </w:rPr>
      </w:pPr>
      <w:r w:rsidRPr="00F242DD">
        <w:rPr>
          <w:rFonts w:eastAsia="Times New Roman"/>
          <w:szCs w:val="24"/>
          <w:lang w:eastAsia="ru-RU"/>
        </w:rPr>
        <w:t>Дексаметазон** 20 мг энтерально в 1, 2, 4, 5, 8, 9, 11, 12</w:t>
      </w:r>
      <w:r w:rsidR="00522C92" w:rsidRPr="00F242DD">
        <w:rPr>
          <w:rFonts w:eastAsia="Times New Roman"/>
          <w:szCs w:val="24"/>
          <w:lang w:eastAsia="ru-RU"/>
        </w:rPr>
        <w:t>-й</w:t>
      </w:r>
      <w:r w:rsidRPr="00F242DD">
        <w:rPr>
          <w:rFonts w:eastAsia="Times New Roman"/>
          <w:szCs w:val="24"/>
          <w:lang w:eastAsia="ru-RU"/>
        </w:rPr>
        <w:t xml:space="preserve"> дни на протяжении 8 циклов терапии бортезомибом**</w:t>
      </w:r>
    </w:p>
    <w:p w14:paraId="4E6036D1" w14:textId="77777777" w:rsidR="000546DA" w:rsidRPr="00F242DD" w:rsidRDefault="000546DA" w:rsidP="00131E36">
      <w:pPr>
        <w:spacing w:before="0" w:after="0"/>
        <w:contextualSpacing/>
        <w:jc w:val="left"/>
        <w:rPr>
          <w:rFonts w:eastAsia="Times New Roman"/>
          <w:b/>
          <w:szCs w:val="24"/>
          <w:lang w:val="en-US" w:eastAsia="ru-RU"/>
        </w:rPr>
      </w:pPr>
      <w:r w:rsidRPr="00F242DD">
        <w:rPr>
          <w:rFonts w:eastAsia="Times New Roman"/>
          <w:b/>
          <w:szCs w:val="24"/>
          <w:lang w:val="en-US" w:eastAsia="ru-RU"/>
        </w:rPr>
        <w:t>Dara-Rd</w:t>
      </w:r>
    </w:p>
    <w:p w14:paraId="5C23BDA0" w14:textId="77777777" w:rsidR="000546DA" w:rsidRPr="00F242DD" w:rsidRDefault="000546DA" w:rsidP="00727CDE">
      <w:pPr>
        <w:numPr>
          <w:ilvl w:val="0"/>
          <w:numId w:val="46"/>
        </w:numPr>
        <w:autoSpaceDE w:val="0"/>
        <w:autoSpaceDN w:val="0"/>
        <w:adjustRightInd w:val="0"/>
        <w:spacing w:before="0" w:after="0"/>
        <w:contextualSpacing/>
        <w:jc w:val="left"/>
        <w:rPr>
          <w:szCs w:val="24"/>
          <w:lang w:eastAsia="ru-RU"/>
        </w:rPr>
      </w:pPr>
      <w:r w:rsidRPr="00F242DD">
        <w:rPr>
          <w:szCs w:val="24"/>
          <w:lang w:eastAsia="ru-RU"/>
        </w:rPr>
        <w:t>Даратумумаб</w:t>
      </w:r>
      <w:r w:rsidRPr="00F242DD">
        <w:rPr>
          <w:rFonts w:eastAsia="Times New Roman"/>
          <w:szCs w:val="24"/>
          <w:lang w:eastAsia="ru-RU"/>
        </w:rPr>
        <w:t>**</w:t>
      </w:r>
      <w:r w:rsidRPr="00F242DD">
        <w:rPr>
          <w:szCs w:val="24"/>
          <w:lang w:eastAsia="ru-RU"/>
        </w:rPr>
        <w:t xml:space="preserve"> 16 мг/кг в/в^</w:t>
      </w:r>
    </w:p>
    <w:p w14:paraId="622E8AD3" w14:textId="77777777" w:rsidR="000546DA" w:rsidRPr="00F242DD" w:rsidRDefault="000546DA" w:rsidP="00727CDE">
      <w:pPr>
        <w:numPr>
          <w:ilvl w:val="1"/>
          <w:numId w:val="47"/>
        </w:numPr>
        <w:autoSpaceDE w:val="0"/>
        <w:autoSpaceDN w:val="0"/>
        <w:adjustRightInd w:val="0"/>
        <w:spacing w:before="0" w:after="0"/>
        <w:contextualSpacing/>
        <w:jc w:val="left"/>
        <w:rPr>
          <w:szCs w:val="24"/>
          <w:lang w:eastAsia="ru-RU"/>
        </w:rPr>
      </w:pPr>
      <w:r w:rsidRPr="00F242DD">
        <w:rPr>
          <w:szCs w:val="24"/>
          <w:lang w:eastAsia="ru-RU"/>
        </w:rPr>
        <w:t>1 раз в неделю в 1</w:t>
      </w:r>
      <w:r w:rsidR="00522C92" w:rsidRPr="00F242DD">
        <w:rPr>
          <w:szCs w:val="24"/>
          <w:lang w:eastAsia="ru-RU"/>
        </w:rPr>
        <w:t>‒</w:t>
      </w:r>
      <w:r w:rsidRPr="00F242DD">
        <w:rPr>
          <w:szCs w:val="24"/>
          <w:lang w:eastAsia="ru-RU"/>
        </w:rPr>
        <w:t>8</w:t>
      </w:r>
      <w:r w:rsidR="00522C92" w:rsidRPr="00F242DD">
        <w:rPr>
          <w:rFonts w:eastAsia="Times New Roman"/>
          <w:szCs w:val="24"/>
          <w:lang w:eastAsia="ru-RU"/>
        </w:rPr>
        <w:t>-ю</w:t>
      </w:r>
      <w:r w:rsidRPr="00F242DD">
        <w:rPr>
          <w:szCs w:val="24"/>
          <w:lang w:eastAsia="ru-RU"/>
        </w:rPr>
        <w:t xml:space="preserve"> недели (всего 8 доз) </w:t>
      </w:r>
    </w:p>
    <w:p w14:paraId="2E90A97A" w14:textId="77777777" w:rsidR="000546DA" w:rsidRPr="00F242DD" w:rsidRDefault="000546DA" w:rsidP="00727CDE">
      <w:pPr>
        <w:numPr>
          <w:ilvl w:val="1"/>
          <w:numId w:val="47"/>
        </w:numPr>
        <w:autoSpaceDE w:val="0"/>
        <w:autoSpaceDN w:val="0"/>
        <w:adjustRightInd w:val="0"/>
        <w:spacing w:before="0" w:after="0"/>
        <w:contextualSpacing/>
        <w:jc w:val="left"/>
        <w:rPr>
          <w:szCs w:val="24"/>
          <w:lang w:eastAsia="ru-RU"/>
        </w:rPr>
      </w:pPr>
      <w:r w:rsidRPr="00F242DD">
        <w:rPr>
          <w:szCs w:val="24"/>
          <w:lang w:eastAsia="ru-RU"/>
        </w:rPr>
        <w:t>1 раз в 2 недели в 9</w:t>
      </w:r>
      <w:r w:rsidR="00522C92" w:rsidRPr="00F242DD">
        <w:rPr>
          <w:szCs w:val="24"/>
          <w:lang w:eastAsia="ru-RU"/>
        </w:rPr>
        <w:t>‒</w:t>
      </w:r>
      <w:r w:rsidRPr="00F242DD">
        <w:rPr>
          <w:szCs w:val="24"/>
          <w:lang w:eastAsia="ru-RU"/>
        </w:rPr>
        <w:t>24</w:t>
      </w:r>
      <w:r w:rsidR="00522C92" w:rsidRPr="00F242DD">
        <w:rPr>
          <w:szCs w:val="24"/>
          <w:lang w:eastAsia="ru-RU"/>
        </w:rPr>
        <w:t>-ю недели (всего 8 доз)</w:t>
      </w:r>
    </w:p>
    <w:p w14:paraId="7EC28B94" w14:textId="77777777" w:rsidR="000546DA" w:rsidRPr="00F242DD" w:rsidRDefault="000546DA" w:rsidP="00727CDE">
      <w:pPr>
        <w:numPr>
          <w:ilvl w:val="1"/>
          <w:numId w:val="47"/>
        </w:numPr>
        <w:autoSpaceDE w:val="0"/>
        <w:autoSpaceDN w:val="0"/>
        <w:adjustRightInd w:val="0"/>
        <w:spacing w:before="0" w:after="0"/>
        <w:contextualSpacing/>
        <w:jc w:val="left"/>
        <w:rPr>
          <w:szCs w:val="24"/>
          <w:lang w:eastAsia="ru-RU"/>
        </w:rPr>
      </w:pPr>
      <w:r w:rsidRPr="00F242DD">
        <w:rPr>
          <w:szCs w:val="24"/>
          <w:lang w:eastAsia="ru-RU"/>
        </w:rPr>
        <w:t>1 раз в 4 недели с 25</w:t>
      </w:r>
      <w:r w:rsidR="00522C92" w:rsidRPr="00F242DD">
        <w:rPr>
          <w:rFonts w:eastAsia="Times New Roman"/>
          <w:szCs w:val="24"/>
          <w:lang w:eastAsia="ru-RU"/>
        </w:rPr>
        <w:t>-й</w:t>
      </w:r>
      <w:r w:rsidRPr="00F242DD">
        <w:rPr>
          <w:szCs w:val="24"/>
          <w:lang w:eastAsia="ru-RU"/>
        </w:rPr>
        <w:t xml:space="preserve"> недели до прогрессирования</w:t>
      </w:r>
    </w:p>
    <w:p w14:paraId="087199F1" w14:textId="77777777" w:rsidR="000546DA" w:rsidRPr="00F242DD" w:rsidRDefault="000546DA" w:rsidP="00727CDE">
      <w:pPr>
        <w:pStyle w:val="a6"/>
        <w:numPr>
          <w:ilvl w:val="0"/>
          <w:numId w:val="46"/>
        </w:numPr>
        <w:autoSpaceDE w:val="0"/>
        <w:autoSpaceDN w:val="0"/>
        <w:adjustRightInd w:val="0"/>
        <w:spacing w:before="0" w:after="0"/>
        <w:rPr>
          <w:szCs w:val="24"/>
          <w:lang w:eastAsia="ru-RU"/>
        </w:rPr>
      </w:pPr>
      <w:r w:rsidRPr="00F242DD">
        <w:rPr>
          <w:szCs w:val="24"/>
          <w:lang w:eastAsia="ru-RU"/>
        </w:rPr>
        <w:t>Леналидомид</w:t>
      </w:r>
      <w:r w:rsidRPr="00F242DD">
        <w:rPr>
          <w:rFonts w:eastAsia="Times New Roman"/>
          <w:szCs w:val="24"/>
          <w:lang w:eastAsia="ru-RU"/>
        </w:rPr>
        <w:t>**</w:t>
      </w:r>
      <w:r w:rsidRPr="00F242DD">
        <w:rPr>
          <w:szCs w:val="24"/>
          <w:lang w:eastAsia="ru-RU"/>
        </w:rPr>
        <w:t xml:space="preserve"> по 25 мг энтерально в дни 1</w:t>
      </w:r>
      <w:r w:rsidR="00522C92" w:rsidRPr="00F242DD">
        <w:rPr>
          <w:szCs w:val="24"/>
          <w:lang w:eastAsia="ru-RU"/>
        </w:rPr>
        <w:t>‒</w:t>
      </w:r>
      <w:r w:rsidRPr="00F242DD">
        <w:rPr>
          <w:szCs w:val="24"/>
          <w:lang w:eastAsia="ru-RU"/>
        </w:rPr>
        <w:t>21</w:t>
      </w:r>
      <w:r w:rsidR="00522C92" w:rsidRPr="00F242DD">
        <w:rPr>
          <w:rFonts w:eastAsia="Times New Roman"/>
          <w:szCs w:val="24"/>
          <w:lang w:eastAsia="ru-RU"/>
        </w:rPr>
        <w:t>-й</w:t>
      </w:r>
      <w:r w:rsidRPr="00F242DD">
        <w:rPr>
          <w:szCs w:val="24"/>
          <w:lang w:eastAsia="ru-RU"/>
        </w:rPr>
        <w:t xml:space="preserve"> повторяющихся 4-недельных циклов</w:t>
      </w:r>
    </w:p>
    <w:p w14:paraId="092B58B1" w14:textId="77777777" w:rsidR="000546DA" w:rsidRPr="00F242DD" w:rsidRDefault="000546DA" w:rsidP="00727CDE">
      <w:pPr>
        <w:pStyle w:val="a6"/>
        <w:numPr>
          <w:ilvl w:val="0"/>
          <w:numId w:val="46"/>
        </w:numPr>
        <w:spacing w:before="0" w:after="0"/>
        <w:jc w:val="left"/>
        <w:rPr>
          <w:rFonts w:eastAsia="Times New Roman"/>
          <w:szCs w:val="24"/>
          <w:lang w:eastAsia="ru-RU"/>
        </w:rPr>
      </w:pPr>
      <w:r w:rsidRPr="00F242DD">
        <w:rPr>
          <w:rFonts w:eastAsia="Times New Roman"/>
          <w:szCs w:val="24"/>
          <w:lang w:eastAsia="ru-RU"/>
        </w:rPr>
        <w:t xml:space="preserve">Дексаметазон** по 40 мг 1 раз в неделю </w:t>
      </w:r>
    </w:p>
    <w:p w14:paraId="5EF6433C" w14:textId="77777777" w:rsidR="000546DA" w:rsidRPr="00F242DD" w:rsidRDefault="000546DA" w:rsidP="00131E36">
      <w:pPr>
        <w:spacing w:before="0" w:after="0"/>
        <w:contextualSpacing/>
        <w:rPr>
          <w:rFonts w:eastAsia="Times New Roman"/>
          <w:b/>
          <w:szCs w:val="24"/>
          <w:lang w:eastAsia="ru-RU"/>
        </w:rPr>
      </w:pPr>
      <w:r w:rsidRPr="00F242DD">
        <w:rPr>
          <w:rFonts w:eastAsia="Times New Roman"/>
          <w:b/>
          <w:szCs w:val="24"/>
          <w:lang w:eastAsia="ru-RU"/>
        </w:rPr>
        <w:t>VMCP</w:t>
      </w:r>
    </w:p>
    <w:p w14:paraId="287E32D5" w14:textId="77777777" w:rsidR="000546DA" w:rsidRPr="00F242DD" w:rsidRDefault="000546DA" w:rsidP="00727CDE">
      <w:pPr>
        <w:numPr>
          <w:ilvl w:val="0"/>
          <w:numId w:val="48"/>
        </w:numPr>
        <w:spacing w:before="0" w:after="0"/>
        <w:contextualSpacing/>
        <w:jc w:val="left"/>
        <w:rPr>
          <w:rFonts w:eastAsia="Times New Roman"/>
          <w:szCs w:val="24"/>
          <w:lang w:eastAsia="ru-RU"/>
        </w:rPr>
      </w:pPr>
      <w:r w:rsidRPr="00F242DD">
        <w:rPr>
          <w:rFonts w:eastAsia="Times New Roman"/>
          <w:szCs w:val="24"/>
          <w:lang w:eastAsia="ru-RU"/>
        </w:rPr>
        <w:t>Винкристин** 1 мг/м</w:t>
      </w:r>
      <w:r w:rsidRPr="00F242DD">
        <w:rPr>
          <w:rFonts w:eastAsia="Times New Roman"/>
          <w:szCs w:val="24"/>
          <w:vertAlign w:val="superscript"/>
          <w:lang w:eastAsia="ru-RU"/>
        </w:rPr>
        <w:t>2</w:t>
      </w:r>
      <w:r w:rsidRPr="00F242DD">
        <w:rPr>
          <w:rFonts w:eastAsia="Times New Roman"/>
          <w:szCs w:val="24"/>
          <w:lang w:eastAsia="ru-RU"/>
        </w:rPr>
        <w:t xml:space="preserve"> в/в, день 1</w:t>
      </w:r>
      <w:r w:rsidR="00522C92" w:rsidRPr="00F242DD">
        <w:rPr>
          <w:rFonts w:eastAsia="Times New Roman"/>
          <w:szCs w:val="24"/>
          <w:lang w:eastAsia="ru-RU"/>
        </w:rPr>
        <w:t>-й</w:t>
      </w:r>
    </w:p>
    <w:p w14:paraId="0C70EDA6" w14:textId="77777777" w:rsidR="000546DA" w:rsidRPr="00F242DD" w:rsidRDefault="000546DA" w:rsidP="00727CDE">
      <w:pPr>
        <w:numPr>
          <w:ilvl w:val="0"/>
          <w:numId w:val="48"/>
        </w:numPr>
        <w:spacing w:before="0" w:after="0"/>
        <w:contextualSpacing/>
        <w:jc w:val="left"/>
        <w:rPr>
          <w:rFonts w:eastAsia="Times New Roman"/>
          <w:szCs w:val="24"/>
          <w:lang w:eastAsia="ru-RU"/>
        </w:rPr>
      </w:pPr>
      <w:r w:rsidRPr="00F242DD">
        <w:rPr>
          <w:rFonts w:eastAsia="Times New Roman"/>
          <w:szCs w:val="24"/>
          <w:lang w:eastAsia="ru-RU"/>
        </w:rPr>
        <w:t>Мелфалан** 6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6359ABBB" w14:textId="77777777" w:rsidR="000546DA" w:rsidRPr="00F242DD" w:rsidRDefault="000546DA" w:rsidP="00727CDE">
      <w:pPr>
        <w:numPr>
          <w:ilvl w:val="0"/>
          <w:numId w:val="48"/>
        </w:numPr>
        <w:spacing w:before="0" w:after="0"/>
        <w:contextualSpacing/>
        <w:jc w:val="left"/>
        <w:rPr>
          <w:rFonts w:eastAsia="Times New Roman"/>
          <w:szCs w:val="24"/>
          <w:lang w:eastAsia="ru-RU"/>
        </w:rPr>
      </w:pPr>
      <w:r w:rsidRPr="00F242DD">
        <w:rPr>
          <w:rFonts w:eastAsia="Times New Roman"/>
          <w:szCs w:val="24"/>
          <w:lang w:eastAsia="ru-RU"/>
        </w:rPr>
        <w:t>Циклофосфамид** 125 мг/м</w:t>
      </w:r>
      <w:r w:rsidRPr="00F242DD">
        <w:rPr>
          <w:rFonts w:eastAsia="Times New Roman"/>
          <w:szCs w:val="24"/>
          <w:vertAlign w:val="superscript"/>
          <w:lang w:eastAsia="ru-RU"/>
        </w:rPr>
        <w:t>2</w:t>
      </w:r>
      <w:r w:rsidRPr="00F242DD">
        <w:rPr>
          <w:rFonts w:eastAsia="Times New Roman"/>
          <w:szCs w:val="24"/>
          <w:lang w:eastAsia="ru-RU"/>
        </w:rPr>
        <w:t xml:space="preserve"> в/в,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021E0825" w14:textId="77777777" w:rsidR="000546DA" w:rsidRPr="00F242DD" w:rsidRDefault="000546DA" w:rsidP="00727CDE">
      <w:pPr>
        <w:numPr>
          <w:ilvl w:val="0"/>
          <w:numId w:val="48"/>
        </w:numPr>
        <w:spacing w:before="0" w:after="0"/>
        <w:contextualSpacing/>
        <w:jc w:val="left"/>
        <w:rPr>
          <w:rFonts w:eastAsia="Times New Roman"/>
          <w:szCs w:val="24"/>
          <w:lang w:eastAsia="ru-RU"/>
        </w:rPr>
      </w:pPr>
      <w:r w:rsidRPr="00F242DD">
        <w:rPr>
          <w:rFonts w:eastAsia="Times New Roman"/>
          <w:szCs w:val="24"/>
          <w:lang w:eastAsia="ru-RU"/>
        </w:rPr>
        <w:t>Преднизолон** 60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552B136F"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возобновляется на 22</w:t>
      </w:r>
      <w:r w:rsidR="00522C92" w:rsidRPr="00F242DD">
        <w:rPr>
          <w:rFonts w:eastAsia="Times New Roman"/>
          <w:szCs w:val="24"/>
          <w:lang w:eastAsia="ru-RU"/>
        </w:rPr>
        <w:t>‒</w:t>
      </w:r>
      <w:r w:rsidRPr="00F242DD">
        <w:rPr>
          <w:rFonts w:eastAsia="Times New Roman"/>
          <w:szCs w:val="24"/>
          <w:lang w:eastAsia="ru-RU"/>
        </w:rPr>
        <w:t>29</w:t>
      </w:r>
      <w:r w:rsidR="00522C92" w:rsidRPr="00F242DD">
        <w:rPr>
          <w:rFonts w:eastAsia="Times New Roman"/>
          <w:szCs w:val="24"/>
          <w:lang w:eastAsia="ru-RU"/>
        </w:rPr>
        <w:t>-й</w:t>
      </w:r>
      <w:r w:rsidRPr="00F242DD">
        <w:rPr>
          <w:rFonts w:eastAsia="Times New Roman"/>
          <w:szCs w:val="24"/>
          <w:lang w:eastAsia="ru-RU"/>
        </w:rPr>
        <w:t xml:space="preserve"> день</w:t>
      </w:r>
      <w:r w:rsidR="00522C92" w:rsidRPr="00F242DD">
        <w:rPr>
          <w:rFonts w:eastAsia="Times New Roman"/>
          <w:szCs w:val="24"/>
          <w:lang w:eastAsia="ru-RU"/>
        </w:rPr>
        <w:t>.</w:t>
      </w:r>
    </w:p>
    <w:p w14:paraId="709578AB" w14:textId="77777777" w:rsidR="000546DA" w:rsidRPr="00F242DD" w:rsidRDefault="000546DA" w:rsidP="00131E36">
      <w:pPr>
        <w:spacing w:before="0" w:after="0"/>
        <w:contextualSpacing/>
        <w:rPr>
          <w:rFonts w:eastAsia="Times New Roman"/>
          <w:b/>
          <w:szCs w:val="24"/>
          <w:lang w:eastAsia="ru-RU"/>
        </w:rPr>
      </w:pPr>
      <w:r w:rsidRPr="00F242DD">
        <w:rPr>
          <w:rFonts w:eastAsia="Times New Roman"/>
          <w:b/>
          <w:szCs w:val="24"/>
          <w:lang w:eastAsia="ru-RU"/>
        </w:rPr>
        <w:t>VBAP</w:t>
      </w:r>
    </w:p>
    <w:p w14:paraId="314325D1" w14:textId="77777777" w:rsidR="000546DA" w:rsidRPr="00F242DD" w:rsidRDefault="000546DA" w:rsidP="00727CDE">
      <w:pPr>
        <w:numPr>
          <w:ilvl w:val="0"/>
          <w:numId w:val="49"/>
        </w:numPr>
        <w:spacing w:before="0" w:after="0"/>
        <w:contextualSpacing/>
        <w:jc w:val="left"/>
        <w:rPr>
          <w:rFonts w:eastAsia="Times New Roman"/>
          <w:szCs w:val="24"/>
          <w:lang w:eastAsia="ru-RU"/>
        </w:rPr>
      </w:pPr>
      <w:r w:rsidRPr="00F242DD">
        <w:rPr>
          <w:rFonts w:eastAsia="Times New Roman"/>
          <w:szCs w:val="24"/>
          <w:lang w:eastAsia="ru-RU"/>
        </w:rPr>
        <w:t>Винкристин** 1 мг/м</w:t>
      </w:r>
      <w:r w:rsidRPr="00F242DD">
        <w:rPr>
          <w:rFonts w:eastAsia="Times New Roman"/>
          <w:szCs w:val="24"/>
          <w:vertAlign w:val="superscript"/>
          <w:lang w:eastAsia="ru-RU"/>
        </w:rPr>
        <w:t>2</w:t>
      </w:r>
      <w:r w:rsidRPr="00F242DD">
        <w:rPr>
          <w:rFonts w:eastAsia="Times New Roman"/>
          <w:szCs w:val="24"/>
          <w:lang w:eastAsia="ru-RU"/>
        </w:rPr>
        <w:t xml:space="preserve"> в/в, день 1</w:t>
      </w:r>
      <w:r w:rsidR="00522C92" w:rsidRPr="00F242DD">
        <w:rPr>
          <w:rFonts w:eastAsia="Times New Roman"/>
          <w:szCs w:val="24"/>
          <w:lang w:eastAsia="ru-RU"/>
        </w:rPr>
        <w:t>-й</w:t>
      </w:r>
    </w:p>
    <w:p w14:paraId="780E99C4" w14:textId="77777777" w:rsidR="000546DA" w:rsidRPr="00F242DD" w:rsidRDefault="000546DA" w:rsidP="00727CDE">
      <w:pPr>
        <w:numPr>
          <w:ilvl w:val="0"/>
          <w:numId w:val="49"/>
        </w:numPr>
        <w:spacing w:before="0" w:after="0"/>
        <w:contextualSpacing/>
        <w:jc w:val="left"/>
        <w:rPr>
          <w:rFonts w:eastAsia="Times New Roman"/>
          <w:szCs w:val="24"/>
          <w:lang w:eastAsia="ru-RU"/>
        </w:rPr>
      </w:pPr>
      <w:r w:rsidRPr="00F242DD">
        <w:rPr>
          <w:rFonts w:eastAsia="Times New Roman"/>
          <w:szCs w:val="24"/>
          <w:lang w:eastAsia="ru-RU"/>
        </w:rPr>
        <w:t>Кармустин** 30 мг/м</w:t>
      </w:r>
      <w:r w:rsidRPr="00F242DD">
        <w:rPr>
          <w:rFonts w:eastAsia="Times New Roman"/>
          <w:szCs w:val="24"/>
          <w:vertAlign w:val="superscript"/>
          <w:lang w:eastAsia="ru-RU"/>
        </w:rPr>
        <w:t>2</w:t>
      </w:r>
      <w:r w:rsidRPr="00F242DD">
        <w:rPr>
          <w:rFonts w:eastAsia="Times New Roman"/>
          <w:szCs w:val="24"/>
          <w:lang w:eastAsia="ru-RU"/>
        </w:rPr>
        <w:t xml:space="preserve"> в/в, день 1</w:t>
      </w:r>
      <w:r w:rsidR="00522C92" w:rsidRPr="00F242DD">
        <w:rPr>
          <w:rFonts w:eastAsia="Times New Roman"/>
          <w:szCs w:val="24"/>
          <w:lang w:eastAsia="ru-RU"/>
        </w:rPr>
        <w:t>-й</w:t>
      </w:r>
      <w:r w:rsidRPr="00F242DD">
        <w:rPr>
          <w:rFonts w:eastAsia="Times New Roman"/>
          <w:szCs w:val="24"/>
          <w:lang w:eastAsia="ru-RU"/>
        </w:rPr>
        <w:t xml:space="preserve"> (может быт</w:t>
      </w:r>
      <w:r w:rsidR="00522C92" w:rsidRPr="00F242DD">
        <w:rPr>
          <w:rFonts w:eastAsia="Times New Roman"/>
          <w:szCs w:val="24"/>
          <w:lang w:eastAsia="ru-RU"/>
        </w:rPr>
        <w:t>ь заменен на ломустин 80 мг/сут</w:t>
      </w:r>
      <w:r w:rsidRPr="00F242DD">
        <w:rPr>
          <w:rFonts w:eastAsia="Times New Roman"/>
          <w:szCs w:val="24"/>
          <w:lang w:eastAsia="ru-RU"/>
        </w:rPr>
        <w:t xml:space="preserve"> внутрь)</w:t>
      </w:r>
    </w:p>
    <w:p w14:paraId="632DE20C" w14:textId="77777777" w:rsidR="000546DA" w:rsidRPr="00F242DD" w:rsidRDefault="000546DA" w:rsidP="00727CDE">
      <w:pPr>
        <w:numPr>
          <w:ilvl w:val="0"/>
          <w:numId w:val="49"/>
        </w:numPr>
        <w:spacing w:before="0" w:after="0"/>
        <w:contextualSpacing/>
        <w:jc w:val="left"/>
        <w:rPr>
          <w:rFonts w:eastAsia="Times New Roman"/>
          <w:szCs w:val="24"/>
          <w:lang w:eastAsia="ru-RU"/>
        </w:rPr>
      </w:pPr>
      <w:r w:rsidRPr="00F242DD">
        <w:rPr>
          <w:rFonts w:eastAsia="Times New Roman"/>
          <w:szCs w:val="24"/>
          <w:lang w:eastAsia="ru-RU"/>
        </w:rPr>
        <w:t>Доксорубицин** 30 мг/м</w:t>
      </w:r>
      <w:r w:rsidRPr="00F242DD">
        <w:rPr>
          <w:rFonts w:eastAsia="Times New Roman"/>
          <w:szCs w:val="24"/>
          <w:vertAlign w:val="superscript"/>
          <w:lang w:eastAsia="ru-RU"/>
        </w:rPr>
        <w:t>2</w:t>
      </w:r>
      <w:r w:rsidRPr="00F242DD">
        <w:rPr>
          <w:rFonts w:eastAsia="Times New Roman"/>
          <w:szCs w:val="24"/>
          <w:lang w:eastAsia="ru-RU"/>
        </w:rPr>
        <w:t xml:space="preserve"> в/в, день 1</w:t>
      </w:r>
      <w:r w:rsidR="00522C92" w:rsidRPr="00F242DD">
        <w:rPr>
          <w:rFonts w:eastAsia="Times New Roman"/>
          <w:szCs w:val="24"/>
          <w:lang w:eastAsia="ru-RU"/>
        </w:rPr>
        <w:t>-й</w:t>
      </w:r>
    </w:p>
    <w:p w14:paraId="7245CB49" w14:textId="77777777" w:rsidR="000546DA" w:rsidRPr="00F242DD" w:rsidRDefault="000546DA" w:rsidP="00727CDE">
      <w:pPr>
        <w:numPr>
          <w:ilvl w:val="0"/>
          <w:numId w:val="49"/>
        </w:numPr>
        <w:spacing w:before="0" w:after="0"/>
        <w:contextualSpacing/>
        <w:jc w:val="left"/>
        <w:rPr>
          <w:rFonts w:eastAsia="Times New Roman"/>
          <w:szCs w:val="24"/>
          <w:lang w:eastAsia="ru-RU"/>
        </w:rPr>
      </w:pPr>
      <w:r w:rsidRPr="00F242DD">
        <w:rPr>
          <w:rFonts w:eastAsia="Times New Roman"/>
          <w:szCs w:val="24"/>
          <w:lang w:eastAsia="ru-RU"/>
        </w:rPr>
        <w:lastRenderedPageBreak/>
        <w:t>Преднизолон** 60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7A94A30E"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возобновляется на 22</w:t>
      </w:r>
      <w:r w:rsidR="00522C92" w:rsidRPr="00F242DD">
        <w:rPr>
          <w:rFonts w:eastAsia="Times New Roman"/>
          <w:szCs w:val="24"/>
          <w:lang w:eastAsia="ru-RU"/>
        </w:rPr>
        <w:t>‒</w:t>
      </w:r>
      <w:r w:rsidRPr="00F242DD">
        <w:rPr>
          <w:rFonts w:eastAsia="Times New Roman"/>
          <w:szCs w:val="24"/>
          <w:lang w:eastAsia="ru-RU"/>
        </w:rPr>
        <w:t>29</w:t>
      </w:r>
      <w:r w:rsidR="00522C92" w:rsidRPr="00F242DD">
        <w:rPr>
          <w:rFonts w:eastAsia="Times New Roman"/>
          <w:szCs w:val="24"/>
          <w:lang w:eastAsia="ru-RU"/>
        </w:rPr>
        <w:t>-й</w:t>
      </w:r>
      <w:r w:rsidRPr="00F242DD">
        <w:rPr>
          <w:rFonts w:eastAsia="Times New Roman"/>
          <w:szCs w:val="24"/>
          <w:lang w:eastAsia="ru-RU"/>
        </w:rPr>
        <w:t xml:space="preserve"> день</w:t>
      </w:r>
      <w:r w:rsidR="00522C92" w:rsidRPr="00F242DD">
        <w:rPr>
          <w:rFonts w:eastAsia="Times New Roman"/>
          <w:szCs w:val="24"/>
          <w:lang w:eastAsia="ru-RU"/>
        </w:rPr>
        <w:t>.</w:t>
      </w:r>
    </w:p>
    <w:p w14:paraId="334053E3" w14:textId="77777777" w:rsidR="000546DA" w:rsidRPr="00F242DD" w:rsidRDefault="000546DA" w:rsidP="00131E36">
      <w:pPr>
        <w:spacing w:before="0" w:after="0"/>
        <w:contextualSpacing/>
        <w:rPr>
          <w:rFonts w:eastAsia="Times New Roman"/>
          <w:b/>
          <w:szCs w:val="24"/>
          <w:lang w:eastAsia="ru-RU"/>
        </w:rPr>
      </w:pPr>
      <w:r w:rsidRPr="00F242DD">
        <w:rPr>
          <w:rFonts w:eastAsia="Times New Roman"/>
          <w:b/>
          <w:szCs w:val="24"/>
          <w:lang w:eastAsia="ru-RU"/>
        </w:rPr>
        <w:t>VBMCP (M2)</w:t>
      </w:r>
    </w:p>
    <w:p w14:paraId="45DEF26C" w14:textId="77777777" w:rsidR="000546DA" w:rsidRPr="00F242DD" w:rsidRDefault="000546DA" w:rsidP="00727CDE">
      <w:pPr>
        <w:pStyle w:val="a6"/>
        <w:numPr>
          <w:ilvl w:val="0"/>
          <w:numId w:val="50"/>
        </w:numPr>
        <w:spacing w:before="0" w:after="0"/>
        <w:jc w:val="left"/>
        <w:rPr>
          <w:rFonts w:eastAsia="Times New Roman"/>
          <w:szCs w:val="24"/>
          <w:lang w:eastAsia="ru-RU"/>
        </w:rPr>
      </w:pPr>
      <w:r w:rsidRPr="00F242DD">
        <w:rPr>
          <w:rFonts w:eastAsia="Times New Roman"/>
          <w:szCs w:val="24"/>
          <w:lang w:eastAsia="ru-RU"/>
        </w:rPr>
        <w:t>Винкристин** 1,2 мг/м</w:t>
      </w:r>
      <w:r w:rsidRPr="00F242DD">
        <w:rPr>
          <w:rFonts w:eastAsia="Times New Roman"/>
          <w:szCs w:val="24"/>
          <w:vertAlign w:val="superscript"/>
          <w:lang w:eastAsia="ru-RU"/>
        </w:rPr>
        <w:t>2</w:t>
      </w:r>
      <w:r w:rsidRPr="00F242DD">
        <w:rPr>
          <w:rFonts w:eastAsia="Times New Roman"/>
          <w:szCs w:val="24"/>
          <w:lang w:eastAsia="ru-RU"/>
        </w:rPr>
        <w:t xml:space="preserve"> в/в, день 1</w:t>
      </w:r>
      <w:r w:rsidR="00522C92" w:rsidRPr="00F242DD">
        <w:rPr>
          <w:rFonts w:eastAsia="Times New Roman"/>
          <w:szCs w:val="24"/>
          <w:lang w:eastAsia="ru-RU"/>
        </w:rPr>
        <w:t>-й</w:t>
      </w:r>
    </w:p>
    <w:p w14:paraId="1506F39A" w14:textId="77777777" w:rsidR="000546DA" w:rsidRPr="00F242DD" w:rsidRDefault="000546DA" w:rsidP="00727CDE">
      <w:pPr>
        <w:pStyle w:val="a6"/>
        <w:numPr>
          <w:ilvl w:val="0"/>
          <w:numId w:val="50"/>
        </w:numPr>
        <w:spacing w:before="0" w:after="0"/>
        <w:jc w:val="left"/>
        <w:rPr>
          <w:rFonts w:eastAsia="Times New Roman"/>
          <w:szCs w:val="24"/>
          <w:lang w:eastAsia="ru-RU"/>
        </w:rPr>
      </w:pPr>
      <w:r w:rsidRPr="00F242DD">
        <w:rPr>
          <w:rFonts w:eastAsia="Times New Roman"/>
          <w:szCs w:val="24"/>
          <w:lang w:eastAsia="ru-RU"/>
        </w:rPr>
        <w:t>Кармустин** 30 мг/м</w:t>
      </w:r>
      <w:r w:rsidRPr="00F242DD">
        <w:rPr>
          <w:rFonts w:eastAsia="Times New Roman"/>
          <w:szCs w:val="24"/>
          <w:vertAlign w:val="superscript"/>
          <w:lang w:eastAsia="ru-RU"/>
        </w:rPr>
        <w:t>2</w:t>
      </w:r>
      <w:r w:rsidRPr="00F242DD">
        <w:rPr>
          <w:rFonts w:eastAsia="Times New Roman"/>
          <w:szCs w:val="24"/>
          <w:lang w:eastAsia="ru-RU"/>
        </w:rPr>
        <w:t xml:space="preserve"> в/в, день 1</w:t>
      </w:r>
      <w:r w:rsidR="00522C92" w:rsidRPr="00F242DD">
        <w:rPr>
          <w:rFonts w:eastAsia="Times New Roman"/>
          <w:szCs w:val="24"/>
          <w:lang w:eastAsia="ru-RU"/>
        </w:rPr>
        <w:t>-й</w:t>
      </w:r>
      <w:r w:rsidRPr="00F242DD">
        <w:rPr>
          <w:rFonts w:eastAsia="Times New Roman"/>
          <w:szCs w:val="24"/>
          <w:lang w:eastAsia="ru-RU"/>
        </w:rPr>
        <w:t xml:space="preserve"> (может быть заменен на ломустин 80 мг/сут внутрь)</w:t>
      </w:r>
    </w:p>
    <w:p w14:paraId="46BC10AB" w14:textId="77777777" w:rsidR="000546DA" w:rsidRPr="00F242DD" w:rsidRDefault="000546DA" w:rsidP="00727CDE">
      <w:pPr>
        <w:pStyle w:val="a6"/>
        <w:numPr>
          <w:ilvl w:val="0"/>
          <w:numId w:val="50"/>
        </w:numPr>
        <w:spacing w:before="0" w:after="0"/>
        <w:jc w:val="left"/>
        <w:rPr>
          <w:rFonts w:eastAsia="Times New Roman"/>
          <w:szCs w:val="24"/>
          <w:lang w:eastAsia="ru-RU"/>
        </w:rPr>
      </w:pPr>
      <w:r w:rsidRPr="00F242DD">
        <w:rPr>
          <w:rFonts w:eastAsia="Times New Roman"/>
          <w:szCs w:val="24"/>
          <w:lang w:eastAsia="ru-RU"/>
        </w:rPr>
        <w:t>Мелфалан** 8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37D85307" w14:textId="77777777" w:rsidR="000546DA" w:rsidRPr="00F242DD" w:rsidRDefault="000546DA" w:rsidP="00727CDE">
      <w:pPr>
        <w:pStyle w:val="a6"/>
        <w:numPr>
          <w:ilvl w:val="0"/>
          <w:numId w:val="50"/>
        </w:numPr>
        <w:spacing w:before="0" w:after="0"/>
        <w:jc w:val="left"/>
        <w:rPr>
          <w:rFonts w:eastAsia="Times New Roman"/>
          <w:szCs w:val="24"/>
          <w:lang w:eastAsia="ru-RU"/>
        </w:rPr>
      </w:pPr>
      <w:r w:rsidRPr="00F242DD">
        <w:rPr>
          <w:rFonts w:eastAsia="Times New Roman"/>
          <w:szCs w:val="24"/>
          <w:lang w:eastAsia="ru-RU"/>
        </w:rPr>
        <w:t>Циклофосфамид** 400 мг/м</w:t>
      </w:r>
      <w:r w:rsidRPr="00F242DD">
        <w:rPr>
          <w:rFonts w:eastAsia="Times New Roman"/>
          <w:szCs w:val="24"/>
          <w:vertAlign w:val="superscript"/>
          <w:lang w:eastAsia="ru-RU"/>
        </w:rPr>
        <w:t>2</w:t>
      </w:r>
      <w:r w:rsidRPr="00F242DD">
        <w:rPr>
          <w:rFonts w:eastAsia="Times New Roman"/>
          <w:szCs w:val="24"/>
          <w:lang w:eastAsia="ru-RU"/>
        </w:rPr>
        <w:t xml:space="preserve"> в/в, день 1</w:t>
      </w:r>
      <w:r w:rsidR="00522C92" w:rsidRPr="00F242DD">
        <w:rPr>
          <w:rFonts w:eastAsia="Times New Roman"/>
          <w:szCs w:val="24"/>
          <w:lang w:eastAsia="ru-RU"/>
        </w:rPr>
        <w:t>-й</w:t>
      </w:r>
    </w:p>
    <w:p w14:paraId="00F60465" w14:textId="77777777" w:rsidR="000546DA" w:rsidRPr="00F242DD" w:rsidRDefault="000546DA" w:rsidP="00727CDE">
      <w:pPr>
        <w:pStyle w:val="a6"/>
        <w:numPr>
          <w:ilvl w:val="0"/>
          <w:numId w:val="50"/>
        </w:numPr>
        <w:spacing w:before="0" w:after="0"/>
        <w:jc w:val="left"/>
        <w:rPr>
          <w:rFonts w:eastAsia="Times New Roman"/>
          <w:szCs w:val="24"/>
          <w:lang w:eastAsia="ru-RU"/>
        </w:rPr>
      </w:pPr>
      <w:r w:rsidRPr="00F242DD">
        <w:rPr>
          <w:rFonts w:eastAsia="Times New Roman"/>
          <w:szCs w:val="24"/>
          <w:lang w:eastAsia="ru-RU"/>
        </w:rPr>
        <w:t>Преднизолон** 40 мг/м</w:t>
      </w:r>
      <w:r w:rsidRPr="00F242DD">
        <w:rPr>
          <w:rFonts w:eastAsia="Times New Roman"/>
          <w:szCs w:val="24"/>
          <w:vertAlign w:val="superscript"/>
          <w:lang w:eastAsia="ru-RU"/>
        </w:rPr>
        <w:t>2</w:t>
      </w:r>
      <w:r w:rsidRPr="00F242DD">
        <w:rPr>
          <w:rFonts w:eastAsia="Times New Roman"/>
          <w:szCs w:val="24"/>
          <w:lang w:eastAsia="ru-RU"/>
        </w:rPr>
        <w:t xml:space="preserve"> внутрь, дни 1</w:t>
      </w:r>
      <w:r w:rsidR="00522C92" w:rsidRPr="00F242DD">
        <w:rPr>
          <w:rFonts w:eastAsia="Times New Roman"/>
          <w:szCs w:val="24"/>
          <w:lang w:eastAsia="ru-RU"/>
        </w:rPr>
        <w:t>‒</w:t>
      </w:r>
      <w:r w:rsidRPr="00F242DD">
        <w:rPr>
          <w:rFonts w:eastAsia="Times New Roman"/>
          <w:szCs w:val="24"/>
          <w:lang w:eastAsia="ru-RU"/>
        </w:rPr>
        <w:t>7</w:t>
      </w:r>
      <w:r w:rsidR="00522C92" w:rsidRPr="00F242DD">
        <w:rPr>
          <w:rFonts w:eastAsia="Times New Roman"/>
          <w:szCs w:val="24"/>
          <w:lang w:eastAsia="ru-RU"/>
        </w:rPr>
        <w:t>-й</w:t>
      </w:r>
    </w:p>
    <w:p w14:paraId="791349CA"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возобновляется на 36</w:t>
      </w:r>
      <w:r w:rsidR="00522C92" w:rsidRPr="00F242DD">
        <w:rPr>
          <w:rFonts w:eastAsia="Times New Roman"/>
          <w:szCs w:val="24"/>
          <w:lang w:eastAsia="ru-RU"/>
        </w:rPr>
        <w:t>‒</w:t>
      </w:r>
      <w:r w:rsidRPr="00F242DD">
        <w:rPr>
          <w:rFonts w:eastAsia="Times New Roman"/>
          <w:szCs w:val="24"/>
          <w:lang w:eastAsia="ru-RU"/>
        </w:rPr>
        <w:t>43</w:t>
      </w:r>
      <w:r w:rsidR="00522C92" w:rsidRPr="00F242DD">
        <w:rPr>
          <w:rFonts w:eastAsia="Times New Roman"/>
          <w:szCs w:val="24"/>
          <w:lang w:eastAsia="ru-RU"/>
        </w:rPr>
        <w:t>-й</w:t>
      </w:r>
      <w:r w:rsidRPr="00F242DD">
        <w:rPr>
          <w:rFonts w:eastAsia="Times New Roman"/>
          <w:szCs w:val="24"/>
          <w:lang w:eastAsia="ru-RU"/>
        </w:rPr>
        <w:t xml:space="preserve"> день</w:t>
      </w:r>
      <w:r w:rsidR="00522C92" w:rsidRPr="00F242DD">
        <w:rPr>
          <w:rFonts w:eastAsia="Times New Roman"/>
          <w:szCs w:val="24"/>
          <w:lang w:eastAsia="ru-RU"/>
        </w:rPr>
        <w:t>.</w:t>
      </w:r>
    </w:p>
    <w:p w14:paraId="7402C5F0" w14:textId="77777777" w:rsidR="000546DA" w:rsidRPr="00F242DD" w:rsidRDefault="000546DA" w:rsidP="00131E36">
      <w:pPr>
        <w:spacing w:before="0" w:after="0"/>
        <w:contextualSpacing/>
        <w:rPr>
          <w:rFonts w:eastAsia="Times New Roman"/>
          <w:b/>
          <w:szCs w:val="24"/>
          <w:lang w:eastAsia="ru-RU"/>
        </w:rPr>
      </w:pPr>
      <w:r w:rsidRPr="00F242DD">
        <w:rPr>
          <w:rFonts w:eastAsia="Times New Roman"/>
          <w:b/>
          <w:szCs w:val="24"/>
          <w:lang w:eastAsia="ru-RU"/>
        </w:rPr>
        <w:t>CD</w:t>
      </w:r>
    </w:p>
    <w:p w14:paraId="297081CC" w14:textId="77777777" w:rsidR="000546DA" w:rsidRPr="00F242DD" w:rsidRDefault="000546DA" w:rsidP="00727CDE">
      <w:pPr>
        <w:pStyle w:val="a6"/>
        <w:numPr>
          <w:ilvl w:val="0"/>
          <w:numId w:val="51"/>
        </w:numPr>
        <w:spacing w:before="0" w:after="0"/>
        <w:jc w:val="left"/>
        <w:rPr>
          <w:rFonts w:eastAsia="Times New Roman"/>
          <w:szCs w:val="24"/>
          <w:lang w:eastAsia="ru-RU"/>
        </w:rPr>
      </w:pPr>
      <w:r w:rsidRPr="00F242DD">
        <w:rPr>
          <w:rFonts w:eastAsia="Times New Roman"/>
          <w:szCs w:val="24"/>
          <w:lang w:eastAsia="ru-RU"/>
        </w:rPr>
        <w:t>Циклофосфамид** 600 мг/м</w:t>
      </w:r>
      <w:r w:rsidRPr="00F242DD">
        <w:rPr>
          <w:rFonts w:eastAsia="Times New Roman"/>
          <w:szCs w:val="24"/>
          <w:vertAlign w:val="superscript"/>
          <w:lang w:eastAsia="ru-RU"/>
        </w:rPr>
        <w:t>2</w:t>
      </w:r>
      <w:r w:rsidRPr="00F242DD">
        <w:rPr>
          <w:rFonts w:eastAsia="Times New Roman"/>
          <w:szCs w:val="24"/>
          <w:lang w:eastAsia="ru-RU"/>
        </w:rPr>
        <w:t xml:space="preserve"> в/в,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5C304174" w14:textId="77777777" w:rsidR="000546DA" w:rsidRPr="00F242DD" w:rsidRDefault="000546DA" w:rsidP="00727CDE">
      <w:pPr>
        <w:pStyle w:val="a6"/>
        <w:numPr>
          <w:ilvl w:val="0"/>
          <w:numId w:val="51"/>
        </w:numPr>
        <w:spacing w:before="0" w:after="0"/>
        <w:jc w:val="left"/>
        <w:rPr>
          <w:rFonts w:eastAsia="Times New Roman"/>
          <w:szCs w:val="24"/>
          <w:lang w:eastAsia="ru-RU"/>
        </w:rPr>
      </w:pPr>
      <w:r w:rsidRPr="00F242DD">
        <w:rPr>
          <w:rFonts w:eastAsia="Times New Roman"/>
          <w:szCs w:val="24"/>
          <w:lang w:eastAsia="ru-RU"/>
        </w:rPr>
        <w:t>Дексаметазон** 40 мг внутрь,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424BF0E2"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возобновляется на 29</w:t>
      </w:r>
      <w:r w:rsidR="00522C92" w:rsidRPr="00F242DD">
        <w:rPr>
          <w:rFonts w:eastAsia="Times New Roman"/>
          <w:szCs w:val="24"/>
          <w:lang w:eastAsia="ru-RU"/>
        </w:rPr>
        <w:t>-й</w:t>
      </w:r>
      <w:r w:rsidRPr="00F242DD">
        <w:rPr>
          <w:rFonts w:eastAsia="Times New Roman"/>
          <w:szCs w:val="24"/>
          <w:lang w:eastAsia="ru-RU"/>
        </w:rPr>
        <w:t xml:space="preserve"> день</w:t>
      </w:r>
    </w:p>
    <w:p w14:paraId="7664DD99" w14:textId="77777777" w:rsidR="000546DA" w:rsidRPr="00F242DD" w:rsidRDefault="000546DA" w:rsidP="00131E36">
      <w:pPr>
        <w:spacing w:before="0" w:after="0"/>
        <w:contextualSpacing/>
        <w:rPr>
          <w:rFonts w:eastAsia="Times New Roman"/>
          <w:b/>
          <w:szCs w:val="24"/>
          <w:lang w:val="en-US" w:eastAsia="ru-RU"/>
        </w:rPr>
      </w:pPr>
      <w:r w:rsidRPr="00F242DD">
        <w:rPr>
          <w:rFonts w:eastAsia="Times New Roman"/>
          <w:b/>
          <w:szCs w:val="24"/>
          <w:lang w:eastAsia="ru-RU"/>
        </w:rPr>
        <w:t>DCEP</w:t>
      </w:r>
      <w:r w:rsidR="006A0AFE" w:rsidRPr="00F242DD">
        <w:rPr>
          <w:rFonts w:eastAsia="Times New Roman"/>
          <w:b/>
          <w:szCs w:val="24"/>
          <w:lang w:val="en-US" w:eastAsia="ru-RU"/>
        </w:rPr>
        <w:t xml:space="preserve"> </w:t>
      </w:r>
      <w:r w:rsidR="006A0AFE" w:rsidRPr="00F242DD">
        <w:rPr>
          <w:rFonts w:eastAsia="Times New Roman"/>
          <w:b/>
          <w:szCs w:val="24"/>
          <w:lang w:val="en-US" w:eastAsia="ru-RU"/>
        </w:rPr>
        <w:fldChar w:fldCharType="begin" w:fldLock="1"/>
      </w:r>
      <w:r w:rsidR="00315D6A" w:rsidRPr="00F242DD">
        <w:rPr>
          <w:rFonts w:eastAsia="Times New Roman"/>
          <w:b/>
          <w:szCs w:val="24"/>
          <w:lang w:val="en-US" w:eastAsia="ru-RU"/>
        </w:rPr>
        <w:instrText>ADDIN CSL_CITATION {"citationItems":[{"id":"ITEM-1","itemData":{"ISSN":"1107-0625","PMID":"17436400","abstract":"PURPOSE The purpose of this study was to assess the efficacy and toxicity of DCEP (dexamethasone, cyclophosphamide, etoposide, cisplatin), as third-line regimen in relapsed or refractory multiple myeloma (MM) patients. PATIENTS AND METHODS Twelve patients (11 men, 1 woman, aged 38-73 years, median 58) with relapsed or refractory MM received 28 cycles of DCEP. Eleven out of 12 patients had already failed 4-6 cycles of VAD (vincristine, doxorubicin, dexamethasone), 7/12 had received 2 or more lines of prior therapy and one of them had high-dose therapy with stem cell support. Seven out of 12 patients were candidates for megatherapy with autologous peripheral blood stem cells transplantation (ASCT) either as consolidation or as salvage treatment. Each cycle of DCEP consisted of cyclophosphamide 400 mg/m(2)/daily, cisplatin 15 mg/m(2)/daily and etoposide 40 mg/m(2)/daily as a 24h infusion, all three drugs administered on days 1-4; plus dexamethasone i.v. bolus 40 mg daily, days 1-4. The dose of cisplatin was adjusted in case of renal impairment. G-CSF was administered daily from day +5 to recovery. The course was repeated every 28 days or was delayed 5-10 days according to the patient's clinical condition. RESULTS The regimen was well tolerated with no major adverse reactions, except for grade 3 or 4 myelotoxicity of short duration. Responses were assessed using the EBMT criteria after the second cycle. Two out of 12 patients achieved complete remission (CR) and 5/12 partial remission (PR), while 5/12 had no response (NR). The overall response (OR) was 58.3% with a median response duration 9 months (range 4-36). Four patients proceeded to successful peripheral blood stem cell mobilization and transplantation. CONCLUSIONS DCEP is an effective and safe salvage treatment for relapsed or refractory MM patients which also offers the possibility for a successful peripheral blood stem cells collection in patients eligible for high-dose therapy and ASCT.","author":[{"dropping-particle":"","family":"Dadacaridou","given":"M","non-dropping-particle":"","parse-names":false,"suffix":""},{"dropping-particle":"","family":"Papanicolaou","given":"X","non-dropping-particle":"","parse-names":false,"suffix":""},{"dropping-particle":"","family":"Maltesas","given":"D","non-dropping-particle":"","parse-names":false,"suffix":""},{"dropping-particle":"","family":"Megalakaki","given":"C","non-dropping-particle":"","parse-names":false,"suffix":""},{"dropping-particle":"","family":"Patos","given":"P","non-dropping-particle":"","parse-names":false,"suffix":""},{"dropping-particle":"","family":"Panteli","given":"K","non-dropping-particle":"","parse-names":false,"suffix":""},{"dropping-particle":"","family":"Repousis","given":"P","non-dropping-particle":"","parse-names":false,"suffix":""},{"dropping-particle":"","family":"Mitsouli-Mentzikof","given":"C","non-dropping-particle":"","parse-names":false,"suffix":""}],"container-title":"Journal of B.U.ON. : official journal of the Balkan Union of Oncology","id":"ITEM-1","issue":"1","issued":{"date-parts":[["0"]]},"page":"41-4","title":"Dexamethasone, cyclophosphamide, etoposide and cisplatin (DCEP) for relapsed or refractory multiple myeloma patients.","type":"article-journal","volume":"12"},"uris":["http://www.mendeley.com/documents/?uuid=167ef954-b010-300e-bee1-fe4103db4375"]}],"mendeley":{"formattedCitation":"[80]","plainTextFormattedCitation":"[80]","previouslyFormattedCitation":"[79]"},"properties":{"noteIndex":0},"schema":"https://github.com/citation-style-language/schema/raw/master/csl-citation.json"}</w:instrText>
      </w:r>
      <w:r w:rsidR="006A0AFE" w:rsidRPr="00F242DD">
        <w:rPr>
          <w:rFonts w:eastAsia="Times New Roman"/>
          <w:b/>
          <w:szCs w:val="24"/>
          <w:lang w:val="en-US" w:eastAsia="ru-RU"/>
        </w:rPr>
        <w:fldChar w:fldCharType="separate"/>
      </w:r>
      <w:r w:rsidR="00315D6A" w:rsidRPr="00F242DD">
        <w:rPr>
          <w:rFonts w:eastAsia="Times New Roman"/>
          <w:noProof/>
          <w:szCs w:val="24"/>
          <w:lang w:val="en-US" w:eastAsia="ru-RU"/>
        </w:rPr>
        <w:t>[80]</w:t>
      </w:r>
      <w:r w:rsidR="006A0AFE" w:rsidRPr="00F242DD">
        <w:rPr>
          <w:rFonts w:eastAsia="Times New Roman"/>
          <w:b/>
          <w:szCs w:val="24"/>
          <w:lang w:val="en-US" w:eastAsia="ru-RU"/>
        </w:rPr>
        <w:fldChar w:fldCharType="end"/>
      </w:r>
    </w:p>
    <w:p w14:paraId="16962C13" w14:textId="77777777" w:rsidR="000546DA" w:rsidRPr="00F242DD" w:rsidRDefault="000546DA" w:rsidP="00727CDE">
      <w:pPr>
        <w:pStyle w:val="a6"/>
        <w:numPr>
          <w:ilvl w:val="0"/>
          <w:numId w:val="52"/>
        </w:numPr>
        <w:spacing w:before="0" w:after="0"/>
        <w:jc w:val="left"/>
        <w:rPr>
          <w:rFonts w:eastAsia="Times New Roman"/>
          <w:szCs w:val="24"/>
          <w:lang w:eastAsia="ru-RU"/>
        </w:rPr>
      </w:pPr>
      <w:r w:rsidRPr="00F242DD">
        <w:rPr>
          <w:rFonts w:eastAsia="Times New Roman"/>
          <w:szCs w:val="24"/>
          <w:lang w:eastAsia="ru-RU"/>
        </w:rPr>
        <w:t>Дексаметазон** 40 мг в/в,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1A258130" w14:textId="77777777" w:rsidR="000546DA" w:rsidRPr="00F242DD" w:rsidRDefault="000546DA" w:rsidP="00727CDE">
      <w:pPr>
        <w:pStyle w:val="a6"/>
        <w:numPr>
          <w:ilvl w:val="0"/>
          <w:numId w:val="52"/>
        </w:numPr>
        <w:spacing w:before="0" w:after="0"/>
        <w:jc w:val="left"/>
        <w:rPr>
          <w:rFonts w:eastAsia="Times New Roman"/>
          <w:szCs w:val="24"/>
          <w:lang w:eastAsia="ru-RU"/>
        </w:rPr>
      </w:pPr>
      <w:r w:rsidRPr="00F242DD">
        <w:rPr>
          <w:rFonts w:eastAsia="Times New Roman"/>
          <w:szCs w:val="24"/>
          <w:lang w:eastAsia="ru-RU"/>
        </w:rPr>
        <w:t>Циклофосфамид** 400 мг/м</w:t>
      </w:r>
      <w:r w:rsidRPr="00F242DD">
        <w:rPr>
          <w:rFonts w:eastAsia="Times New Roman"/>
          <w:szCs w:val="24"/>
          <w:vertAlign w:val="superscript"/>
          <w:lang w:eastAsia="ru-RU"/>
        </w:rPr>
        <w:t>2</w:t>
      </w:r>
      <w:r w:rsidRPr="00F242DD">
        <w:rPr>
          <w:rFonts w:eastAsia="Times New Roman"/>
          <w:szCs w:val="24"/>
          <w:lang w:eastAsia="ru-RU"/>
        </w:rPr>
        <w:t xml:space="preserve"> в/в 24-часовая инфузия,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2BD9CF54" w14:textId="77777777" w:rsidR="000546DA" w:rsidRPr="00F242DD" w:rsidRDefault="000546DA" w:rsidP="00727CDE">
      <w:pPr>
        <w:pStyle w:val="a6"/>
        <w:numPr>
          <w:ilvl w:val="0"/>
          <w:numId w:val="52"/>
        </w:numPr>
        <w:spacing w:before="0" w:after="0"/>
        <w:jc w:val="left"/>
        <w:rPr>
          <w:rFonts w:eastAsia="Times New Roman"/>
          <w:szCs w:val="24"/>
          <w:lang w:eastAsia="ru-RU"/>
        </w:rPr>
      </w:pPr>
      <w:r w:rsidRPr="00F242DD">
        <w:rPr>
          <w:rFonts w:eastAsia="Times New Roman"/>
          <w:szCs w:val="24"/>
          <w:lang w:eastAsia="ru-RU"/>
        </w:rPr>
        <w:t>#Этопозид** 40 мг/м</w:t>
      </w:r>
      <w:r w:rsidRPr="00F242DD">
        <w:rPr>
          <w:rFonts w:eastAsia="Times New Roman"/>
          <w:szCs w:val="24"/>
          <w:vertAlign w:val="superscript"/>
          <w:lang w:eastAsia="ru-RU"/>
        </w:rPr>
        <w:t>2</w:t>
      </w:r>
      <w:r w:rsidRPr="00F242DD">
        <w:rPr>
          <w:rFonts w:eastAsia="Times New Roman"/>
          <w:szCs w:val="24"/>
          <w:lang w:eastAsia="ru-RU"/>
        </w:rPr>
        <w:t xml:space="preserve"> в/в 24-часовая инфузия,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p>
    <w:p w14:paraId="5DF38887" w14:textId="77777777" w:rsidR="000546DA" w:rsidRPr="00F242DD" w:rsidRDefault="000546DA" w:rsidP="00727CDE">
      <w:pPr>
        <w:pStyle w:val="a6"/>
        <w:numPr>
          <w:ilvl w:val="0"/>
          <w:numId w:val="52"/>
        </w:numPr>
        <w:spacing w:before="0" w:after="0"/>
        <w:jc w:val="left"/>
        <w:rPr>
          <w:rFonts w:eastAsia="Times New Roman"/>
          <w:szCs w:val="24"/>
          <w:lang w:eastAsia="ru-RU"/>
        </w:rPr>
      </w:pPr>
      <w:r w:rsidRPr="00F242DD">
        <w:rPr>
          <w:rFonts w:eastAsia="Times New Roman"/>
          <w:szCs w:val="24"/>
          <w:lang w:eastAsia="ru-RU"/>
        </w:rPr>
        <w:t>#Цисплатин** 15 мг/м</w:t>
      </w:r>
      <w:r w:rsidRPr="00F242DD">
        <w:rPr>
          <w:rFonts w:eastAsia="Times New Roman"/>
          <w:szCs w:val="24"/>
          <w:vertAlign w:val="superscript"/>
          <w:lang w:eastAsia="ru-RU"/>
        </w:rPr>
        <w:t>2</w:t>
      </w:r>
      <w:r w:rsidRPr="00F242DD">
        <w:rPr>
          <w:rFonts w:eastAsia="Times New Roman"/>
          <w:szCs w:val="24"/>
          <w:lang w:eastAsia="ru-RU"/>
        </w:rPr>
        <w:t xml:space="preserve"> в/в 24-часовая инфузия, дни 1</w:t>
      </w:r>
      <w:r w:rsidR="00522C92" w:rsidRPr="00F242DD">
        <w:rPr>
          <w:rFonts w:eastAsia="Times New Roman"/>
          <w:szCs w:val="24"/>
          <w:lang w:eastAsia="ru-RU"/>
        </w:rPr>
        <w:t>‒</w:t>
      </w:r>
      <w:r w:rsidRPr="00F242DD">
        <w:rPr>
          <w:rFonts w:eastAsia="Times New Roman"/>
          <w:szCs w:val="24"/>
          <w:lang w:eastAsia="ru-RU"/>
        </w:rPr>
        <w:t>4</w:t>
      </w:r>
      <w:r w:rsidR="00522C92" w:rsidRPr="00F242DD">
        <w:rPr>
          <w:rFonts w:eastAsia="Times New Roman"/>
          <w:szCs w:val="24"/>
          <w:lang w:eastAsia="ru-RU"/>
        </w:rPr>
        <w:t>-й</w:t>
      </w:r>
      <w:r w:rsidRPr="00F242DD">
        <w:rPr>
          <w:rFonts w:eastAsia="Times New Roman"/>
          <w:szCs w:val="24"/>
          <w:lang w:eastAsia="ru-RU"/>
        </w:rPr>
        <w:t xml:space="preserve"> (доза снижается при почечной недостаточности)</w:t>
      </w:r>
    </w:p>
    <w:p w14:paraId="62C99A07" w14:textId="77777777" w:rsidR="000546DA" w:rsidRPr="00F242DD" w:rsidRDefault="00221B7B" w:rsidP="00727CDE">
      <w:pPr>
        <w:pStyle w:val="a6"/>
        <w:numPr>
          <w:ilvl w:val="0"/>
          <w:numId w:val="52"/>
        </w:numPr>
        <w:spacing w:before="0" w:after="0"/>
        <w:jc w:val="left"/>
        <w:rPr>
          <w:rFonts w:eastAsia="Times New Roman"/>
          <w:szCs w:val="24"/>
          <w:lang w:eastAsia="ru-RU"/>
        </w:rPr>
      </w:pPr>
      <w:r w:rsidRPr="00F242DD">
        <w:rPr>
          <w:rFonts w:eastAsia="Times New Roman"/>
          <w:szCs w:val="24"/>
          <w:lang w:eastAsia="ru-RU"/>
        </w:rPr>
        <w:t>#</w:t>
      </w:r>
      <w:r w:rsidR="000546DA" w:rsidRPr="00F242DD">
        <w:rPr>
          <w:rFonts w:eastAsia="Times New Roman"/>
          <w:szCs w:val="24"/>
          <w:lang w:eastAsia="ru-RU"/>
        </w:rPr>
        <w:t xml:space="preserve">Г-КСФ </w:t>
      </w:r>
      <w:r w:rsidR="006A0AFE" w:rsidRPr="00F242DD">
        <w:rPr>
          <w:rFonts w:eastAsia="Times New Roman"/>
          <w:szCs w:val="24"/>
          <w:lang w:eastAsia="ru-RU"/>
        </w:rPr>
        <w:t xml:space="preserve">в дозировке согласно инструкции по применению препарата, </w:t>
      </w:r>
      <w:r w:rsidR="000546DA" w:rsidRPr="00F242DD">
        <w:rPr>
          <w:rFonts w:eastAsia="Times New Roman"/>
          <w:szCs w:val="24"/>
          <w:lang w:eastAsia="ru-RU"/>
        </w:rPr>
        <w:t>с 5</w:t>
      </w:r>
      <w:r w:rsidR="00522C92" w:rsidRPr="00F242DD">
        <w:rPr>
          <w:rFonts w:eastAsia="Times New Roman"/>
          <w:szCs w:val="24"/>
          <w:lang w:eastAsia="ru-RU"/>
        </w:rPr>
        <w:t>-го</w:t>
      </w:r>
      <w:r w:rsidR="000546DA" w:rsidRPr="00F242DD">
        <w:rPr>
          <w:rFonts w:eastAsia="Times New Roman"/>
          <w:szCs w:val="24"/>
          <w:lang w:eastAsia="ru-RU"/>
        </w:rPr>
        <w:t xml:space="preserve"> дня до восстановления уровня нейтрофилов</w:t>
      </w:r>
    </w:p>
    <w:p w14:paraId="6B26E977" w14:textId="77777777" w:rsidR="000546DA" w:rsidRPr="00F242DD"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 возобновляется на 29</w:t>
      </w:r>
      <w:r w:rsidR="00522C92" w:rsidRPr="00F242DD">
        <w:rPr>
          <w:rFonts w:eastAsia="Times New Roman"/>
          <w:szCs w:val="24"/>
          <w:lang w:eastAsia="ru-RU"/>
        </w:rPr>
        <w:t>-й</w:t>
      </w:r>
      <w:r w:rsidRPr="00F242DD">
        <w:rPr>
          <w:rFonts w:eastAsia="Times New Roman"/>
          <w:szCs w:val="24"/>
          <w:lang w:eastAsia="ru-RU"/>
        </w:rPr>
        <w:t xml:space="preserve"> день или откладывается на 5</w:t>
      </w:r>
      <w:r w:rsidR="00522C92" w:rsidRPr="00F242DD">
        <w:rPr>
          <w:rFonts w:eastAsia="Times New Roman"/>
          <w:szCs w:val="24"/>
          <w:lang w:eastAsia="ru-RU"/>
        </w:rPr>
        <w:t>‒</w:t>
      </w:r>
      <w:r w:rsidRPr="00F242DD">
        <w:rPr>
          <w:rFonts w:eastAsia="Times New Roman"/>
          <w:szCs w:val="24"/>
          <w:lang w:eastAsia="ru-RU"/>
        </w:rPr>
        <w:t>10 дней по клиническим показаниям</w:t>
      </w:r>
      <w:r w:rsidR="00522C92" w:rsidRPr="00F242DD">
        <w:rPr>
          <w:rFonts w:eastAsia="Times New Roman"/>
          <w:szCs w:val="24"/>
          <w:lang w:eastAsia="ru-RU"/>
        </w:rPr>
        <w:t>.</w:t>
      </w:r>
    </w:p>
    <w:p w14:paraId="4ED75BC9" w14:textId="77777777" w:rsidR="000546DA" w:rsidRPr="008F69F6" w:rsidRDefault="000546DA" w:rsidP="00131E36">
      <w:pPr>
        <w:spacing w:before="0" w:after="0"/>
        <w:contextualSpacing/>
        <w:rPr>
          <w:rFonts w:eastAsia="Times New Roman"/>
          <w:b/>
          <w:szCs w:val="24"/>
          <w:lang w:val="en-US" w:eastAsia="ru-RU"/>
        </w:rPr>
      </w:pPr>
      <w:r w:rsidRPr="00F242DD">
        <w:rPr>
          <w:rFonts w:eastAsia="Times New Roman"/>
          <w:b/>
          <w:szCs w:val="24"/>
          <w:lang w:eastAsia="ru-RU"/>
        </w:rPr>
        <w:t>VD-PACE</w:t>
      </w:r>
      <w:r w:rsidR="001E16F8" w:rsidRPr="00F242DD">
        <w:rPr>
          <w:rFonts w:eastAsia="Times New Roman"/>
          <w:b/>
          <w:szCs w:val="24"/>
          <w:lang w:val="en-US" w:eastAsia="ru-RU"/>
        </w:rPr>
        <w:t xml:space="preserve"> </w:t>
      </w:r>
      <w:r w:rsidR="001E16F8" w:rsidRPr="00F242DD">
        <w:rPr>
          <w:rFonts w:eastAsia="Times New Roman"/>
          <w:b/>
          <w:szCs w:val="24"/>
          <w:lang w:val="en-US" w:eastAsia="ru-RU"/>
        </w:rPr>
        <w:fldChar w:fldCharType="begin" w:fldLock="1"/>
      </w:r>
      <w:r w:rsidR="00315D6A" w:rsidRPr="00F242DD">
        <w:rPr>
          <w:rFonts w:eastAsia="Times New Roman"/>
          <w:b/>
          <w:szCs w:val="24"/>
          <w:lang w:val="en-US" w:eastAsia="ru-RU"/>
        </w:rPr>
        <w:instrText>ADDIN CSL_CITATION {"citationItems":[{"id":"ITEM-1","itemData":{"DOI":"10.1002/ajh.24954","ISSN":"03618609","author":[{"dropping-particle":"","family":"Lakshman","given":"Arjun","non-dropping-particle":"","parse-names":false,"suffix":""},{"dropping-particle":"","family":"Singh","given":"Preet Paul","non-dropping-particle":"","parse-names":false,"suffix":""},{"dropping-particle":"","family":"Rajkumar","given":"S. Vincent","non-dropping-particle":"","parse-names":false,"suffix":""},{"dropping-particle":"","family":"Dispenzieri","given":"Angela","non-dropping-particle":"","parse-names":false,"suffix":""},{"dropping-particle":"","family":"Lacy","given":"Martha Q.","non-dropping-particle":"","parse-names":false,"suffix":""},{"dropping-particle":"","family":"Gertz","given":"Morie A.","non-dropping-particle":"","parse-names":false,"suffix":""},{"dropping-particle":"","family":"Buadi","given":"Francis K.","non-dropping-particle":"","parse-names":false,"suffix":""},{"dropping-particle":"","family":"Dingli","given":"David","non-dropping-particle":"","parse-names":false,"suffix":""},{"dropping-particle":"","family":"Hwa","given":"Yi Lisa","non-dropping-particle":"","parse-names":false,"suffix":""},{"dropping-particle":"","family":"Fonder","given":"Amie L.","non-dropping-particle":"","parse-names":false,"suffix":""},{"dropping-particle":"","family":"Hobbs","given":"Miriam","non-dropping-particle":"","parse-names":false,"suffix":""},{"dropping-particle":"","family":"Hayman","given":"Suzanne R.","non-dropping-particle":"","parse-names":false,"suffix":""},{"dropping-particle":"","family":"Zeldenrust","given":"Steven R.","non-dropping-particle":"","parse-names":false,"suffix":""},{"dropping-particle":"","family":"Lust","given":"John A.","non-dropping-particle":"","parse-names":false,"suffix":""},{"dropping-particle":"","family":"Russell","given":"Stephen J.","non-dropping-particle":"","parse-names":false,"suffix":""},{"dropping-particle":"","family":"Leung","given":"Nelson","non-dropping-particle":"","parse-names":false,"suffix":""},{"dropping-particle":"","family":"Kapoor","given":"Prashant</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non</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dropping</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particle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parse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names</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false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suffix</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dropping</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particle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family</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Go</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given</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Ronald</w:instrText>
      </w:r>
      <w:r w:rsidR="00315D6A" w:rsidRPr="008F69F6">
        <w:rPr>
          <w:rFonts w:eastAsia="Times New Roman"/>
          <w:b/>
          <w:szCs w:val="24"/>
          <w:lang w:val="en-US" w:eastAsia="ru-RU"/>
        </w:rPr>
        <w:instrText xml:space="preserve"> </w:instrText>
      </w:r>
      <w:r w:rsidR="00315D6A" w:rsidRPr="00F242DD">
        <w:rPr>
          <w:rFonts w:eastAsia="Times New Roman"/>
          <w:b/>
          <w:szCs w:val="24"/>
          <w:lang w:val="en-US" w:eastAsia="ru-RU"/>
        </w:rPr>
        <w:instrText>S</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non</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dropping</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particle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parse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names</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false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suffix</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dropping</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particle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family</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Lin</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given</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Yi</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non</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dropping</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particle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parse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names</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false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suffix</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dropping</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particle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family</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Gonsalves</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given</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Wilson</w:instrText>
      </w:r>
      <w:r w:rsidR="00315D6A" w:rsidRPr="008F69F6">
        <w:rPr>
          <w:rFonts w:eastAsia="Times New Roman"/>
          <w:b/>
          <w:szCs w:val="24"/>
          <w:lang w:val="en-US" w:eastAsia="ru-RU"/>
        </w:rPr>
        <w:instrText xml:space="preserve"> </w:instrText>
      </w:r>
      <w:r w:rsidR="00315D6A" w:rsidRPr="00F242DD">
        <w:rPr>
          <w:rFonts w:eastAsia="Times New Roman"/>
          <w:b/>
          <w:szCs w:val="24"/>
          <w:lang w:val="en-US" w:eastAsia="ru-RU"/>
        </w:rPr>
        <w:instrText>I</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non</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dropping</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particle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parse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names</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false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suffix</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dropping</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particle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family</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Kourelis</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given</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Taxiarchis</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non</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dropping</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particle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parse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names</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false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suffix</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dropping</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particle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family</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Warsame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given</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Rahma</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non</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dropping</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particle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parse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names</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false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suffix</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dropping</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particle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family</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Kyle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given</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Robert</w:instrText>
      </w:r>
      <w:r w:rsidR="00315D6A" w:rsidRPr="008F69F6">
        <w:rPr>
          <w:rFonts w:eastAsia="Times New Roman"/>
          <w:b/>
          <w:szCs w:val="24"/>
          <w:lang w:val="en-US" w:eastAsia="ru-RU"/>
        </w:rPr>
        <w:instrText xml:space="preserve"> </w:instrText>
      </w:r>
      <w:r w:rsidR="00315D6A" w:rsidRPr="00F242DD">
        <w:rPr>
          <w:rFonts w:eastAsia="Times New Roman"/>
          <w:b/>
          <w:szCs w:val="24"/>
          <w:lang w:val="en-US" w:eastAsia="ru-RU"/>
        </w:rPr>
        <w:instrText>A</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non</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dropping</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particle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parse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names</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false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suffix</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dropping</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particle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family</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Kumar</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given</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Shaji</w:instrText>
      </w:r>
      <w:r w:rsidR="00315D6A" w:rsidRPr="008F69F6">
        <w:rPr>
          <w:rFonts w:eastAsia="Times New Roman"/>
          <w:b/>
          <w:szCs w:val="24"/>
          <w:lang w:val="en-US" w:eastAsia="ru-RU"/>
        </w:rPr>
        <w:instrText xml:space="preserve"> </w:instrText>
      </w:r>
      <w:r w:rsidR="00315D6A" w:rsidRPr="00F242DD">
        <w:rPr>
          <w:rFonts w:eastAsia="Times New Roman"/>
          <w:b/>
          <w:szCs w:val="24"/>
          <w:lang w:val="en-US" w:eastAsia="ru-RU"/>
        </w:rPr>
        <w:instrText>K</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non</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dropping</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particle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parse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names</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false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suffix</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container</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title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American</w:instrText>
      </w:r>
      <w:r w:rsidR="00315D6A" w:rsidRPr="008F69F6">
        <w:rPr>
          <w:rFonts w:eastAsia="Times New Roman"/>
          <w:b/>
          <w:szCs w:val="24"/>
          <w:lang w:val="en-US" w:eastAsia="ru-RU"/>
        </w:rPr>
        <w:instrText xml:space="preserve"> </w:instrText>
      </w:r>
      <w:r w:rsidR="00315D6A" w:rsidRPr="00F242DD">
        <w:rPr>
          <w:rFonts w:eastAsia="Times New Roman"/>
          <w:b/>
          <w:szCs w:val="24"/>
          <w:lang w:val="en-US" w:eastAsia="ru-RU"/>
        </w:rPr>
        <w:instrText>Journal</w:instrText>
      </w:r>
      <w:r w:rsidR="00315D6A" w:rsidRPr="008F69F6">
        <w:rPr>
          <w:rFonts w:eastAsia="Times New Roman"/>
          <w:b/>
          <w:szCs w:val="24"/>
          <w:lang w:val="en-US" w:eastAsia="ru-RU"/>
        </w:rPr>
        <w:instrText xml:space="preserve"> </w:instrText>
      </w:r>
      <w:r w:rsidR="00315D6A" w:rsidRPr="00F242DD">
        <w:rPr>
          <w:rFonts w:eastAsia="Times New Roman"/>
          <w:b/>
          <w:szCs w:val="24"/>
          <w:lang w:val="en-US" w:eastAsia="ru-RU"/>
        </w:rPr>
        <w:instrText>of</w:instrText>
      </w:r>
      <w:r w:rsidR="00315D6A" w:rsidRPr="008F69F6">
        <w:rPr>
          <w:rFonts w:eastAsia="Times New Roman"/>
          <w:b/>
          <w:szCs w:val="24"/>
          <w:lang w:val="en-US" w:eastAsia="ru-RU"/>
        </w:rPr>
        <w:instrText xml:space="preserve"> </w:instrText>
      </w:r>
      <w:r w:rsidR="00315D6A" w:rsidRPr="00F242DD">
        <w:rPr>
          <w:rFonts w:eastAsia="Times New Roman"/>
          <w:b/>
          <w:szCs w:val="24"/>
          <w:lang w:val="en-US" w:eastAsia="ru-RU"/>
        </w:rPr>
        <w:instrText>Hematology</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id</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ITEM</w:instrText>
      </w:r>
      <w:r w:rsidR="00315D6A" w:rsidRPr="008F69F6">
        <w:rPr>
          <w:rFonts w:eastAsia="Times New Roman"/>
          <w:b/>
          <w:szCs w:val="24"/>
          <w:lang w:val="en-US" w:eastAsia="ru-RU"/>
        </w:rPr>
        <w:instrText>-1","</w:instrText>
      </w:r>
      <w:r w:rsidR="00315D6A" w:rsidRPr="00F242DD">
        <w:rPr>
          <w:rFonts w:eastAsia="Times New Roman"/>
          <w:b/>
          <w:szCs w:val="24"/>
          <w:lang w:val="en-US" w:eastAsia="ru-RU"/>
        </w:rPr>
        <w:instrText>issue</w:instrText>
      </w:r>
      <w:r w:rsidR="00315D6A" w:rsidRPr="008F69F6">
        <w:rPr>
          <w:rFonts w:eastAsia="Times New Roman"/>
          <w:b/>
          <w:szCs w:val="24"/>
          <w:lang w:val="en-US" w:eastAsia="ru-RU"/>
        </w:rPr>
        <w:instrText>":"2","</w:instrText>
      </w:r>
      <w:r w:rsidR="00315D6A" w:rsidRPr="00F242DD">
        <w:rPr>
          <w:rFonts w:eastAsia="Times New Roman"/>
          <w:b/>
          <w:szCs w:val="24"/>
          <w:lang w:val="en-US" w:eastAsia="ru-RU"/>
        </w:rPr>
        <w:instrText>issued</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date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parts</w:instrText>
      </w:r>
      <w:r w:rsidR="00315D6A" w:rsidRPr="008F69F6">
        <w:rPr>
          <w:rFonts w:eastAsia="Times New Roman"/>
          <w:b/>
          <w:szCs w:val="24"/>
          <w:lang w:val="en-US" w:eastAsia="ru-RU"/>
        </w:rPr>
        <w:instrText>":[["2018","2"]]},"</w:instrText>
      </w:r>
      <w:r w:rsidR="00315D6A" w:rsidRPr="00F242DD">
        <w:rPr>
          <w:rFonts w:eastAsia="Times New Roman"/>
          <w:b/>
          <w:szCs w:val="24"/>
          <w:lang w:val="en-US" w:eastAsia="ru-RU"/>
        </w:rPr>
        <w:instrText>page</w:instrText>
      </w:r>
      <w:r w:rsidR="00315D6A" w:rsidRPr="008F69F6">
        <w:rPr>
          <w:rFonts w:eastAsia="Times New Roman"/>
          <w:b/>
          <w:szCs w:val="24"/>
          <w:lang w:val="en-US" w:eastAsia="ru-RU"/>
        </w:rPr>
        <w:instrText>":"179-186","</w:instrText>
      </w:r>
      <w:r w:rsidR="00315D6A" w:rsidRPr="00F242DD">
        <w:rPr>
          <w:rFonts w:eastAsia="Times New Roman"/>
          <w:b/>
          <w:szCs w:val="24"/>
          <w:lang w:val="en-US" w:eastAsia="ru-RU"/>
        </w:rPr>
        <w:instrText>title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Efficacy</w:instrText>
      </w:r>
      <w:r w:rsidR="00315D6A" w:rsidRPr="008F69F6">
        <w:rPr>
          <w:rFonts w:eastAsia="Times New Roman"/>
          <w:b/>
          <w:szCs w:val="24"/>
          <w:lang w:val="en-US" w:eastAsia="ru-RU"/>
        </w:rPr>
        <w:instrText xml:space="preserve"> </w:instrText>
      </w:r>
      <w:r w:rsidR="00315D6A" w:rsidRPr="00F242DD">
        <w:rPr>
          <w:rFonts w:eastAsia="Times New Roman"/>
          <w:b/>
          <w:szCs w:val="24"/>
          <w:lang w:val="en-US" w:eastAsia="ru-RU"/>
        </w:rPr>
        <w:instrText>of</w:instrText>
      </w:r>
      <w:r w:rsidR="00315D6A" w:rsidRPr="008F69F6">
        <w:rPr>
          <w:rFonts w:eastAsia="Times New Roman"/>
          <w:b/>
          <w:szCs w:val="24"/>
          <w:lang w:val="en-US" w:eastAsia="ru-RU"/>
        </w:rPr>
        <w:instrText xml:space="preserve"> </w:instrText>
      </w:r>
      <w:r w:rsidR="00315D6A" w:rsidRPr="00F242DD">
        <w:rPr>
          <w:rFonts w:eastAsia="Times New Roman"/>
          <w:b/>
          <w:szCs w:val="24"/>
          <w:lang w:val="en-US" w:eastAsia="ru-RU"/>
        </w:rPr>
        <w:instrText>VDT</w:instrText>
      </w:r>
      <w:r w:rsidR="00315D6A" w:rsidRPr="008F69F6">
        <w:rPr>
          <w:rFonts w:eastAsia="Times New Roman"/>
          <w:b/>
          <w:szCs w:val="24"/>
          <w:lang w:val="en-US" w:eastAsia="ru-RU"/>
        </w:rPr>
        <w:instrText xml:space="preserve"> </w:instrText>
      </w:r>
      <w:r w:rsidR="00315D6A" w:rsidRPr="00F242DD">
        <w:rPr>
          <w:rFonts w:eastAsia="Times New Roman"/>
          <w:b/>
          <w:szCs w:val="24"/>
          <w:lang w:val="en-US" w:eastAsia="ru-RU"/>
        </w:rPr>
        <w:instrText>PACE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like</w:instrText>
      </w:r>
      <w:r w:rsidR="00315D6A" w:rsidRPr="008F69F6">
        <w:rPr>
          <w:rFonts w:eastAsia="Times New Roman"/>
          <w:b/>
          <w:szCs w:val="24"/>
          <w:lang w:val="en-US" w:eastAsia="ru-RU"/>
        </w:rPr>
        <w:instrText xml:space="preserve"> </w:instrText>
      </w:r>
      <w:r w:rsidR="00315D6A" w:rsidRPr="00F242DD">
        <w:rPr>
          <w:rFonts w:eastAsia="Times New Roman"/>
          <w:b/>
          <w:szCs w:val="24"/>
          <w:lang w:val="en-US" w:eastAsia="ru-RU"/>
        </w:rPr>
        <w:instrText>regimens</w:instrText>
      </w:r>
      <w:r w:rsidR="00315D6A" w:rsidRPr="008F69F6">
        <w:rPr>
          <w:rFonts w:eastAsia="Times New Roman"/>
          <w:b/>
          <w:szCs w:val="24"/>
          <w:lang w:val="en-US" w:eastAsia="ru-RU"/>
        </w:rPr>
        <w:instrText xml:space="preserve"> </w:instrText>
      </w:r>
      <w:r w:rsidR="00315D6A" w:rsidRPr="00F242DD">
        <w:rPr>
          <w:rFonts w:eastAsia="Times New Roman"/>
          <w:b/>
          <w:szCs w:val="24"/>
          <w:lang w:val="en-US" w:eastAsia="ru-RU"/>
        </w:rPr>
        <w:instrText>in</w:instrText>
      </w:r>
      <w:r w:rsidR="00315D6A" w:rsidRPr="008F69F6">
        <w:rPr>
          <w:rFonts w:eastAsia="Times New Roman"/>
          <w:b/>
          <w:szCs w:val="24"/>
          <w:lang w:val="en-US" w:eastAsia="ru-RU"/>
        </w:rPr>
        <w:instrText xml:space="preserve"> </w:instrText>
      </w:r>
      <w:r w:rsidR="00315D6A" w:rsidRPr="00F242DD">
        <w:rPr>
          <w:rFonts w:eastAsia="Times New Roman"/>
          <w:b/>
          <w:szCs w:val="24"/>
          <w:lang w:val="en-US" w:eastAsia="ru-RU"/>
        </w:rPr>
        <w:instrText>treatment</w:instrText>
      </w:r>
      <w:r w:rsidR="00315D6A" w:rsidRPr="008F69F6">
        <w:rPr>
          <w:rFonts w:eastAsia="Times New Roman"/>
          <w:b/>
          <w:szCs w:val="24"/>
          <w:lang w:val="en-US" w:eastAsia="ru-RU"/>
        </w:rPr>
        <w:instrText xml:space="preserve"> </w:instrText>
      </w:r>
      <w:r w:rsidR="00315D6A" w:rsidRPr="00F242DD">
        <w:rPr>
          <w:rFonts w:eastAsia="Times New Roman"/>
          <w:b/>
          <w:szCs w:val="24"/>
          <w:lang w:val="en-US" w:eastAsia="ru-RU"/>
        </w:rPr>
        <w:instrText>of</w:instrText>
      </w:r>
      <w:r w:rsidR="00315D6A" w:rsidRPr="008F69F6">
        <w:rPr>
          <w:rFonts w:eastAsia="Times New Roman"/>
          <w:b/>
          <w:szCs w:val="24"/>
          <w:lang w:val="en-US" w:eastAsia="ru-RU"/>
        </w:rPr>
        <w:instrText xml:space="preserve"> </w:instrText>
      </w:r>
      <w:r w:rsidR="00315D6A" w:rsidRPr="00F242DD">
        <w:rPr>
          <w:rFonts w:eastAsia="Times New Roman"/>
          <w:b/>
          <w:szCs w:val="24"/>
          <w:lang w:val="en-US" w:eastAsia="ru-RU"/>
        </w:rPr>
        <w:instrText>relapsed</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refractory</w:instrText>
      </w:r>
      <w:r w:rsidR="00315D6A" w:rsidRPr="008F69F6">
        <w:rPr>
          <w:rFonts w:eastAsia="Times New Roman"/>
          <w:b/>
          <w:szCs w:val="24"/>
          <w:lang w:val="en-US" w:eastAsia="ru-RU"/>
        </w:rPr>
        <w:instrText xml:space="preserve"> </w:instrText>
      </w:r>
      <w:r w:rsidR="00315D6A" w:rsidRPr="00F242DD">
        <w:rPr>
          <w:rFonts w:eastAsia="Times New Roman"/>
          <w:b/>
          <w:szCs w:val="24"/>
          <w:lang w:val="en-US" w:eastAsia="ru-RU"/>
        </w:rPr>
        <w:instrText>multiple</w:instrText>
      </w:r>
      <w:r w:rsidR="00315D6A" w:rsidRPr="008F69F6">
        <w:rPr>
          <w:rFonts w:eastAsia="Times New Roman"/>
          <w:b/>
          <w:szCs w:val="24"/>
          <w:lang w:val="en-US" w:eastAsia="ru-RU"/>
        </w:rPr>
        <w:instrText xml:space="preserve"> </w:instrText>
      </w:r>
      <w:r w:rsidR="00315D6A" w:rsidRPr="00F242DD">
        <w:rPr>
          <w:rFonts w:eastAsia="Times New Roman"/>
          <w:b/>
          <w:szCs w:val="24"/>
          <w:lang w:val="en-US" w:eastAsia="ru-RU"/>
        </w:rPr>
        <w:instrText>myeloma</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type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article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journal</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volume</w:instrText>
      </w:r>
      <w:r w:rsidR="00315D6A" w:rsidRPr="008F69F6">
        <w:rPr>
          <w:rFonts w:eastAsia="Times New Roman"/>
          <w:b/>
          <w:szCs w:val="24"/>
          <w:lang w:val="en-US" w:eastAsia="ru-RU"/>
        </w:rPr>
        <w:instrText>":"93"},"</w:instrText>
      </w:r>
      <w:r w:rsidR="00315D6A" w:rsidRPr="00F242DD">
        <w:rPr>
          <w:rFonts w:eastAsia="Times New Roman"/>
          <w:b/>
          <w:szCs w:val="24"/>
          <w:lang w:val="en-US" w:eastAsia="ru-RU"/>
        </w:rPr>
        <w:instrText>uris</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http</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www</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mendeley</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com</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documents</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uuid</w:instrText>
      </w:r>
      <w:r w:rsidR="00315D6A" w:rsidRPr="008F69F6">
        <w:rPr>
          <w:rFonts w:eastAsia="Times New Roman"/>
          <w:b/>
          <w:szCs w:val="24"/>
          <w:lang w:val="en-US" w:eastAsia="ru-RU"/>
        </w:rPr>
        <w:instrText>=50743</w:instrText>
      </w:r>
      <w:r w:rsidR="00315D6A" w:rsidRPr="00F242DD">
        <w:rPr>
          <w:rFonts w:eastAsia="Times New Roman"/>
          <w:b/>
          <w:szCs w:val="24"/>
          <w:lang w:val="en-US" w:eastAsia="ru-RU"/>
        </w:rPr>
        <w:instrText>ed</w:instrText>
      </w:r>
      <w:r w:rsidR="00315D6A" w:rsidRPr="008F69F6">
        <w:rPr>
          <w:rFonts w:eastAsia="Times New Roman"/>
          <w:b/>
          <w:szCs w:val="24"/>
          <w:lang w:val="en-US" w:eastAsia="ru-RU"/>
        </w:rPr>
        <w:instrText>5-</w:instrText>
      </w:r>
      <w:r w:rsidR="00315D6A" w:rsidRPr="00F242DD">
        <w:rPr>
          <w:rFonts w:eastAsia="Times New Roman"/>
          <w:b/>
          <w:szCs w:val="24"/>
          <w:lang w:val="en-US" w:eastAsia="ru-RU"/>
        </w:rPr>
        <w:instrText>cabd</w:instrText>
      </w:r>
      <w:r w:rsidR="00315D6A" w:rsidRPr="008F69F6">
        <w:rPr>
          <w:rFonts w:eastAsia="Times New Roman"/>
          <w:b/>
          <w:szCs w:val="24"/>
          <w:lang w:val="en-US" w:eastAsia="ru-RU"/>
        </w:rPr>
        <w:instrText>-3</w:instrText>
      </w:r>
      <w:r w:rsidR="00315D6A" w:rsidRPr="00F242DD">
        <w:rPr>
          <w:rFonts w:eastAsia="Times New Roman"/>
          <w:b/>
          <w:szCs w:val="24"/>
          <w:lang w:val="en-US" w:eastAsia="ru-RU"/>
        </w:rPr>
        <w:instrText>f</w:instrText>
      </w:r>
      <w:r w:rsidR="00315D6A" w:rsidRPr="008F69F6">
        <w:rPr>
          <w:rFonts w:eastAsia="Times New Roman"/>
          <w:b/>
          <w:szCs w:val="24"/>
          <w:lang w:val="en-US" w:eastAsia="ru-RU"/>
        </w:rPr>
        <w:instrText>80-</w:instrText>
      </w:r>
      <w:r w:rsidR="00315D6A" w:rsidRPr="00F242DD">
        <w:rPr>
          <w:rFonts w:eastAsia="Times New Roman"/>
          <w:b/>
          <w:szCs w:val="24"/>
          <w:lang w:val="en-US" w:eastAsia="ru-RU"/>
        </w:rPr>
        <w:instrText>a</w:instrText>
      </w:r>
      <w:r w:rsidR="00315D6A" w:rsidRPr="008F69F6">
        <w:rPr>
          <w:rFonts w:eastAsia="Times New Roman"/>
          <w:b/>
          <w:szCs w:val="24"/>
          <w:lang w:val="en-US" w:eastAsia="ru-RU"/>
        </w:rPr>
        <w:instrText>811-20</w:instrText>
      </w:r>
      <w:r w:rsidR="00315D6A" w:rsidRPr="00F242DD">
        <w:rPr>
          <w:rFonts w:eastAsia="Times New Roman"/>
          <w:b/>
          <w:szCs w:val="24"/>
          <w:lang w:val="en-US" w:eastAsia="ru-RU"/>
        </w:rPr>
        <w:instrText>d</w:instrText>
      </w:r>
      <w:r w:rsidR="00315D6A" w:rsidRPr="008F69F6">
        <w:rPr>
          <w:rFonts w:eastAsia="Times New Roman"/>
          <w:b/>
          <w:szCs w:val="24"/>
          <w:lang w:val="en-US" w:eastAsia="ru-RU"/>
        </w:rPr>
        <w:instrText>6</w:instrText>
      </w:r>
      <w:r w:rsidR="00315D6A" w:rsidRPr="00F242DD">
        <w:rPr>
          <w:rFonts w:eastAsia="Times New Roman"/>
          <w:b/>
          <w:szCs w:val="24"/>
          <w:lang w:val="en-US" w:eastAsia="ru-RU"/>
        </w:rPr>
        <w:instrText>b</w:instrText>
      </w:r>
      <w:r w:rsidR="00315D6A" w:rsidRPr="008F69F6">
        <w:rPr>
          <w:rFonts w:eastAsia="Times New Roman"/>
          <w:b/>
          <w:szCs w:val="24"/>
          <w:lang w:val="en-US" w:eastAsia="ru-RU"/>
        </w:rPr>
        <w:instrText>278</w:instrText>
      </w:r>
      <w:r w:rsidR="00315D6A" w:rsidRPr="00F242DD">
        <w:rPr>
          <w:rFonts w:eastAsia="Times New Roman"/>
          <w:b/>
          <w:szCs w:val="24"/>
          <w:lang w:val="en-US" w:eastAsia="ru-RU"/>
        </w:rPr>
        <w:instrText>cc</w:instrText>
      </w:r>
      <w:r w:rsidR="00315D6A" w:rsidRPr="008F69F6">
        <w:rPr>
          <w:rFonts w:eastAsia="Times New Roman"/>
          <w:b/>
          <w:szCs w:val="24"/>
          <w:lang w:val="en-US" w:eastAsia="ru-RU"/>
        </w:rPr>
        <w:instrText>20"]}],"</w:instrText>
      </w:r>
      <w:r w:rsidR="00315D6A" w:rsidRPr="00F242DD">
        <w:rPr>
          <w:rFonts w:eastAsia="Times New Roman"/>
          <w:b/>
          <w:szCs w:val="24"/>
          <w:lang w:val="en-US" w:eastAsia="ru-RU"/>
        </w:rPr>
        <w:instrText>mendeley</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formattedCitation</w:instrText>
      </w:r>
      <w:r w:rsidR="00315D6A" w:rsidRPr="008F69F6">
        <w:rPr>
          <w:rFonts w:eastAsia="Times New Roman"/>
          <w:b/>
          <w:szCs w:val="24"/>
          <w:lang w:val="en-US" w:eastAsia="ru-RU"/>
        </w:rPr>
        <w:instrText>":"[81]","</w:instrText>
      </w:r>
      <w:r w:rsidR="00315D6A" w:rsidRPr="00F242DD">
        <w:rPr>
          <w:rFonts w:eastAsia="Times New Roman"/>
          <w:b/>
          <w:szCs w:val="24"/>
          <w:lang w:val="en-US" w:eastAsia="ru-RU"/>
        </w:rPr>
        <w:instrText>plainTextFormattedCitation</w:instrText>
      </w:r>
      <w:r w:rsidR="00315D6A" w:rsidRPr="008F69F6">
        <w:rPr>
          <w:rFonts w:eastAsia="Times New Roman"/>
          <w:b/>
          <w:szCs w:val="24"/>
          <w:lang w:val="en-US" w:eastAsia="ru-RU"/>
        </w:rPr>
        <w:instrText>":"[81]","</w:instrText>
      </w:r>
      <w:r w:rsidR="00315D6A" w:rsidRPr="00F242DD">
        <w:rPr>
          <w:rFonts w:eastAsia="Times New Roman"/>
          <w:b/>
          <w:szCs w:val="24"/>
          <w:lang w:val="en-US" w:eastAsia="ru-RU"/>
        </w:rPr>
        <w:instrText>previouslyFormattedCitation</w:instrText>
      </w:r>
      <w:r w:rsidR="00315D6A" w:rsidRPr="008F69F6">
        <w:rPr>
          <w:rFonts w:eastAsia="Times New Roman"/>
          <w:b/>
          <w:szCs w:val="24"/>
          <w:lang w:val="en-US" w:eastAsia="ru-RU"/>
        </w:rPr>
        <w:instrText>":"[80]"},"</w:instrText>
      </w:r>
      <w:r w:rsidR="00315D6A" w:rsidRPr="00F242DD">
        <w:rPr>
          <w:rFonts w:eastAsia="Times New Roman"/>
          <w:b/>
          <w:szCs w:val="24"/>
          <w:lang w:val="en-US" w:eastAsia="ru-RU"/>
        </w:rPr>
        <w:instrText>properties</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noteIndex</w:instrText>
      </w:r>
      <w:r w:rsidR="00315D6A" w:rsidRPr="008F69F6">
        <w:rPr>
          <w:rFonts w:eastAsia="Times New Roman"/>
          <w:b/>
          <w:szCs w:val="24"/>
          <w:lang w:val="en-US" w:eastAsia="ru-RU"/>
        </w:rPr>
        <w:instrText>":0},"</w:instrText>
      </w:r>
      <w:r w:rsidR="00315D6A" w:rsidRPr="00F242DD">
        <w:rPr>
          <w:rFonts w:eastAsia="Times New Roman"/>
          <w:b/>
          <w:szCs w:val="24"/>
          <w:lang w:val="en-US" w:eastAsia="ru-RU"/>
        </w:rPr>
        <w:instrText>schema</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https</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github</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com</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citation</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style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language</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schema</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raw</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master</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csl</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citation</w:instrText>
      </w:r>
      <w:r w:rsidR="00315D6A" w:rsidRPr="008F69F6">
        <w:rPr>
          <w:rFonts w:eastAsia="Times New Roman"/>
          <w:b/>
          <w:szCs w:val="24"/>
          <w:lang w:val="en-US" w:eastAsia="ru-RU"/>
        </w:rPr>
        <w:instrText>.</w:instrText>
      </w:r>
      <w:r w:rsidR="00315D6A" w:rsidRPr="00F242DD">
        <w:rPr>
          <w:rFonts w:eastAsia="Times New Roman"/>
          <w:b/>
          <w:szCs w:val="24"/>
          <w:lang w:val="en-US" w:eastAsia="ru-RU"/>
        </w:rPr>
        <w:instrText>json</w:instrText>
      </w:r>
      <w:r w:rsidR="00315D6A" w:rsidRPr="008F69F6">
        <w:rPr>
          <w:rFonts w:eastAsia="Times New Roman"/>
          <w:b/>
          <w:szCs w:val="24"/>
          <w:lang w:val="en-US" w:eastAsia="ru-RU"/>
        </w:rPr>
        <w:instrText>"}</w:instrText>
      </w:r>
      <w:r w:rsidR="001E16F8" w:rsidRPr="00F242DD">
        <w:rPr>
          <w:rFonts w:eastAsia="Times New Roman"/>
          <w:b/>
          <w:szCs w:val="24"/>
          <w:lang w:val="en-US" w:eastAsia="ru-RU"/>
        </w:rPr>
        <w:fldChar w:fldCharType="separate"/>
      </w:r>
      <w:r w:rsidR="00315D6A" w:rsidRPr="008F69F6">
        <w:rPr>
          <w:rFonts w:eastAsia="Times New Roman"/>
          <w:noProof/>
          <w:szCs w:val="24"/>
          <w:lang w:val="en-US" w:eastAsia="ru-RU"/>
        </w:rPr>
        <w:t>[81]</w:t>
      </w:r>
      <w:r w:rsidR="001E16F8" w:rsidRPr="00F242DD">
        <w:rPr>
          <w:rFonts w:eastAsia="Times New Roman"/>
          <w:b/>
          <w:szCs w:val="24"/>
          <w:lang w:val="en-US" w:eastAsia="ru-RU"/>
        </w:rPr>
        <w:fldChar w:fldCharType="end"/>
      </w:r>
    </w:p>
    <w:p w14:paraId="36E91B0B" w14:textId="77777777" w:rsidR="000546DA" w:rsidRPr="006F119F" w:rsidRDefault="000546DA" w:rsidP="00727CDE">
      <w:pPr>
        <w:pStyle w:val="a6"/>
        <w:numPr>
          <w:ilvl w:val="0"/>
          <w:numId w:val="53"/>
        </w:numPr>
        <w:spacing w:before="0" w:after="0"/>
        <w:jc w:val="left"/>
        <w:rPr>
          <w:rFonts w:eastAsia="Times New Roman"/>
          <w:szCs w:val="24"/>
          <w:lang w:eastAsia="ru-RU"/>
        </w:rPr>
      </w:pPr>
      <w:r w:rsidRPr="00F242DD">
        <w:rPr>
          <w:rFonts w:eastAsia="Times New Roman"/>
          <w:szCs w:val="24"/>
          <w:lang w:eastAsia="ru-RU"/>
        </w:rPr>
        <w:t>Бортезомиб</w:t>
      </w:r>
      <w:r w:rsidRPr="006F119F">
        <w:rPr>
          <w:rFonts w:eastAsia="Times New Roman"/>
          <w:szCs w:val="24"/>
          <w:lang w:eastAsia="ru-RU"/>
        </w:rPr>
        <w:t xml:space="preserve">** 1,3 </w:t>
      </w:r>
      <w:r w:rsidRPr="00F242DD">
        <w:rPr>
          <w:rFonts w:eastAsia="Times New Roman"/>
          <w:szCs w:val="24"/>
          <w:lang w:eastAsia="ru-RU"/>
        </w:rPr>
        <w:t>мг</w:t>
      </w:r>
      <w:r w:rsidRPr="006F119F">
        <w:rPr>
          <w:rFonts w:eastAsia="Times New Roman"/>
          <w:szCs w:val="24"/>
          <w:lang w:eastAsia="ru-RU"/>
        </w:rPr>
        <w:t>/</w:t>
      </w:r>
      <w:r w:rsidRPr="00F242DD">
        <w:rPr>
          <w:rFonts w:eastAsia="Times New Roman"/>
          <w:szCs w:val="24"/>
          <w:lang w:eastAsia="ru-RU"/>
        </w:rPr>
        <w:t>м</w:t>
      </w:r>
      <w:r w:rsidRPr="006F119F">
        <w:rPr>
          <w:rFonts w:eastAsia="Times New Roman"/>
          <w:szCs w:val="24"/>
          <w:vertAlign w:val="superscript"/>
          <w:lang w:eastAsia="ru-RU"/>
        </w:rPr>
        <w:t>2</w:t>
      </w:r>
      <w:r w:rsidRPr="006F119F">
        <w:rPr>
          <w:rFonts w:eastAsia="Times New Roman"/>
          <w:szCs w:val="24"/>
          <w:lang w:eastAsia="ru-RU"/>
        </w:rPr>
        <w:t xml:space="preserve"> </w:t>
      </w:r>
      <w:r w:rsidRPr="00F242DD">
        <w:rPr>
          <w:rFonts w:eastAsia="Times New Roman"/>
          <w:szCs w:val="24"/>
          <w:lang w:eastAsia="ru-RU"/>
        </w:rPr>
        <w:t>в</w:t>
      </w:r>
      <w:r w:rsidRPr="006F119F">
        <w:rPr>
          <w:rFonts w:eastAsia="Times New Roman"/>
          <w:szCs w:val="24"/>
          <w:lang w:eastAsia="ru-RU"/>
        </w:rPr>
        <w:t>/</w:t>
      </w:r>
      <w:r w:rsidRPr="00F242DD">
        <w:rPr>
          <w:rFonts w:eastAsia="Times New Roman"/>
          <w:szCs w:val="24"/>
          <w:lang w:eastAsia="ru-RU"/>
        </w:rPr>
        <w:t>в</w:t>
      </w:r>
      <w:r w:rsidRPr="006F119F">
        <w:rPr>
          <w:rFonts w:eastAsia="Times New Roman"/>
          <w:szCs w:val="24"/>
          <w:lang w:eastAsia="ru-RU"/>
        </w:rPr>
        <w:t xml:space="preserve"> </w:t>
      </w:r>
      <w:r w:rsidRPr="00F242DD">
        <w:rPr>
          <w:rFonts w:eastAsia="Times New Roman"/>
          <w:szCs w:val="24"/>
          <w:lang w:eastAsia="ru-RU"/>
        </w:rPr>
        <w:t>струйно</w:t>
      </w:r>
      <w:r w:rsidRPr="006F119F">
        <w:rPr>
          <w:rFonts w:eastAsia="Times New Roman"/>
          <w:szCs w:val="24"/>
          <w:lang w:eastAsia="ru-RU"/>
        </w:rPr>
        <w:t xml:space="preserve">, </w:t>
      </w:r>
      <w:r w:rsidRPr="00F242DD">
        <w:rPr>
          <w:rFonts w:eastAsia="Times New Roman"/>
          <w:szCs w:val="24"/>
          <w:lang w:eastAsia="ru-RU"/>
        </w:rPr>
        <w:t>дни</w:t>
      </w:r>
      <w:r w:rsidRPr="006F119F">
        <w:rPr>
          <w:rFonts w:eastAsia="Times New Roman"/>
          <w:szCs w:val="24"/>
          <w:lang w:eastAsia="ru-RU"/>
        </w:rPr>
        <w:t xml:space="preserve"> 1, 4, 8, 11</w:t>
      </w:r>
      <w:r w:rsidR="00522C92" w:rsidRPr="006F119F">
        <w:rPr>
          <w:rFonts w:eastAsia="Times New Roman"/>
          <w:szCs w:val="24"/>
          <w:lang w:eastAsia="ru-RU"/>
        </w:rPr>
        <w:t>-</w:t>
      </w:r>
      <w:r w:rsidR="00522C92" w:rsidRPr="00F242DD">
        <w:rPr>
          <w:rFonts w:eastAsia="Times New Roman"/>
          <w:szCs w:val="24"/>
          <w:lang w:eastAsia="ru-RU"/>
        </w:rPr>
        <w:t>й</w:t>
      </w:r>
      <w:r w:rsidRPr="006F119F">
        <w:rPr>
          <w:rFonts w:eastAsia="Times New Roman"/>
          <w:szCs w:val="24"/>
          <w:lang w:eastAsia="ru-RU"/>
        </w:rPr>
        <w:t xml:space="preserve"> </w:t>
      </w:r>
    </w:p>
    <w:p w14:paraId="27BF337D" w14:textId="77777777" w:rsidR="000546DA" w:rsidRPr="006F119F" w:rsidRDefault="000546DA" w:rsidP="00727CDE">
      <w:pPr>
        <w:pStyle w:val="a6"/>
        <w:numPr>
          <w:ilvl w:val="0"/>
          <w:numId w:val="53"/>
        </w:numPr>
        <w:spacing w:before="0" w:after="0"/>
        <w:jc w:val="left"/>
        <w:rPr>
          <w:rFonts w:eastAsia="Times New Roman"/>
          <w:szCs w:val="24"/>
          <w:lang w:eastAsia="ru-RU"/>
        </w:rPr>
      </w:pPr>
      <w:r w:rsidRPr="00F242DD">
        <w:rPr>
          <w:rFonts w:eastAsia="Times New Roman"/>
          <w:szCs w:val="24"/>
          <w:lang w:eastAsia="ru-RU"/>
        </w:rPr>
        <w:t>Дексаметазон</w:t>
      </w:r>
      <w:r w:rsidRPr="006F119F">
        <w:rPr>
          <w:rFonts w:eastAsia="Times New Roman"/>
          <w:szCs w:val="24"/>
          <w:lang w:eastAsia="ru-RU"/>
        </w:rPr>
        <w:t>**</w:t>
      </w:r>
      <w:r w:rsidRPr="006F119F">
        <w:rPr>
          <w:rFonts w:eastAsia="Times New Roman"/>
          <w:szCs w:val="24"/>
          <w:lang w:eastAsia="ru-RU"/>
        </w:rPr>
        <w:tab/>
        <w:t xml:space="preserve">40 </w:t>
      </w:r>
      <w:r w:rsidRPr="00F242DD">
        <w:rPr>
          <w:rFonts w:eastAsia="Times New Roman"/>
          <w:szCs w:val="24"/>
          <w:lang w:eastAsia="ru-RU"/>
        </w:rPr>
        <w:t>мг</w:t>
      </w:r>
      <w:r w:rsidRPr="006F119F">
        <w:rPr>
          <w:rFonts w:eastAsia="Times New Roman"/>
          <w:szCs w:val="24"/>
          <w:lang w:eastAsia="ru-RU"/>
        </w:rPr>
        <w:t xml:space="preserve"> </w:t>
      </w:r>
      <w:r w:rsidRPr="00F242DD">
        <w:rPr>
          <w:rFonts w:eastAsia="Times New Roman"/>
          <w:szCs w:val="24"/>
          <w:lang w:eastAsia="ru-RU"/>
        </w:rPr>
        <w:t>в</w:t>
      </w:r>
      <w:r w:rsidRPr="006F119F">
        <w:rPr>
          <w:rFonts w:eastAsia="Times New Roman"/>
          <w:szCs w:val="24"/>
          <w:lang w:eastAsia="ru-RU"/>
        </w:rPr>
        <w:t>/</w:t>
      </w:r>
      <w:r w:rsidRPr="00F242DD">
        <w:rPr>
          <w:rFonts w:eastAsia="Times New Roman"/>
          <w:szCs w:val="24"/>
          <w:lang w:eastAsia="ru-RU"/>
        </w:rPr>
        <w:t>в</w:t>
      </w:r>
      <w:r w:rsidRPr="006F119F">
        <w:rPr>
          <w:rFonts w:eastAsia="Times New Roman"/>
          <w:szCs w:val="24"/>
          <w:lang w:eastAsia="ru-RU"/>
        </w:rPr>
        <w:t xml:space="preserve"> </w:t>
      </w:r>
      <w:r w:rsidRPr="00F242DD">
        <w:rPr>
          <w:rFonts w:eastAsia="Times New Roman"/>
          <w:szCs w:val="24"/>
          <w:lang w:eastAsia="ru-RU"/>
        </w:rPr>
        <w:t>или</w:t>
      </w:r>
      <w:r w:rsidRPr="006F119F">
        <w:rPr>
          <w:rFonts w:eastAsia="Times New Roman"/>
          <w:szCs w:val="24"/>
          <w:lang w:eastAsia="ru-RU"/>
        </w:rPr>
        <w:t xml:space="preserve"> </w:t>
      </w:r>
      <w:r w:rsidRPr="00F242DD">
        <w:rPr>
          <w:rFonts w:eastAsia="Times New Roman"/>
          <w:szCs w:val="24"/>
          <w:lang w:eastAsia="ru-RU"/>
        </w:rPr>
        <w:t>внутрь</w:t>
      </w:r>
      <w:r w:rsidRPr="006F119F">
        <w:rPr>
          <w:rFonts w:eastAsia="Times New Roman"/>
          <w:szCs w:val="24"/>
          <w:lang w:eastAsia="ru-RU"/>
        </w:rPr>
        <w:t xml:space="preserve">, </w:t>
      </w:r>
      <w:r w:rsidRPr="00F242DD">
        <w:rPr>
          <w:rFonts w:eastAsia="Times New Roman"/>
          <w:szCs w:val="24"/>
          <w:lang w:eastAsia="ru-RU"/>
        </w:rPr>
        <w:t>дни</w:t>
      </w:r>
      <w:r w:rsidR="00C90E6C" w:rsidRPr="006F119F">
        <w:rPr>
          <w:rFonts w:eastAsia="Times New Roman"/>
          <w:szCs w:val="24"/>
          <w:lang w:eastAsia="ru-RU"/>
        </w:rPr>
        <w:t xml:space="preserve"> 1‒4</w:t>
      </w:r>
      <w:r w:rsidR="00522C92" w:rsidRPr="006F119F">
        <w:rPr>
          <w:rFonts w:eastAsia="Times New Roman"/>
          <w:szCs w:val="24"/>
          <w:lang w:eastAsia="ru-RU"/>
        </w:rPr>
        <w:t>-</w:t>
      </w:r>
      <w:r w:rsidR="00522C92" w:rsidRPr="00F242DD">
        <w:rPr>
          <w:rFonts w:eastAsia="Times New Roman"/>
          <w:szCs w:val="24"/>
          <w:lang w:eastAsia="ru-RU"/>
        </w:rPr>
        <w:t>й</w:t>
      </w:r>
      <w:r w:rsidRPr="006F119F">
        <w:rPr>
          <w:rFonts w:eastAsia="Times New Roman"/>
          <w:szCs w:val="24"/>
          <w:lang w:eastAsia="ru-RU"/>
        </w:rPr>
        <w:t xml:space="preserve"> </w:t>
      </w:r>
    </w:p>
    <w:p w14:paraId="6D27089E" w14:textId="77777777" w:rsidR="000546DA" w:rsidRPr="006F119F" w:rsidRDefault="000546DA" w:rsidP="00727CDE">
      <w:pPr>
        <w:pStyle w:val="a6"/>
        <w:numPr>
          <w:ilvl w:val="0"/>
          <w:numId w:val="53"/>
        </w:numPr>
        <w:spacing w:before="0" w:after="0"/>
        <w:jc w:val="left"/>
        <w:rPr>
          <w:rFonts w:eastAsia="Times New Roman"/>
          <w:szCs w:val="24"/>
          <w:lang w:eastAsia="ru-RU"/>
        </w:rPr>
      </w:pPr>
      <w:r w:rsidRPr="006F119F">
        <w:rPr>
          <w:rFonts w:eastAsia="Times New Roman"/>
          <w:szCs w:val="24"/>
          <w:lang w:eastAsia="ru-RU"/>
        </w:rPr>
        <w:t>#</w:t>
      </w:r>
      <w:r w:rsidRPr="00F242DD">
        <w:rPr>
          <w:rFonts w:eastAsia="Times New Roman"/>
          <w:szCs w:val="24"/>
          <w:lang w:eastAsia="ru-RU"/>
        </w:rPr>
        <w:t>Цисплатин</w:t>
      </w:r>
      <w:r w:rsidRPr="006F119F">
        <w:rPr>
          <w:rFonts w:eastAsia="Times New Roman"/>
          <w:szCs w:val="24"/>
          <w:lang w:eastAsia="ru-RU"/>
        </w:rPr>
        <w:t xml:space="preserve">** 10 </w:t>
      </w:r>
      <w:r w:rsidRPr="00F242DD">
        <w:rPr>
          <w:rFonts w:eastAsia="Times New Roman"/>
          <w:szCs w:val="24"/>
          <w:lang w:eastAsia="ru-RU"/>
        </w:rPr>
        <w:t>мг</w:t>
      </w:r>
      <w:r w:rsidRPr="006F119F">
        <w:rPr>
          <w:rFonts w:eastAsia="Times New Roman"/>
          <w:szCs w:val="24"/>
          <w:lang w:eastAsia="ru-RU"/>
        </w:rPr>
        <w:t>/</w:t>
      </w:r>
      <w:r w:rsidRPr="00F242DD">
        <w:rPr>
          <w:rFonts w:eastAsia="Times New Roman"/>
          <w:szCs w:val="24"/>
          <w:lang w:eastAsia="ru-RU"/>
        </w:rPr>
        <w:t>м</w:t>
      </w:r>
      <w:r w:rsidRPr="006F119F">
        <w:rPr>
          <w:rFonts w:eastAsia="Times New Roman"/>
          <w:szCs w:val="24"/>
          <w:vertAlign w:val="superscript"/>
          <w:lang w:eastAsia="ru-RU"/>
        </w:rPr>
        <w:t>2</w:t>
      </w:r>
      <w:r w:rsidRPr="006F119F">
        <w:rPr>
          <w:rFonts w:eastAsia="Times New Roman"/>
          <w:szCs w:val="24"/>
          <w:lang w:eastAsia="ru-RU"/>
        </w:rPr>
        <w:t xml:space="preserve"> </w:t>
      </w:r>
      <w:r w:rsidRPr="00F242DD">
        <w:rPr>
          <w:rFonts w:eastAsia="Times New Roman"/>
          <w:szCs w:val="24"/>
          <w:lang w:eastAsia="ru-RU"/>
        </w:rPr>
        <w:t>в</w:t>
      </w:r>
      <w:r w:rsidRPr="006F119F">
        <w:rPr>
          <w:rFonts w:eastAsia="Times New Roman"/>
          <w:szCs w:val="24"/>
          <w:lang w:eastAsia="ru-RU"/>
        </w:rPr>
        <w:t>/</w:t>
      </w:r>
      <w:r w:rsidRPr="00F242DD">
        <w:rPr>
          <w:rFonts w:eastAsia="Times New Roman"/>
          <w:szCs w:val="24"/>
          <w:lang w:eastAsia="ru-RU"/>
        </w:rPr>
        <w:t>в</w:t>
      </w:r>
      <w:r w:rsidRPr="006F119F">
        <w:rPr>
          <w:rFonts w:eastAsia="Times New Roman"/>
          <w:szCs w:val="24"/>
          <w:lang w:eastAsia="ru-RU"/>
        </w:rPr>
        <w:t xml:space="preserve"> 24-</w:t>
      </w:r>
      <w:r w:rsidRPr="00F242DD">
        <w:rPr>
          <w:rFonts w:eastAsia="Times New Roman"/>
          <w:szCs w:val="24"/>
          <w:lang w:eastAsia="ru-RU"/>
        </w:rPr>
        <w:t>часовая</w:t>
      </w:r>
      <w:r w:rsidRPr="006F119F">
        <w:rPr>
          <w:rFonts w:eastAsia="Times New Roman"/>
          <w:szCs w:val="24"/>
          <w:lang w:eastAsia="ru-RU"/>
        </w:rPr>
        <w:t xml:space="preserve"> </w:t>
      </w:r>
      <w:r w:rsidRPr="00F242DD">
        <w:rPr>
          <w:rFonts w:eastAsia="Times New Roman"/>
          <w:szCs w:val="24"/>
          <w:lang w:eastAsia="ru-RU"/>
        </w:rPr>
        <w:t>инфузия</w:t>
      </w:r>
      <w:r w:rsidRPr="006F119F">
        <w:rPr>
          <w:rFonts w:eastAsia="Times New Roman"/>
          <w:szCs w:val="24"/>
          <w:lang w:eastAsia="ru-RU"/>
        </w:rPr>
        <w:t xml:space="preserve">, </w:t>
      </w:r>
      <w:r w:rsidRPr="00F242DD">
        <w:rPr>
          <w:rFonts w:eastAsia="Times New Roman"/>
          <w:szCs w:val="24"/>
          <w:lang w:eastAsia="ru-RU"/>
        </w:rPr>
        <w:t>дни</w:t>
      </w:r>
      <w:r w:rsidRPr="006F119F">
        <w:rPr>
          <w:rFonts w:eastAsia="Times New Roman"/>
          <w:szCs w:val="24"/>
          <w:lang w:eastAsia="ru-RU"/>
        </w:rPr>
        <w:t xml:space="preserve"> 4</w:t>
      </w:r>
      <w:r w:rsidR="00522C92" w:rsidRPr="006F119F">
        <w:rPr>
          <w:rFonts w:eastAsia="Times New Roman"/>
          <w:szCs w:val="24"/>
          <w:lang w:eastAsia="ru-RU"/>
        </w:rPr>
        <w:t>‒</w:t>
      </w:r>
      <w:r w:rsidRPr="006F119F">
        <w:rPr>
          <w:rFonts w:eastAsia="Times New Roman"/>
          <w:szCs w:val="24"/>
          <w:lang w:eastAsia="ru-RU"/>
        </w:rPr>
        <w:t>7</w:t>
      </w:r>
      <w:r w:rsidR="00522C92" w:rsidRPr="006F119F">
        <w:rPr>
          <w:rFonts w:eastAsia="Times New Roman"/>
          <w:szCs w:val="24"/>
          <w:lang w:eastAsia="ru-RU"/>
        </w:rPr>
        <w:t>-</w:t>
      </w:r>
      <w:r w:rsidR="00522C92" w:rsidRPr="00F242DD">
        <w:rPr>
          <w:rFonts w:eastAsia="Times New Roman"/>
          <w:szCs w:val="24"/>
          <w:lang w:eastAsia="ru-RU"/>
        </w:rPr>
        <w:t>й</w:t>
      </w:r>
      <w:r w:rsidRPr="006F119F">
        <w:rPr>
          <w:rFonts w:eastAsia="Times New Roman"/>
          <w:szCs w:val="24"/>
          <w:lang w:eastAsia="ru-RU"/>
        </w:rPr>
        <w:t xml:space="preserve"> </w:t>
      </w:r>
    </w:p>
    <w:p w14:paraId="0D8276CF" w14:textId="77777777" w:rsidR="000546DA" w:rsidRPr="006F119F" w:rsidRDefault="000546DA" w:rsidP="00727CDE">
      <w:pPr>
        <w:pStyle w:val="a6"/>
        <w:numPr>
          <w:ilvl w:val="0"/>
          <w:numId w:val="53"/>
        </w:numPr>
        <w:spacing w:before="0" w:after="0"/>
        <w:jc w:val="left"/>
        <w:rPr>
          <w:rFonts w:eastAsia="Times New Roman"/>
          <w:szCs w:val="24"/>
          <w:lang w:eastAsia="ru-RU"/>
        </w:rPr>
      </w:pPr>
      <w:r w:rsidRPr="00F242DD">
        <w:rPr>
          <w:rFonts w:eastAsia="Times New Roman"/>
          <w:szCs w:val="24"/>
          <w:lang w:eastAsia="ru-RU"/>
        </w:rPr>
        <w:t>Доксорубицин</w:t>
      </w:r>
      <w:r w:rsidRPr="006F119F">
        <w:rPr>
          <w:rFonts w:eastAsia="Times New Roman"/>
          <w:szCs w:val="24"/>
          <w:lang w:eastAsia="ru-RU"/>
        </w:rPr>
        <w:t xml:space="preserve">** 10 </w:t>
      </w:r>
      <w:r w:rsidRPr="00F242DD">
        <w:rPr>
          <w:rFonts w:eastAsia="Times New Roman"/>
          <w:szCs w:val="24"/>
          <w:lang w:eastAsia="ru-RU"/>
        </w:rPr>
        <w:t>мг</w:t>
      </w:r>
      <w:r w:rsidRPr="006F119F">
        <w:rPr>
          <w:rFonts w:eastAsia="Times New Roman"/>
          <w:szCs w:val="24"/>
          <w:lang w:eastAsia="ru-RU"/>
        </w:rPr>
        <w:t>/</w:t>
      </w:r>
      <w:r w:rsidRPr="00F242DD">
        <w:rPr>
          <w:rFonts w:eastAsia="Times New Roman"/>
          <w:szCs w:val="24"/>
          <w:lang w:eastAsia="ru-RU"/>
        </w:rPr>
        <w:t>м</w:t>
      </w:r>
      <w:r w:rsidRPr="006F119F">
        <w:rPr>
          <w:rFonts w:eastAsia="Times New Roman"/>
          <w:szCs w:val="24"/>
          <w:vertAlign w:val="superscript"/>
          <w:lang w:eastAsia="ru-RU"/>
        </w:rPr>
        <w:t>2</w:t>
      </w:r>
      <w:r w:rsidRPr="006F119F">
        <w:rPr>
          <w:rFonts w:eastAsia="Times New Roman"/>
          <w:szCs w:val="24"/>
          <w:lang w:eastAsia="ru-RU"/>
        </w:rPr>
        <w:t xml:space="preserve"> </w:t>
      </w:r>
      <w:r w:rsidRPr="00F242DD">
        <w:rPr>
          <w:rFonts w:eastAsia="Times New Roman"/>
          <w:szCs w:val="24"/>
          <w:lang w:eastAsia="ru-RU"/>
        </w:rPr>
        <w:t>в</w:t>
      </w:r>
      <w:r w:rsidRPr="006F119F">
        <w:rPr>
          <w:rFonts w:eastAsia="Times New Roman"/>
          <w:szCs w:val="24"/>
          <w:lang w:eastAsia="ru-RU"/>
        </w:rPr>
        <w:t>/</w:t>
      </w:r>
      <w:r w:rsidRPr="00F242DD">
        <w:rPr>
          <w:rFonts w:eastAsia="Times New Roman"/>
          <w:szCs w:val="24"/>
          <w:lang w:eastAsia="ru-RU"/>
        </w:rPr>
        <w:t>в</w:t>
      </w:r>
      <w:r w:rsidRPr="006F119F">
        <w:rPr>
          <w:rFonts w:eastAsia="Times New Roman"/>
          <w:szCs w:val="24"/>
          <w:lang w:eastAsia="ru-RU"/>
        </w:rPr>
        <w:t xml:space="preserve"> 24-</w:t>
      </w:r>
      <w:r w:rsidRPr="00F242DD">
        <w:rPr>
          <w:rFonts w:eastAsia="Times New Roman"/>
          <w:szCs w:val="24"/>
          <w:lang w:eastAsia="ru-RU"/>
        </w:rPr>
        <w:t>часовая</w:t>
      </w:r>
      <w:r w:rsidRPr="006F119F">
        <w:rPr>
          <w:rFonts w:eastAsia="Times New Roman"/>
          <w:szCs w:val="24"/>
          <w:lang w:eastAsia="ru-RU"/>
        </w:rPr>
        <w:t xml:space="preserve"> </w:t>
      </w:r>
      <w:r w:rsidRPr="00F242DD">
        <w:rPr>
          <w:rFonts w:eastAsia="Times New Roman"/>
          <w:szCs w:val="24"/>
          <w:lang w:eastAsia="ru-RU"/>
        </w:rPr>
        <w:t>инфузия</w:t>
      </w:r>
      <w:r w:rsidRPr="006F119F">
        <w:rPr>
          <w:rFonts w:eastAsia="Times New Roman"/>
          <w:szCs w:val="24"/>
          <w:lang w:eastAsia="ru-RU"/>
        </w:rPr>
        <w:t xml:space="preserve">, </w:t>
      </w:r>
      <w:r w:rsidRPr="00F242DD">
        <w:rPr>
          <w:rFonts w:eastAsia="Times New Roman"/>
          <w:szCs w:val="24"/>
          <w:lang w:eastAsia="ru-RU"/>
        </w:rPr>
        <w:t>дни</w:t>
      </w:r>
      <w:r w:rsidRPr="006F119F">
        <w:rPr>
          <w:rFonts w:eastAsia="Times New Roman"/>
          <w:szCs w:val="24"/>
          <w:lang w:eastAsia="ru-RU"/>
        </w:rPr>
        <w:t xml:space="preserve"> 4</w:t>
      </w:r>
      <w:r w:rsidR="00522C92" w:rsidRPr="006F119F">
        <w:rPr>
          <w:rFonts w:eastAsia="Times New Roman"/>
          <w:szCs w:val="24"/>
          <w:lang w:eastAsia="ru-RU"/>
        </w:rPr>
        <w:t>‒</w:t>
      </w:r>
      <w:r w:rsidRPr="006F119F">
        <w:rPr>
          <w:rFonts w:eastAsia="Times New Roman"/>
          <w:szCs w:val="24"/>
          <w:lang w:eastAsia="ru-RU"/>
        </w:rPr>
        <w:t xml:space="preserve">7 </w:t>
      </w:r>
      <w:r w:rsidR="00522C92" w:rsidRPr="006F119F">
        <w:rPr>
          <w:rFonts w:eastAsia="Times New Roman"/>
          <w:szCs w:val="24"/>
          <w:lang w:eastAsia="ru-RU"/>
        </w:rPr>
        <w:t>-</w:t>
      </w:r>
      <w:r w:rsidR="00522C92" w:rsidRPr="00F242DD">
        <w:rPr>
          <w:rFonts w:eastAsia="Times New Roman"/>
          <w:szCs w:val="24"/>
          <w:lang w:eastAsia="ru-RU"/>
        </w:rPr>
        <w:t>й</w:t>
      </w:r>
    </w:p>
    <w:p w14:paraId="61149BC5" w14:textId="77777777" w:rsidR="000546DA" w:rsidRPr="006F119F" w:rsidRDefault="000546DA" w:rsidP="00727CDE">
      <w:pPr>
        <w:pStyle w:val="a6"/>
        <w:numPr>
          <w:ilvl w:val="0"/>
          <w:numId w:val="53"/>
        </w:numPr>
        <w:spacing w:before="0" w:after="0"/>
        <w:jc w:val="left"/>
        <w:rPr>
          <w:rFonts w:eastAsia="Times New Roman"/>
          <w:szCs w:val="24"/>
          <w:lang w:eastAsia="ru-RU"/>
        </w:rPr>
      </w:pPr>
      <w:r w:rsidRPr="00F242DD">
        <w:rPr>
          <w:rFonts w:eastAsia="Times New Roman"/>
          <w:szCs w:val="24"/>
          <w:lang w:eastAsia="ru-RU"/>
        </w:rPr>
        <w:t>Циклофосфамид</w:t>
      </w:r>
      <w:r w:rsidRPr="006F119F">
        <w:rPr>
          <w:rFonts w:eastAsia="Times New Roman"/>
          <w:szCs w:val="24"/>
          <w:lang w:eastAsia="ru-RU"/>
        </w:rPr>
        <w:t xml:space="preserve">** 400 </w:t>
      </w:r>
      <w:r w:rsidRPr="00F242DD">
        <w:rPr>
          <w:rFonts w:eastAsia="Times New Roman"/>
          <w:szCs w:val="24"/>
          <w:lang w:eastAsia="ru-RU"/>
        </w:rPr>
        <w:t>мг</w:t>
      </w:r>
      <w:r w:rsidRPr="006F119F">
        <w:rPr>
          <w:rFonts w:eastAsia="Times New Roman"/>
          <w:szCs w:val="24"/>
          <w:lang w:eastAsia="ru-RU"/>
        </w:rPr>
        <w:t>/</w:t>
      </w:r>
      <w:r w:rsidRPr="00F242DD">
        <w:rPr>
          <w:rFonts w:eastAsia="Times New Roman"/>
          <w:szCs w:val="24"/>
          <w:lang w:eastAsia="ru-RU"/>
        </w:rPr>
        <w:t>м</w:t>
      </w:r>
      <w:r w:rsidRPr="006F119F">
        <w:rPr>
          <w:rFonts w:eastAsia="Times New Roman"/>
          <w:szCs w:val="24"/>
          <w:vertAlign w:val="superscript"/>
          <w:lang w:eastAsia="ru-RU"/>
        </w:rPr>
        <w:t>2</w:t>
      </w:r>
      <w:r w:rsidRPr="006F119F">
        <w:rPr>
          <w:rFonts w:eastAsia="Times New Roman"/>
          <w:szCs w:val="24"/>
          <w:lang w:eastAsia="ru-RU"/>
        </w:rPr>
        <w:t xml:space="preserve"> </w:t>
      </w:r>
      <w:r w:rsidRPr="00F242DD">
        <w:rPr>
          <w:rFonts w:eastAsia="Times New Roman"/>
          <w:szCs w:val="24"/>
          <w:lang w:eastAsia="ru-RU"/>
        </w:rPr>
        <w:t>в</w:t>
      </w:r>
      <w:r w:rsidRPr="006F119F">
        <w:rPr>
          <w:rFonts w:eastAsia="Times New Roman"/>
          <w:szCs w:val="24"/>
          <w:lang w:eastAsia="ru-RU"/>
        </w:rPr>
        <w:t>/</w:t>
      </w:r>
      <w:r w:rsidRPr="00F242DD">
        <w:rPr>
          <w:rFonts w:eastAsia="Times New Roman"/>
          <w:szCs w:val="24"/>
          <w:lang w:eastAsia="ru-RU"/>
        </w:rPr>
        <w:t>в</w:t>
      </w:r>
      <w:r w:rsidRPr="006F119F">
        <w:rPr>
          <w:rFonts w:eastAsia="Times New Roman"/>
          <w:szCs w:val="24"/>
          <w:lang w:eastAsia="ru-RU"/>
        </w:rPr>
        <w:t xml:space="preserve"> 24-</w:t>
      </w:r>
      <w:r w:rsidRPr="00F242DD">
        <w:rPr>
          <w:rFonts w:eastAsia="Times New Roman"/>
          <w:szCs w:val="24"/>
          <w:lang w:eastAsia="ru-RU"/>
        </w:rPr>
        <w:t>часовая</w:t>
      </w:r>
      <w:r w:rsidRPr="006F119F">
        <w:rPr>
          <w:rFonts w:eastAsia="Times New Roman"/>
          <w:szCs w:val="24"/>
          <w:lang w:eastAsia="ru-RU"/>
        </w:rPr>
        <w:t xml:space="preserve"> </w:t>
      </w:r>
      <w:r w:rsidRPr="00F242DD">
        <w:rPr>
          <w:rFonts w:eastAsia="Times New Roman"/>
          <w:szCs w:val="24"/>
          <w:lang w:eastAsia="ru-RU"/>
        </w:rPr>
        <w:t>инфузия</w:t>
      </w:r>
      <w:r w:rsidRPr="006F119F">
        <w:rPr>
          <w:rFonts w:eastAsia="Times New Roman"/>
          <w:szCs w:val="24"/>
          <w:lang w:eastAsia="ru-RU"/>
        </w:rPr>
        <w:t xml:space="preserve">, </w:t>
      </w:r>
      <w:r w:rsidRPr="00F242DD">
        <w:rPr>
          <w:rFonts w:eastAsia="Times New Roman"/>
          <w:szCs w:val="24"/>
          <w:lang w:eastAsia="ru-RU"/>
        </w:rPr>
        <w:t>дни</w:t>
      </w:r>
      <w:r w:rsidRPr="006F119F">
        <w:rPr>
          <w:rFonts w:eastAsia="Times New Roman"/>
          <w:szCs w:val="24"/>
          <w:lang w:eastAsia="ru-RU"/>
        </w:rPr>
        <w:t xml:space="preserve"> 4-7</w:t>
      </w:r>
    </w:p>
    <w:p w14:paraId="6EA8B3B9" w14:textId="77777777" w:rsidR="000546DA" w:rsidRPr="006F119F" w:rsidRDefault="000546DA" w:rsidP="00727CDE">
      <w:pPr>
        <w:pStyle w:val="a6"/>
        <w:numPr>
          <w:ilvl w:val="0"/>
          <w:numId w:val="53"/>
        </w:numPr>
        <w:spacing w:before="0" w:after="0"/>
        <w:jc w:val="left"/>
        <w:rPr>
          <w:rFonts w:eastAsia="Times New Roman"/>
          <w:szCs w:val="24"/>
          <w:lang w:eastAsia="ru-RU"/>
        </w:rPr>
      </w:pPr>
      <w:r w:rsidRPr="006F119F">
        <w:rPr>
          <w:rFonts w:eastAsia="Times New Roman"/>
          <w:szCs w:val="24"/>
          <w:lang w:eastAsia="ru-RU"/>
        </w:rPr>
        <w:t>#</w:t>
      </w:r>
      <w:r w:rsidRPr="00F242DD">
        <w:rPr>
          <w:rFonts w:eastAsia="Times New Roman"/>
          <w:szCs w:val="24"/>
          <w:lang w:eastAsia="ru-RU"/>
        </w:rPr>
        <w:t>Этопозид</w:t>
      </w:r>
      <w:r w:rsidRPr="006F119F">
        <w:rPr>
          <w:rFonts w:eastAsia="Times New Roman"/>
          <w:szCs w:val="24"/>
          <w:lang w:eastAsia="ru-RU"/>
        </w:rPr>
        <w:t xml:space="preserve">** 40 </w:t>
      </w:r>
      <w:r w:rsidRPr="00F242DD">
        <w:rPr>
          <w:rFonts w:eastAsia="Times New Roman"/>
          <w:szCs w:val="24"/>
          <w:lang w:eastAsia="ru-RU"/>
        </w:rPr>
        <w:t>мг</w:t>
      </w:r>
      <w:r w:rsidRPr="006F119F">
        <w:rPr>
          <w:rFonts w:eastAsia="Times New Roman"/>
          <w:szCs w:val="24"/>
          <w:lang w:eastAsia="ru-RU"/>
        </w:rPr>
        <w:t>/</w:t>
      </w:r>
      <w:r w:rsidRPr="00F242DD">
        <w:rPr>
          <w:rFonts w:eastAsia="Times New Roman"/>
          <w:szCs w:val="24"/>
          <w:lang w:eastAsia="ru-RU"/>
        </w:rPr>
        <w:t>м</w:t>
      </w:r>
      <w:r w:rsidRPr="006F119F">
        <w:rPr>
          <w:rFonts w:eastAsia="Times New Roman"/>
          <w:szCs w:val="24"/>
          <w:vertAlign w:val="superscript"/>
          <w:lang w:eastAsia="ru-RU"/>
        </w:rPr>
        <w:t>2</w:t>
      </w:r>
      <w:r w:rsidRPr="006F119F">
        <w:rPr>
          <w:rFonts w:eastAsia="Times New Roman"/>
          <w:szCs w:val="24"/>
          <w:lang w:eastAsia="ru-RU"/>
        </w:rPr>
        <w:t xml:space="preserve"> </w:t>
      </w:r>
      <w:r w:rsidRPr="00F242DD">
        <w:rPr>
          <w:rFonts w:eastAsia="Times New Roman"/>
          <w:szCs w:val="24"/>
          <w:lang w:eastAsia="ru-RU"/>
        </w:rPr>
        <w:t>в</w:t>
      </w:r>
      <w:r w:rsidRPr="006F119F">
        <w:rPr>
          <w:rFonts w:eastAsia="Times New Roman"/>
          <w:szCs w:val="24"/>
          <w:lang w:eastAsia="ru-RU"/>
        </w:rPr>
        <w:t>/</w:t>
      </w:r>
      <w:r w:rsidRPr="00F242DD">
        <w:rPr>
          <w:rFonts w:eastAsia="Times New Roman"/>
          <w:szCs w:val="24"/>
          <w:lang w:eastAsia="ru-RU"/>
        </w:rPr>
        <w:t>в</w:t>
      </w:r>
      <w:r w:rsidRPr="006F119F">
        <w:rPr>
          <w:rFonts w:eastAsia="Times New Roman"/>
          <w:szCs w:val="24"/>
          <w:lang w:eastAsia="ru-RU"/>
        </w:rPr>
        <w:t xml:space="preserve"> 24-</w:t>
      </w:r>
      <w:r w:rsidRPr="00F242DD">
        <w:rPr>
          <w:rFonts w:eastAsia="Times New Roman"/>
          <w:szCs w:val="24"/>
          <w:lang w:eastAsia="ru-RU"/>
        </w:rPr>
        <w:t>часовая</w:t>
      </w:r>
      <w:r w:rsidRPr="006F119F">
        <w:rPr>
          <w:rFonts w:eastAsia="Times New Roman"/>
          <w:szCs w:val="24"/>
          <w:lang w:eastAsia="ru-RU"/>
        </w:rPr>
        <w:t xml:space="preserve"> </w:t>
      </w:r>
      <w:r w:rsidRPr="00F242DD">
        <w:rPr>
          <w:rFonts w:eastAsia="Times New Roman"/>
          <w:szCs w:val="24"/>
          <w:lang w:eastAsia="ru-RU"/>
        </w:rPr>
        <w:t>инфузия</w:t>
      </w:r>
      <w:r w:rsidRPr="006F119F">
        <w:rPr>
          <w:rFonts w:eastAsia="Times New Roman"/>
          <w:szCs w:val="24"/>
          <w:lang w:eastAsia="ru-RU"/>
        </w:rPr>
        <w:t xml:space="preserve">, </w:t>
      </w:r>
      <w:r w:rsidRPr="00F242DD">
        <w:rPr>
          <w:rFonts w:eastAsia="Times New Roman"/>
          <w:szCs w:val="24"/>
          <w:lang w:eastAsia="ru-RU"/>
        </w:rPr>
        <w:t>дни</w:t>
      </w:r>
      <w:r w:rsidRPr="006F119F">
        <w:rPr>
          <w:rFonts w:eastAsia="Times New Roman"/>
          <w:szCs w:val="24"/>
          <w:lang w:eastAsia="ru-RU"/>
        </w:rPr>
        <w:t xml:space="preserve"> 4</w:t>
      </w:r>
      <w:r w:rsidR="001E1461" w:rsidRPr="006F119F">
        <w:rPr>
          <w:rFonts w:eastAsia="Times New Roman"/>
          <w:szCs w:val="24"/>
          <w:lang w:eastAsia="ru-RU"/>
        </w:rPr>
        <w:t>‒</w:t>
      </w:r>
      <w:r w:rsidRPr="006F119F">
        <w:rPr>
          <w:rFonts w:eastAsia="Times New Roman"/>
          <w:szCs w:val="24"/>
          <w:lang w:eastAsia="ru-RU"/>
        </w:rPr>
        <w:t>7</w:t>
      </w:r>
      <w:r w:rsidR="001E1461" w:rsidRPr="006F119F">
        <w:rPr>
          <w:rFonts w:eastAsia="Times New Roman"/>
          <w:szCs w:val="24"/>
          <w:lang w:eastAsia="ru-RU"/>
        </w:rPr>
        <w:t>-</w:t>
      </w:r>
      <w:r w:rsidR="001E1461" w:rsidRPr="00F242DD">
        <w:rPr>
          <w:rFonts w:eastAsia="Times New Roman"/>
          <w:szCs w:val="24"/>
          <w:lang w:eastAsia="ru-RU"/>
        </w:rPr>
        <w:t>й</w:t>
      </w:r>
    </w:p>
    <w:p w14:paraId="5903B445" w14:textId="77777777" w:rsidR="000546DA" w:rsidRPr="006F119F" w:rsidRDefault="00221B7B" w:rsidP="00727CDE">
      <w:pPr>
        <w:pStyle w:val="a6"/>
        <w:numPr>
          <w:ilvl w:val="0"/>
          <w:numId w:val="53"/>
        </w:numPr>
        <w:spacing w:before="0" w:after="0"/>
        <w:jc w:val="left"/>
        <w:rPr>
          <w:rFonts w:eastAsia="Times New Roman"/>
          <w:szCs w:val="24"/>
          <w:lang w:eastAsia="ru-RU"/>
        </w:rPr>
      </w:pPr>
      <w:r w:rsidRPr="006F119F">
        <w:rPr>
          <w:rFonts w:eastAsia="Times New Roman"/>
          <w:szCs w:val="24"/>
          <w:lang w:eastAsia="ru-RU"/>
        </w:rPr>
        <w:t>#</w:t>
      </w:r>
      <w:r w:rsidR="000546DA" w:rsidRPr="00F242DD">
        <w:rPr>
          <w:rFonts w:eastAsia="Times New Roman"/>
          <w:szCs w:val="24"/>
          <w:lang w:eastAsia="ru-RU"/>
        </w:rPr>
        <w:t>Г</w:t>
      </w:r>
      <w:r w:rsidR="000546DA" w:rsidRPr="006F119F">
        <w:rPr>
          <w:rFonts w:eastAsia="Times New Roman"/>
          <w:szCs w:val="24"/>
          <w:lang w:eastAsia="ru-RU"/>
        </w:rPr>
        <w:t>-</w:t>
      </w:r>
      <w:r w:rsidR="000546DA" w:rsidRPr="00F242DD">
        <w:rPr>
          <w:rFonts w:eastAsia="Times New Roman"/>
          <w:szCs w:val="24"/>
          <w:lang w:eastAsia="ru-RU"/>
        </w:rPr>
        <w:t>КСФ</w:t>
      </w:r>
      <w:r w:rsidR="000546DA" w:rsidRPr="006F119F">
        <w:rPr>
          <w:rFonts w:eastAsia="Times New Roman"/>
          <w:szCs w:val="24"/>
          <w:lang w:eastAsia="ru-RU"/>
        </w:rPr>
        <w:t xml:space="preserve"> </w:t>
      </w:r>
      <w:r w:rsidR="000546DA" w:rsidRPr="00F242DD">
        <w:rPr>
          <w:rFonts w:eastAsia="Times New Roman"/>
          <w:szCs w:val="24"/>
          <w:lang w:eastAsia="ru-RU"/>
        </w:rPr>
        <w:t>при</w:t>
      </w:r>
      <w:r w:rsidR="000546DA" w:rsidRPr="006F119F">
        <w:rPr>
          <w:rFonts w:eastAsia="Times New Roman"/>
          <w:szCs w:val="24"/>
          <w:lang w:eastAsia="ru-RU"/>
        </w:rPr>
        <w:t xml:space="preserve"> </w:t>
      </w:r>
      <w:r w:rsidR="000546DA" w:rsidRPr="00F242DD">
        <w:rPr>
          <w:rFonts w:eastAsia="Times New Roman"/>
          <w:szCs w:val="24"/>
          <w:lang w:eastAsia="ru-RU"/>
        </w:rPr>
        <w:t>снижении</w:t>
      </w:r>
      <w:r w:rsidR="000546DA" w:rsidRPr="006F119F">
        <w:rPr>
          <w:rFonts w:eastAsia="Times New Roman"/>
          <w:szCs w:val="24"/>
          <w:lang w:eastAsia="ru-RU"/>
        </w:rPr>
        <w:t xml:space="preserve"> </w:t>
      </w:r>
      <w:r w:rsidR="000546DA" w:rsidRPr="00F242DD">
        <w:rPr>
          <w:rFonts w:eastAsia="Times New Roman"/>
          <w:szCs w:val="24"/>
          <w:lang w:eastAsia="ru-RU"/>
        </w:rPr>
        <w:t>числа</w:t>
      </w:r>
      <w:r w:rsidR="000546DA" w:rsidRPr="006F119F">
        <w:rPr>
          <w:rFonts w:eastAsia="Times New Roman"/>
          <w:szCs w:val="24"/>
          <w:lang w:eastAsia="ru-RU"/>
        </w:rPr>
        <w:t xml:space="preserve"> </w:t>
      </w:r>
      <w:r w:rsidR="000546DA" w:rsidRPr="00F242DD">
        <w:rPr>
          <w:rFonts w:eastAsia="Times New Roman"/>
          <w:szCs w:val="24"/>
          <w:lang w:eastAsia="ru-RU"/>
        </w:rPr>
        <w:t>лейкоцитов</w:t>
      </w:r>
      <w:r w:rsidR="000546DA" w:rsidRPr="006F119F">
        <w:rPr>
          <w:rFonts w:eastAsia="Times New Roman"/>
          <w:szCs w:val="24"/>
          <w:lang w:eastAsia="ru-RU"/>
        </w:rPr>
        <w:t xml:space="preserve"> </w:t>
      </w:r>
      <w:r w:rsidR="001E1461" w:rsidRPr="006F119F">
        <w:rPr>
          <w:rFonts w:eastAsia="Times New Roman"/>
          <w:szCs w:val="24"/>
          <w:lang w:eastAsia="ru-RU"/>
        </w:rPr>
        <w:t>&lt;</w:t>
      </w:r>
      <w:r w:rsidR="000546DA" w:rsidRPr="006F119F">
        <w:rPr>
          <w:rFonts w:eastAsia="Times New Roman"/>
          <w:szCs w:val="24"/>
          <w:lang w:eastAsia="ru-RU"/>
        </w:rPr>
        <w:t xml:space="preserve">1 </w:t>
      </w:r>
      <w:r w:rsidR="001E1461" w:rsidRPr="006F119F">
        <w:rPr>
          <w:rFonts w:eastAsia="Times New Roman"/>
          <w:szCs w:val="24"/>
          <w:lang w:eastAsia="ru-RU"/>
        </w:rPr>
        <w:t xml:space="preserve">× </w:t>
      </w:r>
      <w:r w:rsidR="000546DA" w:rsidRPr="006F119F">
        <w:rPr>
          <w:rFonts w:eastAsia="Times New Roman"/>
          <w:szCs w:val="24"/>
          <w:lang w:eastAsia="ru-RU"/>
        </w:rPr>
        <w:t>10</w:t>
      </w:r>
      <w:r w:rsidR="000546DA" w:rsidRPr="006F119F">
        <w:rPr>
          <w:rFonts w:eastAsia="Times New Roman"/>
          <w:szCs w:val="24"/>
          <w:vertAlign w:val="superscript"/>
          <w:lang w:eastAsia="ru-RU"/>
        </w:rPr>
        <w:t>9</w:t>
      </w:r>
      <w:r w:rsidR="000546DA" w:rsidRPr="006F119F">
        <w:rPr>
          <w:rFonts w:eastAsia="Times New Roman"/>
          <w:szCs w:val="24"/>
          <w:lang w:eastAsia="ru-RU"/>
        </w:rPr>
        <w:t>/</w:t>
      </w:r>
      <w:r w:rsidR="000546DA" w:rsidRPr="00F242DD">
        <w:rPr>
          <w:rFonts w:eastAsia="Times New Roman"/>
          <w:szCs w:val="24"/>
          <w:lang w:eastAsia="ru-RU"/>
        </w:rPr>
        <w:t>л</w:t>
      </w:r>
      <w:r w:rsidR="000546DA" w:rsidRPr="006F119F">
        <w:rPr>
          <w:rFonts w:eastAsia="Times New Roman"/>
          <w:szCs w:val="24"/>
          <w:lang w:eastAsia="ru-RU"/>
        </w:rPr>
        <w:t xml:space="preserve"> </w:t>
      </w:r>
      <w:r w:rsidR="000546DA" w:rsidRPr="00F242DD">
        <w:rPr>
          <w:rFonts w:eastAsia="Times New Roman"/>
          <w:szCs w:val="24"/>
          <w:lang w:eastAsia="ru-RU"/>
        </w:rPr>
        <w:t>до</w:t>
      </w:r>
      <w:r w:rsidR="000546DA" w:rsidRPr="006F119F">
        <w:rPr>
          <w:rFonts w:eastAsia="Times New Roman"/>
          <w:szCs w:val="24"/>
          <w:lang w:eastAsia="ru-RU"/>
        </w:rPr>
        <w:t xml:space="preserve"> </w:t>
      </w:r>
      <w:r w:rsidR="000546DA" w:rsidRPr="00F242DD">
        <w:rPr>
          <w:rFonts w:eastAsia="Times New Roman"/>
          <w:szCs w:val="24"/>
          <w:lang w:eastAsia="ru-RU"/>
        </w:rPr>
        <w:t>восстановления</w:t>
      </w:r>
      <w:r w:rsidR="000546DA" w:rsidRPr="006F119F">
        <w:rPr>
          <w:rFonts w:eastAsia="Times New Roman"/>
          <w:szCs w:val="24"/>
          <w:lang w:eastAsia="ru-RU"/>
        </w:rPr>
        <w:t xml:space="preserve"> </w:t>
      </w:r>
      <w:r w:rsidR="000546DA" w:rsidRPr="00F242DD">
        <w:rPr>
          <w:rFonts w:eastAsia="Times New Roman"/>
          <w:szCs w:val="24"/>
          <w:lang w:eastAsia="ru-RU"/>
        </w:rPr>
        <w:t>уровня</w:t>
      </w:r>
      <w:r w:rsidR="000546DA" w:rsidRPr="006F119F">
        <w:rPr>
          <w:rFonts w:eastAsia="Times New Roman"/>
          <w:szCs w:val="24"/>
          <w:lang w:eastAsia="ru-RU"/>
        </w:rPr>
        <w:t xml:space="preserve"> </w:t>
      </w:r>
      <w:r w:rsidR="000546DA" w:rsidRPr="00F242DD">
        <w:rPr>
          <w:rFonts w:eastAsia="Times New Roman"/>
          <w:szCs w:val="24"/>
          <w:lang w:eastAsia="ru-RU"/>
        </w:rPr>
        <w:t>нейтрофилов</w:t>
      </w:r>
    </w:p>
    <w:p w14:paraId="7E27A2D7" w14:textId="77777777" w:rsidR="000546DA" w:rsidRPr="006F119F" w:rsidRDefault="000546DA" w:rsidP="00131E36">
      <w:pPr>
        <w:spacing w:before="0" w:after="0"/>
        <w:contextualSpacing/>
        <w:rPr>
          <w:rFonts w:eastAsia="Times New Roman"/>
          <w:szCs w:val="24"/>
          <w:lang w:eastAsia="ru-RU"/>
        </w:rPr>
      </w:pPr>
      <w:r w:rsidRPr="00F242DD">
        <w:rPr>
          <w:rFonts w:eastAsia="Times New Roman"/>
          <w:szCs w:val="24"/>
          <w:lang w:eastAsia="ru-RU"/>
        </w:rPr>
        <w:t>Лечение</w:t>
      </w:r>
      <w:r w:rsidRPr="006F119F">
        <w:rPr>
          <w:rFonts w:eastAsia="Times New Roman"/>
          <w:szCs w:val="24"/>
          <w:lang w:eastAsia="ru-RU"/>
        </w:rPr>
        <w:t xml:space="preserve"> </w:t>
      </w:r>
      <w:r w:rsidRPr="00F242DD">
        <w:rPr>
          <w:rFonts w:eastAsia="Times New Roman"/>
          <w:szCs w:val="24"/>
          <w:lang w:eastAsia="ru-RU"/>
        </w:rPr>
        <w:t>возобновляется</w:t>
      </w:r>
      <w:r w:rsidRPr="006F119F">
        <w:rPr>
          <w:rFonts w:eastAsia="Times New Roman"/>
          <w:szCs w:val="24"/>
          <w:lang w:eastAsia="ru-RU"/>
        </w:rPr>
        <w:t xml:space="preserve"> </w:t>
      </w:r>
      <w:r w:rsidRPr="00F242DD">
        <w:rPr>
          <w:rFonts w:eastAsia="Times New Roman"/>
          <w:szCs w:val="24"/>
          <w:lang w:eastAsia="ru-RU"/>
        </w:rPr>
        <w:t>при</w:t>
      </w:r>
      <w:r w:rsidRPr="006F119F">
        <w:rPr>
          <w:rFonts w:eastAsia="Times New Roman"/>
          <w:szCs w:val="24"/>
          <w:lang w:eastAsia="ru-RU"/>
        </w:rPr>
        <w:t xml:space="preserve"> </w:t>
      </w:r>
      <w:r w:rsidRPr="00F242DD">
        <w:rPr>
          <w:rFonts w:eastAsia="Times New Roman"/>
          <w:szCs w:val="24"/>
          <w:lang w:eastAsia="ru-RU"/>
        </w:rPr>
        <w:t>полном</w:t>
      </w:r>
      <w:r w:rsidRPr="006F119F">
        <w:rPr>
          <w:rFonts w:eastAsia="Times New Roman"/>
          <w:szCs w:val="24"/>
          <w:lang w:eastAsia="ru-RU"/>
        </w:rPr>
        <w:t xml:space="preserve"> </w:t>
      </w:r>
      <w:r w:rsidRPr="00F242DD">
        <w:rPr>
          <w:rFonts w:eastAsia="Times New Roman"/>
          <w:szCs w:val="24"/>
          <w:lang w:eastAsia="ru-RU"/>
        </w:rPr>
        <w:t>восстановлении</w:t>
      </w:r>
      <w:r w:rsidRPr="006F119F">
        <w:rPr>
          <w:rFonts w:eastAsia="Times New Roman"/>
          <w:szCs w:val="24"/>
          <w:lang w:eastAsia="ru-RU"/>
        </w:rPr>
        <w:t xml:space="preserve"> </w:t>
      </w:r>
      <w:r w:rsidRPr="00F242DD">
        <w:rPr>
          <w:rFonts w:eastAsia="Times New Roman"/>
          <w:szCs w:val="24"/>
          <w:lang w:eastAsia="ru-RU"/>
        </w:rPr>
        <w:t>показателей</w:t>
      </w:r>
      <w:r w:rsidRPr="006F119F">
        <w:rPr>
          <w:rFonts w:eastAsia="Times New Roman"/>
          <w:szCs w:val="24"/>
          <w:lang w:eastAsia="ru-RU"/>
        </w:rPr>
        <w:t xml:space="preserve"> </w:t>
      </w:r>
      <w:r w:rsidRPr="00F242DD">
        <w:rPr>
          <w:rFonts w:eastAsia="Times New Roman"/>
          <w:szCs w:val="24"/>
          <w:lang w:eastAsia="ru-RU"/>
        </w:rPr>
        <w:t>крови</w:t>
      </w:r>
      <w:r w:rsidRPr="006F119F">
        <w:rPr>
          <w:rFonts w:eastAsia="Times New Roman"/>
          <w:szCs w:val="24"/>
          <w:lang w:eastAsia="ru-RU"/>
        </w:rPr>
        <w:t xml:space="preserve"> </w:t>
      </w:r>
      <w:r w:rsidRPr="00F242DD">
        <w:rPr>
          <w:rFonts w:eastAsia="Times New Roman"/>
          <w:szCs w:val="24"/>
          <w:lang w:eastAsia="ru-RU"/>
        </w:rPr>
        <w:t>на</w:t>
      </w:r>
      <w:r w:rsidRPr="006F119F">
        <w:rPr>
          <w:rFonts w:eastAsia="Times New Roman"/>
          <w:szCs w:val="24"/>
          <w:lang w:eastAsia="ru-RU"/>
        </w:rPr>
        <w:t xml:space="preserve"> 29</w:t>
      </w:r>
      <w:r w:rsidR="001E1461" w:rsidRPr="006F119F">
        <w:rPr>
          <w:rFonts w:eastAsia="Times New Roman"/>
          <w:szCs w:val="24"/>
          <w:lang w:eastAsia="ru-RU"/>
        </w:rPr>
        <w:t>‒</w:t>
      </w:r>
      <w:r w:rsidRPr="006F119F">
        <w:rPr>
          <w:rFonts w:eastAsia="Times New Roman"/>
          <w:szCs w:val="24"/>
          <w:lang w:eastAsia="ru-RU"/>
        </w:rPr>
        <w:t>36</w:t>
      </w:r>
      <w:r w:rsidR="001E1461" w:rsidRPr="006F119F">
        <w:rPr>
          <w:rFonts w:eastAsia="Times New Roman"/>
          <w:szCs w:val="24"/>
          <w:lang w:eastAsia="ru-RU"/>
        </w:rPr>
        <w:t>-</w:t>
      </w:r>
      <w:r w:rsidR="001E1461" w:rsidRPr="00F242DD">
        <w:rPr>
          <w:rFonts w:eastAsia="Times New Roman"/>
          <w:szCs w:val="24"/>
          <w:lang w:eastAsia="ru-RU"/>
        </w:rPr>
        <w:t>й</w:t>
      </w:r>
      <w:r w:rsidRPr="006F119F">
        <w:rPr>
          <w:rFonts w:eastAsia="Times New Roman"/>
          <w:szCs w:val="24"/>
          <w:lang w:eastAsia="ru-RU"/>
        </w:rPr>
        <w:t xml:space="preserve"> </w:t>
      </w:r>
      <w:r w:rsidRPr="00F242DD">
        <w:rPr>
          <w:rFonts w:eastAsia="Times New Roman"/>
          <w:szCs w:val="24"/>
          <w:lang w:eastAsia="ru-RU"/>
        </w:rPr>
        <w:t>дни</w:t>
      </w:r>
      <w:r w:rsidR="001E1461" w:rsidRPr="006F119F">
        <w:rPr>
          <w:rFonts w:eastAsia="Times New Roman"/>
          <w:szCs w:val="24"/>
          <w:lang w:eastAsia="ru-RU"/>
        </w:rPr>
        <w:t>.</w:t>
      </w:r>
    </w:p>
    <w:p w14:paraId="5C18AEB1" w14:textId="77777777" w:rsidR="000546DA" w:rsidRPr="006F119F" w:rsidRDefault="000546DA" w:rsidP="00E36DFA">
      <w:pPr>
        <w:pStyle w:val="2"/>
        <w:rPr>
          <w:rStyle w:val="ac"/>
          <w:rFonts w:eastAsia="Calibri"/>
          <w:b/>
        </w:rPr>
      </w:pPr>
      <w:bookmarkStart w:id="66" w:name="_Toc2607873"/>
      <w:bookmarkStart w:id="67" w:name="_Toc53140918"/>
      <w:bookmarkEnd w:id="64"/>
      <w:r w:rsidRPr="00F242DD">
        <w:rPr>
          <w:rStyle w:val="ac"/>
          <w:b/>
        </w:rPr>
        <w:lastRenderedPageBreak/>
        <w:t>Приложение</w:t>
      </w:r>
      <w:r w:rsidRPr="006F119F">
        <w:rPr>
          <w:rStyle w:val="ac"/>
          <w:b/>
        </w:rPr>
        <w:t xml:space="preserve"> </w:t>
      </w:r>
      <w:r w:rsidR="003F3D12" w:rsidRPr="00F242DD">
        <w:rPr>
          <w:rStyle w:val="ac"/>
          <w:b/>
        </w:rPr>
        <w:t>А</w:t>
      </w:r>
      <w:r w:rsidR="003F3D12" w:rsidRPr="006F119F">
        <w:rPr>
          <w:rStyle w:val="ac"/>
          <w:b/>
        </w:rPr>
        <w:t xml:space="preserve">3.2. </w:t>
      </w:r>
      <w:bookmarkEnd w:id="66"/>
      <w:r w:rsidRPr="00F242DD">
        <w:rPr>
          <w:rStyle w:val="ac"/>
          <w:b/>
        </w:rPr>
        <w:t>Рекомендации</w:t>
      </w:r>
      <w:r w:rsidRPr="006F119F">
        <w:rPr>
          <w:rStyle w:val="ac"/>
          <w:b/>
        </w:rPr>
        <w:t xml:space="preserve"> </w:t>
      </w:r>
      <w:r w:rsidRPr="00F242DD">
        <w:rPr>
          <w:rStyle w:val="ac"/>
          <w:b/>
        </w:rPr>
        <w:t>по</w:t>
      </w:r>
      <w:r w:rsidRPr="006F119F">
        <w:rPr>
          <w:rStyle w:val="ac"/>
          <w:b/>
        </w:rPr>
        <w:t xml:space="preserve"> </w:t>
      </w:r>
      <w:r w:rsidRPr="00F242DD">
        <w:rPr>
          <w:rStyle w:val="ac"/>
          <w:b/>
        </w:rPr>
        <w:t>коррекции</w:t>
      </w:r>
      <w:r w:rsidRPr="006F119F">
        <w:rPr>
          <w:rStyle w:val="ac"/>
          <w:b/>
        </w:rPr>
        <w:t xml:space="preserve"> </w:t>
      </w:r>
      <w:r w:rsidRPr="00F242DD">
        <w:rPr>
          <w:rStyle w:val="ac"/>
          <w:b/>
        </w:rPr>
        <w:t>дозы</w:t>
      </w:r>
      <w:r w:rsidRPr="006F119F">
        <w:rPr>
          <w:rStyle w:val="ac"/>
          <w:b/>
        </w:rPr>
        <w:t xml:space="preserve"> </w:t>
      </w:r>
      <w:r w:rsidRPr="00F242DD">
        <w:rPr>
          <w:rStyle w:val="ac"/>
          <w:b/>
        </w:rPr>
        <w:t>леналидомида</w:t>
      </w:r>
      <w:r w:rsidRPr="006F119F">
        <w:rPr>
          <w:rStyle w:val="ac"/>
          <w:b/>
        </w:rPr>
        <w:t xml:space="preserve"> </w:t>
      </w:r>
      <w:r w:rsidRPr="00F242DD">
        <w:rPr>
          <w:rStyle w:val="ac"/>
          <w:b/>
        </w:rPr>
        <w:t>в</w:t>
      </w:r>
      <w:r w:rsidRPr="006F119F">
        <w:rPr>
          <w:rStyle w:val="ac"/>
          <w:b/>
        </w:rPr>
        <w:t xml:space="preserve"> </w:t>
      </w:r>
      <w:r w:rsidRPr="00F242DD">
        <w:rPr>
          <w:rStyle w:val="ac"/>
          <w:b/>
        </w:rPr>
        <w:t>зависимости</w:t>
      </w:r>
      <w:r w:rsidRPr="006F119F">
        <w:rPr>
          <w:rStyle w:val="ac"/>
          <w:b/>
        </w:rPr>
        <w:t xml:space="preserve"> </w:t>
      </w:r>
      <w:r w:rsidRPr="00F242DD">
        <w:rPr>
          <w:rStyle w:val="ac"/>
          <w:b/>
        </w:rPr>
        <w:t>от</w:t>
      </w:r>
      <w:r w:rsidRPr="006F119F">
        <w:rPr>
          <w:rStyle w:val="ac"/>
          <w:b/>
        </w:rPr>
        <w:t xml:space="preserve"> </w:t>
      </w:r>
      <w:r w:rsidRPr="00F242DD">
        <w:rPr>
          <w:rStyle w:val="ac"/>
          <w:b/>
        </w:rPr>
        <w:t>клиренса</w:t>
      </w:r>
      <w:r w:rsidRPr="006F119F">
        <w:rPr>
          <w:rStyle w:val="ac"/>
          <w:b/>
        </w:rPr>
        <w:t xml:space="preserve"> </w:t>
      </w:r>
      <w:r w:rsidRPr="00F242DD">
        <w:rPr>
          <w:rStyle w:val="ac"/>
          <w:b/>
        </w:rPr>
        <w:t>креатинина</w:t>
      </w:r>
      <w:bookmarkEnd w:id="67"/>
    </w:p>
    <w:p w14:paraId="39F2A9D9" w14:textId="77777777" w:rsidR="000B7FA3" w:rsidRPr="006F119F" w:rsidRDefault="000B7FA3" w:rsidP="000B7FA3"/>
    <w:tbl>
      <w:tblPr>
        <w:tblW w:w="0" w:type="auto"/>
        <w:tblLayout w:type="fixed"/>
        <w:tblLook w:val="0000" w:firstRow="0" w:lastRow="0" w:firstColumn="0" w:lastColumn="0" w:noHBand="0" w:noVBand="0"/>
      </w:tblPr>
      <w:tblGrid>
        <w:gridCol w:w="4839"/>
        <w:gridCol w:w="4660"/>
      </w:tblGrid>
      <w:tr w:rsidR="000546DA" w:rsidRPr="002E7F7B" w14:paraId="5048AFA1" w14:textId="77777777" w:rsidTr="00E36DFA">
        <w:tc>
          <w:tcPr>
            <w:tcW w:w="4839" w:type="dxa"/>
            <w:tcBorders>
              <w:top w:val="single" w:sz="4" w:space="0" w:color="000000"/>
              <w:left w:val="single" w:sz="4" w:space="0" w:color="000000"/>
              <w:bottom w:val="single" w:sz="4" w:space="0" w:color="000000"/>
            </w:tcBorders>
            <w:shd w:val="clear" w:color="auto" w:fill="auto"/>
          </w:tcPr>
          <w:p w14:paraId="2D6AB2BD" w14:textId="77777777" w:rsidR="000546DA" w:rsidRPr="006F119F" w:rsidRDefault="000546DA" w:rsidP="00131E36">
            <w:pPr>
              <w:tabs>
                <w:tab w:val="left" w:pos="0"/>
              </w:tabs>
              <w:snapToGrid w:val="0"/>
              <w:spacing w:before="0" w:after="0"/>
              <w:ind w:left="284"/>
              <w:rPr>
                <w:rFonts w:eastAsia="Times New Roman"/>
                <w:b/>
              </w:rPr>
            </w:pPr>
            <w:r w:rsidRPr="00F242DD">
              <w:rPr>
                <w:rFonts w:eastAsia="Times New Roman"/>
                <w:b/>
              </w:rPr>
              <w:t>Клиренс</w:t>
            </w:r>
            <w:r w:rsidRPr="006F119F">
              <w:rPr>
                <w:rFonts w:eastAsia="Times New Roman"/>
                <w:b/>
              </w:rPr>
              <w:t xml:space="preserve"> </w:t>
            </w:r>
            <w:r w:rsidRPr="00F242DD">
              <w:rPr>
                <w:rFonts w:eastAsia="Times New Roman"/>
                <w:b/>
              </w:rPr>
              <w:t>креатинина</w:t>
            </w:r>
            <w:r w:rsidRPr="006F119F">
              <w:rPr>
                <w:rFonts w:eastAsia="Times New Roman"/>
                <w:b/>
              </w:rPr>
              <w:t xml:space="preserve"> (</w:t>
            </w:r>
            <w:r w:rsidRPr="00F242DD">
              <w:rPr>
                <w:rFonts w:eastAsia="Times New Roman"/>
                <w:b/>
              </w:rPr>
              <w:t>КК</w:t>
            </w:r>
            <w:r w:rsidRPr="006F119F">
              <w:rPr>
                <w:rFonts w:eastAsia="Times New Roman"/>
                <w:b/>
              </w:rPr>
              <w:t xml:space="preserve">), </w:t>
            </w:r>
            <w:r w:rsidRPr="00F242DD">
              <w:rPr>
                <w:rFonts w:eastAsia="Times New Roman"/>
                <w:b/>
              </w:rPr>
              <w:t>мл</w:t>
            </w:r>
            <w:r w:rsidRPr="006F119F">
              <w:rPr>
                <w:rFonts w:eastAsia="Times New Roman"/>
                <w:b/>
              </w:rPr>
              <w:t>/</w:t>
            </w:r>
            <w:r w:rsidRPr="00F242DD">
              <w:rPr>
                <w:rFonts w:eastAsia="Times New Roman"/>
                <w:b/>
              </w:rPr>
              <w:t>мин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157CC62" w14:textId="77777777" w:rsidR="000546DA" w:rsidRPr="008F69F6" w:rsidRDefault="000546DA" w:rsidP="00131E36">
            <w:pPr>
              <w:tabs>
                <w:tab w:val="left" w:pos="0"/>
              </w:tabs>
              <w:snapToGrid w:val="0"/>
              <w:spacing w:before="0" w:after="0"/>
              <w:ind w:left="284"/>
              <w:rPr>
                <w:rFonts w:eastAsia="Times New Roman"/>
                <w:u w:val="single"/>
                <w:lang w:val="en-US"/>
              </w:rPr>
            </w:pPr>
            <w:r w:rsidRPr="00F242DD">
              <w:rPr>
                <w:rFonts w:eastAsia="Times New Roman"/>
                <w:b/>
              </w:rPr>
              <w:t>Доза</w:t>
            </w:r>
            <w:r w:rsidRPr="008F69F6">
              <w:rPr>
                <w:rFonts w:eastAsia="Times New Roman"/>
                <w:b/>
                <w:lang w:val="en-US"/>
              </w:rPr>
              <w:t xml:space="preserve"> </w:t>
            </w:r>
            <w:r w:rsidRPr="00F242DD">
              <w:rPr>
                <w:rFonts w:eastAsia="Times New Roman"/>
                <w:b/>
              </w:rPr>
              <w:t>леналидомида</w:t>
            </w:r>
            <w:r w:rsidRPr="008F69F6">
              <w:rPr>
                <w:rFonts w:eastAsia="Times New Roman"/>
                <w:b/>
                <w:lang w:val="en-US"/>
              </w:rPr>
              <w:t>**</w:t>
            </w:r>
          </w:p>
        </w:tc>
      </w:tr>
      <w:tr w:rsidR="000546DA" w:rsidRPr="002E7F7B" w14:paraId="7FCCC445" w14:textId="77777777" w:rsidTr="00E36DFA">
        <w:tc>
          <w:tcPr>
            <w:tcW w:w="4839" w:type="dxa"/>
            <w:tcBorders>
              <w:top w:val="single" w:sz="4" w:space="0" w:color="000000"/>
              <w:left w:val="single" w:sz="4" w:space="0" w:color="000000"/>
              <w:bottom w:val="single" w:sz="4" w:space="0" w:color="000000"/>
            </w:tcBorders>
            <w:shd w:val="clear" w:color="auto" w:fill="auto"/>
          </w:tcPr>
          <w:p w14:paraId="0F86A036" w14:textId="77777777" w:rsidR="000546DA" w:rsidRPr="008F69F6" w:rsidRDefault="000546DA" w:rsidP="00131E36">
            <w:pPr>
              <w:tabs>
                <w:tab w:val="left" w:pos="0"/>
              </w:tabs>
              <w:snapToGrid w:val="0"/>
              <w:spacing w:before="0" w:after="0"/>
              <w:ind w:left="284"/>
              <w:rPr>
                <w:rFonts w:eastAsia="Times New Roman"/>
                <w:lang w:val="en-US"/>
              </w:rPr>
            </w:pPr>
            <w:r w:rsidRPr="008F69F6">
              <w:rPr>
                <w:rFonts w:eastAsia="Times New Roman"/>
                <w:lang w:val="en-US"/>
              </w:rPr>
              <w:t xml:space="preserve">≥50 </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ABD0099" w14:textId="77777777" w:rsidR="000546DA" w:rsidRPr="008F69F6" w:rsidRDefault="000546DA" w:rsidP="00131E36">
            <w:pPr>
              <w:tabs>
                <w:tab w:val="left" w:pos="0"/>
              </w:tabs>
              <w:snapToGrid w:val="0"/>
              <w:spacing w:before="0" w:after="0"/>
              <w:ind w:left="284"/>
              <w:rPr>
                <w:rFonts w:eastAsia="Times New Roman"/>
                <w:lang w:val="en-US"/>
              </w:rPr>
            </w:pPr>
            <w:r w:rsidRPr="008F69F6">
              <w:rPr>
                <w:rFonts w:eastAsia="Times New Roman"/>
                <w:lang w:val="en-US"/>
              </w:rPr>
              <w:t xml:space="preserve">25 </w:t>
            </w:r>
            <w:r w:rsidRPr="00F242DD">
              <w:rPr>
                <w:rFonts w:eastAsia="Times New Roman"/>
              </w:rPr>
              <w:t>мг</w:t>
            </w:r>
            <w:r w:rsidRPr="008F69F6">
              <w:rPr>
                <w:rFonts w:eastAsia="Times New Roman"/>
                <w:lang w:val="en-US"/>
              </w:rPr>
              <w:t xml:space="preserve"> 1 </w:t>
            </w:r>
            <w:r w:rsidRPr="00F242DD">
              <w:rPr>
                <w:rFonts w:eastAsia="Times New Roman"/>
              </w:rPr>
              <w:t>раз</w:t>
            </w:r>
            <w:r w:rsidRPr="008F69F6">
              <w:rPr>
                <w:rFonts w:eastAsia="Times New Roman"/>
                <w:lang w:val="en-US"/>
              </w:rPr>
              <w:t xml:space="preserve"> </w:t>
            </w:r>
            <w:r w:rsidRPr="00F242DD">
              <w:rPr>
                <w:rFonts w:eastAsia="Times New Roman"/>
              </w:rPr>
              <w:t>в</w:t>
            </w:r>
            <w:r w:rsidRPr="008F69F6">
              <w:rPr>
                <w:rFonts w:eastAsia="Times New Roman"/>
                <w:lang w:val="en-US"/>
              </w:rPr>
              <w:t xml:space="preserve"> </w:t>
            </w:r>
            <w:r w:rsidRPr="00F242DD">
              <w:rPr>
                <w:rFonts w:eastAsia="Times New Roman"/>
              </w:rPr>
              <w:t>день</w:t>
            </w:r>
          </w:p>
        </w:tc>
      </w:tr>
      <w:tr w:rsidR="000546DA" w:rsidRPr="002E7F7B" w14:paraId="34785845" w14:textId="77777777" w:rsidTr="00E36DFA">
        <w:tc>
          <w:tcPr>
            <w:tcW w:w="4839" w:type="dxa"/>
            <w:tcBorders>
              <w:top w:val="single" w:sz="4" w:space="0" w:color="000000"/>
              <w:left w:val="single" w:sz="4" w:space="0" w:color="000000"/>
              <w:bottom w:val="single" w:sz="4" w:space="0" w:color="000000"/>
            </w:tcBorders>
            <w:shd w:val="clear" w:color="auto" w:fill="auto"/>
          </w:tcPr>
          <w:p w14:paraId="6D929156" w14:textId="77777777" w:rsidR="000546DA" w:rsidRPr="008F69F6" w:rsidRDefault="000546DA" w:rsidP="00131E36">
            <w:pPr>
              <w:tabs>
                <w:tab w:val="left" w:pos="0"/>
              </w:tabs>
              <w:snapToGrid w:val="0"/>
              <w:spacing w:before="0" w:after="0"/>
              <w:ind w:left="284"/>
              <w:rPr>
                <w:rFonts w:eastAsia="Times New Roman"/>
                <w:lang w:val="en-US"/>
              </w:rPr>
            </w:pPr>
            <w:r w:rsidRPr="008F69F6">
              <w:rPr>
                <w:rFonts w:eastAsia="Times New Roman"/>
                <w:lang w:val="en-US"/>
              </w:rPr>
              <w:t>30 ≤</w:t>
            </w:r>
            <w:r w:rsidRPr="00F242DD">
              <w:rPr>
                <w:rFonts w:eastAsia="Times New Roman"/>
              </w:rPr>
              <w:t>КК</w:t>
            </w:r>
            <w:r w:rsidR="00974BA6" w:rsidRPr="008F69F6">
              <w:rPr>
                <w:rFonts w:eastAsia="Times New Roman"/>
                <w:lang w:val="en-US"/>
              </w:rPr>
              <w:t xml:space="preserve"> </w:t>
            </w:r>
            <w:r w:rsidRPr="008F69F6">
              <w:rPr>
                <w:rFonts w:eastAsia="Times New Roman"/>
                <w:lang w:val="en-US"/>
              </w:rPr>
              <w:t>&lt;50</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ADE7D44" w14:textId="77777777" w:rsidR="000546DA" w:rsidRPr="008F69F6" w:rsidRDefault="000546DA" w:rsidP="00131E36">
            <w:pPr>
              <w:tabs>
                <w:tab w:val="left" w:pos="0"/>
              </w:tabs>
              <w:snapToGrid w:val="0"/>
              <w:spacing w:before="0" w:after="0"/>
              <w:ind w:left="284"/>
              <w:rPr>
                <w:rFonts w:eastAsia="Times New Roman"/>
                <w:lang w:val="en-US"/>
              </w:rPr>
            </w:pPr>
            <w:r w:rsidRPr="008F69F6">
              <w:rPr>
                <w:rFonts w:eastAsia="Times New Roman"/>
                <w:lang w:val="en-US"/>
              </w:rPr>
              <w:t xml:space="preserve">10 </w:t>
            </w:r>
            <w:r w:rsidRPr="00F242DD">
              <w:rPr>
                <w:rFonts w:eastAsia="Times New Roman"/>
              </w:rPr>
              <w:t>мг</w:t>
            </w:r>
            <w:r w:rsidRPr="008F69F6">
              <w:rPr>
                <w:rFonts w:eastAsia="Times New Roman"/>
                <w:lang w:val="en-US"/>
              </w:rPr>
              <w:t xml:space="preserve"> 1 </w:t>
            </w:r>
            <w:r w:rsidRPr="00F242DD">
              <w:rPr>
                <w:rFonts w:eastAsia="Times New Roman"/>
              </w:rPr>
              <w:t>раз</w:t>
            </w:r>
            <w:r w:rsidRPr="008F69F6">
              <w:rPr>
                <w:rFonts w:eastAsia="Times New Roman"/>
                <w:lang w:val="en-US"/>
              </w:rPr>
              <w:t xml:space="preserve"> </w:t>
            </w:r>
            <w:r w:rsidRPr="00F242DD">
              <w:rPr>
                <w:rFonts w:eastAsia="Times New Roman"/>
              </w:rPr>
              <w:t>в</w:t>
            </w:r>
            <w:r w:rsidRPr="008F69F6">
              <w:rPr>
                <w:rFonts w:eastAsia="Times New Roman"/>
                <w:lang w:val="en-US"/>
              </w:rPr>
              <w:t xml:space="preserve"> </w:t>
            </w:r>
            <w:r w:rsidRPr="00F242DD">
              <w:rPr>
                <w:rFonts w:eastAsia="Times New Roman"/>
              </w:rPr>
              <w:t>день</w:t>
            </w:r>
          </w:p>
        </w:tc>
      </w:tr>
      <w:tr w:rsidR="000546DA" w:rsidRPr="002E7F7B" w14:paraId="05DB0B83" w14:textId="77777777" w:rsidTr="00E36DFA">
        <w:tc>
          <w:tcPr>
            <w:tcW w:w="4839" w:type="dxa"/>
            <w:tcBorders>
              <w:top w:val="single" w:sz="4" w:space="0" w:color="000000"/>
              <w:left w:val="single" w:sz="4" w:space="0" w:color="000000"/>
              <w:bottom w:val="single" w:sz="4" w:space="0" w:color="000000"/>
            </w:tcBorders>
            <w:shd w:val="clear" w:color="auto" w:fill="auto"/>
          </w:tcPr>
          <w:p w14:paraId="07DF1C3F" w14:textId="77777777" w:rsidR="000546DA" w:rsidRPr="008F69F6" w:rsidRDefault="000546DA" w:rsidP="00131E36">
            <w:pPr>
              <w:tabs>
                <w:tab w:val="left" w:pos="0"/>
              </w:tabs>
              <w:snapToGrid w:val="0"/>
              <w:spacing w:before="0" w:after="0"/>
              <w:ind w:left="284"/>
              <w:rPr>
                <w:rFonts w:eastAsia="Times New Roman"/>
                <w:lang w:val="en-US"/>
              </w:rPr>
            </w:pPr>
            <w:r w:rsidRPr="00F242DD">
              <w:rPr>
                <w:rFonts w:eastAsia="Times New Roman"/>
              </w:rPr>
              <w:t>КК</w:t>
            </w:r>
            <w:r w:rsidRPr="008F69F6">
              <w:rPr>
                <w:rFonts w:eastAsia="Times New Roman"/>
                <w:lang w:val="en-US"/>
              </w:rPr>
              <w:t xml:space="preserve"> &lt;30</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54B53D0" w14:textId="77777777" w:rsidR="000546DA" w:rsidRPr="002E7F7B" w:rsidRDefault="000546DA" w:rsidP="00131E36">
            <w:pPr>
              <w:tabs>
                <w:tab w:val="left" w:pos="0"/>
              </w:tabs>
              <w:snapToGrid w:val="0"/>
              <w:spacing w:before="0" w:after="0"/>
              <w:ind w:left="284"/>
              <w:rPr>
                <w:rFonts w:eastAsia="Times New Roman"/>
                <w:lang w:val="en-US"/>
              </w:rPr>
            </w:pPr>
            <w:r w:rsidRPr="008F69F6">
              <w:rPr>
                <w:rFonts w:eastAsia="Times New Roman"/>
                <w:lang w:val="en-US"/>
              </w:rPr>
              <w:t xml:space="preserve">15 </w:t>
            </w:r>
            <w:r w:rsidRPr="00F242DD">
              <w:rPr>
                <w:rFonts w:eastAsia="Times New Roman"/>
              </w:rPr>
              <w:t>мг</w:t>
            </w:r>
            <w:r w:rsidRPr="002E7F7B">
              <w:rPr>
                <w:rFonts w:eastAsia="Times New Roman"/>
                <w:lang w:val="en-US"/>
              </w:rPr>
              <w:t xml:space="preserve"> </w:t>
            </w:r>
            <w:r w:rsidRPr="00F242DD">
              <w:rPr>
                <w:rFonts w:eastAsia="Times New Roman"/>
              </w:rPr>
              <w:t>через</w:t>
            </w:r>
            <w:r w:rsidRPr="002E7F7B">
              <w:rPr>
                <w:rFonts w:eastAsia="Times New Roman"/>
                <w:lang w:val="en-US"/>
              </w:rPr>
              <w:t xml:space="preserve"> </w:t>
            </w:r>
            <w:r w:rsidRPr="00F242DD">
              <w:rPr>
                <w:rFonts w:eastAsia="Times New Roman"/>
              </w:rPr>
              <w:t>день</w:t>
            </w:r>
          </w:p>
        </w:tc>
      </w:tr>
      <w:tr w:rsidR="000546DA" w:rsidRPr="002E7F7B" w14:paraId="732D0898" w14:textId="77777777" w:rsidTr="00E36DFA">
        <w:tc>
          <w:tcPr>
            <w:tcW w:w="4839" w:type="dxa"/>
            <w:tcBorders>
              <w:top w:val="single" w:sz="4" w:space="0" w:color="000000"/>
              <w:left w:val="single" w:sz="4" w:space="0" w:color="000000"/>
              <w:bottom w:val="single" w:sz="4" w:space="0" w:color="000000"/>
            </w:tcBorders>
            <w:shd w:val="clear" w:color="auto" w:fill="auto"/>
          </w:tcPr>
          <w:p w14:paraId="3F5555DD" w14:textId="77777777" w:rsidR="000546DA" w:rsidRPr="002E7F7B" w:rsidRDefault="000546DA" w:rsidP="00131E36">
            <w:pPr>
              <w:tabs>
                <w:tab w:val="left" w:pos="0"/>
              </w:tabs>
              <w:snapToGrid w:val="0"/>
              <w:spacing w:before="0" w:after="0"/>
              <w:ind w:left="284"/>
              <w:rPr>
                <w:rFonts w:eastAsia="Times New Roman"/>
                <w:shd w:val="clear" w:color="auto" w:fill="FFFF00"/>
                <w:lang w:val="en-US"/>
              </w:rPr>
            </w:pPr>
            <w:r w:rsidRPr="00F242DD">
              <w:rPr>
                <w:rFonts w:eastAsia="Times New Roman"/>
              </w:rPr>
              <w:t>КК</w:t>
            </w:r>
            <w:r w:rsidRPr="002E7F7B">
              <w:rPr>
                <w:rFonts w:eastAsia="Times New Roman"/>
                <w:lang w:val="en-US"/>
              </w:rPr>
              <w:t xml:space="preserve"> &lt;15 (</w:t>
            </w:r>
            <w:r w:rsidRPr="00F242DD">
              <w:rPr>
                <w:rFonts w:eastAsia="Times New Roman"/>
              </w:rPr>
              <w:t>требуется</w:t>
            </w:r>
            <w:r w:rsidRPr="002E7F7B">
              <w:rPr>
                <w:rFonts w:eastAsia="Times New Roman"/>
                <w:lang w:val="en-US"/>
              </w:rPr>
              <w:t xml:space="preserve"> </w:t>
            </w:r>
            <w:r w:rsidRPr="00F242DD">
              <w:rPr>
                <w:rFonts w:eastAsia="Times New Roman"/>
              </w:rPr>
              <w:t>гемодиализ</w:t>
            </w:r>
            <w:r w:rsidRPr="002E7F7B">
              <w:rPr>
                <w:rFonts w:eastAsia="Times New Roman"/>
                <w:lang w:val="en-US"/>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7CBDEBE" w14:textId="77777777" w:rsidR="000546DA" w:rsidRPr="006F119F" w:rsidRDefault="000546DA" w:rsidP="00131E36">
            <w:pPr>
              <w:tabs>
                <w:tab w:val="left" w:pos="0"/>
                <w:tab w:val="left" w:pos="900"/>
              </w:tabs>
              <w:spacing w:before="0" w:after="0"/>
              <w:ind w:left="284"/>
              <w:jc w:val="left"/>
            </w:pPr>
            <w:r w:rsidRPr="006F119F">
              <w:rPr>
                <w:rFonts w:eastAsia="Times New Roman"/>
              </w:rPr>
              <w:t xml:space="preserve">5 </w:t>
            </w:r>
            <w:r w:rsidRPr="00F242DD">
              <w:rPr>
                <w:rFonts w:eastAsia="Times New Roman"/>
              </w:rPr>
              <w:t>мг</w:t>
            </w:r>
            <w:r w:rsidRPr="006F119F">
              <w:rPr>
                <w:rFonts w:eastAsia="Times New Roman"/>
              </w:rPr>
              <w:t xml:space="preserve"> 1 </w:t>
            </w:r>
            <w:r w:rsidRPr="00F242DD">
              <w:rPr>
                <w:rFonts w:eastAsia="Times New Roman"/>
              </w:rPr>
              <w:t>раз</w:t>
            </w:r>
            <w:r w:rsidRPr="006F119F">
              <w:rPr>
                <w:rFonts w:eastAsia="Times New Roman"/>
              </w:rPr>
              <w:t xml:space="preserve"> </w:t>
            </w:r>
            <w:r w:rsidRPr="00F242DD">
              <w:rPr>
                <w:rFonts w:eastAsia="Times New Roman"/>
              </w:rPr>
              <w:t>в</w:t>
            </w:r>
            <w:r w:rsidRPr="006F119F">
              <w:rPr>
                <w:rFonts w:eastAsia="Times New Roman"/>
              </w:rPr>
              <w:t xml:space="preserve"> </w:t>
            </w:r>
            <w:r w:rsidRPr="00F242DD">
              <w:rPr>
                <w:rFonts w:eastAsia="Times New Roman"/>
              </w:rPr>
              <w:t>день</w:t>
            </w:r>
            <w:r w:rsidRPr="006F119F">
              <w:rPr>
                <w:rFonts w:eastAsia="Times New Roman"/>
              </w:rPr>
              <w:t xml:space="preserve"> (</w:t>
            </w:r>
            <w:r w:rsidRPr="00F242DD">
              <w:rPr>
                <w:rFonts w:eastAsia="Times New Roman"/>
              </w:rPr>
              <w:t>в</w:t>
            </w:r>
            <w:r w:rsidRPr="006F119F">
              <w:rPr>
                <w:rFonts w:eastAsia="Times New Roman"/>
              </w:rPr>
              <w:t xml:space="preserve"> </w:t>
            </w:r>
            <w:r w:rsidRPr="00F242DD">
              <w:rPr>
                <w:rFonts w:eastAsia="Times New Roman"/>
              </w:rPr>
              <w:t>дни</w:t>
            </w:r>
            <w:r w:rsidRPr="006F119F">
              <w:rPr>
                <w:rFonts w:eastAsia="Times New Roman"/>
              </w:rPr>
              <w:t xml:space="preserve"> </w:t>
            </w:r>
            <w:r w:rsidRPr="00F242DD">
              <w:rPr>
                <w:rFonts w:eastAsia="Times New Roman"/>
              </w:rPr>
              <w:t>гемодиализа</w:t>
            </w:r>
            <w:r w:rsidRPr="006F119F">
              <w:rPr>
                <w:rFonts w:eastAsia="Times New Roman"/>
              </w:rPr>
              <w:t xml:space="preserve"> </w:t>
            </w:r>
            <w:r w:rsidRPr="00F242DD">
              <w:rPr>
                <w:rFonts w:eastAsia="Times New Roman"/>
              </w:rPr>
              <w:t>после</w:t>
            </w:r>
            <w:r w:rsidRPr="006F119F">
              <w:rPr>
                <w:rFonts w:eastAsia="Times New Roman"/>
              </w:rPr>
              <w:t xml:space="preserve"> </w:t>
            </w:r>
            <w:r w:rsidRPr="00F242DD">
              <w:rPr>
                <w:rFonts w:eastAsia="Times New Roman"/>
              </w:rPr>
              <w:t>процедуры</w:t>
            </w:r>
            <w:r w:rsidRPr="006F119F">
              <w:rPr>
                <w:rFonts w:eastAsia="Times New Roman"/>
              </w:rPr>
              <w:t xml:space="preserve"> </w:t>
            </w:r>
            <w:r w:rsidRPr="00F242DD">
              <w:rPr>
                <w:rFonts w:eastAsia="Times New Roman"/>
              </w:rPr>
              <w:t>гемодиализа</w:t>
            </w:r>
            <w:r w:rsidRPr="006F119F">
              <w:rPr>
                <w:rFonts w:eastAsia="Times New Roman"/>
              </w:rPr>
              <w:t>)</w:t>
            </w:r>
          </w:p>
        </w:tc>
      </w:tr>
    </w:tbl>
    <w:p w14:paraId="21AFACCD" w14:textId="77777777" w:rsidR="000546DA" w:rsidRPr="006F119F" w:rsidRDefault="000546DA" w:rsidP="00131E36">
      <w:pPr>
        <w:spacing w:before="0" w:after="0"/>
        <w:rPr>
          <w:rFonts w:eastAsia="Times New Roman"/>
          <w:b/>
          <w:lang w:eastAsia="ru-RU"/>
        </w:rPr>
      </w:pPr>
    </w:p>
    <w:p w14:paraId="6B84F86E" w14:textId="77777777" w:rsidR="000546DA" w:rsidRPr="006F119F" w:rsidRDefault="000546DA" w:rsidP="00131E36">
      <w:pPr>
        <w:spacing w:before="0" w:after="0"/>
        <w:rPr>
          <w:rFonts w:eastAsia="Times New Roman"/>
          <w:b/>
          <w:lang w:eastAsia="ru-RU"/>
        </w:rPr>
      </w:pPr>
    </w:p>
    <w:p w14:paraId="673B8A7F" w14:textId="77777777" w:rsidR="000546DA" w:rsidRPr="006F119F" w:rsidRDefault="000546DA" w:rsidP="00131E36">
      <w:pPr>
        <w:spacing w:before="0" w:after="0"/>
        <w:rPr>
          <w:rFonts w:eastAsia="Times New Roman"/>
          <w:b/>
          <w:lang w:eastAsia="ru-RU"/>
        </w:rPr>
      </w:pPr>
    </w:p>
    <w:p w14:paraId="723D11C3" w14:textId="77777777" w:rsidR="000546DA" w:rsidRPr="006F119F" w:rsidRDefault="000546DA" w:rsidP="00131E36">
      <w:pPr>
        <w:spacing w:before="0" w:after="0"/>
        <w:rPr>
          <w:rFonts w:eastAsia="Times New Roman"/>
          <w:b/>
          <w:lang w:eastAsia="ru-RU"/>
        </w:rPr>
      </w:pPr>
    </w:p>
    <w:p w14:paraId="2BDF47B3" w14:textId="77777777" w:rsidR="000546DA" w:rsidRPr="006F119F" w:rsidRDefault="000546DA" w:rsidP="00131E36">
      <w:pPr>
        <w:spacing w:before="0" w:after="0"/>
        <w:rPr>
          <w:rFonts w:eastAsia="Times New Roman"/>
          <w:b/>
          <w:lang w:eastAsia="ru-RU"/>
        </w:rPr>
      </w:pPr>
    </w:p>
    <w:p w14:paraId="2FCE5A32" w14:textId="77777777" w:rsidR="000546DA" w:rsidRPr="006F119F" w:rsidRDefault="000546DA" w:rsidP="00131E36">
      <w:pPr>
        <w:spacing w:before="0" w:after="0"/>
        <w:rPr>
          <w:rFonts w:eastAsia="Times New Roman"/>
          <w:b/>
          <w:lang w:eastAsia="ru-RU"/>
        </w:rPr>
      </w:pPr>
    </w:p>
    <w:p w14:paraId="1A670489" w14:textId="77777777" w:rsidR="000546DA" w:rsidRPr="006F119F" w:rsidRDefault="000546DA" w:rsidP="00131E36">
      <w:pPr>
        <w:spacing w:before="0" w:after="0"/>
      </w:pPr>
    </w:p>
    <w:p w14:paraId="7D25C379" w14:textId="77777777" w:rsidR="004D7374" w:rsidRPr="006F119F" w:rsidRDefault="004D7374" w:rsidP="00E36DFA">
      <w:pPr>
        <w:pStyle w:val="1"/>
      </w:pPr>
      <w:bookmarkStart w:id="68" w:name="_Toc520213132"/>
      <w:bookmarkStart w:id="69" w:name="_Toc53140919"/>
      <w:r w:rsidRPr="00F242DD">
        <w:lastRenderedPageBreak/>
        <w:t>Приложение</w:t>
      </w:r>
      <w:r w:rsidRPr="006F119F">
        <w:t xml:space="preserve"> </w:t>
      </w:r>
      <w:r w:rsidRPr="00F242DD">
        <w:t>Б</w:t>
      </w:r>
      <w:r w:rsidRPr="006F119F">
        <w:t xml:space="preserve">. </w:t>
      </w:r>
      <w:r w:rsidRPr="00F242DD">
        <w:t>Алгоритмы</w:t>
      </w:r>
      <w:r w:rsidRPr="006F119F">
        <w:t xml:space="preserve"> </w:t>
      </w:r>
      <w:r w:rsidRPr="00F242DD">
        <w:t>ведения</w:t>
      </w:r>
      <w:r w:rsidRPr="006F119F">
        <w:t xml:space="preserve"> </w:t>
      </w:r>
      <w:r w:rsidRPr="00F242DD">
        <w:t>пациента</w:t>
      </w:r>
      <w:bookmarkEnd w:id="68"/>
      <w:bookmarkEnd w:id="69"/>
    </w:p>
    <w:p w14:paraId="2CC8F2A4" w14:textId="77777777" w:rsidR="00485E4B" w:rsidRPr="006F119F" w:rsidRDefault="00844A2E" w:rsidP="00131E36">
      <w:pPr>
        <w:spacing w:before="0" w:after="0"/>
        <w:rPr>
          <w:b/>
          <w:u w:val="single"/>
        </w:rPr>
      </w:pPr>
      <w:r w:rsidRPr="00F242DD">
        <w:rPr>
          <w:b/>
          <w:u w:val="single"/>
        </w:rPr>
        <w:t>Алгоритм</w:t>
      </w:r>
      <w:r w:rsidRPr="006F119F">
        <w:rPr>
          <w:b/>
          <w:u w:val="single"/>
        </w:rPr>
        <w:t xml:space="preserve"> </w:t>
      </w:r>
      <w:r w:rsidRPr="00F242DD">
        <w:rPr>
          <w:b/>
          <w:u w:val="single"/>
        </w:rPr>
        <w:t>проведения</w:t>
      </w:r>
      <w:r w:rsidRPr="006F119F">
        <w:rPr>
          <w:b/>
          <w:u w:val="single"/>
        </w:rPr>
        <w:t xml:space="preserve"> </w:t>
      </w:r>
      <w:r w:rsidRPr="00F242DD">
        <w:rPr>
          <w:b/>
          <w:u w:val="single"/>
        </w:rPr>
        <w:t>индукционной</w:t>
      </w:r>
      <w:r w:rsidRPr="006F119F">
        <w:rPr>
          <w:b/>
          <w:u w:val="single"/>
        </w:rPr>
        <w:t xml:space="preserve"> </w:t>
      </w:r>
      <w:r w:rsidRPr="00F242DD">
        <w:rPr>
          <w:b/>
          <w:u w:val="single"/>
        </w:rPr>
        <w:t>терапии</w:t>
      </w:r>
    </w:p>
    <w:p w14:paraId="341156D2" w14:textId="77777777" w:rsidR="00533A63" w:rsidRPr="002E7F7B" w:rsidRDefault="005F1CB4" w:rsidP="00131E36">
      <w:pPr>
        <w:spacing w:before="0" w:after="0"/>
        <w:rPr>
          <w:lang w:val="en-US"/>
        </w:rPr>
      </w:pPr>
      <w:r w:rsidRPr="00F242DD">
        <w:rPr>
          <w:noProof/>
          <w:lang w:eastAsia="ru-RU"/>
        </w:rPr>
        <w:drawing>
          <wp:inline distT="0" distB="0" distL="0" distR="0" wp14:anchorId="6331AE21" wp14:editId="03F207FA">
            <wp:extent cx="5940425" cy="5750560"/>
            <wp:effectExtent l="0" t="0" r="3175" b="2540"/>
            <wp:docPr id="82" name="Рисунок 82" descr="Изображение выглядит как текст,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ММ первая линия.jpg"/>
                    <pic:cNvPicPr/>
                  </pic:nvPicPr>
                  <pic:blipFill>
                    <a:blip r:embed="rId9">
                      <a:extLst>
                        <a:ext uri="{28A0092B-C50C-407E-A947-70E740481C1C}">
                          <a14:useLocalDpi xmlns:a14="http://schemas.microsoft.com/office/drawing/2010/main" val="0"/>
                        </a:ext>
                      </a:extLst>
                    </a:blip>
                    <a:stretch>
                      <a:fillRect/>
                    </a:stretch>
                  </pic:blipFill>
                  <pic:spPr>
                    <a:xfrm>
                      <a:off x="0" y="0"/>
                      <a:ext cx="5940425" cy="5750560"/>
                    </a:xfrm>
                    <a:prstGeom prst="rect">
                      <a:avLst/>
                    </a:prstGeom>
                  </pic:spPr>
                </pic:pic>
              </a:graphicData>
            </a:graphic>
          </wp:inline>
        </w:drawing>
      </w:r>
    </w:p>
    <w:p w14:paraId="183C7695" w14:textId="77777777" w:rsidR="005F1CB4" w:rsidRPr="002E7F7B" w:rsidRDefault="005F1CB4" w:rsidP="00131E36">
      <w:pPr>
        <w:spacing w:before="0" w:after="0"/>
        <w:rPr>
          <w:lang w:val="en-US"/>
        </w:rPr>
      </w:pPr>
    </w:p>
    <w:p w14:paraId="629DDFC2" w14:textId="77777777" w:rsidR="009773F3" w:rsidRPr="002E7F7B" w:rsidRDefault="009773F3" w:rsidP="00971A8A">
      <w:pPr>
        <w:spacing w:before="0" w:after="0"/>
        <w:rPr>
          <w:b/>
          <w:lang w:val="en-US"/>
        </w:rPr>
      </w:pPr>
      <w:bookmarkStart w:id="70" w:name="_Toc520213133"/>
    </w:p>
    <w:p w14:paraId="2EEA12CA" w14:textId="77777777" w:rsidR="004C0C25" w:rsidRPr="002E7F7B" w:rsidRDefault="004C0C25" w:rsidP="00971A8A">
      <w:pPr>
        <w:spacing w:before="0" w:after="0"/>
        <w:rPr>
          <w:b/>
          <w:lang w:val="en-US"/>
        </w:rPr>
      </w:pPr>
    </w:p>
    <w:p w14:paraId="64DF9CC8" w14:textId="77777777" w:rsidR="004C0C25" w:rsidRPr="002E7F7B" w:rsidRDefault="004C0C25" w:rsidP="00971A8A">
      <w:pPr>
        <w:spacing w:before="0" w:after="0"/>
        <w:rPr>
          <w:b/>
          <w:lang w:val="en-US"/>
        </w:rPr>
      </w:pPr>
    </w:p>
    <w:p w14:paraId="718E96D8" w14:textId="77777777" w:rsidR="004C0C25" w:rsidRPr="002E7F7B" w:rsidRDefault="004C0C25" w:rsidP="00971A8A">
      <w:pPr>
        <w:spacing w:before="0" w:after="0"/>
        <w:rPr>
          <w:b/>
          <w:lang w:val="en-US"/>
        </w:rPr>
      </w:pPr>
    </w:p>
    <w:p w14:paraId="063DD5C8" w14:textId="77777777" w:rsidR="004C0C25" w:rsidRPr="002E7F7B" w:rsidRDefault="004C0C25" w:rsidP="00971A8A">
      <w:pPr>
        <w:spacing w:before="0" w:after="0"/>
        <w:rPr>
          <w:b/>
          <w:lang w:val="en-US"/>
        </w:rPr>
      </w:pPr>
    </w:p>
    <w:p w14:paraId="0D3F1022" w14:textId="77777777" w:rsidR="004C0C25" w:rsidRPr="002E7F7B" w:rsidRDefault="004C0C25" w:rsidP="00971A8A">
      <w:pPr>
        <w:spacing w:before="0" w:after="0"/>
        <w:rPr>
          <w:b/>
          <w:lang w:val="en-US"/>
        </w:rPr>
      </w:pPr>
    </w:p>
    <w:p w14:paraId="475A9DDA" w14:textId="77777777" w:rsidR="004C0C25" w:rsidRPr="002E7F7B" w:rsidRDefault="004C0C25" w:rsidP="00971A8A">
      <w:pPr>
        <w:spacing w:before="0" w:after="0"/>
        <w:rPr>
          <w:b/>
          <w:lang w:val="en-US"/>
        </w:rPr>
      </w:pPr>
    </w:p>
    <w:p w14:paraId="5D9E0711" w14:textId="77777777" w:rsidR="009773F3" w:rsidRPr="002E7F7B" w:rsidRDefault="009773F3" w:rsidP="00533A63">
      <w:pPr>
        <w:spacing w:before="0" w:after="0"/>
        <w:jc w:val="center"/>
        <w:rPr>
          <w:b/>
          <w:lang w:val="en-US"/>
        </w:rPr>
      </w:pPr>
    </w:p>
    <w:p w14:paraId="1281FF1B" w14:textId="77777777" w:rsidR="003D7E72" w:rsidRPr="002E7F7B" w:rsidRDefault="003D7E72" w:rsidP="00E36DFA">
      <w:pPr>
        <w:spacing w:before="0" w:after="0"/>
        <w:rPr>
          <w:b/>
          <w:u w:val="single"/>
          <w:lang w:val="en-US"/>
        </w:rPr>
      </w:pPr>
      <w:r w:rsidRPr="00F242DD">
        <w:rPr>
          <w:b/>
          <w:u w:val="single"/>
        </w:rPr>
        <w:lastRenderedPageBreak/>
        <w:t>Алгоритм</w:t>
      </w:r>
      <w:r w:rsidRPr="002E7F7B">
        <w:rPr>
          <w:b/>
          <w:u w:val="single"/>
          <w:lang w:val="en-US"/>
        </w:rPr>
        <w:t xml:space="preserve"> </w:t>
      </w:r>
      <w:r w:rsidRPr="00F242DD">
        <w:rPr>
          <w:b/>
          <w:u w:val="single"/>
        </w:rPr>
        <w:t>лечения</w:t>
      </w:r>
      <w:r w:rsidRPr="002E7F7B">
        <w:rPr>
          <w:b/>
          <w:u w:val="single"/>
          <w:lang w:val="en-US"/>
        </w:rPr>
        <w:t xml:space="preserve"> </w:t>
      </w:r>
      <w:r w:rsidRPr="00F242DD">
        <w:rPr>
          <w:b/>
          <w:u w:val="single"/>
        </w:rPr>
        <w:t>рецидива</w:t>
      </w:r>
      <w:r w:rsidRPr="002E7F7B">
        <w:rPr>
          <w:b/>
          <w:u w:val="single"/>
          <w:lang w:val="en-US"/>
        </w:rPr>
        <w:t xml:space="preserve"> </w:t>
      </w:r>
      <w:r w:rsidRPr="00F242DD">
        <w:rPr>
          <w:b/>
          <w:u w:val="single"/>
        </w:rPr>
        <w:t>ММ</w:t>
      </w:r>
    </w:p>
    <w:p w14:paraId="20245FD0" w14:textId="77777777" w:rsidR="00971A8A" w:rsidRPr="002E7F7B" w:rsidRDefault="00971A8A" w:rsidP="00971A8A">
      <w:pPr>
        <w:spacing w:before="0" w:after="0"/>
        <w:rPr>
          <w:b/>
          <w:bCs/>
          <w:lang w:val="en-US"/>
        </w:rPr>
      </w:pPr>
      <w:r w:rsidRPr="00F242DD">
        <w:rPr>
          <w:b/>
          <w:bCs/>
          <w:noProof/>
          <w:lang w:eastAsia="ru-RU"/>
        </w:rPr>
        <w:drawing>
          <wp:inline distT="0" distB="0" distL="0" distR="0" wp14:anchorId="7728A914" wp14:editId="6DEB6B5C">
            <wp:extent cx="4457700" cy="4445000"/>
            <wp:effectExtent l="0" t="0" r="0" b="0"/>
            <wp:docPr id="83" name="Рисунок 83" descr="Изображение выглядит как текст,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ММ - рецидив.jpg"/>
                    <pic:cNvPicPr/>
                  </pic:nvPicPr>
                  <pic:blipFill>
                    <a:blip r:embed="rId10">
                      <a:extLst>
                        <a:ext uri="{28A0092B-C50C-407E-A947-70E740481C1C}">
                          <a14:useLocalDpi xmlns:a14="http://schemas.microsoft.com/office/drawing/2010/main" val="0"/>
                        </a:ext>
                      </a:extLst>
                    </a:blip>
                    <a:stretch>
                      <a:fillRect/>
                    </a:stretch>
                  </pic:blipFill>
                  <pic:spPr>
                    <a:xfrm>
                      <a:off x="0" y="0"/>
                      <a:ext cx="4457700" cy="4445000"/>
                    </a:xfrm>
                    <a:prstGeom prst="rect">
                      <a:avLst/>
                    </a:prstGeom>
                  </pic:spPr>
                </pic:pic>
              </a:graphicData>
            </a:graphic>
          </wp:inline>
        </w:drawing>
      </w:r>
    </w:p>
    <w:p w14:paraId="2E7C8076" w14:textId="77777777" w:rsidR="004D7374" w:rsidRPr="006F119F" w:rsidRDefault="004D7374" w:rsidP="00E36DFA">
      <w:pPr>
        <w:pStyle w:val="1"/>
      </w:pPr>
      <w:bookmarkStart w:id="71" w:name="_Toc53140920"/>
      <w:r w:rsidRPr="00F242DD">
        <w:lastRenderedPageBreak/>
        <w:t>Приложение</w:t>
      </w:r>
      <w:r w:rsidRPr="006F119F">
        <w:t xml:space="preserve"> </w:t>
      </w:r>
      <w:r w:rsidRPr="00F242DD">
        <w:t>В</w:t>
      </w:r>
      <w:r w:rsidRPr="006F119F">
        <w:t xml:space="preserve">. </w:t>
      </w:r>
      <w:r w:rsidRPr="00F242DD">
        <w:t>Информация</w:t>
      </w:r>
      <w:r w:rsidRPr="006F119F">
        <w:t xml:space="preserve"> </w:t>
      </w:r>
      <w:r w:rsidRPr="00F242DD">
        <w:t>для</w:t>
      </w:r>
      <w:r w:rsidRPr="006F119F">
        <w:t xml:space="preserve"> </w:t>
      </w:r>
      <w:r w:rsidRPr="00F242DD">
        <w:t>пациентов</w:t>
      </w:r>
      <w:bookmarkEnd w:id="70"/>
      <w:bookmarkEnd w:id="71"/>
    </w:p>
    <w:p w14:paraId="7958F6CC" w14:textId="77777777" w:rsidR="00D20B9A" w:rsidRPr="006F119F" w:rsidRDefault="00D20B9A" w:rsidP="00131E36">
      <w:pPr>
        <w:spacing w:before="0" w:after="0"/>
        <w:ind w:firstLine="709"/>
      </w:pPr>
      <w:r w:rsidRPr="00F242DD">
        <w:t>ММ</w:t>
      </w:r>
      <w:r w:rsidRPr="006F119F">
        <w:t xml:space="preserve"> – </w:t>
      </w:r>
      <w:r w:rsidRPr="00F242DD">
        <w:t>заболевание</w:t>
      </w:r>
      <w:r w:rsidRPr="006F119F">
        <w:t xml:space="preserve"> </w:t>
      </w:r>
      <w:r w:rsidRPr="00F242DD">
        <w:t>опухолевой</w:t>
      </w:r>
      <w:r w:rsidRPr="006F119F">
        <w:t xml:space="preserve"> </w:t>
      </w:r>
      <w:r w:rsidRPr="00F242DD">
        <w:t>природы</w:t>
      </w:r>
      <w:r w:rsidRPr="006F119F">
        <w:t xml:space="preserve"> </w:t>
      </w:r>
      <w:r w:rsidRPr="00F242DD">
        <w:t>и</w:t>
      </w:r>
      <w:r w:rsidRPr="006F119F">
        <w:t xml:space="preserve"> </w:t>
      </w:r>
      <w:r w:rsidRPr="00F242DD">
        <w:t>в</w:t>
      </w:r>
      <w:r w:rsidRPr="006F119F">
        <w:t xml:space="preserve"> </w:t>
      </w:r>
      <w:r w:rsidRPr="00F242DD">
        <w:t>настоящее</w:t>
      </w:r>
      <w:r w:rsidRPr="006F119F">
        <w:t xml:space="preserve"> </w:t>
      </w:r>
      <w:r w:rsidRPr="00F242DD">
        <w:t>время</w:t>
      </w:r>
      <w:r w:rsidRPr="006F119F">
        <w:t xml:space="preserve"> </w:t>
      </w:r>
      <w:r w:rsidRPr="00F242DD">
        <w:t>является</w:t>
      </w:r>
      <w:r w:rsidRPr="006F119F">
        <w:t xml:space="preserve"> </w:t>
      </w:r>
      <w:r w:rsidRPr="00F242DD">
        <w:t>неизлечимым</w:t>
      </w:r>
      <w:r w:rsidRPr="006F119F">
        <w:t xml:space="preserve">. </w:t>
      </w:r>
      <w:r w:rsidRPr="00F242DD">
        <w:t>Однако</w:t>
      </w:r>
      <w:r w:rsidRPr="006F119F">
        <w:t xml:space="preserve"> </w:t>
      </w:r>
      <w:r w:rsidRPr="00F242DD">
        <w:t>современные</w:t>
      </w:r>
      <w:r w:rsidRPr="006F119F">
        <w:t xml:space="preserve"> </w:t>
      </w:r>
      <w:r w:rsidRPr="00F242DD">
        <w:t>инновационные</w:t>
      </w:r>
      <w:r w:rsidRPr="006F119F">
        <w:t xml:space="preserve"> </w:t>
      </w:r>
      <w:r w:rsidRPr="00F242DD">
        <w:t>лекарственные</w:t>
      </w:r>
      <w:r w:rsidRPr="006F119F">
        <w:t xml:space="preserve"> </w:t>
      </w:r>
      <w:r w:rsidRPr="00F242DD">
        <w:t>препараты</w:t>
      </w:r>
      <w:r w:rsidRPr="006F119F">
        <w:t xml:space="preserve"> </w:t>
      </w:r>
      <w:r w:rsidRPr="00F242DD">
        <w:t>и</w:t>
      </w:r>
      <w:r w:rsidRPr="006F119F">
        <w:t xml:space="preserve"> </w:t>
      </w:r>
      <w:r w:rsidRPr="00F242DD">
        <w:t>трансплантационные</w:t>
      </w:r>
      <w:r w:rsidRPr="006F119F">
        <w:t xml:space="preserve"> </w:t>
      </w:r>
      <w:r w:rsidRPr="00F242DD">
        <w:t>методики</w:t>
      </w:r>
      <w:r w:rsidRPr="006F119F">
        <w:t xml:space="preserve"> </w:t>
      </w:r>
      <w:r w:rsidRPr="00F242DD">
        <w:t>позволяют</w:t>
      </w:r>
      <w:r w:rsidRPr="006F119F">
        <w:t xml:space="preserve"> </w:t>
      </w:r>
      <w:r w:rsidRPr="00F242DD">
        <w:t>достичь</w:t>
      </w:r>
      <w:r w:rsidRPr="006F119F">
        <w:t xml:space="preserve"> </w:t>
      </w:r>
      <w:r w:rsidRPr="00F242DD">
        <w:t>значимого</w:t>
      </w:r>
      <w:r w:rsidRPr="006F119F">
        <w:t xml:space="preserve"> </w:t>
      </w:r>
      <w:r w:rsidRPr="00F242DD">
        <w:t>противоопухолевого</w:t>
      </w:r>
      <w:r w:rsidRPr="006F119F">
        <w:t xml:space="preserve"> </w:t>
      </w:r>
      <w:r w:rsidRPr="00F242DD">
        <w:t>эффекта</w:t>
      </w:r>
      <w:r w:rsidRPr="006F119F">
        <w:t xml:space="preserve"> </w:t>
      </w:r>
      <w:r w:rsidRPr="00F242DD">
        <w:t>так</w:t>
      </w:r>
      <w:r w:rsidRPr="006F119F">
        <w:t xml:space="preserve"> </w:t>
      </w:r>
      <w:r w:rsidRPr="00F242DD">
        <w:t>называемой</w:t>
      </w:r>
      <w:r w:rsidRPr="006F119F">
        <w:t xml:space="preserve"> </w:t>
      </w:r>
      <w:r w:rsidRPr="00F242DD">
        <w:t>ремиссии</w:t>
      </w:r>
      <w:r w:rsidRPr="006F119F">
        <w:t>.</w:t>
      </w:r>
    </w:p>
    <w:p w14:paraId="6500D855" w14:textId="77777777" w:rsidR="00D20B9A" w:rsidRPr="00F242DD" w:rsidRDefault="00D20B9A" w:rsidP="00131E36">
      <w:pPr>
        <w:spacing w:before="0" w:after="0"/>
        <w:ind w:firstLine="709"/>
      </w:pPr>
      <w:r w:rsidRPr="00F242DD">
        <w:t>Ремиссия</w:t>
      </w:r>
      <w:r w:rsidRPr="002E7F7B">
        <w:t xml:space="preserve"> – </w:t>
      </w:r>
      <w:r w:rsidRPr="00F242DD">
        <w:t>это</w:t>
      </w:r>
      <w:r w:rsidRPr="002E7F7B">
        <w:t xml:space="preserve"> </w:t>
      </w:r>
      <w:r w:rsidRPr="00F242DD">
        <w:t>состояние</w:t>
      </w:r>
      <w:r w:rsidRPr="002E7F7B">
        <w:t xml:space="preserve">, </w:t>
      </w:r>
      <w:r w:rsidRPr="00F242DD">
        <w:t>при</w:t>
      </w:r>
      <w:r w:rsidRPr="002E7F7B">
        <w:t xml:space="preserve"> </w:t>
      </w:r>
      <w:r w:rsidRPr="00F242DD">
        <w:t>котором</w:t>
      </w:r>
      <w:r w:rsidRPr="002E7F7B">
        <w:t xml:space="preserve"> </w:t>
      </w:r>
      <w:r w:rsidRPr="00F242DD">
        <w:t>минимизирована</w:t>
      </w:r>
      <w:r w:rsidRPr="002E7F7B">
        <w:t xml:space="preserve"> </w:t>
      </w:r>
      <w:r w:rsidRPr="00F242DD">
        <w:t>опухолевая</w:t>
      </w:r>
      <w:r w:rsidRPr="002E7F7B">
        <w:t xml:space="preserve"> </w:t>
      </w:r>
      <w:r w:rsidRPr="00F242DD">
        <w:t>масса</w:t>
      </w:r>
      <w:r w:rsidRPr="002E7F7B">
        <w:t xml:space="preserve">, </w:t>
      </w:r>
      <w:r w:rsidRPr="00F242DD">
        <w:t>купированы</w:t>
      </w:r>
      <w:r w:rsidRPr="002E7F7B">
        <w:t xml:space="preserve"> </w:t>
      </w:r>
      <w:r w:rsidRPr="00F242DD">
        <w:t>основные</w:t>
      </w:r>
      <w:r w:rsidRPr="002E7F7B">
        <w:t xml:space="preserve"> </w:t>
      </w:r>
      <w:r w:rsidRPr="00F242DD">
        <w:t>клинические</w:t>
      </w:r>
      <w:r w:rsidRPr="002E7F7B">
        <w:t xml:space="preserve"> </w:t>
      </w:r>
      <w:r w:rsidRPr="00F242DD">
        <w:t>проявления заболевания (костные боли, почечная недостаточность, инфекционные осложнения). Современные лечебные мероприятия, включающие препараты биологического механизма действия, традиционные химиотерапевтические препараты обеспечивают длительный контроль за опухолевым процессом, сохраняя качество жизни пациентов.</w:t>
      </w:r>
    </w:p>
    <w:p w14:paraId="6C782831" w14:textId="77777777" w:rsidR="00D20B9A" w:rsidRPr="00F242DD" w:rsidRDefault="00D20B9A" w:rsidP="00131E36">
      <w:pPr>
        <w:spacing w:before="0" w:after="0"/>
        <w:ind w:firstLine="709"/>
      </w:pPr>
      <w:r w:rsidRPr="00F242DD">
        <w:t>Лечение ММ длительное. Первичная терапия в большинстве случаев проводится в стационарных условиях. По мере купирования клинических симптомов продолжение лечения возможно в условиях дневных стационаров или амбулаторно-поликлинических и даже домашних условиях.</w:t>
      </w:r>
    </w:p>
    <w:p w14:paraId="58AACE8B" w14:textId="77777777" w:rsidR="00D20B9A" w:rsidRPr="00F242DD" w:rsidRDefault="00D20B9A" w:rsidP="00131E36">
      <w:pPr>
        <w:spacing w:before="0" w:after="0"/>
        <w:ind w:firstLine="709"/>
      </w:pPr>
      <w:r w:rsidRPr="00F242DD">
        <w:t>Однако хорошо известно, что лекарственные препараты обладают побочными эффектами. В связи с этим пациенты должны сразу сообщать лечащему врачу о</w:t>
      </w:r>
      <w:r w:rsidR="00974BA6" w:rsidRPr="00F242DD">
        <w:t>бо</w:t>
      </w:r>
      <w:r w:rsidRPr="00F242DD">
        <w:t xml:space="preserve"> всех нежелательных явлениях, возникающих на фоне лечения.</w:t>
      </w:r>
    </w:p>
    <w:p w14:paraId="2BC29652" w14:textId="77777777" w:rsidR="004D7374" w:rsidRPr="00F242DD" w:rsidRDefault="004D7374" w:rsidP="00131E36">
      <w:pPr>
        <w:spacing w:before="0" w:after="0"/>
        <w:ind w:firstLine="709"/>
      </w:pPr>
    </w:p>
    <w:p w14:paraId="630D89E0" w14:textId="77777777" w:rsidR="00E93D36" w:rsidRPr="00F242DD" w:rsidRDefault="00E93D36" w:rsidP="00131E36">
      <w:pPr>
        <w:spacing w:before="0" w:after="0"/>
        <w:ind w:firstLine="709"/>
      </w:pPr>
    </w:p>
    <w:p w14:paraId="196F3829" w14:textId="77777777" w:rsidR="00E93D36" w:rsidRPr="00F242DD" w:rsidRDefault="00E93D36" w:rsidP="00131E36">
      <w:pPr>
        <w:spacing w:before="0" w:after="0"/>
        <w:ind w:firstLine="709"/>
      </w:pPr>
    </w:p>
    <w:p w14:paraId="5ACA31F1" w14:textId="77777777" w:rsidR="00E93D36" w:rsidRPr="00F242DD" w:rsidRDefault="00E93D36" w:rsidP="00131E36">
      <w:pPr>
        <w:spacing w:before="0" w:after="0"/>
        <w:ind w:firstLine="709"/>
      </w:pPr>
    </w:p>
    <w:p w14:paraId="19EADB78" w14:textId="77777777" w:rsidR="00E93D36" w:rsidRPr="00F242DD" w:rsidRDefault="00E93D36" w:rsidP="00131E36">
      <w:pPr>
        <w:spacing w:before="0" w:after="0"/>
        <w:ind w:firstLine="709"/>
      </w:pPr>
    </w:p>
    <w:p w14:paraId="61F25A2A" w14:textId="77777777" w:rsidR="00E93D36" w:rsidRPr="00F242DD" w:rsidRDefault="00E93D36" w:rsidP="00131E36">
      <w:pPr>
        <w:spacing w:before="0" w:after="0"/>
        <w:ind w:firstLine="709"/>
      </w:pPr>
    </w:p>
    <w:p w14:paraId="2979F9B7" w14:textId="77777777" w:rsidR="00E93D36" w:rsidRPr="00F242DD" w:rsidRDefault="00E93D36" w:rsidP="00131E36">
      <w:pPr>
        <w:spacing w:before="0" w:after="0"/>
        <w:ind w:firstLine="709"/>
      </w:pPr>
    </w:p>
    <w:p w14:paraId="476DB001" w14:textId="77777777" w:rsidR="00E93D36" w:rsidRPr="00F242DD" w:rsidRDefault="00E93D36" w:rsidP="00131E36">
      <w:pPr>
        <w:spacing w:before="0" w:after="0"/>
        <w:ind w:firstLine="709"/>
      </w:pPr>
    </w:p>
    <w:p w14:paraId="5605FDFD" w14:textId="69243AAD" w:rsidR="00E93D36" w:rsidRPr="00F242DD" w:rsidRDefault="00EE0660" w:rsidP="00A56060">
      <w:pPr>
        <w:pStyle w:val="1"/>
        <w:rPr>
          <w:rStyle w:val="ac"/>
          <w:b/>
        </w:rPr>
      </w:pPr>
      <w:bookmarkStart w:id="72" w:name="_Toc520213134"/>
      <w:bookmarkStart w:id="73" w:name="_Toc53140921"/>
      <w:r w:rsidRPr="00F242DD">
        <w:lastRenderedPageBreak/>
        <w:t>Приложение Г</w:t>
      </w:r>
      <w:bookmarkEnd w:id="72"/>
      <w:r w:rsidR="00EB605F">
        <w:t>1</w:t>
      </w:r>
      <w:r w:rsidR="009773F3" w:rsidRPr="00F242DD">
        <w:rPr>
          <w:rStyle w:val="ac"/>
          <w:b/>
        </w:rPr>
        <w:t>. Шкала оценки общего состояния пациента ECOG</w:t>
      </w:r>
      <w:bookmarkEnd w:id="73"/>
    </w:p>
    <w:p w14:paraId="3EEDB4C4" w14:textId="77777777" w:rsidR="00C37E76" w:rsidRPr="00F242DD" w:rsidRDefault="00C37E76" w:rsidP="00131E36">
      <w:pPr>
        <w:spacing w:before="0" w:after="0"/>
        <w:ind w:firstLine="709"/>
      </w:pPr>
      <w:r w:rsidRPr="00F242DD">
        <w:t xml:space="preserve">Клиническая оценка общего состояния пациента с </w:t>
      </w:r>
      <w:r w:rsidR="004E145E" w:rsidRPr="00F242DD">
        <w:t>ММ</w:t>
      </w:r>
      <w:r w:rsidRPr="00F242DD">
        <w:t xml:space="preserve"> проводится по шкале, разработанной Восточной объединенной онкологической группой (Eastern</w:t>
      </w:r>
      <w:r w:rsidR="004E145E" w:rsidRPr="00F242DD">
        <w:t xml:space="preserve"> </w:t>
      </w:r>
      <w:r w:rsidRPr="00F242DD">
        <w:t>Cooperative</w:t>
      </w:r>
      <w:r w:rsidR="004E145E" w:rsidRPr="00F242DD">
        <w:t xml:space="preserve"> </w:t>
      </w:r>
      <w:r w:rsidRPr="00F242DD">
        <w:t>Oncology</w:t>
      </w:r>
      <w:r w:rsidR="004E145E" w:rsidRPr="00F242DD">
        <w:t xml:space="preserve"> </w:t>
      </w:r>
      <w:r w:rsidRPr="00F242DD">
        <w:t>Group)</w:t>
      </w:r>
      <w:r w:rsidR="004E145E" w:rsidRPr="00F242DD">
        <w:t xml:space="preserve"> </w:t>
      </w:r>
      <w:r w:rsidR="00A96FB6" w:rsidRPr="00F242DD">
        <w:fldChar w:fldCharType="begin" w:fldLock="1"/>
      </w:r>
      <w:r w:rsidR="00315D6A" w:rsidRPr="00F242DD">
        <w:instrText>ADDIN CSL_CITATION {"citationItems":[{"id":"ITEM-1","itemData":{"PMID":"7165009","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37e4803f-2468-3082-ae4c-dc5ab1419394"]}],"mendeley":{"formattedCitation":"[82]","plainTextFormattedCitation":"[82]","previouslyFormattedCitation":"[81]"},"properties":{"noteIndex":0},"schema":"https://github.com/citation-style-language/schema/raw/master/csl-citation.json"}</w:instrText>
      </w:r>
      <w:r w:rsidR="00A96FB6" w:rsidRPr="00F242DD">
        <w:fldChar w:fldCharType="separate"/>
      </w:r>
      <w:r w:rsidR="00315D6A" w:rsidRPr="00F242DD">
        <w:rPr>
          <w:noProof/>
        </w:rPr>
        <w:t>[82]</w:t>
      </w:r>
      <w:r w:rsidR="00A96FB6" w:rsidRPr="00F242DD">
        <w:fldChar w:fldCharType="end"/>
      </w:r>
      <w:r w:rsidRPr="00F242DD">
        <w:t>:</w:t>
      </w:r>
    </w:p>
    <w:p w14:paraId="403CA596" w14:textId="77777777" w:rsidR="00305AC6" w:rsidRPr="00F242DD" w:rsidRDefault="00305AC6" w:rsidP="00305AC6">
      <w:pPr>
        <w:rPr>
          <w:lang w:val="en-US"/>
        </w:rPr>
      </w:pPr>
      <w:bookmarkStart w:id="74" w:name="_Toc16755716"/>
      <w:r w:rsidRPr="00F242DD">
        <w:t>Оригинальное</w:t>
      </w:r>
      <w:r w:rsidRPr="00F242DD">
        <w:rPr>
          <w:lang w:val="en-US"/>
        </w:rPr>
        <w:t xml:space="preserve"> </w:t>
      </w:r>
      <w:r w:rsidRPr="00F242DD">
        <w:t>название</w:t>
      </w:r>
      <w:r w:rsidRPr="00F242DD">
        <w:rPr>
          <w:lang w:val="en-US"/>
        </w:rPr>
        <w:t>: The ECOG Scale of Performance Status</w:t>
      </w:r>
    </w:p>
    <w:p w14:paraId="71A931EC" w14:textId="77777777" w:rsidR="00305AC6" w:rsidRPr="00F242DD" w:rsidRDefault="00305AC6" w:rsidP="00305AC6">
      <w:r w:rsidRPr="00F242DD">
        <w:t>Источник</w:t>
      </w:r>
      <w:r w:rsidRPr="00F242DD">
        <w:rPr>
          <w:lang w:val="en-US"/>
        </w:rPr>
        <w:t>: Oken M.M. et al. Toxicity and response criteria of the Eastern Cooperative Oncology Group // Am. J. Clin. Oncol</w:t>
      </w:r>
      <w:r w:rsidRPr="002E7F7B">
        <w:t xml:space="preserve">. </w:t>
      </w:r>
      <w:r w:rsidRPr="00D903CB">
        <w:t xml:space="preserve">1982. </w:t>
      </w:r>
      <w:r w:rsidRPr="00F242DD">
        <w:t xml:space="preserve">Vol. 5, № 6. P. 649–65 </w:t>
      </w:r>
      <w:r w:rsidRPr="00F242DD">
        <w:fldChar w:fldCharType="begin" w:fldLock="1"/>
      </w:r>
      <w:r w:rsidR="00315D6A" w:rsidRPr="00F242DD">
        <w:instrText>ADDIN CSL_CITATION {"citationItems":[{"id":"ITEM-1","itemData":{"PMID":"7165009","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37e4803f-2468-3082-ae4c-dc5ab1419394"]}],"mendeley":{"formattedCitation":"[82]","plainTextFormattedCitation":"[82]","previouslyFormattedCitation":"[81]"},"properties":{"noteIndex":0},"schema":"https://github.com/citation-style-language/schema/raw/master/csl-citation.json"}</w:instrText>
      </w:r>
      <w:r w:rsidRPr="00F242DD">
        <w:fldChar w:fldCharType="separate"/>
      </w:r>
      <w:r w:rsidR="00315D6A" w:rsidRPr="00F242DD">
        <w:rPr>
          <w:noProof/>
        </w:rPr>
        <w:t>[82]</w:t>
      </w:r>
      <w:r w:rsidRPr="00F242DD">
        <w:fldChar w:fldCharType="end"/>
      </w:r>
    </w:p>
    <w:p w14:paraId="02ED210D" w14:textId="77777777" w:rsidR="00305AC6" w:rsidRPr="00F242DD" w:rsidRDefault="00305AC6" w:rsidP="00305AC6">
      <w:r w:rsidRPr="00F242DD">
        <w:t>Тип: шкала оценки</w:t>
      </w:r>
    </w:p>
    <w:p w14:paraId="5E199C01" w14:textId="77777777" w:rsidR="00305AC6" w:rsidRPr="00F242DD" w:rsidRDefault="00305AC6" w:rsidP="00305AC6">
      <w:r w:rsidRPr="00F242DD">
        <w:t xml:space="preserve">Назначение: клиническая оценка общего состояния пациента </w:t>
      </w:r>
    </w:p>
    <w:p w14:paraId="1782B99F" w14:textId="77777777" w:rsidR="00305AC6" w:rsidRPr="00F242DD" w:rsidRDefault="00305AC6" w:rsidP="00305AC6">
      <w:r w:rsidRPr="00F242DD">
        <w:t xml:space="preserve">Содержание и интерпретация: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50"/>
        <w:gridCol w:w="7615"/>
      </w:tblGrid>
      <w:tr w:rsidR="00305AC6" w:rsidRPr="00F242DD" w14:paraId="4DEC4958" w14:textId="77777777" w:rsidTr="00E36DFA">
        <w:tc>
          <w:tcPr>
            <w:tcW w:w="1950" w:type="dxa"/>
          </w:tcPr>
          <w:p w14:paraId="0D17B86B" w14:textId="77777777" w:rsidR="00305AC6" w:rsidRPr="00F242DD" w:rsidRDefault="00305AC6" w:rsidP="00E35290">
            <w:pPr>
              <w:rPr>
                <w:rStyle w:val="ac"/>
                <w:b w:val="0"/>
              </w:rPr>
            </w:pPr>
            <w:r w:rsidRPr="00F242DD">
              <w:rPr>
                <w:rStyle w:val="ac"/>
                <w:b w:val="0"/>
              </w:rPr>
              <w:t>С</w:t>
            </w:r>
            <w:r w:rsidRPr="00F242DD">
              <w:rPr>
                <w:rStyle w:val="ac"/>
              </w:rPr>
              <w:t>татус (баллы)</w:t>
            </w:r>
          </w:p>
        </w:tc>
        <w:tc>
          <w:tcPr>
            <w:tcW w:w="7615" w:type="dxa"/>
          </w:tcPr>
          <w:p w14:paraId="620AA86D" w14:textId="77777777" w:rsidR="00305AC6" w:rsidRPr="00F242DD" w:rsidRDefault="00305AC6" w:rsidP="00E35290">
            <w:pPr>
              <w:ind w:firstLine="36"/>
              <w:jc w:val="left"/>
              <w:rPr>
                <w:rStyle w:val="ac"/>
                <w:b w:val="0"/>
              </w:rPr>
            </w:pPr>
            <w:r w:rsidRPr="00F242DD">
              <w:rPr>
                <w:rStyle w:val="ac"/>
                <w:b w:val="0"/>
              </w:rPr>
              <w:t>О</w:t>
            </w:r>
            <w:r w:rsidRPr="00F242DD">
              <w:rPr>
                <w:rStyle w:val="ac"/>
              </w:rPr>
              <w:t>писание общего состояния пациента</w:t>
            </w:r>
          </w:p>
        </w:tc>
      </w:tr>
      <w:tr w:rsidR="00305AC6" w:rsidRPr="00F242DD" w14:paraId="6CA8B13F" w14:textId="77777777" w:rsidTr="00E36DFA">
        <w:tc>
          <w:tcPr>
            <w:tcW w:w="1950" w:type="dxa"/>
            <w:hideMark/>
          </w:tcPr>
          <w:p w14:paraId="7CC69672" w14:textId="77777777" w:rsidR="00305AC6" w:rsidRPr="00F242DD" w:rsidRDefault="00305AC6" w:rsidP="00E35290">
            <w:pPr>
              <w:rPr>
                <w:rStyle w:val="ac"/>
                <w:b w:val="0"/>
                <w:lang w:val="en-US"/>
              </w:rPr>
            </w:pPr>
            <w:r w:rsidRPr="00F242DD">
              <w:rPr>
                <w:rStyle w:val="ac"/>
                <w:b w:val="0"/>
                <w:lang w:val="en-US"/>
              </w:rPr>
              <w:t>0</w:t>
            </w:r>
          </w:p>
        </w:tc>
        <w:tc>
          <w:tcPr>
            <w:tcW w:w="7615" w:type="dxa"/>
            <w:hideMark/>
          </w:tcPr>
          <w:p w14:paraId="69869FAD" w14:textId="77777777" w:rsidR="00305AC6" w:rsidRPr="00F242DD" w:rsidRDefault="00305AC6" w:rsidP="00E35290">
            <w:pPr>
              <w:ind w:firstLine="36"/>
              <w:jc w:val="left"/>
              <w:rPr>
                <w:rStyle w:val="ac"/>
                <w:b w:val="0"/>
              </w:rPr>
            </w:pPr>
            <w:r w:rsidRPr="00F242DD">
              <w:rPr>
                <w:rStyle w:val="ac"/>
                <w:b w:val="0"/>
              </w:rPr>
              <w:t>Пациент полностью активен, способен выполнять все, как и до заболевания</w:t>
            </w:r>
          </w:p>
        </w:tc>
      </w:tr>
      <w:tr w:rsidR="00305AC6" w:rsidRPr="00F242DD" w14:paraId="2A8496D7" w14:textId="77777777" w:rsidTr="00E36DFA">
        <w:tc>
          <w:tcPr>
            <w:tcW w:w="1950" w:type="dxa"/>
            <w:hideMark/>
          </w:tcPr>
          <w:p w14:paraId="1EA4B254" w14:textId="77777777" w:rsidR="00305AC6" w:rsidRPr="00F242DD" w:rsidRDefault="00305AC6" w:rsidP="00E35290">
            <w:pPr>
              <w:rPr>
                <w:rStyle w:val="ac"/>
                <w:b w:val="0"/>
              </w:rPr>
            </w:pPr>
            <w:r w:rsidRPr="00F242DD">
              <w:rPr>
                <w:rStyle w:val="ac"/>
                <w:b w:val="0"/>
              </w:rPr>
              <w:t>1</w:t>
            </w:r>
          </w:p>
        </w:tc>
        <w:tc>
          <w:tcPr>
            <w:tcW w:w="7615" w:type="dxa"/>
            <w:hideMark/>
          </w:tcPr>
          <w:p w14:paraId="2F59FE7C" w14:textId="77777777" w:rsidR="00305AC6" w:rsidRPr="00F242DD" w:rsidRDefault="00305AC6" w:rsidP="00E35290">
            <w:pPr>
              <w:ind w:firstLine="36"/>
              <w:jc w:val="left"/>
              <w:rPr>
                <w:rStyle w:val="ac"/>
                <w:b w:val="0"/>
              </w:rPr>
            </w:pPr>
            <w:r w:rsidRPr="00F242DD">
              <w:rPr>
                <w:rStyle w:val="ac"/>
                <w:b w:val="0"/>
              </w:rPr>
              <w:t>Пациент неспособен выполнять тяжелую, но может выполнять легкую или сидячую работу (например, легкую домашнюю или канцелярскую работу)</w:t>
            </w:r>
          </w:p>
        </w:tc>
      </w:tr>
      <w:tr w:rsidR="00305AC6" w:rsidRPr="00F242DD" w14:paraId="68A57AB9" w14:textId="77777777" w:rsidTr="00E36DFA">
        <w:tc>
          <w:tcPr>
            <w:tcW w:w="1950" w:type="dxa"/>
            <w:hideMark/>
          </w:tcPr>
          <w:p w14:paraId="3B9B8DFF" w14:textId="77777777" w:rsidR="00305AC6" w:rsidRPr="00F242DD" w:rsidRDefault="00305AC6" w:rsidP="00E35290">
            <w:pPr>
              <w:rPr>
                <w:rStyle w:val="ac"/>
                <w:b w:val="0"/>
              </w:rPr>
            </w:pPr>
            <w:r w:rsidRPr="00F242DD">
              <w:rPr>
                <w:rStyle w:val="ac"/>
                <w:b w:val="0"/>
              </w:rPr>
              <w:t>2</w:t>
            </w:r>
          </w:p>
        </w:tc>
        <w:tc>
          <w:tcPr>
            <w:tcW w:w="7615" w:type="dxa"/>
            <w:hideMark/>
          </w:tcPr>
          <w:p w14:paraId="59A34BF2" w14:textId="77777777" w:rsidR="00305AC6" w:rsidRPr="00F242DD" w:rsidRDefault="00305AC6" w:rsidP="00E35290">
            <w:pPr>
              <w:ind w:firstLine="36"/>
              <w:jc w:val="left"/>
              <w:rPr>
                <w:rStyle w:val="ac"/>
                <w:b w:val="0"/>
              </w:rPr>
            </w:pPr>
            <w:r w:rsidRPr="00F242DD">
              <w:rPr>
                <w:rStyle w:val="ac"/>
                <w:b w:val="0"/>
              </w:rPr>
              <w:t>Пациент лечится амбулаторно, способен к самообслуживанию, но не может выполнять работу. Более 50% времени проводит активно – в вертикальном положении.</w:t>
            </w:r>
          </w:p>
        </w:tc>
      </w:tr>
      <w:tr w:rsidR="00305AC6" w:rsidRPr="00F242DD" w14:paraId="382F247A" w14:textId="77777777" w:rsidTr="00E36DFA">
        <w:tc>
          <w:tcPr>
            <w:tcW w:w="1950" w:type="dxa"/>
            <w:hideMark/>
          </w:tcPr>
          <w:p w14:paraId="2F61F60E" w14:textId="77777777" w:rsidR="00305AC6" w:rsidRPr="00F242DD" w:rsidRDefault="00305AC6" w:rsidP="00E35290">
            <w:pPr>
              <w:rPr>
                <w:rStyle w:val="ac"/>
                <w:b w:val="0"/>
              </w:rPr>
            </w:pPr>
            <w:r w:rsidRPr="00F242DD">
              <w:rPr>
                <w:rStyle w:val="ac"/>
                <w:b w:val="0"/>
              </w:rPr>
              <w:t>3</w:t>
            </w:r>
          </w:p>
        </w:tc>
        <w:tc>
          <w:tcPr>
            <w:tcW w:w="7615" w:type="dxa"/>
            <w:hideMark/>
          </w:tcPr>
          <w:p w14:paraId="5C2951AC" w14:textId="77777777" w:rsidR="00305AC6" w:rsidRPr="00F242DD" w:rsidRDefault="00305AC6" w:rsidP="00E35290">
            <w:pPr>
              <w:ind w:firstLine="36"/>
              <w:jc w:val="left"/>
              <w:rPr>
                <w:rStyle w:val="ac"/>
                <w:b w:val="0"/>
              </w:rPr>
            </w:pPr>
            <w:r w:rsidRPr="00F242DD">
              <w:rPr>
                <w:rStyle w:val="ac"/>
                <w:b w:val="0"/>
              </w:rPr>
              <w:t>Пациент способен лишь к ограниченному самообслуживанию, проводит в кресле или постели более 50% времени бодрствования</w:t>
            </w:r>
          </w:p>
        </w:tc>
      </w:tr>
      <w:tr w:rsidR="00305AC6" w:rsidRPr="00F242DD" w14:paraId="0C0724E1" w14:textId="77777777" w:rsidTr="00E36DFA">
        <w:tc>
          <w:tcPr>
            <w:tcW w:w="1950" w:type="dxa"/>
            <w:hideMark/>
          </w:tcPr>
          <w:p w14:paraId="039732DE" w14:textId="77777777" w:rsidR="00305AC6" w:rsidRPr="00F242DD" w:rsidRDefault="00305AC6" w:rsidP="00E35290">
            <w:pPr>
              <w:rPr>
                <w:rStyle w:val="ac"/>
                <w:b w:val="0"/>
              </w:rPr>
            </w:pPr>
            <w:r w:rsidRPr="00F242DD">
              <w:rPr>
                <w:rStyle w:val="ac"/>
                <w:b w:val="0"/>
              </w:rPr>
              <w:t>4</w:t>
            </w:r>
          </w:p>
        </w:tc>
        <w:tc>
          <w:tcPr>
            <w:tcW w:w="7615" w:type="dxa"/>
            <w:hideMark/>
          </w:tcPr>
          <w:p w14:paraId="5A871A41" w14:textId="77777777" w:rsidR="00305AC6" w:rsidRPr="00F242DD" w:rsidRDefault="00305AC6" w:rsidP="00E35290">
            <w:pPr>
              <w:ind w:firstLine="36"/>
              <w:jc w:val="left"/>
              <w:rPr>
                <w:rStyle w:val="ac"/>
                <w:b w:val="0"/>
              </w:rPr>
            </w:pPr>
            <w:r w:rsidRPr="00F242DD">
              <w:rPr>
                <w:rStyle w:val="ac"/>
                <w:b w:val="0"/>
              </w:rPr>
              <w:t>Инвалид, совершенно не способен к самообслуживанию, прикован к креслу или постели</w:t>
            </w:r>
          </w:p>
        </w:tc>
      </w:tr>
      <w:tr w:rsidR="00D203F7" w:rsidRPr="00F242DD" w14:paraId="0369B515" w14:textId="77777777" w:rsidTr="00E35290">
        <w:tc>
          <w:tcPr>
            <w:tcW w:w="1950" w:type="dxa"/>
          </w:tcPr>
          <w:p w14:paraId="091E897C" w14:textId="77777777" w:rsidR="00D203F7" w:rsidRPr="00F242DD" w:rsidRDefault="00D203F7" w:rsidP="00E35290">
            <w:pPr>
              <w:rPr>
                <w:rStyle w:val="ac"/>
                <w:b w:val="0"/>
              </w:rPr>
            </w:pPr>
            <w:r w:rsidRPr="00F242DD">
              <w:rPr>
                <w:rStyle w:val="ac"/>
                <w:b w:val="0"/>
              </w:rPr>
              <w:t>5</w:t>
            </w:r>
          </w:p>
        </w:tc>
        <w:tc>
          <w:tcPr>
            <w:tcW w:w="7615" w:type="dxa"/>
          </w:tcPr>
          <w:p w14:paraId="738D00EF" w14:textId="4FB2AF1A" w:rsidR="00A82A45" w:rsidRPr="00F242DD" w:rsidRDefault="00D203F7" w:rsidP="00A82A45">
            <w:pPr>
              <w:ind w:firstLine="36"/>
              <w:jc w:val="left"/>
              <w:rPr>
                <w:rStyle w:val="ac"/>
                <w:b w:val="0"/>
              </w:rPr>
            </w:pPr>
            <w:r w:rsidRPr="00F242DD">
              <w:rPr>
                <w:rStyle w:val="ac"/>
                <w:b w:val="0"/>
              </w:rPr>
              <w:t>Пациент мертв</w:t>
            </w:r>
          </w:p>
        </w:tc>
      </w:tr>
    </w:tbl>
    <w:p w14:paraId="0C5BF050" w14:textId="409A5D40" w:rsidR="00EB605F" w:rsidRDefault="00EB605F" w:rsidP="00EB605F">
      <w:pPr>
        <w:pStyle w:val="1"/>
      </w:pPr>
      <w:bookmarkStart w:id="75" w:name="_Toc53140922"/>
      <w:bookmarkEnd w:id="74"/>
      <w:r w:rsidRPr="00F242DD">
        <w:lastRenderedPageBreak/>
        <w:t>Приложение Г</w:t>
      </w:r>
      <w:r>
        <w:t>2</w:t>
      </w:r>
      <w:r w:rsidRPr="00F242DD">
        <w:rPr>
          <w:rStyle w:val="ac"/>
          <w:b/>
        </w:rPr>
        <w:t xml:space="preserve">. </w:t>
      </w:r>
      <w:r w:rsidRPr="00EB605F">
        <w:t>Инструментальные и лабораторные методы исследования на различных этапах терапии множественной миеломы</w:t>
      </w:r>
      <w:bookmarkEnd w:id="75"/>
    </w:p>
    <w:p w14:paraId="186CD791" w14:textId="17F31364" w:rsidR="00EF54E3" w:rsidRPr="006366BB" w:rsidRDefault="00EF54E3" w:rsidP="00727CDE">
      <w:pPr>
        <w:pStyle w:val="a6"/>
        <w:numPr>
          <w:ilvl w:val="0"/>
          <w:numId w:val="61"/>
        </w:numPr>
        <w:spacing w:before="0" w:after="200" w:line="276" w:lineRule="auto"/>
        <w:ind w:left="0" w:firstLine="0"/>
        <w:jc w:val="left"/>
        <w:rPr>
          <w:b/>
          <w:szCs w:val="24"/>
        </w:rPr>
      </w:pPr>
      <w:r w:rsidRPr="006366BB">
        <w:rPr>
          <w:b/>
          <w:szCs w:val="24"/>
        </w:rPr>
        <w:t>Список сокращений</w:t>
      </w:r>
    </w:p>
    <w:p w14:paraId="0654751C" w14:textId="77777777" w:rsidR="00EF54E3" w:rsidRDefault="00EF54E3" w:rsidP="00EF54E3">
      <w:pPr>
        <w:pStyle w:val="a6"/>
        <w:ind w:left="0"/>
        <w:rPr>
          <w:szCs w:val="24"/>
          <w:shd w:val="clear" w:color="auto" w:fill="FFFFFF"/>
        </w:rPr>
      </w:pPr>
      <w:r>
        <w:rPr>
          <w:szCs w:val="24"/>
          <w:shd w:val="clear" w:color="auto" w:fill="FFFFFF"/>
        </w:rPr>
        <w:t>КТ – компьютерная томография</w:t>
      </w:r>
    </w:p>
    <w:p w14:paraId="711D57BC" w14:textId="77777777" w:rsidR="00EF54E3" w:rsidRPr="002F15AF" w:rsidRDefault="00EF54E3" w:rsidP="00EF54E3">
      <w:pPr>
        <w:pStyle w:val="a6"/>
        <w:ind w:left="0"/>
        <w:rPr>
          <w:szCs w:val="24"/>
          <w:shd w:val="clear" w:color="auto" w:fill="FFFFFF"/>
        </w:rPr>
      </w:pPr>
      <w:r w:rsidRPr="002528CF">
        <w:rPr>
          <w:szCs w:val="24"/>
        </w:rPr>
        <w:t>МГНЗ</w:t>
      </w:r>
      <w:r>
        <w:rPr>
          <w:szCs w:val="24"/>
        </w:rPr>
        <w:t xml:space="preserve"> – моноклональная гаммапатия неопределенного значения</w:t>
      </w:r>
    </w:p>
    <w:p w14:paraId="0DBBB9B7" w14:textId="77777777" w:rsidR="00EF54E3" w:rsidRPr="002F15AF" w:rsidRDefault="00EF54E3" w:rsidP="00EF54E3">
      <w:pPr>
        <w:pStyle w:val="a6"/>
        <w:ind w:left="0"/>
        <w:rPr>
          <w:szCs w:val="24"/>
          <w:shd w:val="clear" w:color="auto" w:fill="FFFFFF"/>
        </w:rPr>
      </w:pPr>
      <w:r>
        <w:rPr>
          <w:szCs w:val="24"/>
          <w:shd w:val="clear" w:color="auto" w:fill="FFFFFF"/>
        </w:rPr>
        <w:t xml:space="preserve">ММ – множественная миелома </w:t>
      </w:r>
    </w:p>
    <w:p w14:paraId="75D0630A" w14:textId="77777777" w:rsidR="00EF54E3" w:rsidRDefault="00EF54E3" w:rsidP="00EF54E3">
      <w:pPr>
        <w:pStyle w:val="a6"/>
        <w:ind w:left="0"/>
        <w:rPr>
          <w:szCs w:val="24"/>
          <w:shd w:val="clear" w:color="auto" w:fill="FFFFFF"/>
        </w:rPr>
      </w:pPr>
      <w:r>
        <w:rPr>
          <w:szCs w:val="24"/>
          <w:shd w:val="clear" w:color="auto" w:fill="FFFFFF"/>
        </w:rPr>
        <w:t>МРТ – магнитно-резонансная томография</w:t>
      </w:r>
    </w:p>
    <w:p w14:paraId="5674745D" w14:textId="77777777" w:rsidR="00EF54E3" w:rsidRPr="002F15AF" w:rsidRDefault="00EF54E3" w:rsidP="00EF54E3">
      <w:pPr>
        <w:pStyle w:val="a6"/>
        <w:ind w:left="0"/>
        <w:rPr>
          <w:szCs w:val="24"/>
        </w:rPr>
      </w:pPr>
      <w:r w:rsidRPr="002F15AF">
        <w:rPr>
          <w:szCs w:val="24"/>
        </w:rPr>
        <w:t>ПЭТ – позитронно-эмиссионная томография</w:t>
      </w:r>
    </w:p>
    <w:p w14:paraId="4CA0E5AE" w14:textId="77777777" w:rsidR="00EF54E3" w:rsidRDefault="00EF54E3" w:rsidP="00EF54E3">
      <w:pPr>
        <w:pStyle w:val="a6"/>
        <w:ind w:left="0"/>
        <w:rPr>
          <w:szCs w:val="24"/>
          <w:shd w:val="clear" w:color="auto" w:fill="FFFFFF"/>
        </w:rPr>
      </w:pPr>
      <w:r w:rsidRPr="002F15AF">
        <w:rPr>
          <w:szCs w:val="24"/>
          <w:shd w:val="clear" w:color="auto" w:fill="FFFFFF"/>
        </w:rPr>
        <w:t xml:space="preserve">ТГСК - трансплантация гемопоэтических стволовых клеток </w:t>
      </w:r>
    </w:p>
    <w:p w14:paraId="53983281" w14:textId="77777777" w:rsidR="00EF54E3" w:rsidRDefault="00EF54E3" w:rsidP="00EF54E3">
      <w:pPr>
        <w:pStyle w:val="a6"/>
        <w:ind w:left="0"/>
        <w:rPr>
          <w:szCs w:val="24"/>
          <w:shd w:val="clear" w:color="auto" w:fill="FFFFFF"/>
        </w:rPr>
      </w:pPr>
      <w:r>
        <w:rPr>
          <w:szCs w:val="24"/>
          <w:shd w:val="clear" w:color="auto" w:fill="FFFFFF"/>
        </w:rPr>
        <w:t>УЗИ – ультразвуковое исследование</w:t>
      </w:r>
    </w:p>
    <w:p w14:paraId="10D66717" w14:textId="77777777" w:rsidR="00EF54E3" w:rsidRDefault="00EF54E3" w:rsidP="00EF54E3">
      <w:pPr>
        <w:pStyle w:val="a6"/>
        <w:ind w:left="0"/>
        <w:rPr>
          <w:szCs w:val="24"/>
          <w:shd w:val="clear" w:color="auto" w:fill="FFFFFF"/>
        </w:rPr>
      </w:pPr>
      <w:r>
        <w:rPr>
          <w:szCs w:val="24"/>
          <w:shd w:val="clear" w:color="auto" w:fill="FFFFFF"/>
        </w:rPr>
        <w:t>ЭКГ - электрокардиограмма</w:t>
      </w:r>
    </w:p>
    <w:p w14:paraId="0C3DAA3C" w14:textId="7FB372E7" w:rsidR="00EF54E3" w:rsidRPr="002F15AF" w:rsidRDefault="000713B4" w:rsidP="00EF54E3">
      <w:pPr>
        <w:pStyle w:val="Normal1"/>
        <w:rPr>
          <w:rFonts w:cs="Times New Roman"/>
          <w:b/>
        </w:rPr>
      </w:pPr>
      <w:r>
        <w:rPr>
          <w:rFonts w:cs="Times New Roman"/>
          <w:b/>
        </w:rPr>
        <w:t>2</w:t>
      </w:r>
      <w:r w:rsidR="00EF54E3" w:rsidRPr="002F15AF">
        <w:rPr>
          <w:rFonts w:cs="Times New Roman"/>
          <w:b/>
        </w:rPr>
        <w:t xml:space="preserve">. Общие сведения </w:t>
      </w:r>
    </w:p>
    <w:p w14:paraId="6624AC7F" w14:textId="43BD633D" w:rsidR="00EF54E3" w:rsidRPr="00EF54E3" w:rsidRDefault="00EF54E3" w:rsidP="00EF54E3">
      <w:pPr>
        <w:pStyle w:val="a6"/>
        <w:ind w:left="0"/>
        <w:rPr>
          <w:szCs w:val="24"/>
          <w:shd w:val="clear" w:color="auto" w:fill="FFFFFF"/>
        </w:rPr>
      </w:pPr>
      <w:r>
        <w:rPr>
          <w:shd w:val="clear" w:color="auto" w:fill="FFFFFF"/>
        </w:rPr>
        <w:tab/>
      </w:r>
      <w:r w:rsidRPr="00EF54E3">
        <w:rPr>
          <w:szCs w:val="24"/>
          <w:shd w:val="clear" w:color="auto" w:fill="FFFFFF"/>
        </w:rPr>
        <w:t>Углубленное изучение патогенеза плазмоклеточных опухолей, наряду с развитием диагностических методик, позволили классифицировать группу парапротеинемических гемобластозов в отдельные нозологические формы, среди которых наряду с симптоматической ММ, также выделены:</w:t>
      </w:r>
    </w:p>
    <w:p w14:paraId="27FA71AF" w14:textId="77777777" w:rsidR="00EF54E3" w:rsidRDefault="00EF54E3" w:rsidP="00521D08">
      <w:pPr>
        <w:pStyle w:val="a6"/>
        <w:numPr>
          <w:ilvl w:val="0"/>
          <w:numId w:val="159"/>
        </w:numPr>
        <w:spacing w:after="0"/>
        <w:ind w:left="426"/>
      </w:pPr>
      <w:r w:rsidRPr="00521D08">
        <w:rPr>
          <w:rFonts w:eastAsia="Arial Unicode MS"/>
          <w:color w:val="000000"/>
          <w:spacing w:val="4"/>
          <w:szCs w:val="24"/>
          <w:u w:color="000000"/>
          <w:lang w:eastAsia="ru-RU"/>
        </w:rPr>
        <w:t>моноклональная гаммапатия неопределенного значения</w:t>
      </w:r>
      <w:r>
        <w:t xml:space="preserve"> (МГНЗ); </w:t>
      </w:r>
    </w:p>
    <w:p w14:paraId="4DE80F7B" w14:textId="77777777" w:rsidR="00EF54E3" w:rsidRDefault="00EF54E3" w:rsidP="00521D08">
      <w:pPr>
        <w:pStyle w:val="Normal1"/>
        <w:numPr>
          <w:ilvl w:val="0"/>
          <w:numId w:val="159"/>
        </w:numPr>
        <w:spacing w:line="360" w:lineRule="auto"/>
        <w:ind w:left="426"/>
        <w:jc w:val="both"/>
        <w:rPr>
          <w:rFonts w:cs="Times New Roman"/>
        </w:rPr>
      </w:pPr>
      <w:r>
        <w:rPr>
          <w:rFonts w:cs="Times New Roman"/>
        </w:rPr>
        <w:t>моноклональная гаммапатия почечного значения;</w:t>
      </w:r>
    </w:p>
    <w:p w14:paraId="5AA6B168" w14:textId="77777777" w:rsidR="00EF54E3" w:rsidRDefault="00EF54E3" w:rsidP="00521D08">
      <w:pPr>
        <w:pStyle w:val="Normal1"/>
        <w:numPr>
          <w:ilvl w:val="0"/>
          <w:numId w:val="159"/>
        </w:numPr>
        <w:spacing w:line="360" w:lineRule="auto"/>
        <w:ind w:left="426"/>
        <w:jc w:val="both"/>
        <w:rPr>
          <w:rFonts w:cs="Times New Roman"/>
        </w:rPr>
      </w:pPr>
      <w:r>
        <w:rPr>
          <w:rFonts w:cs="Times New Roman"/>
        </w:rPr>
        <w:t xml:space="preserve"> </w:t>
      </w:r>
      <w:r w:rsidRPr="00115FE8">
        <w:rPr>
          <w:rFonts w:cs="Times New Roman"/>
        </w:rPr>
        <w:t>«тлеющ</w:t>
      </w:r>
      <w:r>
        <w:rPr>
          <w:rFonts w:cs="Times New Roman"/>
        </w:rPr>
        <w:t>ая» или «вялотекущая</w:t>
      </w:r>
      <w:r w:rsidRPr="00115FE8">
        <w:rPr>
          <w:rFonts w:cs="Times New Roman"/>
        </w:rPr>
        <w:t>» ММ</w:t>
      </w:r>
      <w:r>
        <w:rPr>
          <w:rFonts w:cs="Times New Roman"/>
        </w:rPr>
        <w:t>;</w:t>
      </w:r>
    </w:p>
    <w:p w14:paraId="47F0C6CF" w14:textId="77777777" w:rsidR="00EF54E3" w:rsidRDefault="00EF54E3" w:rsidP="00521D08">
      <w:pPr>
        <w:pStyle w:val="Normal1"/>
        <w:numPr>
          <w:ilvl w:val="0"/>
          <w:numId w:val="159"/>
        </w:numPr>
        <w:spacing w:line="360" w:lineRule="auto"/>
        <w:ind w:left="426"/>
        <w:jc w:val="both"/>
        <w:rPr>
          <w:rFonts w:cs="Times New Roman"/>
        </w:rPr>
      </w:pPr>
      <w:r>
        <w:rPr>
          <w:rFonts w:cs="Times New Roman"/>
        </w:rPr>
        <w:t xml:space="preserve"> солитарная плазмоцитома;</w:t>
      </w:r>
    </w:p>
    <w:p w14:paraId="7B07DFD8" w14:textId="77777777" w:rsidR="00EF54E3" w:rsidRDefault="00EF54E3" w:rsidP="00521D08">
      <w:pPr>
        <w:pStyle w:val="Normal1"/>
        <w:numPr>
          <w:ilvl w:val="0"/>
          <w:numId w:val="159"/>
        </w:numPr>
        <w:spacing w:line="360" w:lineRule="auto"/>
        <w:ind w:left="426"/>
        <w:jc w:val="both"/>
        <w:rPr>
          <w:rFonts w:cs="Times New Roman"/>
        </w:rPr>
      </w:pPr>
      <w:r>
        <w:rPr>
          <w:rFonts w:cs="Times New Roman"/>
        </w:rPr>
        <w:t xml:space="preserve"> плазмоцитома с минимальным поражением костного мозга;</w:t>
      </w:r>
    </w:p>
    <w:p w14:paraId="782349D7" w14:textId="77777777" w:rsidR="00EF54E3" w:rsidRDefault="00EF54E3" w:rsidP="00521D08">
      <w:pPr>
        <w:pStyle w:val="Normal1"/>
        <w:numPr>
          <w:ilvl w:val="0"/>
          <w:numId w:val="159"/>
        </w:numPr>
        <w:spacing w:line="360" w:lineRule="auto"/>
        <w:ind w:left="426"/>
        <w:jc w:val="both"/>
        <w:rPr>
          <w:rFonts w:cs="Times New Roman"/>
        </w:rPr>
      </w:pPr>
      <w:r>
        <w:rPr>
          <w:rFonts w:cs="Times New Roman"/>
        </w:rPr>
        <w:t xml:space="preserve"> плазмоклеточный лейкоз;</w:t>
      </w:r>
    </w:p>
    <w:p w14:paraId="7CD4BE5A" w14:textId="77777777" w:rsidR="00EF54E3" w:rsidRDefault="00EF54E3" w:rsidP="00521D08">
      <w:pPr>
        <w:pStyle w:val="Normal1"/>
        <w:numPr>
          <w:ilvl w:val="0"/>
          <w:numId w:val="159"/>
        </w:numPr>
        <w:spacing w:line="360" w:lineRule="auto"/>
        <w:ind w:left="426"/>
        <w:jc w:val="both"/>
        <w:rPr>
          <w:rFonts w:cs="Times New Roman"/>
        </w:rPr>
      </w:pPr>
      <w:r>
        <w:rPr>
          <w:rFonts w:cs="Times New Roman"/>
          <w:lang w:val="en-US"/>
        </w:rPr>
        <w:t>POEMS-</w:t>
      </w:r>
      <w:r>
        <w:rPr>
          <w:rFonts w:cs="Times New Roman"/>
        </w:rPr>
        <w:t>синдром;</w:t>
      </w:r>
    </w:p>
    <w:p w14:paraId="08978FA4" w14:textId="77777777" w:rsidR="00EF54E3" w:rsidRDefault="00EF54E3" w:rsidP="00521D08">
      <w:pPr>
        <w:pStyle w:val="Normal1"/>
        <w:numPr>
          <w:ilvl w:val="0"/>
          <w:numId w:val="159"/>
        </w:numPr>
        <w:spacing w:line="360" w:lineRule="auto"/>
        <w:ind w:left="426"/>
        <w:jc w:val="both"/>
        <w:rPr>
          <w:rFonts w:cs="Times New Roman"/>
        </w:rPr>
      </w:pPr>
      <w:r>
        <w:rPr>
          <w:rFonts w:cs="Times New Roman"/>
        </w:rPr>
        <w:t xml:space="preserve"> болезнь отложения легких цепей;</w:t>
      </w:r>
    </w:p>
    <w:p w14:paraId="396E2D51" w14:textId="77777777" w:rsidR="00EF54E3" w:rsidRDefault="00EF54E3" w:rsidP="00521D08">
      <w:pPr>
        <w:pStyle w:val="Normal1"/>
        <w:numPr>
          <w:ilvl w:val="0"/>
          <w:numId w:val="159"/>
        </w:numPr>
        <w:spacing w:line="360" w:lineRule="auto"/>
        <w:ind w:left="426"/>
        <w:jc w:val="both"/>
        <w:rPr>
          <w:rFonts w:cs="Times New Roman"/>
        </w:rPr>
      </w:pPr>
      <w:r>
        <w:rPr>
          <w:rFonts w:cs="Times New Roman"/>
        </w:rPr>
        <w:t xml:space="preserve"> </w:t>
      </w:r>
      <w:r>
        <w:rPr>
          <w:rFonts w:cs="Times New Roman"/>
          <w:lang w:val="en-US"/>
        </w:rPr>
        <w:t>AL</w:t>
      </w:r>
      <w:r w:rsidRPr="00E223B1">
        <w:rPr>
          <w:rFonts w:cs="Times New Roman"/>
        </w:rPr>
        <w:t>-</w:t>
      </w:r>
      <w:r>
        <w:rPr>
          <w:rFonts w:cs="Times New Roman"/>
        </w:rPr>
        <w:t xml:space="preserve">амилоидоз. </w:t>
      </w:r>
    </w:p>
    <w:p w14:paraId="52CD52BE" w14:textId="77777777" w:rsidR="00EF54E3" w:rsidRDefault="00EF54E3" w:rsidP="00EF54E3">
      <w:pPr>
        <w:pStyle w:val="Normal1"/>
        <w:spacing w:line="360" w:lineRule="auto"/>
        <w:ind w:left="0" w:firstLine="709"/>
        <w:jc w:val="both"/>
        <w:rPr>
          <w:rFonts w:cs="Times New Roman"/>
        </w:rPr>
      </w:pPr>
      <w:r>
        <w:rPr>
          <w:rFonts w:cs="Times New Roman"/>
        </w:rPr>
        <w:t>Корректная диагностика, базирующаяся на современных лабораторных и инструментальных методах исследований, позволяет провести дифференциальный диагноз и сформировать оптимальный протокол противоопухолевого лечения.</w:t>
      </w:r>
    </w:p>
    <w:p w14:paraId="29EC2674" w14:textId="77777777" w:rsidR="00EF54E3" w:rsidRDefault="00EF54E3" w:rsidP="00EF54E3">
      <w:pPr>
        <w:pStyle w:val="Normal1"/>
        <w:spacing w:line="360" w:lineRule="auto"/>
        <w:ind w:left="0" w:firstLine="709"/>
        <w:jc w:val="both"/>
        <w:rPr>
          <w:rFonts w:cs="Times New Roman"/>
        </w:rPr>
      </w:pPr>
      <w:r>
        <w:rPr>
          <w:rFonts w:cs="Times New Roman"/>
        </w:rPr>
        <w:t>В настоящем приложении приведен широкий перечень процедур и обследований, позволяющий уточнить диагноз симптоматическая ММ, определить группу риска, оценить соматический статус и выработать программу терапии с учетом индивидуальных особенностей пациента.</w:t>
      </w:r>
    </w:p>
    <w:p w14:paraId="638C0B67" w14:textId="57CF76CE" w:rsidR="00EF54E3" w:rsidRPr="000713B4" w:rsidRDefault="000713B4" w:rsidP="000713B4">
      <w:pPr>
        <w:pStyle w:val="af0"/>
        <w:spacing w:line="360" w:lineRule="auto"/>
        <w:rPr>
          <w:b/>
        </w:rPr>
      </w:pPr>
      <w:r>
        <w:rPr>
          <w:b/>
        </w:rPr>
        <w:lastRenderedPageBreak/>
        <w:t>3</w:t>
      </w:r>
      <w:r w:rsidR="00EF54E3" w:rsidRPr="000713B4">
        <w:rPr>
          <w:b/>
        </w:rPr>
        <w:t>.1 Лабораторные и инструментальные методы исследования на этапе диагностики симптоматической множественной миеломы</w:t>
      </w:r>
    </w:p>
    <w:p w14:paraId="0E9E5167" w14:textId="77777777" w:rsidR="00EF54E3" w:rsidRPr="006A495D" w:rsidRDefault="00EF54E3" w:rsidP="00727CDE">
      <w:pPr>
        <w:pStyle w:val="Numlist"/>
        <w:numPr>
          <w:ilvl w:val="0"/>
          <w:numId w:val="63"/>
        </w:numPr>
        <w:tabs>
          <w:tab w:val="left" w:pos="284"/>
        </w:tabs>
        <w:spacing w:before="240" w:line="360" w:lineRule="auto"/>
        <w:ind w:left="0" w:firstLine="284"/>
        <w:jc w:val="both"/>
      </w:pPr>
      <w:r>
        <w:t>Развернутый анализ крови.</w:t>
      </w:r>
    </w:p>
    <w:p w14:paraId="6AA58DDE" w14:textId="721175B2" w:rsidR="00EF54E3" w:rsidRPr="004C0C25" w:rsidRDefault="00EF54E3" w:rsidP="00727CDE">
      <w:pPr>
        <w:pStyle w:val="Numlist"/>
        <w:numPr>
          <w:ilvl w:val="0"/>
          <w:numId w:val="63"/>
        </w:numPr>
        <w:tabs>
          <w:tab w:val="left" w:pos="284"/>
        </w:tabs>
        <w:spacing w:line="360" w:lineRule="auto"/>
        <w:ind w:left="0" w:firstLine="284"/>
        <w:jc w:val="both"/>
      </w:pPr>
      <w:r w:rsidRPr="006A495D">
        <w:t xml:space="preserve">Биохимический анализ крови с обязательным определением: </w:t>
      </w:r>
      <w:r>
        <w:t xml:space="preserve">уровней </w:t>
      </w:r>
      <w:r w:rsidRPr="006A495D">
        <w:t xml:space="preserve">общего белка, альбумина, креатинина, мочевой кислоты, калия, кальция, </w:t>
      </w:r>
      <w:r>
        <w:t xml:space="preserve">активности </w:t>
      </w:r>
      <w:r w:rsidRPr="006A495D">
        <w:t>ЛДГ</w:t>
      </w:r>
      <w:r w:rsidR="001631F8">
        <w:t xml:space="preserve">, </w:t>
      </w:r>
      <w:r w:rsidR="001631F8" w:rsidRPr="004C0C25">
        <w:t>АЛТ, АСТ</w:t>
      </w:r>
      <w:r w:rsidRPr="004C0C25">
        <w:t>.</w:t>
      </w:r>
    </w:p>
    <w:p w14:paraId="6C40795A" w14:textId="77777777" w:rsidR="00EF54E3" w:rsidRDefault="00EF54E3" w:rsidP="00727CDE">
      <w:pPr>
        <w:pStyle w:val="Numlist"/>
        <w:numPr>
          <w:ilvl w:val="0"/>
          <w:numId w:val="63"/>
        </w:numPr>
        <w:tabs>
          <w:tab w:val="left" w:pos="284"/>
        </w:tabs>
        <w:spacing w:line="360" w:lineRule="auto"/>
        <w:ind w:left="0" w:firstLine="284"/>
        <w:jc w:val="both"/>
      </w:pPr>
      <w:r>
        <w:t>Общий анализ мочи.</w:t>
      </w:r>
    </w:p>
    <w:p w14:paraId="007C6DA2" w14:textId="77777777" w:rsidR="00EF54E3" w:rsidRDefault="00EF54E3" w:rsidP="00727CDE">
      <w:pPr>
        <w:pStyle w:val="Numlist"/>
        <w:numPr>
          <w:ilvl w:val="0"/>
          <w:numId w:val="63"/>
        </w:numPr>
        <w:tabs>
          <w:tab w:val="left" w:pos="284"/>
        </w:tabs>
        <w:spacing w:line="360" w:lineRule="auto"/>
        <w:ind w:left="0" w:firstLine="284"/>
        <w:jc w:val="both"/>
      </w:pPr>
      <w:r w:rsidRPr="00100A57">
        <w:t>Определение количества белка в суточной моче</w:t>
      </w:r>
      <w:r>
        <w:t>.</w:t>
      </w:r>
    </w:p>
    <w:p w14:paraId="40867D99" w14:textId="77777777" w:rsidR="00EF54E3" w:rsidRDefault="00EF54E3" w:rsidP="00727CDE">
      <w:pPr>
        <w:pStyle w:val="Numlist"/>
        <w:numPr>
          <w:ilvl w:val="0"/>
          <w:numId w:val="63"/>
        </w:numPr>
        <w:tabs>
          <w:tab w:val="left" w:pos="284"/>
        </w:tabs>
        <w:spacing w:line="360" w:lineRule="auto"/>
        <w:ind w:left="0" w:firstLine="284"/>
        <w:jc w:val="both"/>
      </w:pPr>
      <w:r>
        <w:t>Определение скорости клубочковой фильтрации.</w:t>
      </w:r>
    </w:p>
    <w:p w14:paraId="028D34B2" w14:textId="77777777" w:rsidR="00EF54E3" w:rsidRDefault="00EF54E3" w:rsidP="00727CDE">
      <w:pPr>
        <w:pStyle w:val="Numlist"/>
        <w:numPr>
          <w:ilvl w:val="0"/>
          <w:numId w:val="63"/>
        </w:numPr>
        <w:tabs>
          <w:tab w:val="left" w:pos="284"/>
        </w:tabs>
        <w:spacing w:line="360" w:lineRule="auto"/>
        <w:ind w:left="0" w:firstLine="284"/>
        <w:jc w:val="both"/>
      </w:pPr>
      <w:r>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7E2B54FF" w14:textId="77777777" w:rsidR="00EF54E3" w:rsidRDefault="00EF54E3" w:rsidP="00727CDE">
      <w:pPr>
        <w:pStyle w:val="Numlist"/>
        <w:numPr>
          <w:ilvl w:val="0"/>
          <w:numId w:val="63"/>
        </w:numPr>
        <w:tabs>
          <w:tab w:val="left" w:pos="284"/>
        </w:tabs>
        <w:spacing w:line="360" w:lineRule="auto"/>
        <w:ind w:left="0" w:firstLine="284"/>
        <w:jc w:val="both"/>
      </w:pPr>
      <w:r w:rsidRPr="00100A57">
        <w:t>Исследование уровня бета-2-микроглобулина в крови</w:t>
      </w:r>
      <w:r>
        <w:t>.</w:t>
      </w:r>
    </w:p>
    <w:p w14:paraId="5F68ADA7" w14:textId="77777777" w:rsidR="00EF54E3" w:rsidRPr="006A495D" w:rsidRDefault="00EF54E3" w:rsidP="00727CDE">
      <w:pPr>
        <w:pStyle w:val="Numlist"/>
        <w:numPr>
          <w:ilvl w:val="0"/>
          <w:numId w:val="63"/>
        </w:numPr>
        <w:tabs>
          <w:tab w:val="left" w:pos="284"/>
        </w:tabs>
        <w:spacing w:line="360" w:lineRule="auto"/>
        <w:ind w:left="0" w:firstLine="284"/>
        <w:jc w:val="both"/>
      </w:pPr>
      <w:r>
        <w:t>Комплексное и</w:t>
      </w:r>
      <w:r w:rsidRPr="006A495D">
        <w:t>ммунохимическое исследование сыворотки и мочи</w:t>
      </w:r>
      <w:r>
        <w:t xml:space="preserve">, включающее </w:t>
      </w:r>
    </w:p>
    <w:p w14:paraId="4DDAC98B" w14:textId="19695881" w:rsidR="00EF54E3" w:rsidRPr="006A495D" w:rsidRDefault="00EF54E3" w:rsidP="00EF54E3">
      <w:pPr>
        <w:pStyle w:val="Numlist"/>
        <w:tabs>
          <w:tab w:val="left" w:pos="284"/>
        </w:tabs>
        <w:spacing w:line="360" w:lineRule="auto"/>
        <w:ind w:firstLine="284"/>
        <w:jc w:val="both"/>
      </w:pPr>
      <w:r w:rsidRPr="006A495D">
        <w:t>- электрофорез и иммунофи</w:t>
      </w:r>
      <w:r>
        <w:t>ксаци</w:t>
      </w:r>
      <w:r w:rsidR="001631F8" w:rsidRPr="004C0C25">
        <w:t>ю</w:t>
      </w:r>
      <w:r>
        <w:t xml:space="preserve"> белков сыворотки и мочи с определением белка Бенс-Джонса;</w:t>
      </w:r>
    </w:p>
    <w:p w14:paraId="5D72A639" w14:textId="797517F0" w:rsidR="00EF54E3" w:rsidRPr="006A495D" w:rsidRDefault="00EF54E3" w:rsidP="00EF54E3">
      <w:pPr>
        <w:pStyle w:val="Numlist"/>
        <w:tabs>
          <w:tab w:val="left" w:pos="284"/>
        </w:tabs>
        <w:spacing w:line="360" w:lineRule="auto"/>
        <w:ind w:firstLine="284"/>
        <w:jc w:val="both"/>
      </w:pPr>
      <w:r w:rsidRPr="006A495D">
        <w:t>- определение уровня п</w:t>
      </w:r>
      <w:r>
        <w:t>оликлональных иммуноглобулинов (</w:t>
      </w:r>
      <w:r>
        <w:rPr>
          <w:lang w:val="en-US"/>
        </w:rPr>
        <w:t>A</w:t>
      </w:r>
      <w:r w:rsidRPr="00027FD8">
        <w:t xml:space="preserve">, </w:t>
      </w:r>
      <w:r>
        <w:rPr>
          <w:lang w:val="en-US"/>
        </w:rPr>
        <w:t>G</w:t>
      </w:r>
      <w:r w:rsidRPr="00027FD8">
        <w:t>,</w:t>
      </w:r>
      <w:r w:rsidR="001631F8">
        <w:t xml:space="preserve"> </w:t>
      </w:r>
      <w:r>
        <w:rPr>
          <w:lang w:val="en-US"/>
        </w:rPr>
        <w:t>M</w:t>
      </w:r>
      <w:r w:rsidRPr="00027FD8">
        <w:t>)</w:t>
      </w:r>
      <w:r>
        <w:t>;</w:t>
      </w:r>
    </w:p>
    <w:p w14:paraId="125FB28D" w14:textId="77777777" w:rsidR="00EF54E3" w:rsidRPr="006A495D" w:rsidRDefault="00EF54E3" w:rsidP="00EF54E3">
      <w:pPr>
        <w:pStyle w:val="Numlist"/>
        <w:tabs>
          <w:tab w:val="left" w:pos="284"/>
        </w:tabs>
        <w:spacing w:line="360" w:lineRule="auto"/>
        <w:ind w:firstLine="284"/>
        <w:jc w:val="both"/>
      </w:pPr>
      <w:r w:rsidRPr="006A495D">
        <w:t xml:space="preserve">- определение свободных легких цепей </w:t>
      </w:r>
      <w:r>
        <w:t>и их соотношения при «неизмеряемом» заболевании.</w:t>
      </w:r>
    </w:p>
    <w:p w14:paraId="7C517687" w14:textId="77777777" w:rsidR="00EF54E3" w:rsidRPr="006A495D" w:rsidRDefault="00EF54E3" w:rsidP="00727CDE">
      <w:pPr>
        <w:pStyle w:val="Numlist"/>
        <w:numPr>
          <w:ilvl w:val="0"/>
          <w:numId w:val="63"/>
        </w:numPr>
        <w:tabs>
          <w:tab w:val="left" w:pos="284"/>
        </w:tabs>
        <w:spacing w:line="360" w:lineRule="auto"/>
        <w:ind w:left="0" w:firstLine="284"/>
        <w:jc w:val="both"/>
      </w:pPr>
      <w:r w:rsidRPr="006A495D">
        <w:t xml:space="preserve">Пункция костного мозга </w:t>
      </w:r>
      <w:r>
        <w:t xml:space="preserve">с </w:t>
      </w:r>
      <w:r w:rsidRPr="006A495D">
        <w:t>подсчет</w:t>
      </w:r>
      <w:r>
        <w:t>ом миелограммы</w:t>
      </w:r>
      <w:r w:rsidRPr="006A495D">
        <w:t>.</w:t>
      </w:r>
    </w:p>
    <w:p w14:paraId="5C3D18CB" w14:textId="77777777" w:rsidR="00EF54E3" w:rsidRPr="006A495D" w:rsidRDefault="00EF54E3" w:rsidP="00727CDE">
      <w:pPr>
        <w:pStyle w:val="Numlist"/>
        <w:numPr>
          <w:ilvl w:val="0"/>
          <w:numId w:val="63"/>
        </w:numPr>
        <w:tabs>
          <w:tab w:val="left" w:pos="284"/>
        </w:tabs>
        <w:spacing w:line="360" w:lineRule="auto"/>
        <w:ind w:left="0" w:firstLine="284"/>
        <w:jc w:val="both"/>
      </w:pPr>
      <w:r w:rsidRPr="006A495D">
        <w:t xml:space="preserve">Иммунофенотипическое исследование костного мозга методом проточной цитометрии </w:t>
      </w:r>
      <w:r>
        <w:t>при дифференциальной диагностике симптоматичекой множественной миеломы и плазмоцитомы с минимальным поражением костного мозга или солитарной плазмоцитомы.</w:t>
      </w:r>
    </w:p>
    <w:p w14:paraId="2EED1869" w14:textId="2D2164A4" w:rsidR="00EF54E3" w:rsidRDefault="004C0C25" w:rsidP="00727CDE">
      <w:pPr>
        <w:pStyle w:val="Numlist"/>
        <w:numPr>
          <w:ilvl w:val="0"/>
          <w:numId w:val="63"/>
        </w:numPr>
        <w:tabs>
          <w:tab w:val="left" w:pos="284"/>
        </w:tabs>
        <w:spacing w:line="360" w:lineRule="auto"/>
        <w:ind w:left="0" w:firstLine="284"/>
        <w:jc w:val="both"/>
      </w:pPr>
      <w:r>
        <w:t xml:space="preserve">Гистологическое </w:t>
      </w:r>
      <w:r w:rsidR="00EF54E3" w:rsidRPr="00100A57">
        <w:t xml:space="preserve">исследование биопсийного (операционного) материала </w:t>
      </w:r>
      <w:r w:rsidR="00EF54E3">
        <w:t xml:space="preserve">плазмоцитомы и/или </w:t>
      </w:r>
      <w:r w:rsidR="00EF54E3" w:rsidRPr="00100A57">
        <w:t>костного мозга</w:t>
      </w:r>
      <w:r w:rsidR="00EF54E3">
        <w:t>.</w:t>
      </w:r>
    </w:p>
    <w:p w14:paraId="58CE46DD" w14:textId="0A793B06" w:rsidR="00EF54E3" w:rsidRDefault="004C0C25" w:rsidP="00727CDE">
      <w:pPr>
        <w:pStyle w:val="Numlist"/>
        <w:numPr>
          <w:ilvl w:val="0"/>
          <w:numId w:val="63"/>
        </w:numPr>
        <w:tabs>
          <w:tab w:val="left" w:pos="284"/>
        </w:tabs>
        <w:spacing w:line="360" w:lineRule="auto"/>
        <w:ind w:left="0" w:firstLine="284"/>
        <w:jc w:val="both"/>
      </w:pPr>
      <w:r>
        <w:t>Гистологическое</w:t>
      </w:r>
      <w:r w:rsidR="006D1871">
        <w:t xml:space="preserve"> </w:t>
      </w:r>
      <w:r w:rsidR="00EF54E3" w:rsidRPr="00100A57">
        <w:t xml:space="preserve">исследование биопсийного (операционного) материала </w:t>
      </w:r>
      <w:r w:rsidR="00EF54E3">
        <w:t xml:space="preserve">плазмоцитомы и/или </w:t>
      </w:r>
      <w:r w:rsidR="00EF54E3" w:rsidRPr="00100A57">
        <w:t>костного мозга с применением иммуногистохимических методов</w:t>
      </w:r>
      <w:r w:rsidR="00EF54E3">
        <w:t>.</w:t>
      </w:r>
    </w:p>
    <w:p w14:paraId="7C817A80" w14:textId="77777777" w:rsidR="00EF54E3" w:rsidRDefault="00EF54E3" w:rsidP="00727CDE">
      <w:pPr>
        <w:pStyle w:val="Numlist"/>
        <w:numPr>
          <w:ilvl w:val="0"/>
          <w:numId w:val="63"/>
        </w:numPr>
        <w:tabs>
          <w:tab w:val="left" w:pos="284"/>
        </w:tabs>
        <w:spacing w:line="360" w:lineRule="auto"/>
        <w:ind w:left="0" w:firstLine="284"/>
        <w:jc w:val="both"/>
      </w:pPr>
      <w:r>
        <w:t>Определение группы крови (</w:t>
      </w:r>
      <w:r w:rsidRPr="00100A57">
        <w:rPr>
          <w:lang w:val="en-US"/>
        </w:rPr>
        <w:t>ABO</w:t>
      </w:r>
      <w:r w:rsidRPr="00100A57">
        <w:t xml:space="preserve">, </w:t>
      </w:r>
      <w:r>
        <w:t xml:space="preserve">Резус, </w:t>
      </w:r>
      <w:r w:rsidRPr="00100A57">
        <w:t>фенотип по</w:t>
      </w:r>
      <w:r>
        <w:t xml:space="preserve"> антигенам C, c, E, e, Cw, K, k, а также </w:t>
      </w:r>
      <w:r w:rsidRPr="00100A57">
        <w:t>определение антиэритроцитарных антител</w:t>
      </w:r>
      <w:r>
        <w:t xml:space="preserve"> при необходимости).</w:t>
      </w:r>
    </w:p>
    <w:p w14:paraId="0E458820" w14:textId="77777777" w:rsidR="00EF54E3" w:rsidRDefault="00EF54E3" w:rsidP="00727CDE">
      <w:pPr>
        <w:pStyle w:val="Numlist"/>
        <w:numPr>
          <w:ilvl w:val="0"/>
          <w:numId w:val="63"/>
        </w:numPr>
        <w:tabs>
          <w:tab w:val="left" w:pos="284"/>
        </w:tabs>
        <w:spacing w:line="360" w:lineRule="auto"/>
        <w:ind w:left="0" w:firstLine="284"/>
        <w:jc w:val="both"/>
      </w:pPr>
      <w:r>
        <w:t>Стандартное цитогенетическое исследование (кариотипирование).</w:t>
      </w:r>
    </w:p>
    <w:p w14:paraId="1C83DE43" w14:textId="77777777" w:rsidR="00EF54E3" w:rsidRDefault="00EF54E3" w:rsidP="00727CDE">
      <w:pPr>
        <w:pStyle w:val="Numlist"/>
        <w:numPr>
          <w:ilvl w:val="0"/>
          <w:numId w:val="63"/>
        </w:numPr>
        <w:tabs>
          <w:tab w:val="left" w:pos="284"/>
        </w:tabs>
        <w:spacing w:line="360" w:lineRule="auto"/>
        <w:ind w:left="0" w:firstLine="284"/>
        <w:jc w:val="both"/>
      </w:pPr>
      <w:r w:rsidRPr="00100A57">
        <w:lastRenderedPageBreak/>
        <w:t>Молекулярно-цитогенетическое исследование (FISH-метод)</w:t>
      </w:r>
      <w:r>
        <w:t xml:space="preserve"> для выявления наиболее прогностически важных цитогенетических аномалий</w:t>
      </w:r>
      <w:r w:rsidRPr="005A330B">
        <w:t xml:space="preserve">: </w:t>
      </w:r>
      <w:r w:rsidRPr="005A330B">
        <w:rPr>
          <w:lang w:val="en-US"/>
        </w:rPr>
        <w:t>t</w:t>
      </w:r>
      <w:r w:rsidRPr="005A330B">
        <w:t xml:space="preserve">(4;14), </w:t>
      </w:r>
      <w:r w:rsidRPr="005A330B">
        <w:rPr>
          <w:lang w:val="en-US"/>
        </w:rPr>
        <w:t>t</w:t>
      </w:r>
      <w:r w:rsidRPr="005A330B">
        <w:t xml:space="preserve">(14;16), </w:t>
      </w:r>
      <w:r w:rsidRPr="005A330B">
        <w:rPr>
          <w:lang w:val="en-US"/>
        </w:rPr>
        <w:t>t</w:t>
      </w:r>
      <w:r w:rsidRPr="005A330B">
        <w:t xml:space="preserve">(6;14), </w:t>
      </w:r>
      <w:r w:rsidRPr="005A330B">
        <w:rPr>
          <w:lang w:val="en-US"/>
        </w:rPr>
        <w:t>del</w:t>
      </w:r>
      <w:r w:rsidRPr="005A330B">
        <w:t xml:space="preserve"> 17</w:t>
      </w:r>
      <w:r w:rsidRPr="005A330B">
        <w:rPr>
          <w:lang w:val="en-US"/>
        </w:rPr>
        <w:t>p</w:t>
      </w:r>
      <w:r w:rsidRPr="005A330B">
        <w:t xml:space="preserve">13, </w:t>
      </w:r>
      <w:r w:rsidRPr="005A330B">
        <w:rPr>
          <w:lang w:val="en-US"/>
        </w:rPr>
        <w:t>t</w:t>
      </w:r>
      <w:r w:rsidRPr="005A330B">
        <w:t xml:space="preserve">(11;14), </w:t>
      </w:r>
      <w:r w:rsidRPr="005A330B">
        <w:rPr>
          <w:lang w:val="en-US"/>
        </w:rPr>
        <w:t>del</w:t>
      </w:r>
      <w:r w:rsidRPr="005A330B">
        <w:t>13,</w:t>
      </w:r>
      <w:r>
        <w:t xml:space="preserve"> плоидности и изменений хромосомы 1.</w:t>
      </w:r>
    </w:p>
    <w:p w14:paraId="09F27162" w14:textId="77777777" w:rsidR="00EF54E3" w:rsidRPr="006A495D" w:rsidRDefault="00EF54E3" w:rsidP="00727CDE">
      <w:pPr>
        <w:pStyle w:val="Numlist"/>
        <w:numPr>
          <w:ilvl w:val="0"/>
          <w:numId w:val="63"/>
        </w:numPr>
        <w:tabs>
          <w:tab w:val="left" w:pos="284"/>
        </w:tabs>
        <w:spacing w:line="360" w:lineRule="auto"/>
        <w:ind w:left="0" w:firstLine="284"/>
        <w:jc w:val="both"/>
      </w:pPr>
      <w:r>
        <w:t>Исследование на м</w:t>
      </w:r>
      <w:r w:rsidRPr="006A495D">
        <w:t>аркеры вирусов гепатит</w:t>
      </w:r>
      <w:r>
        <w:t>ов</w:t>
      </w:r>
      <w:r>
        <w:rPr>
          <w:lang w:val="en-US"/>
        </w:rPr>
        <w:t> B</w:t>
      </w:r>
      <w:r w:rsidRPr="006A495D">
        <w:t xml:space="preserve"> и </w:t>
      </w:r>
      <w:r>
        <w:rPr>
          <w:lang w:val="en-US"/>
        </w:rPr>
        <w:t>C</w:t>
      </w:r>
      <w:r w:rsidRPr="006A495D">
        <w:t xml:space="preserve">, </w:t>
      </w:r>
      <w:r>
        <w:t>ВИЧ.</w:t>
      </w:r>
    </w:p>
    <w:p w14:paraId="34F46331" w14:textId="77777777" w:rsidR="00EF54E3" w:rsidRDefault="00EF54E3" w:rsidP="00727CDE">
      <w:pPr>
        <w:pStyle w:val="Numlist"/>
        <w:numPr>
          <w:ilvl w:val="0"/>
          <w:numId w:val="63"/>
        </w:numPr>
        <w:tabs>
          <w:tab w:val="left" w:pos="284"/>
        </w:tabs>
        <w:spacing w:line="360" w:lineRule="auto"/>
        <w:ind w:left="0" w:firstLine="284"/>
        <w:jc w:val="both"/>
      </w:pPr>
      <w:r>
        <w:t>Низкодозная компьютерная томография костей скелета – предпочтительный метод визуализации.</w:t>
      </w:r>
    </w:p>
    <w:p w14:paraId="1E8E172F" w14:textId="77777777" w:rsidR="00EF54E3" w:rsidRDefault="00EF54E3" w:rsidP="00727CDE">
      <w:pPr>
        <w:pStyle w:val="Numlist"/>
        <w:numPr>
          <w:ilvl w:val="0"/>
          <w:numId w:val="63"/>
        </w:numPr>
        <w:tabs>
          <w:tab w:val="left" w:pos="284"/>
        </w:tabs>
        <w:spacing w:line="360" w:lineRule="auto"/>
        <w:ind w:left="0" w:firstLine="284"/>
        <w:jc w:val="both"/>
      </w:pPr>
      <w:r>
        <w:t>КТ костей позвоночника, таза, грудной полости (при отсутствии возможности выполнения низкодозной КТ костей скелета).</w:t>
      </w:r>
    </w:p>
    <w:p w14:paraId="4C1C2B62" w14:textId="77777777" w:rsidR="00EF54E3" w:rsidRDefault="00EF54E3" w:rsidP="00727CDE">
      <w:pPr>
        <w:pStyle w:val="Numlist"/>
        <w:numPr>
          <w:ilvl w:val="0"/>
          <w:numId w:val="63"/>
        </w:numPr>
        <w:tabs>
          <w:tab w:val="left" w:pos="284"/>
        </w:tabs>
        <w:spacing w:line="360" w:lineRule="auto"/>
        <w:ind w:left="0" w:firstLine="284"/>
        <w:jc w:val="both"/>
      </w:pPr>
      <w:r>
        <w:t>Позитронно-эмиссионная томография, совмещенная с КТ (</w:t>
      </w:r>
      <w:r w:rsidRPr="00433BA2">
        <w:t>при отсутствии возможности выполнения низкодозной КТ костей скелета</w:t>
      </w:r>
      <w:r>
        <w:t xml:space="preserve"> и КТ в стандартном режиме).</w:t>
      </w:r>
    </w:p>
    <w:p w14:paraId="6FB9291D" w14:textId="77777777" w:rsidR="00EF54E3" w:rsidRDefault="00EF54E3" w:rsidP="00727CDE">
      <w:pPr>
        <w:pStyle w:val="Numlist"/>
        <w:numPr>
          <w:ilvl w:val="0"/>
          <w:numId w:val="63"/>
        </w:numPr>
        <w:tabs>
          <w:tab w:val="left" w:pos="284"/>
        </w:tabs>
        <w:spacing w:line="360" w:lineRule="auto"/>
        <w:ind w:left="0" w:firstLine="284"/>
        <w:jc w:val="both"/>
      </w:pPr>
      <w:r>
        <w:t>Рентгенография костей скелета (при отсутствии возможности выполнения низкодозной КТ костей скелета, КТ в стандартном режиме или ПЭТ/КТ).</w:t>
      </w:r>
    </w:p>
    <w:p w14:paraId="2D6B278F" w14:textId="77777777" w:rsidR="00EF54E3" w:rsidRPr="006A495D" w:rsidRDefault="00EF54E3" w:rsidP="00727CDE">
      <w:pPr>
        <w:pStyle w:val="Numlist"/>
        <w:numPr>
          <w:ilvl w:val="0"/>
          <w:numId w:val="63"/>
        </w:numPr>
        <w:tabs>
          <w:tab w:val="left" w:pos="284"/>
        </w:tabs>
        <w:spacing w:line="360" w:lineRule="auto"/>
        <w:ind w:left="0" w:firstLine="284"/>
        <w:jc w:val="both"/>
      </w:pPr>
      <w:r>
        <w:t xml:space="preserve">Магнитно-резонансная томография </w:t>
      </w:r>
      <w:r w:rsidRPr="006A495D">
        <w:t>всего тела</w:t>
      </w:r>
      <w:r>
        <w:t xml:space="preserve"> в случае дифференциальной диагностики симптоматической ММ и МГНЗ.</w:t>
      </w:r>
    </w:p>
    <w:p w14:paraId="02D973B1" w14:textId="77777777" w:rsidR="00EF54E3" w:rsidRDefault="00EF54E3" w:rsidP="00727CDE">
      <w:pPr>
        <w:pStyle w:val="Numlist"/>
        <w:numPr>
          <w:ilvl w:val="0"/>
          <w:numId w:val="63"/>
        </w:numPr>
        <w:tabs>
          <w:tab w:val="left" w:pos="284"/>
        </w:tabs>
        <w:spacing w:line="360" w:lineRule="auto"/>
        <w:ind w:left="0" w:firstLine="284"/>
        <w:jc w:val="both"/>
      </w:pPr>
      <w:r>
        <w:t>Магнитно-резонансная томография области мягкотканного компонента для оценки исходных размеров.</w:t>
      </w:r>
    </w:p>
    <w:p w14:paraId="6B37FF80" w14:textId="77777777" w:rsidR="00EF54E3" w:rsidRPr="006A495D" w:rsidRDefault="00EF54E3" w:rsidP="00727CDE">
      <w:pPr>
        <w:pStyle w:val="Numlist"/>
        <w:numPr>
          <w:ilvl w:val="0"/>
          <w:numId w:val="63"/>
        </w:numPr>
        <w:tabs>
          <w:tab w:val="left" w:pos="284"/>
        </w:tabs>
        <w:spacing w:line="360" w:lineRule="auto"/>
        <w:ind w:left="0" w:firstLine="284"/>
        <w:jc w:val="both"/>
      </w:pPr>
      <w:r>
        <w:t>Электрокардиограмма (ЭКГ).</w:t>
      </w:r>
    </w:p>
    <w:p w14:paraId="5E51C62A" w14:textId="77777777" w:rsidR="00EF54E3" w:rsidRDefault="00EF54E3" w:rsidP="00727CDE">
      <w:pPr>
        <w:pStyle w:val="Numlist"/>
        <w:numPr>
          <w:ilvl w:val="0"/>
          <w:numId w:val="63"/>
        </w:numPr>
        <w:tabs>
          <w:tab w:val="left" w:pos="284"/>
        </w:tabs>
        <w:spacing w:line="360" w:lineRule="auto"/>
        <w:ind w:left="0" w:firstLine="284"/>
        <w:jc w:val="both"/>
      </w:pPr>
      <w:r w:rsidRPr="005A330B">
        <w:t>Эхокардиография</w:t>
      </w:r>
      <w:r>
        <w:t>.</w:t>
      </w:r>
    </w:p>
    <w:p w14:paraId="022C22FC" w14:textId="77777777" w:rsidR="00EF54E3" w:rsidRDefault="00EF54E3" w:rsidP="00727CDE">
      <w:pPr>
        <w:pStyle w:val="Numlist"/>
        <w:numPr>
          <w:ilvl w:val="0"/>
          <w:numId w:val="63"/>
        </w:numPr>
        <w:tabs>
          <w:tab w:val="left" w:pos="284"/>
        </w:tabs>
        <w:spacing w:line="360" w:lineRule="auto"/>
        <w:ind w:left="0" w:firstLine="284"/>
        <w:jc w:val="both"/>
      </w:pPr>
      <w:r>
        <w:t>УЗИ брюшной полости (комплексное).</w:t>
      </w:r>
    </w:p>
    <w:p w14:paraId="7246DC56" w14:textId="147F3310" w:rsidR="00EF54E3" w:rsidRPr="004C0C25" w:rsidRDefault="00EF54E3" w:rsidP="00727CDE">
      <w:pPr>
        <w:pStyle w:val="Numlist"/>
        <w:numPr>
          <w:ilvl w:val="0"/>
          <w:numId w:val="63"/>
        </w:numPr>
        <w:tabs>
          <w:tab w:val="left" w:pos="284"/>
        </w:tabs>
        <w:spacing w:line="360" w:lineRule="auto"/>
        <w:ind w:left="0" w:firstLine="284"/>
        <w:jc w:val="both"/>
      </w:pPr>
      <w:r w:rsidRPr="004C0C25">
        <w:t>Ультразвуковая допплерография сосудов (артерий и вен) нижних конечностей (при необходимости).</w:t>
      </w:r>
    </w:p>
    <w:p w14:paraId="237FB154" w14:textId="5394F4C6" w:rsidR="00EF54E3" w:rsidRPr="004C0C25" w:rsidRDefault="00EF54E3" w:rsidP="00727CDE">
      <w:pPr>
        <w:pStyle w:val="Numlist"/>
        <w:numPr>
          <w:ilvl w:val="0"/>
          <w:numId w:val="63"/>
        </w:numPr>
        <w:tabs>
          <w:tab w:val="left" w:pos="284"/>
        </w:tabs>
        <w:spacing w:line="360" w:lineRule="auto"/>
        <w:ind w:left="0" w:firstLine="284"/>
        <w:jc w:val="both"/>
      </w:pPr>
      <w:r w:rsidRPr="004C0C25">
        <w:t>Эзофагогастродуоденоскопия с биопсией (при необходимости).</w:t>
      </w:r>
    </w:p>
    <w:p w14:paraId="74C2A513" w14:textId="463F693C" w:rsidR="00EF54E3" w:rsidRPr="004C0C25" w:rsidRDefault="00EF54E3" w:rsidP="00727CDE">
      <w:pPr>
        <w:pStyle w:val="Numlist"/>
        <w:numPr>
          <w:ilvl w:val="0"/>
          <w:numId w:val="63"/>
        </w:numPr>
        <w:tabs>
          <w:tab w:val="left" w:pos="284"/>
        </w:tabs>
        <w:spacing w:line="360" w:lineRule="auto"/>
        <w:ind w:left="0" w:firstLine="284"/>
        <w:jc w:val="both"/>
      </w:pPr>
      <w:r w:rsidRPr="004C0C25">
        <w:t>МРТ головного мозга</w:t>
      </w:r>
      <w:r w:rsidR="005F555B" w:rsidRPr="004C0C25">
        <w:t xml:space="preserve"> (при необходимости)</w:t>
      </w:r>
      <w:r w:rsidRPr="004C0C25">
        <w:t>.</w:t>
      </w:r>
    </w:p>
    <w:p w14:paraId="6A43C7A1" w14:textId="77777777" w:rsidR="00EF54E3" w:rsidRPr="006A495D" w:rsidRDefault="00EF54E3" w:rsidP="00727CDE">
      <w:pPr>
        <w:pStyle w:val="Numlist"/>
        <w:numPr>
          <w:ilvl w:val="0"/>
          <w:numId w:val="63"/>
        </w:numPr>
        <w:tabs>
          <w:tab w:val="left" w:pos="284"/>
        </w:tabs>
        <w:spacing w:line="360" w:lineRule="auto"/>
        <w:ind w:left="0" w:firstLine="284"/>
        <w:jc w:val="both"/>
      </w:pPr>
      <w:r>
        <w:t>Люмбальная пункция с последующим цитологическим, комплексным иммунохимическим и иммунофенотипическим исследованием ликвора при подозрении на вовлечение в патологический процесс центральной нервной системы.</w:t>
      </w:r>
    </w:p>
    <w:p w14:paraId="454E63C0" w14:textId="1CFB60CA" w:rsidR="00EF54E3" w:rsidRPr="000713B4" w:rsidRDefault="000713B4" w:rsidP="000713B4">
      <w:pPr>
        <w:pStyle w:val="af0"/>
        <w:spacing w:line="360" w:lineRule="auto"/>
        <w:rPr>
          <w:b/>
        </w:rPr>
      </w:pPr>
      <w:r>
        <w:rPr>
          <w:b/>
        </w:rPr>
        <w:t>3</w:t>
      </w:r>
      <w:r w:rsidR="00EF54E3" w:rsidRPr="000713B4">
        <w:rPr>
          <w:b/>
        </w:rPr>
        <w:t>.2 Лабораторные и инструментальные методы исследования на этапе противоопухолевой терапии симптоматической множественной миеломы</w:t>
      </w:r>
    </w:p>
    <w:p w14:paraId="6B5584AE" w14:textId="77777777" w:rsidR="00EF54E3" w:rsidRPr="006A495D" w:rsidRDefault="00EF54E3" w:rsidP="00727CDE">
      <w:pPr>
        <w:pStyle w:val="Numlist"/>
        <w:numPr>
          <w:ilvl w:val="0"/>
          <w:numId w:val="64"/>
        </w:numPr>
        <w:tabs>
          <w:tab w:val="left" w:pos="284"/>
        </w:tabs>
        <w:spacing w:before="240" w:line="360" w:lineRule="auto"/>
        <w:ind w:left="0" w:firstLine="284"/>
        <w:jc w:val="both"/>
      </w:pPr>
      <w:r>
        <w:t>Развернутый анализ крови.</w:t>
      </w:r>
    </w:p>
    <w:p w14:paraId="4ACFEF70" w14:textId="77777777" w:rsidR="00EF54E3" w:rsidRPr="006A495D" w:rsidRDefault="00EF54E3" w:rsidP="00727CDE">
      <w:pPr>
        <w:pStyle w:val="Numlist"/>
        <w:numPr>
          <w:ilvl w:val="0"/>
          <w:numId w:val="64"/>
        </w:numPr>
        <w:tabs>
          <w:tab w:val="left" w:pos="284"/>
        </w:tabs>
        <w:spacing w:line="360" w:lineRule="auto"/>
        <w:ind w:left="0" w:firstLine="284"/>
        <w:jc w:val="both"/>
      </w:pPr>
      <w:r w:rsidRPr="006A495D">
        <w:t xml:space="preserve">Биохимический анализ крови с обязательным определением: </w:t>
      </w:r>
      <w:r>
        <w:t xml:space="preserve">уровней </w:t>
      </w:r>
      <w:r w:rsidRPr="006A495D">
        <w:t xml:space="preserve">общего белка, альбумина, креатинина, мочевой кислоты, калия, кальция, </w:t>
      </w:r>
      <w:r>
        <w:t xml:space="preserve">активности </w:t>
      </w:r>
      <w:r w:rsidRPr="006A495D">
        <w:t>ЛДГ.</w:t>
      </w:r>
    </w:p>
    <w:p w14:paraId="262168A4" w14:textId="77777777" w:rsidR="00EF54E3" w:rsidRDefault="00EF54E3" w:rsidP="00727CDE">
      <w:pPr>
        <w:pStyle w:val="Numlist"/>
        <w:numPr>
          <w:ilvl w:val="0"/>
          <w:numId w:val="64"/>
        </w:numPr>
        <w:tabs>
          <w:tab w:val="left" w:pos="284"/>
        </w:tabs>
        <w:spacing w:line="360" w:lineRule="auto"/>
        <w:ind w:left="0" w:firstLine="284"/>
        <w:jc w:val="both"/>
      </w:pPr>
      <w:r>
        <w:t>Общий анализ мочи.</w:t>
      </w:r>
    </w:p>
    <w:p w14:paraId="6AB823F5" w14:textId="77777777" w:rsidR="00EF54E3" w:rsidRDefault="00EF54E3" w:rsidP="00727CDE">
      <w:pPr>
        <w:pStyle w:val="Numlist"/>
        <w:numPr>
          <w:ilvl w:val="0"/>
          <w:numId w:val="64"/>
        </w:numPr>
        <w:tabs>
          <w:tab w:val="left" w:pos="284"/>
        </w:tabs>
        <w:spacing w:line="360" w:lineRule="auto"/>
        <w:ind w:left="0" w:firstLine="284"/>
        <w:jc w:val="both"/>
      </w:pPr>
      <w:r w:rsidRPr="00100A57">
        <w:lastRenderedPageBreak/>
        <w:t>Определение количества белка в суточной моче</w:t>
      </w:r>
      <w:r>
        <w:t xml:space="preserve"> – после каждых 2-3 курсов терапии.</w:t>
      </w:r>
    </w:p>
    <w:p w14:paraId="354859AD" w14:textId="77777777" w:rsidR="00EF54E3" w:rsidRDefault="00EF54E3" w:rsidP="00727CDE">
      <w:pPr>
        <w:pStyle w:val="Numlist"/>
        <w:numPr>
          <w:ilvl w:val="0"/>
          <w:numId w:val="64"/>
        </w:numPr>
        <w:tabs>
          <w:tab w:val="left" w:pos="284"/>
        </w:tabs>
        <w:spacing w:line="360" w:lineRule="auto"/>
        <w:ind w:left="0" w:firstLine="284"/>
        <w:jc w:val="both"/>
      </w:pPr>
      <w:r>
        <w:t>Определение скорости клубочковой фильтрации.</w:t>
      </w:r>
    </w:p>
    <w:p w14:paraId="33A51C5D" w14:textId="77777777" w:rsidR="00EF54E3" w:rsidRDefault="00EF54E3" w:rsidP="00727CDE">
      <w:pPr>
        <w:pStyle w:val="Numlist"/>
        <w:numPr>
          <w:ilvl w:val="0"/>
          <w:numId w:val="64"/>
        </w:numPr>
        <w:tabs>
          <w:tab w:val="left" w:pos="284"/>
        </w:tabs>
        <w:spacing w:line="360" w:lineRule="auto"/>
        <w:ind w:left="0" w:firstLine="284"/>
        <w:jc w:val="both"/>
      </w:pPr>
      <w:r>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603DDF72" w14:textId="77777777" w:rsidR="00EF54E3" w:rsidRPr="006A495D" w:rsidRDefault="00EF54E3" w:rsidP="00727CDE">
      <w:pPr>
        <w:pStyle w:val="Numlist"/>
        <w:numPr>
          <w:ilvl w:val="0"/>
          <w:numId w:val="64"/>
        </w:numPr>
        <w:tabs>
          <w:tab w:val="left" w:pos="284"/>
        </w:tabs>
        <w:spacing w:line="360" w:lineRule="auto"/>
        <w:ind w:left="0" w:firstLine="284"/>
        <w:jc w:val="both"/>
      </w:pPr>
      <w:r>
        <w:t>Комплексное и</w:t>
      </w:r>
      <w:r w:rsidRPr="006A495D">
        <w:t>ммунохимическое исследование сыворотки и мочи</w:t>
      </w:r>
      <w:r>
        <w:t xml:space="preserve"> (после каждых 2-3 курсов терапии), включающее </w:t>
      </w:r>
    </w:p>
    <w:p w14:paraId="40B1F314" w14:textId="77777777" w:rsidR="00EF54E3" w:rsidRPr="006A495D" w:rsidRDefault="00EF54E3" w:rsidP="00EF54E3">
      <w:pPr>
        <w:pStyle w:val="Numlist"/>
        <w:tabs>
          <w:tab w:val="left" w:pos="284"/>
        </w:tabs>
        <w:spacing w:line="360" w:lineRule="auto"/>
        <w:ind w:firstLine="284"/>
        <w:jc w:val="both"/>
      </w:pPr>
      <w:r w:rsidRPr="006A495D">
        <w:t>- электрофорез и иммунофи</w:t>
      </w:r>
      <w:r>
        <w:t>ксация белков сыворотки и мочи с определением белка Бенс-Джонса;</w:t>
      </w:r>
    </w:p>
    <w:p w14:paraId="05C717DE" w14:textId="77777777" w:rsidR="00EF54E3" w:rsidRPr="006A495D" w:rsidRDefault="00EF54E3" w:rsidP="00EF54E3">
      <w:pPr>
        <w:pStyle w:val="Numlist"/>
        <w:tabs>
          <w:tab w:val="left" w:pos="284"/>
        </w:tabs>
        <w:spacing w:line="360" w:lineRule="auto"/>
        <w:ind w:firstLine="284"/>
        <w:jc w:val="both"/>
      </w:pPr>
      <w:r w:rsidRPr="006A495D">
        <w:t>- определение уровня п</w:t>
      </w:r>
      <w:r>
        <w:t>оликлональных иммуноглобулинов (</w:t>
      </w:r>
      <w:r>
        <w:rPr>
          <w:lang w:val="en-US"/>
        </w:rPr>
        <w:t>A</w:t>
      </w:r>
      <w:r w:rsidRPr="00027FD8">
        <w:t xml:space="preserve">, </w:t>
      </w:r>
      <w:r>
        <w:rPr>
          <w:lang w:val="en-US"/>
        </w:rPr>
        <w:t>G</w:t>
      </w:r>
      <w:r w:rsidRPr="00027FD8">
        <w:t>,</w:t>
      </w:r>
      <w:r>
        <w:rPr>
          <w:lang w:val="en-US"/>
        </w:rPr>
        <w:t>M</w:t>
      </w:r>
      <w:r w:rsidRPr="00027FD8">
        <w:t>)</w:t>
      </w:r>
      <w:r>
        <w:t>;</w:t>
      </w:r>
    </w:p>
    <w:p w14:paraId="41EB4BB5" w14:textId="77777777" w:rsidR="00EF54E3" w:rsidRPr="006A495D" w:rsidRDefault="00EF54E3" w:rsidP="00EF54E3">
      <w:pPr>
        <w:pStyle w:val="Numlist"/>
        <w:tabs>
          <w:tab w:val="left" w:pos="284"/>
        </w:tabs>
        <w:spacing w:line="360" w:lineRule="auto"/>
        <w:ind w:firstLine="284"/>
        <w:jc w:val="both"/>
      </w:pPr>
      <w:r w:rsidRPr="006A495D">
        <w:t xml:space="preserve">- определение свободных легких цепей </w:t>
      </w:r>
      <w:r>
        <w:t>и их соотношения при «неизмеряемом» заболевании.</w:t>
      </w:r>
    </w:p>
    <w:p w14:paraId="7AC43119" w14:textId="77777777" w:rsidR="00EF54E3" w:rsidRPr="006A495D" w:rsidRDefault="00EF54E3" w:rsidP="00727CDE">
      <w:pPr>
        <w:pStyle w:val="Numlist"/>
        <w:numPr>
          <w:ilvl w:val="0"/>
          <w:numId w:val="64"/>
        </w:numPr>
        <w:tabs>
          <w:tab w:val="left" w:pos="284"/>
        </w:tabs>
        <w:spacing w:line="360" w:lineRule="auto"/>
        <w:ind w:left="0" w:firstLine="284"/>
        <w:jc w:val="both"/>
      </w:pPr>
      <w:r w:rsidRPr="006A495D">
        <w:t xml:space="preserve">Пункция костного мозга </w:t>
      </w:r>
      <w:r>
        <w:t xml:space="preserve">с </w:t>
      </w:r>
      <w:r w:rsidRPr="006A495D">
        <w:t>подсчет</w:t>
      </w:r>
      <w:r>
        <w:t>ом миелограммы – в случае констатации полной ремиссии заболевания</w:t>
      </w:r>
      <w:r w:rsidRPr="006A495D">
        <w:t>.</w:t>
      </w:r>
    </w:p>
    <w:p w14:paraId="539C7DD3" w14:textId="621E2B32" w:rsidR="00EF54E3" w:rsidRDefault="004C0C25" w:rsidP="00727CDE">
      <w:pPr>
        <w:pStyle w:val="Numlist"/>
        <w:numPr>
          <w:ilvl w:val="0"/>
          <w:numId w:val="64"/>
        </w:numPr>
        <w:tabs>
          <w:tab w:val="left" w:pos="284"/>
        </w:tabs>
        <w:spacing w:line="360" w:lineRule="auto"/>
        <w:ind w:left="0" w:firstLine="284"/>
        <w:jc w:val="both"/>
      </w:pPr>
      <w:r>
        <w:t>Гистологическое</w:t>
      </w:r>
      <w:r w:rsidRPr="00100A57">
        <w:t xml:space="preserve"> </w:t>
      </w:r>
      <w:r w:rsidR="00EF54E3" w:rsidRPr="00100A57">
        <w:t>исследование биопсийного (операционного) материала костного мозга</w:t>
      </w:r>
      <w:r w:rsidR="00EF54E3">
        <w:t xml:space="preserve"> – при уточнении рецидива заболевания и/или оценки кроветворения.</w:t>
      </w:r>
    </w:p>
    <w:p w14:paraId="3593D727" w14:textId="583A80A4" w:rsidR="00EF54E3" w:rsidRDefault="004C0C25" w:rsidP="00727CDE">
      <w:pPr>
        <w:pStyle w:val="Numlist"/>
        <w:numPr>
          <w:ilvl w:val="0"/>
          <w:numId w:val="64"/>
        </w:numPr>
        <w:tabs>
          <w:tab w:val="left" w:pos="284"/>
        </w:tabs>
        <w:spacing w:line="360" w:lineRule="auto"/>
        <w:ind w:left="0" w:firstLine="284"/>
        <w:jc w:val="both"/>
      </w:pPr>
      <w:r>
        <w:t>Гистологическое</w:t>
      </w:r>
      <w:r w:rsidRPr="00100A57">
        <w:t xml:space="preserve"> </w:t>
      </w:r>
      <w:r w:rsidR="00EF54E3" w:rsidRPr="00100A57">
        <w:t xml:space="preserve">исследование биопсийного (операционного) материала </w:t>
      </w:r>
      <w:r w:rsidR="00EF54E3">
        <w:t xml:space="preserve">плазмоцитомы и/или </w:t>
      </w:r>
      <w:r w:rsidR="00EF54E3" w:rsidRPr="00100A57">
        <w:t>костного мозга с применением иммуногистохимических методов</w:t>
      </w:r>
      <w:r w:rsidR="00EF54E3">
        <w:t xml:space="preserve"> - при уточнении рецидива заболевания и/или оценки кроветворения.</w:t>
      </w:r>
    </w:p>
    <w:p w14:paraId="03B1C24C" w14:textId="77777777" w:rsidR="00EF54E3" w:rsidRDefault="00EF54E3" w:rsidP="00727CDE">
      <w:pPr>
        <w:pStyle w:val="Numlist"/>
        <w:numPr>
          <w:ilvl w:val="0"/>
          <w:numId w:val="64"/>
        </w:numPr>
        <w:tabs>
          <w:tab w:val="left" w:pos="284"/>
        </w:tabs>
        <w:spacing w:line="360" w:lineRule="auto"/>
        <w:ind w:left="0" w:firstLine="284"/>
        <w:jc w:val="both"/>
      </w:pPr>
      <w:r w:rsidRPr="006A495D">
        <w:t>Иммунофенотипическое исследование костного мозга методом проточной цитометрии</w:t>
      </w:r>
      <w:r>
        <w:t xml:space="preserve"> при достижении полной ремиссии заболевания.</w:t>
      </w:r>
    </w:p>
    <w:p w14:paraId="557789E4" w14:textId="77777777" w:rsidR="00EF54E3" w:rsidRDefault="00EF54E3" w:rsidP="00727CDE">
      <w:pPr>
        <w:pStyle w:val="Numlist"/>
        <w:numPr>
          <w:ilvl w:val="0"/>
          <w:numId w:val="64"/>
        </w:numPr>
        <w:tabs>
          <w:tab w:val="left" w:pos="284"/>
        </w:tabs>
        <w:spacing w:line="360" w:lineRule="auto"/>
        <w:ind w:left="0" w:firstLine="284"/>
        <w:jc w:val="both"/>
      </w:pPr>
      <w:r>
        <w:t>Определение группы крови (</w:t>
      </w:r>
      <w:r w:rsidRPr="00100A57">
        <w:rPr>
          <w:lang w:val="en-US"/>
        </w:rPr>
        <w:t>ABO</w:t>
      </w:r>
      <w:r w:rsidRPr="00100A57">
        <w:t xml:space="preserve">, </w:t>
      </w:r>
      <w:r>
        <w:t xml:space="preserve">Резус, </w:t>
      </w:r>
      <w:r w:rsidRPr="00100A57">
        <w:t>фенотип по</w:t>
      </w:r>
      <w:r>
        <w:t xml:space="preserve"> антигенам C, c, E, e, Cw, K, k, а также </w:t>
      </w:r>
      <w:r w:rsidRPr="00100A57">
        <w:t>определение антиэритроцитарных антител</w:t>
      </w:r>
      <w:r>
        <w:t>).</w:t>
      </w:r>
    </w:p>
    <w:p w14:paraId="65F1D714" w14:textId="77777777" w:rsidR="00EF54E3" w:rsidRPr="006A495D" w:rsidRDefault="00EF54E3" w:rsidP="00727CDE">
      <w:pPr>
        <w:pStyle w:val="Numlist"/>
        <w:numPr>
          <w:ilvl w:val="0"/>
          <w:numId w:val="64"/>
        </w:numPr>
        <w:tabs>
          <w:tab w:val="left" w:pos="284"/>
        </w:tabs>
        <w:spacing w:line="360" w:lineRule="auto"/>
        <w:ind w:left="0" w:firstLine="284"/>
        <w:jc w:val="both"/>
      </w:pPr>
      <w:r>
        <w:t>Исследование на м</w:t>
      </w:r>
      <w:r w:rsidRPr="006A495D">
        <w:t>аркеры вирусов гепатит</w:t>
      </w:r>
      <w:r>
        <w:t>ов</w:t>
      </w:r>
      <w:r>
        <w:rPr>
          <w:lang w:val="en-US"/>
        </w:rPr>
        <w:t> B</w:t>
      </w:r>
      <w:r w:rsidRPr="006A495D">
        <w:t xml:space="preserve"> и </w:t>
      </w:r>
      <w:r>
        <w:rPr>
          <w:lang w:val="en-US"/>
        </w:rPr>
        <w:t>C</w:t>
      </w:r>
      <w:r w:rsidRPr="006A495D">
        <w:t xml:space="preserve">, </w:t>
      </w:r>
      <w:r>
        <w:t>ВИЧ.</w:t>
      </w:r>
    </w:p>
    <w:p w14:paraId="09D4FFA6" w14:textId="77777777" w:rsidR="00EF54E3" w:rsidRDefault="00EF54E3" w:rsidP="00727CDE">
      <w:pPr>
        <w:pStyle w:val="Numlist"/>
        <w:numPr>
          <w:ilvl w:val="0"/>
          <w:numId w:val="64"/>
        </w:numPr>
        <w:tabs>
          <w:tab w:val="left" w:pos="284"/>
        </w:tabs>
        <w:spacing w:line="360" w:lineRule="auto"/>
        <w:ind w:left="0" w:firstLine="284"/>
        <w:jc w:val="both"/>
      </w:pPr>
      <w:r>
        <w:t xml:space="preserve">КТ костей позвоночника, таза, грудной полости – контроль размеров плазмоцитом - после каждых 2-3 курсов лечения для оценки противоопухолевого ответа. </w:t>
      </w:r>
    </w:p>
    <w:p w14:paraId="4B602D90" w14:textId="77777777" w:rsidR="00EF54E3" w:rsidRDefault="00EF54E3" w:rsidP="00727CDE">
      <w:pPr>
        <w:pStyle w:val="Numlist"/>
        <w:numPr>
          <w:ilvl w:val="0"/>
          <w:numId w:val="64"/>
        </w:numPr>
        <w:tabs>
          <w:tab w:val="left" w:pos="284"/>
        </w:tabs>
        <w:spacing w:line="360" w:lineRule="auto"/>
        <w:ind w:left="0" w:firstLine="284"/>
        <w:jc w:val="both"/>
      </w:pPr>
      <w:r>
        <w:t>Позитронно-эмиссионная томография, совмещенная с КТ – при достижении полной ремиссии заболевания.</w:t>
      </w:r>
    </w:p>
    <w:p w14:paraId="43C0D83C" w14:textId="77777777" w:rsidR="00EF54E3" w:rsidRDefault="00EF54E3" w:rsidP="00727CDE">
      <w:pPr>
        <w:pStyle w:val="Numlist"/>
        <w:numPr>
          <w:ilvl w:val="0"/>
          <w:numId w:val="64"/>
        </w:numPr>
        <w:tabs>
          <w:tab w:val="left" w:pos="284"/>
        </w:tabs>
        <w:spacing w:line="360" w:lineRule="auto"/>
        <w:ind w:left="0" w:firstLine="284"/>
        <w:jc w:val="both"/>
      </w:pPr>
      <w:r>
        <w:t>Рентгенография костей скелета - при уточнении рецидива заболевания.</w:t>
      </w:r>
    </w:p>
    <w:p w14:paraId="5834575A" w14:textId="77777777" w:rsidR="00EF54E3" w:rsidRPr="004C0C25" w:rsidRDefault="00EF54E3" w:rsidP="00727CDE">
      <w:pPr>
        <w:pStyle w:val="Numlist"/>
        <w:numPr>
          <w:ilvl w:val="0"/>
          <w:numId w:val="64"/>
        </w:numPr>
        <w:tabs>
          <w:tab w:val="left" w:pos="284"/>
        </w:tabs>
        <w:spacing w:line="360" w:lineRule="auto"/>
        <w:ind w:left="0" w:firstLine="284"/>
        <w:jc w:val="both"/>
      </w:pPr>
      <w:r>
        <w:t xml:space="preserve">Магнитно-резонансная томография области мягкотканного компонента для оценки размеров - </w:t>
      </w:r>
      <w:r w:rsidRPr="004C0C25">
        <w:t>после каждых 2-3 курсов лечения для оценки противоопухолевого ответа.</w:t>
      </w:r>
    </w:p>
    <w:p w14:paraId="6B080490" w14:textId="77777777" w:rsidR="00EF54E3" w:rsidRPr="004C0C25" w:rsidRDefault="00EF54E3" w:rsidP="00727CDE">
      <w:pPr>
        <w:pStyle w:val="Numlist"/>
        <w:numPr>
          <w:ilvl w:val="0"/>
          <w:numId w:val="64"/>
        </w:numPr>
        <w:tabs>
          <w:tab w:val="left" w:pos="284"/>
        </w:tabs>
        <w:spacing w:line="360" w:lineRule="auto"/>
        <w:ind w:left="0" w:firstLine="284"/>
        <w:jc w:val="both"/>
      </w:pPr>
      <w:r w:rsidRPr="004C0C25">
        <w:t>Электрокардиограмма.</w:t>
      </w:r>
    </w:p>
    <w:p w14:paraId="2DA40598" w14:textId="4EFEDD28" w:rsidR="00EF54E3" w:rsidRPr="004C0C25" w:rsidRDefault="00EF54E3" w:rsidP="00727CDE">
      <w:pPr>
        <w:pStyle w:val="Numlist"/>
        <w:numPr>
          <w:ilvl w:val="0"/>
          <w:numId w:val="64"/>
        </w:numPr>
        <w:tabs>
          <w:tab w:val="left" w:pos="284"/>
        </w:tabs>
        <w:spacing w:line="360" w:lineRule="auto"/>
        <w:ind w:left="0" w:firstLine="284"/>
        <w:jc w:val="both"/>
      </w:pPr>
      <w:r w:rsidRPr="004C0C25">
        <w:t>Эхокардиография (при необходимости).</w:t>
      </w:r>
    </w:p>
    <w:p w14:paraId="087766AC" w14:textId="39B69AD9" w:rsidR="00EF54E3" w:rsidRPr="004C0C25" w:rsidRDefault="00EF54E3" w:rsidP="00727CDE">
      <w:pPr>
        <w:pStyle w:val="Numlist"/>
        <w:numPr>
          <w:ilvl w:val="0"/>
          <w:numId w:val="64"/>
        </w:numPr>
        <w:tabs>
          <w:tab w:val="left" w:pos="284"/>
        </w:tabs>
        <w:spacing w:line="360" w:lineRule="auto"/>
        <w:ind w:left="0" w:firstLine="284"/>
        <w:jc w:val="both"/>
      </w:pPr>
      <w:r w:rsidRPr="004C0C25">
        <w:lastRenderedPageBreak/>
        <w:t>УЗИ брюшной полости (комплексное)</w:t>
      </w:r>
      <w:r w:rsidR="005F555B" w:rsidRPr="004C0C25">
        <w:t xml:space="preserve"> (при необходимости)</w:t>
      </w:r>
      <w:r w:rsidRPr="004C0C25">
        <w:t>.</w:t>
      </w:r>
    </w:p>
    <w:p w14:paraId="67AA8EC7" w14:textId="22771EAD" w:rsidR="00EF54E3" w:rsidRPr="004C0C25" w:rsidRDefault="00EF54E3" w:rsidP="00727CDE">
      <w:pPr>
        <w:pStyle w:val="Numlist"/>
        <w:numPr>
          <w:ilvl w:val="0"/>
          <w:numId w:val="64"/>
        </w:numPr>
        <w:tabs>
          <w:tab w:val="left" w:pos="284"/>
        </w:tabs>
        <w:spacing w:line="360" w:lineRule="auto"/>
        <w:ind w:left="0" w:firstLine="284"/>
        <w:jc w:val="both"/>
      </w:pPr>
      <w:r w:rsidRPr="004C0C25">
        <w:t>Ультразвуковая допплерография сосудов (артерий и вен) нижних конечностей (при необходимости).</w:t>
      </w:r>
    </w:p>
    <w:p w14:paraId="15344E46" w14:textId="534E13FF" w:rsidR="00EF54E3" w:rsidRPr="004C0C25" w:rsidRDefault="00EF54E3" w:rsidP="00727CDE">
      <w:pPr>
        <w:pStyle w:val="Numlist"/>
        <w:numPr>
          <w:ilvl w:val="0"/>
          <w:numId w:val="64"/>
        </w:numPr>
        <w:tabs>
          <w:tab w:val="left" w:pos="284"/>
        </w:tabs>
        <w:spacing w:line="360" w:lineRule="auto"/>
        <w:ind w:left="0" w:firstLine="284"/>
        <w:jc w:val="both"/>
      </w:pPr>
      <w:r w:rsidRPr="004C0C25">
        <w:t>Эзофагогастродуоденоскопия с биопсией</w:t>
      </w:r>
      <w:r w:rsidR="005F555B" w:rsidRPr="004C0C25">
        <w:t xml:space="preserve"> </w:t>
      </w:r>
      <w:r w:rsidRPr="004C0C25">
        <w:t>(при необходимости).</w:t>
      </w:r>
    </w:p>
    <w:p w14:paraId="12AB8F13" w14:textId="7A2A5751" w:rsidR="00EF54E3" w:rsidRPr="004C0C25" w:rsidRDefault="00EF54E3" w:rsidP="00727CDE">
      <w:pPr>
        <w:pStyle w:val="Numlist"/>
        <w:numPr>
          <w:ilvl w:val="0"/>
          <w:numId w:val="64"/>
        </w:numPr>
        <w:tabs>
          <w:tab w:val="left" w:pos="284"/>
        </w:tabs>
        <w:spacing w:line="360" w:lineRule="auto"/>
        <w:ind w:left="0" w:firstLine="284"/>
        <w:jc w:val="both"/>
      </w:pPr>
      <w:r w:rsidRPr="004C0C25">
        <w:t>МРТ головного мозга</w:t>
      </w:r>
      <w:r w:rsidR="005F555B" w:rsidRPr="004C0C25">
        <w:t xml:space="preserve"> (при необходимости)</w:t>
      </w:r>
      <w:r w:rsidRPr="004C0C25">
        <w:t xml:space="preserve">. </w:t>
      </w:r>
    </w:p>
    <w:p w14:paraId="5A9C95DB" w14:textId="77777777" w:rsidR="00EF54E3" w:rsidRPr="00DA27BC" w:rsidRDefault="00EF54E3" w:rsidP="00727CDE">
      <w:pPr>
        <w:pStyle w:val="Numlist"/>
        <w:numPr>
          <w:ilvl w:val="0"/>
          <w:numId w:val="64"/>
        </w:numPr>
        <w:tabs>
          <w:tab w:val="left" w:pos="284"/>
        </w:tabs>
        <w:spacing w:line="360" w:lineRule="auto"/>
        <w:ind w:left="0" w:firstLine="284"/>
        <w:jc w:val="both"/>
      </w:pPr>
      <w:r w:rsidRPr="004C0C25">
        <w:t>Люмбальная пункция с последующим цитологическим, комплексным иммунохимическим и иммунофенотипическим исследованием</w:t>
      </w:r>
      <w:r>
        <w:t xml:space="preserve"> ликвора при подозрении на вовлечение в патологический процесс центральной нервной системы.</w:t>
      </w:r>
    </w:p>
    <w:p w14:paraId="442DD71D" w14:textId="54E8FE49" w:rsidR="00EF54E3" w:rsidRPr="000713B4" w:rsidRDefault="000713B4" w:rsidP="000713B4">
      <w:pPr>
        <w:pStyle w:val="af0"/>
        <w:spacing w:line="360" w:lineRule="auto"/>
        <w:rPr>
          <w:b/>
        </w:rPr>
      </w:pPr>
      <w:r>
        <w:rPr>
          <w:b/>
        </w:rPr>
        <w:t>3</w:t>
      </w:r>
      <w:r w:rsidR="00EF54E3" w:rsidRPr="000713B4">
        <w:rPr>
          <w:b/>
        </w:rPr>
        <w:t xml:space="preserve">.3 Лабораторные и инструментальные методы исследования на этапе мобилизации и сбора гемопоэтических клеток крови у больных симптоматической множественной миеломы </w:t>
      </w:r>
    </w:p>
    <w:p w14:paraId="2DA2443C" w14:textId="77777777" w:rsidR="00EF54E3" w:rsidRPr="006A495D" w:rsidRDefault="00EF54E3" w:rsidP="00727CDE">
      <w:pPr>
        <w:pStyle w:val="Numlist"/>
        <w:numPr>
          <w:ilvl w:val="0"/>
          <w:numId w:val="65"/>
        </w:numPr>
        <w:tabs>
          <w:tab w:val="left" w:pos="284"/>
        </w:tabs>
        <w:spacing w:before="240" w:line="360" w:lineRule="auto"/>
        <w:ind w:left="0" w:firstLine="284"/>
        <w:jc w:val="both"/>
      </w:pPr>
      <w:r>
        <w:t>Развернутый анализ крови.</w:t>
      </w:r>
    </w:p>
    <w:p w14:paraId="45207D53" w14:textId="77777777" w:rsidR="00EF54E3" w:rsidRPr="006A495D" w:rsidRDefault="00EF54E3" w:rsidP="00727CDE">
      <w:pPr>
        <w:pStyle w:val="Numlist"/>
        <w:numPr>
          <w:ilvl w:val="0"/>
          <w:numId w:val="65"/>
        </w:numPr>
        <w:tabs>
          <w:tab w:val="left" w:pos="284"/>
        </w:tabs>
        <w:spacing w:line="360" w:lineRule="auto"/>
        <w:ind w:left="0" w:firstLine="284"/>
        <w:jc w:val="both"/>
      </w:pPr>
      <w:r w:rsidRPr="006A495D">
        <w:t xml:space="preserve">Биохимический анализ крови с обязательным определением: </w:t>
      </w:r>
      <w:r>
        <w:t xml:space="preserve">уровней </w:t>
      </w:r>
      <w:r w:rsidRPr="006A495D">
        <w:t xml:space="preserve">общего белка, альбумина, креатинина, мочевой кислоты, калия, кальция, </w:t>
      </w:r>
      <w:r>
        <w:t xml:space="preserve">активности </w:t>
      </w:r>
      <w:r w:rsidRPr="006A495D">
        <w:t>ЛДГ.</w:t>
      </w:r>
    </w:p>
    <w:p w14:paraId="0A74B697" w14:textId="77777777" w:rsidR="00EF54E3" w:rsidRDefault="00EF54E3" w:rsidP="00727CDE">
      <w:pPr>
        <w:pStyle w:val="Numlist"/>
        <w:numPr>
          <w:ilvl w:val="0"/>
          <w:numId w:val="65"/>
        </w:numPr>
        <w:tabs>
          <w:tab w:val="left" w:pos="284"/>
        </w:tabs>
        <w:spacing w:line="360" w:lineRule="auto"/>
        <w:ind w:left="0" w:firstLine="284"/>
        <w:jc w:val="both"/>
      </w:pPr>
      <w:r>
        <w:t>Общий анализ мочи.</w:t>
      </w:r>
    </w:p>
    <w:p w14:paraId="3A8D85BD" w14:textId="77777777" w:rsidR="00EF54E3" w:rsidRDefault="00EF54E3" w:rsidP="00727CDE">
      <w:pPr>
        <w:pStyle w:val="Numlist"/>
        <w:numPr>
          <w:ilvl w:val="0"/>
          <w:numId w:val="65"/>
        </w:numPr>
        <w:tabs>
          <w:tab w:val="left" w:pos="284"/>
        </w:tabs>
        <w:spacing w:line="360" w:lineRule="auto"/>
        <w:ind w:left="0" w:firstLine="284"/>
        <w:jc w:val="both"/>
      </w:pPr>
      <w:r w:rsidRPr="00100A57">
        <w:t>Определение количества белка в суточной моче</w:t>
      </w:r>
      <w:r>
        <w:t>.</w:t>
      </w:r>
    </w:p>
    <w:p w14:paraId="6250770E" w14:textId="77777777" w:rsidR="00EF54E3" w:rsidRDefault="00EF54E3" w:rsidP="00727CDE">
      <w:pPr>
        <w:pStyle w:val="Numlist"/>
        <w:numPr>
          <w:ilvl w:val="0"/>
          <w:numId w:val="65"/>
        </w:numPr>
        <w:tabs>
          <w:tab w:val="left" w:pos="284"/>
        </w:tabs>
        <w:spacing w:line="360" w:lineRule="auto"/>
        <w:ind w:left="0" w:firstLine="284"/>
        <w:jc w:val="both"/>
      </w:pPr>
      <w:r>
        <w:t>Определение скорости клубочковой фильтрации.</w:t>
      </w:r>
    </w:p>
    <w:p w14:paraId="43F4344B" w14:textId="77777777" w:rsidR="00EF54E3" w:rsidRDefault="00EF54E3" w:rsidP="00727CDE">
      <w:pPr>
        <w:pStyle w:val="Numlist"/>
        <w:numPr>
          <w:ilvl w:val="0"/>
          <w:numId w:val="65"/>
        </w:numPr>
        <w:tabs>
          <w:tab w:val="left" w:pos="284"/>
        </w:tabs>
        <w:spacing w:line="360" w:lineRule="auto"/>
        <w:ind w:left="0" w:firstLine="284"/>
        <w:jc w:val="both"/>
      </w:pPr>
      <w:r>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0A8703C8" w14:textId="77777777" w:rsidR="00EF54E3" w:rsidRPr="006A495D" w:rsidRDefault="00EF54E3" w:rsidP="00727CDE">
      <w:pPr>
        <w:pStyle w:val="Numlist"/>
        <w:numPr>
          <w:ilvl w:val="0"/>
          <w:numId w:val="65"/>
        </w:numPr>
        <w:tabs>
          <w:tab w:val="left" w:pos="284"/>
        </w:tabs>
        <w:spacing w:line="360" w:lineRule="auto"/>
        <w:ind w:left="0" w:firstLine="284"/>
        <w:jc w:val="both"/>
      </w:pPr>
      <w:r>
        <w:t>Комплексное и</w:t>
      </w:r>
      <w:r w:rsidRPr="006A495D">
        <w:t>ммунохимическое исследование сыворотки и мочи</w:t>
      </w:r>
      <w:r>
        <w:t xml:space="preserve">, включающее </w:t>
      </w:r>
    </w:p>
    <w:p w14:paraId="78A8BDA9" w14:textId="77777777" w:rsidR="00EF54E3" w:rsidRPr="006A495D" w:rsidRDefault="00EF54E3" w:rsidP="00EF54E3">
      <w:pPr>
        <w:pStyle w:val="Numlist"/>
        <w:tabs>
          <w:tab w:val="left" w:pos="284"/>
        </w:tabs>
        <w:spacing w:line="360" w:lineRule="auto"/>
        <w:ind w:firstLine="284"/>
        <w:jc w:val="both"/>
      </w:pPr>
      <w:r w:rsidRPr="006A495D">
        <w:t>- электрофорез и иммунофи</w:t>
      </w:r>
      <w:r>
        <w:t>ксация белков сыворотки и мочи с определением белка Бенс-Джонса;</w:t>
      </w:r>
    </w:p>
    <w:p w14:paraId="7C80EA76" w14:textId="77777777" w:rsidR="00EF54E3" w:rsidRPr="006A495D" w:rsidRDefault="00EF54E3" w:rsidP="00EF54E3">
      <w:pPr>
        <w:pStyle w:val="Numlist"/>
        <w:tabs>
          <w:tab w:val="left" w:pos="284"/>
        </w:tabs>
        <w:spacing w:line="360" w:lineRule="auto"/>
        <w:ind w:firstLine="284"/>
        <w:jc w:val="both"/>
      </w:pPr>
      <w:r w:rsidRPr="006A495D">
        <w:t>- определение уровня п</w:t>
      </w:r>
      <w:r>
        <w:t>оликлональных иммуноглобулинов (</w:t>
      </w:r>
      <w:r>
        <w:rPr>
          <w:lang w:val="en-US"/>
        </w:rPr>
        <w:t>A</w:t>
      </w:r>
      <w:r w:rsidRPr="00027FD8">
        <w:t xml:space="preserve">, </w:t>
      </w:r>
      <w:r>
        <w:rPr>
          <w:lang w:val="en-US"/>
        </w:rPr>
        <w:t>G</w:t>
      </w:r>
      <w:r w:rsidRPr="00027FD8">
        <w:t>,</w:t>
      </w:r>
      <w:r>
        <w:rPr>
          <w:lang w:val="en-US"/>
        </w:rPr>
        <w:t>M</w:t>
      </w:r>
      <w:r w:rsidRPr="00027FD8">
        <w:t>)</w:t>
      </w:r>
      <w:r>
        <w:t>;</w:t>
      </w:r>
    </w:p>
    <w:p w14:paraId="78AFAA9F" w14:textId="77777777" w:rsidR="00EF54E3" w:rsidRPr="006A495D" w:rsidRDefault="00EF54E3" w:rsidP="00EF54E3">
      <w:pPr>
        <w:pStyle w:val="Numlist"/>
        <w:tabs>
          <w:tab w:val="left" w:pos="284"/>
        </w:tabs>
        <w:spacing w:line="360" w:lineRule="auto"/>
        <w:ind w:firstLine="284"/>
        <w:jc w:val="both"/>
      </w:pPr>
      <w:r w:rsidRPr="006A495D">
        <w:t xml:space="preserve">- определение свободных легких цепей </w:t>
      </w:r>
      <w:r>
        <w:t>и их соотношения при «неизмеряемом» заболевании.</w:t>
      </w:r>
    </w:p>
    <w:p w14:paraId="06319C69" w14:textId="77777777" w:rsidR="00EF54E3" w:rsidRPr="006A495D" w:rsidRDefault="00EF54E3" w:rsidP="00727CDE">
      <w:pPr>
        <w:pStyle w:val="Numlist"/>
        <w:numPr>
          <w:ilvl w:val="0"/>
          <w:numId w:val="65"/>
        </w:numPr>
        <w:tabs>
          <w:tab w:val="left" w:pos="284"/>
        </w:tabs>
        <w:spacing w:line="360" w:lineRule="auto"/>
        <w:ind w:left="0" w:firstLine="284"/>
        <w:jc w:val="both"/>
      </w:pPr>
      <w:r w:rsidRPr="006A495D">
        <w:t xml:space="preserve">Пункция костного мозга </w:t>
      </w:r>
      <w:r>
        <w:t xml:space="preserve">с </w:t>
      </w:r>
      <w:r w:rsidRPr="006A495D">
        <w:t>подсчет</w:t>
      </w:r>
      <w:r>
        <w:t xml:space="preserve"> миелограммы</w:t>
      </w:r>
      <w:r w:rsidRPr="006A495D">
        <w:t>.</w:t>
      </w:r>
    </w:p>
    <w:p w14:paraId="384A2B5B" w14:textId="4C8F1A70" w:rsidR="00EF54E3" w:rsidRDefault="004C0C25" w:rsidP="00727CDE">
      <w:pPr>
        <w:pStyle w:val="Numlist"/>
        <w:numPr>
          <w:ilvl w:val="0"/>
          <w:numId w:val="65"/>
        </w:numPr>
        <w:tabs>
          <w:tab w:val="left" w:pos="284"/>
        </w:tabs>
        <w:spacing w:line="360" w:lineRule="auto"/>
        <w:ind w:left="0" w:firstLine="284"/>
        <w:jc w:val="both"/>
      </w:pPr>
      <w:r>
        <w:t>Гистологическое</w:t>
      </w:r>
      <w:r w:rsidRPr="00100A57">
        <w:t xml:space="preserve"> </w:t>
      </w:r>
      <w:r w:rsidR="00EF54E3" w:rsidRPr="00100A57">
        <w:t>исследование биопсийного (операционного) материала костного мозга</w:t>
      </w:r>
      <w:r w:rsidR="00EF54E3">
        <w:t xml:space="preserve"> для оценки кроветворения.</w:t>
      </w:r>
    </w:p>
    <w:p w14:paraId="106E1947" w14:textId="1830A883" w:rsidR="00EF54E3" w:rsidRDefault="004C0C25" w:rsidP="00727CDE">
      <w:pPr>
        <w:pStyle w:val="Numlist"/>
        <w:numPr>
          <w:ilvl w:val="0"/>
          <w:numId w:val="65"/>
        </w:numPr>
        <w:tabs>
          <w:tab w:val="left" w:pos="284"/>
        </w:tabs>
        <w:spacing w:line="360" w:lineRule="auto"/>
        <w:ind w:left="0" w:firstLine="284"/>
        <w:jc w:val="both"/>
      </w:pPr>
      <w:r>
        <w:t>Гистологическое</w:t>
      </w:r>
      <w:r w:rsidRPr="00100A57">
        <w:t xml:space="preserve"> </w:t>
      </w:r>
      <w:r w:rsidR="00EF54E3" w:rsidRPr="00100A57">
        <w:t xml:space="preserve">исследование биопсийного (операционного) материала </w:t>
      </w:r>
      <w:r w:rsidR="00EF54E3">
        <w:t xml:space="preserve">плазмоцитомы и/или </w:t>
      </w:r>
      <w:r w:rsidR="00EF54E3" w:rsidRPr="00100A57">
        <w:t>костного мозга с применением иммуногистохимических методов</w:t>
      </w:r>
      <w:r w:rsidR="00EF54E3">
        <w:t xml:space="preserve"> - для оценки кроветворения.</w:t>
      </w:r>
    </w:p>
    <w:p w14:paraId="6ACC7CC0" w14:textId="77777777" w:rsidR="00EF54E3" w:rsidRDefault="00EF54E3" w:rsidP="00727CDE">
      <w:pPr>
        <w:pStyle w:val="Numlist"/>
        <w:numPr>
          <w:ilvl w:val="0"/>
          <w:numId w:val="65"/>
        </w:numPr>
        <w:tabs>
          <w:tab w:val="left" w:pos="284"/>
        </w:tabs>
        <w:spacing w:line="360" w:lineRule="auto"/>
        <w:ind w:left="0" w:firstLine="284"/>
        <w:jc w:val="both"/>
      </w:pPr>
      <w:r w:rsidRPr="006A495D">
        <w:lastRenderedPageBreak/>
        <w:t>Иммунофенотипическое исследование костного мозга методом проточной цитометрии</w:t>
      </w:r>
      <w:r>
        <w:t xml:space="preserve"> при достижении полной ремиссии заболевания.</w:t>
      </w:r>
    </w:p>
    <w:p w14:paraId="41DAC849" w14:textId="77777777" w:rsidR="00EF54E3" w:rsidRDefault="00EF54E3" w:rsidP="00727CDE">
      <w:pPr>
        <w:pStyle w:val="Numlist"/>
        <w:numPr>
          <w:ilvl w:val="0"/>
          <w:numId w:val="65"/>
        </w:numPr>
        <w:tabs>
          <w:tab w:val="left" w:pos="284"/>
        </w:tabs>
        <w:spacing w:line="360" w:lineRule="auto"/>
        <w:ind w:left="0" w:firstLine="284"/>
        <w:jc w:val="both"/>
      </w:pPr>
      <w:r>
        <w:t>Определение группы крови (</w:t>
      </w:r>
      <w:r w:rsidRPr="00100A57">
        <w:rPr>
          <w:lang w:val="en-US"/>
        </w:rPr>
        <w:t>ABO</w:t>
      </w:r>
      <w:r w:rsidRPr="00100A57">
        <w:t xml:space="preserve">, </w:t>
      </w:r>
      <w:r>
        <w:t xml:space="preserve">Резус, </w:t>
      </w:r>
      <w:r w:rsidRPr="00100A57">
        <w:t>фенотип по</w:t>
      </w:r>
      <w:r>
        <w:t xml:space="preserve"> антигенам C, c, E, e, Cw, K, k, а также </w:t>
      </w:r>
      <w:r w:rsidRPr="00100A57">
        <w:t>определение антиэритроцитарных антител</w:t>
      </w:r>
      <w:r>
        <w:t>).</w:t>
      </w:r>
    </w:p>
    <w:p w14:paraId="01428000" w14:textId="77777777" w:rsidR="00EF54E3" w:rsidRPr="006A495D" w:rsidRDefault="00EF54E3" w:rsidP="00727CDE">
      <w:pPr>
        <w:pStyle w:val="Numlist"/>
        <w:numPr>
          <w:ilvl w:val="0"/>
          <w:numId w:val="65"/>
        </w:numPr>
        <w:tabs>
          <w:tab w:val="left" w:pos="284"/>
        </w:tabs>
        <w:spacing w:line="360" w:lineRule="auto"/>
        <w:ind w:left="0" w:firstLine="284"/>
        <w:jc w:val="both"/>
      </w:pPr>
      <w:r>
        <w:t>Исследование на м</w:t>
      </w:r>
      <w:r w:rsidRPr="006A495D">
        <w:t>аркеры вирусов гепатит</w:t>
      </w:r>
      <w:r>
        <w:t>ов</w:t>
      </w:r>
      <w:r>
        <w:rPr>
          <w:lang w:val="en-US"/>
        </w:rPr>
        <w:t> B</w:t>
      </w:r>
      <w:r w:rsidRPr="006A495D">
        <w:t xml:space="preserve"> и </w:t>
      </w:r>
      <w:r>
        <w:rPr>
          <w:lang w:val="en-US"/>
        </w:rPr>
        <w:t>C</w:t>
      </w:r>
      <w:r w:rsidRPr="006A495D">
        <w:t xml:space="preserve">, </w:t>
      </w:r>
      <w:r>
        <w:t>ВИЧ.</w:t>
      </w:r>
    </w:p>
    <w:p w14:paraId="6F352D8E" w14:textId="77777777" w:rsidR="00EF54E3" w:rsidRDefault="00EF54E3" w:rsidP="00727CDE">
      <w:pPr>
        <w:pStyle w:val="Numlist"/>
        <w:numPr>
          <w:ilvl w:val="0"/>
          <w:numId w:val="65"/>
        </w:numPr>
        <w:tabs>
          <w:tab w:val="left" w:pos="284"/>
        </w:tabs>
        <w:spacing w:line="360" w:lineRule="auto"/>
        <w:ind w:left="0" w:firstLine="284"/>
        <w:jc w:val="both"/>
      </w:pPr>
      <w:r>
        <w:t xml:space="preserve">КТ костей позвоночника, таза, грудной полости – контроль размеров плазмоцитом - для оценки противоопухолевого ответа. </w:t>
      </w:r>
    </w:p>
    <w:p w14:paraId="66218B35" w14:textId="77777777" w:rsidR="00EF54E3" w:rsidRDefault="00EF54E3" w:rsidP="00727CDE">
      <w:pPr>
        <w:pStyle w:val="Numlist"/>
        <w:numPr>
          <w:ilvl w:val="0"/>
          <w:numId w:val="65"/>
        </w:numPr>
        <w:tabs>
          <w:tab w:val="left" w:pos="284"/>
        </w:tabs>
        <w:spacing w:line="360" w:lineRule="auto"/>
        <w:ind w:left="0" w:firstLine="284"/>
        <w:jc w:val="both"/>
      </w:pPr>
      <w:r>
        <w:t>Позитронно-эмиссионная томография, совмещенная с КТ – при достижении полной ремиссии заболевания.</w:t>
      </w:r>
    </w:p>
    <w:p w14:paraId="2FE667C4" w14:textId="77777777" w:rsidR="00EF54E3" w:rsidRDefault="00EF54E3" w:rsidP="00727CDE">
      <w:pPr>
        <w:pStyle w:val="Numlist"/>
        <w:numPr>
          <w:ilvl w:val="0"/>
          <w:numId w:val="65"/>
        </w:numPr>
        <w:tabs>
          <w:tab w:val="left" w:pos="284"/>
        </w:tabs>
        <w:spacing w:line="360" w:lineRule="auto"/>
        <w:ind w:left="0" w:firstLine="284"/>
        <w:jc w:val="both"/>
      </w:pPr>
      <w:r>
        <w:t>Магнитно-резонансная томография области мягкотканного компонента для оценки размеров и противоопухолевого ответа.</w:t>
      </w:r>
    </w:p>
    <w:p w14:paraId="3527992E" w14:textId="77777777" w:rsidR="00EF54E3" w:rsidRPr="006A495D" w:rsidRDefault="00EF54E3" w:rsidP="00727CDE">
      <w:pPr>
        <w:pStyle w:val="Numlist"/>
        <w:numPr>
          <w:ilvl w:val="0"/>
          <w:numId w:val="65"/>
        </w:numPr>
        <w:tabs>
          <w:tab w:val="left" w:pos="284"/>
        </w:tabs>
        <w:spacing w:line="360" w:lineRule="auto"/>
        <w:ind w:left="0" w:firstLine="284"/>
        <w:jc w:val="both"/>
      </w:pPr>
      <w:r>
        <w:t>Электрокардиограмма.</w:t>
      </w:r>
    </w:p>
    <w:p w14:paraId="4B2C3E6B" w14:textId="77777777" w:rsidR="00EF54E3" w:rsidRDefault="00EF54E3" w:rsidP="00727CDE">
      <w:pPr>
        <w:pStyle w:val="Numlist"/>
        <w:numPr>
          <w:ilvl w:val="0"/>
          <w:numId w:val="65"/>
        </w:numPr>
        <w:tabs>
          <w:tab w:val="left" w:pos="284"/>
        </w:tabs>
        <w:spacing w:line="360" w:lineRule="auto"/>
        <w:ind w:left="0" w:firstLine="284"/>
        <w:jc w:val="both"/>
      </w:pPr>
      <w:r w:rsidRPr="005A330B">
        <w:t>Эхокардиография</w:t>
      </w:r>
      <w:r>
        <w:t>.</w:t>
      </w:r>
    </w:p>
    <w:p w14:paraId="7B637E5C" w14:textId="77777777" w:rsidR="00EF54E3" w:rsidRDefault="00EF54E3" w:rsidP="00727CDE">
      <w:pPr>
        <w:pStyle w:val="Numlist"/>
        <w:numPr>
          <w:ilvl w:val="0"/>
          <w:numId w:val="65"/>
        </w:numPr>
        <w:tabs>
          <w:tab w:val="left" w:pos="284"/>
        </w:tabs>
        <w:spacing w:line="360" w:lineRule="auto"/>
        <w:ind w:left="0" w:firstLine="284"/>
        <w:jc w:val="both"/>
      </w:pPr>
      <w:r>
        <w:t>Холтеровское мониторирование сердечного ритма – при выявлении нарушений ритма и проводимости на ЭКГ.</w:t>
      </w:r>
    </w:p>
    <w:p w14:paraId="32F39A6A" w14:textId="77777777" w:rsidR="00EF54E3" w:rsidRDefault="00EF54E3" w:rsidP="00727CDE">
      <w:pPr>
        <w:pStyle w:val="Numlist"/>
        <w:numPr>
          <w:ilvl w:val="0"/>
          <w:numId w:val="65"/>
        </w:numPr>
        <w:tabs>
          <w:tab w:val="left" w:pos="284"/>
        </w:tabs>
        <w:spacing w:line="360" w:lineRule="auto"/>
        <w:ind w:left="0" w:firstLine="284"/>
        <w:jc w:val="both"/>
      </w:pPr>
      <w:r>
        <w:t>УЗИ брюшной полости (комплексное).</w:t>
      </w:r>
    </w:p>
    <w:p w14:paraId="4677AC40" w14:textId="5F03D492" w:rsidR="00EF54E3" w:rsidRPr="004C0C25" w:rsidRDefault="00EF54E3" w:rsidP="00727CDE">
      <w:pPr>
        <w:pStyle w:val="Numlist"/>
        <w:numPr>
          <w:ilvl w:val="0"/>
          <w:numId w:val="65"/>
        </w:numPr>
        <w:tabs>
          <w:tab w:val="left" w:pos="284"/>
        </w:tabs>
        <w:spacing w:line="360" w:lineRule="auto"/>
        <w:ind w:left="0" w:firstLine="284"/>
        <w:jc w:val="both"/>
      </w:pPr>
      <w:r w:rsidRPr="004C0C25">
        <w:t>Ультразвуковая допплерография сосудов (артерий и вен) нижних конечностей - при необходимости</w:t>
      </w:r>
      <w:r w:rsidR="005F555B" w:rsidRPr="004C0C25">
        <w:t xml:space="preserve"> (при необходимости)</w:t>
      </w:r>
      <w:r w:rsidRPr="004C0C25">
        <w:t>.</w:t>
      </w:r>
    </w:p>
    <w:p w14:paraId="7817E19F" w14:textId="7DA07E27" w:rsidR="00EF54E3" w:rsidRPr="004C0C25" w:rsidRDefault="00EF54E3" w:rsidP="00727CDE">
      <w:pPr>
        <w:pStyle w:val="Numlist"/>
        <w:numPr>
          <w:ilvl w:val="0"/>
          <w:numId w:val="65"/>
        </w:numPr>
        <w:tabs>
          <w:tab w:val="left" w:pos="284"/>
        </w:tabs>
        <w:spacing w:line="360" w:lineRule="auto"/>
        <w:ind w:left="0" w:firstLine="284"/>
        <w:jc w:val="both"/>
      </w:pPr>
      <w:r w:rsidRPr="004C0C25">
        <w:t>Эзофагогастродуоденоскопия с биопсией</w:t>
      </w:r>
      <w:r w:rsidR="005F555B" w:rsidRPr="004C0C25">
        <w:t xml:space="preserve"> (при необходимости)</w:t>
      </w:r>
      <w:r w:rsidRPr="004C0C25">
        <w:t>.</w:t>
      </w:r>
    </w:p>
    <w:p w14:paraId="473790D0" w14:textId="37FC8242" w:rsidR="00EF54E3" w:rsidRDefault="00EF54E3" w:rsidP="00727CDE">
      <w:pPr>
        <w:pStyle w:val="Numlist"/>
        <w:numPr>
          <w:ilvl w:val="0"/>
          <w:numId w:val="65"/>
        </w:numPr>
        <w:tabs>
          <w:tab w:val="left" w:pos="284"/>
        </w:tabs>
        <w:spacing w:line="360" w:lineRule="auto"/>
        <w:ind w:left="0" w:firstLine="284"/>
        <w:jc w:val="both"/>
      </w:pPr>
      <w:r w:rsidRPr="006A495D">
        <w:t>МРТ головного мозга</w:t>
      </w:r>
      <w:r w:rsidR="000713B4">
        <w:t xml:space="preserve"> </w:t>
      </w:r>
      <w:r w:rsidRPr="006A495D">
        <w:t>.</w:t>
      </w:r>
      <w:r>
        <w:t xml:space="preserve"> </w:t>
      </w:r>
    </w:p>
    <w:p w14:paraId="39BB65BD" w14:textId="77777777" w:rsidR="00EF54E3" w:rsidRDefault="00EF54E3" w:rsidP="00727CDE">
      <w:pPr>
        <w:pStyle w:val="Numlist"/>
        <w:numPr>
          <w:ilvl w:val="0"/>
          <w:numId w:val="65"/>
        </w:numPr>
        <w:tabs>
          <w:tab w:val="left" w:pos="284"/>
        </w:tabs>
        <w:spacing w:line="360" w:lineRule="auto"/>
        <w:ind w:left="0" w:firstLine="284"/>
        <w:jc w:val="both"/>
      </w:pPr>
      <w:r w:rsidRPr="00A86E8D">
        <w:t>Подсчет стволовых клеток в биологическом материале методом проточной цитофлуориметрии</w:t>
      </w:r>
      <w:r>
        <w:t xml:space="preserve">. </w:t>
      </w:r>
    </w:p>
    <w:p w14:paraId="653AC5E5" w14:textId="77777777" w:rsidR="00EF54E3" w:rsidRPr="0031585B" w:rsidRDefault="00EF54E3" w:rsidP="00727CDE">
      <w:pPr>
        <w:pStyle w:val="Numlist"/>
        <w:numPr>
          <w:ilvl w:val="0"/>
          <w:numId w:val="65"/>
        </w:numPr>
        <w:tabs>
          <w:tab w:val="left" w:pos="284"/>
        </w:tabs>
        <w:spacing w:line="360" w:lineRule="auto"/>
        <w:ind w:left="0" w:firstLine="284"/>
        <w:jc w:val="both"/>
      </w:pPr>
      <w:r>
        <w:t>Люмбальная пункция с последующим цитологическим, комплексным иммунохимическим и иммунофенотипическим исследованием ликвора при подозрении на вовлечение в патологический процесс центральной нервной системы.</w:t>
      </w:r>
    </w:p>
    <w:p w14:paraId="1AC6D1E9" w14:textId="2F01BF20" w:rsidR="00EF54E3" w:rsidRPr="000713B4" w:rsidRDefault="000713B4" w:rsidP="000713B4">
      <w:pPr>
        <w:pStyle w:val="af0"/>
        <w:spacing w:line="360" w:lineRule="auto"/>
        <w:rPr>
          <w:b/>
        </w:rPr>
      </w:pPr>
      <w:r>
        <w:rPr>
          <w:b/>
        </w:rPr>
        <w:t>3</w:t>
      </w:r>
      <w:r w:rsidR="00EF54E3" w:rsidRPr="000713B4">
        <w:rPr>
          <w:b/>
        </w:rPr>
        <w:t>.4. Лабораторные и инструментальные методы исследования на этапе трансплантации аутологичных гемопоэтических клеток крови у больных симптоматической множественной миеломы</w:t>
      </w:r>
    </w:p>
    <w:p w14:paraId="586FAAD0" w14:textId="77777777" w:rsidR="00EF54E3" w:rsidRPr="006A495D" w:rsidRDefault="00EF54E3" w:rsidP="00727CDE">
      <w:pPr>
        <w:pStyle w:val="Numlist"/>
        <w:numPr>
          <w:ilvl w:val="0"/>
          <w:numId w:val="66"/>
        </w:numPr>
        <w:tabs>
          <w:tab w:val="left" w:pos="284"/>
        </w:tabs>
        <w:spacing w:before="240" w:line="360" w:lineRule="auto"/>
        <w:ind w:left="0" w:firstLine="284"/>
        <w:jc w:val="both"/>
      </w:pPr>
      <w:r>
        <w:t>Развернутый анализ крови.</w:t>
      </w:r>
    </w:p>
    <w:p w14:paraId="4EF8DF3A" w14:textId="77777777" w:rsidR="00EF54E3" w:rsidRPr="006A495D" w:rsidRDefault="00EF54E3" w:rsidP="00727CDE">
      <w:pPr>
        <w:pStyle w:val="Numlist"/>
        <w:numPr>
          <w:ilvl w:val="0"/>
          <w:numId w:val="66"/>
        </w:numPr>
        <w:tabs>
          <w:tab w:val="left" w:pos="284"/>
        </w:tabs>
        <w:spacing w:line="360" w:lineRule="auto"/>
        <w:ind w:left="0" w:firstLine="284"/>
        <w:jc w:val="both"/>
      </w:pPr>
      <w:r w:rsidRPr="006A495D">
        <w:t xml:space="preserve">Биохимический анализ крови с обязательным определением: </w:t>
      </w:r>
      <w:r>
        <w:t xml:space="preserve">уровней </w:t>
      </w:r>
      <w:r w:rsidRPr="006A495D">
        <w:t xml:space="preserve">общего белка, альбумина, креатинина, мочевой кислоты, калия, кальция, </w:t>
      </w:r>
      <w:r>
        <w:t xml:space="preserve">активности </w:t>
      </w:r>
      <w:r w:rsidRPr="006A495D">
        <w:t>ЛДГ.</w:t>
      </w:r>
    </w:p>
    <w:p w14:paraId="3C98A2F7" w14:textId="77777777" w:rsidR="00EF54E3" w:rsidRDefault="00EF54E3" w:rsidP="00727CDE">
      <w:pPr>
        <w:pStyle w:val="Numlist"/>
        <w:numPr>
          <w:ilvl w:val="0"/>
          <w:numId w:val="66"/>
        </w:numPr>
        <w:tabs>
          <w:tab w:val="left" w:pos="284"/>
        </w:tabs>
        <w:spacing w:line="360" w:lineRule="auto"/>
        <w:ind w:left="0" w:firstLine="284"/>
        <w:jc w:val="both"/>
      </w:pPr>
      <w:r>
        <w:t>Общий анализ мочи.</w:t>
      </w:r>
    </w:p>
    <w:p w14:paraId="46B0B0FA" w14:textId="77777777" w:rsidR="00EF54E3" w:rsidRDefault="00EF54E3" w:rsidP="00727CDE">
      <w:pPr>
        <w:pStyle w:val="Numlist"/>
        <w:numPr>
          <w:ilvl w:val="0"/>
          <w:numId w:val="66"/>
        </w:numPr>
        <w:tabs>
          <w:tab w:val="left" w:pos="284"/>
        </w:tabs>
        <w:spacing w:line="360" w:lineRule="auto"/>
        <w:ind w:left="0" w:firstLine="284"/>
        <w:jc w:val="both"/>
      </w:pPr>
      <w:r w:rsidRPr="00100A57">
        <w:t>Определение количества белка в суточной моче</w:t>
      </w:r>
      <w:r>
        <w:t>.</w:t>
      </w:r>
    </w:p>
    <w:p w14:paraId="03823918" w14:textId="77777777" w:rsidR="00EF54E3" w:rsidRDefault="00EF54E3" w:rsidP="00727CDE">
      <w:pPr>
        <w:pStyle w:val="Numlist"/>
        <w:numPr>
          <w:ilvl w:val="0"/>
          <w:numId w:val="66"/>
        </w:numPr>
        <w:tabs>
          <w:tab w:val="left" w:pos="284"/>
        </w:tabs>
        <w:spacing w:line="360" w:lineRule="auto"/>
        <w:ind w:left="0" w:firstLine="284"/>
        <w:jc w:val="both"/>
      </w:pPr>
      <w:r>
        <w:lastRenderedPageBreak/>
        <w:t>Определение скорости клубочковой фильтрации.</w:t>
      </w:r>
    </w:p>
    <w:p w14:paraId="35D51221" w14:textId="77777777" w:rsidR="00EF54E3" w:rsidRDefault="00EF54E3" w:rsidP="00727CDE">
      <w:pPr>
        <w:pStyle w:val="Numlist"/>
        <w:numPr>
          <w:ilvl w:val="0"/>
          <w:numId w:val="66"/>
        </w:numPr>
        <w:tabs>
          <w:tab w:val="left" w:pos="284"/>
        </w:tabs>
        <w:spacing w:line="360" w:lineRule="auto"/>
        <w:ind w:left="0" w:firstLine="284"/>
        <w:jc w:val="both"/>
      </w:pPr>
      <w:r>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4A254F9C" w14:textId="77777777" w:rsidR="00EF54E3" w:rsidRPr="006A495D" w:rsidRDefault="00EF54E3" w:rsidP="00727CDE">
      <w:pPr>
        <w:pStyle w:val="Numlist"/>
        <w:numPr>
          <w:ilvl w:val="0"/>
          <w:numId w:val="66"/>
        </w:numPr>
        <w:tabs>
          <w:tab w:val="left" w:pos="284"/>
        </w:tabs>
        <w:spacing w:line="360" w:lineRule="auto"/>
        <w:ind w:left="0" w:firstLine="284"/>
        <w:jc w:val="both"/>
      </w:pPr>
      <w:r>
        <w:t>Комплексное и</w:t>
      </w:r>
      <w:r w:rsidRPr="006A495D">
        <w:t>ммунохимическое исследование сыворотки и мочи</w:t>
      </w:r>
      <w:r>
        <w:t xml:space="preserve">, включающее </w:t>
      </w:r>
    </w:p>
    <w:p w14:paraId="146BE26D" w14:textId="77777777" w:rsidR="00EF54E3" w:rsidRPr="006A495D" w:rsidRDefault="00EF54E3" w:rsidP="00EF54E3">
      <w:pPr>
        <w:pStyle w:val="Numlist"/>
        <w:tabs>
          <w:tab w:val="left" w:pos="284"/>
        </w:tabs>
        <w:spacing w:line="360" w:lineRule="auto"/>
        <w:ind w:firstLine="284"/>
        <w:jc w:val="both"/>
      </w:pPr>
      <w:r w:rsidRPr="006A495D">
        <w:t>- электрофорез и иммунофи</w:t>
      </w:r>
      <w:r>
        <w:t>ксация белков сыворотки и мочи с определением белка Бенс-Джонса;</w:t>
      </w:r>
    </w:p>
    <w:p w14:paraId="09DA1F68" w14:textId="77777777" w:rsidR="00EF54E3" w:rsidRPr="006A495D" w:rsidRDefault="00EF54E3" w:rsidP="00EF54E3">
      <w:pPr>
        <w:pStyle w:val="Numlist"/>
        <w:tabs>
          <w:tab w:val="left" w:pos="284"/>
        </w:tabs>
        <w:spacing w:line="360" w:lineRule="auto"/>
        <w:ind w:firstLine="284"/>
        <w:jc w:val="both"/>
      </w:pPr>
      <w:r w:rsidRPr="006A495D">
        <w:t>- определение уровня п</w:t>
      </w:r>
      <w:r>
        <w:t>оликлональных иммуноглобулинов (</w:t>
      </w:r>
      <w:r>
        <w:rPr>
          <w:lang w:val="en-US"/>
        </w:rPr>
        <w:t>A</w:t>
      </w:r>
      <w:r w:rsidRPr="00027FD8">
        <w:t xml:space="preserve">, </w:t>
      </w:r>
      <w:r>
        <w:rPr>
          <w:lang w:val="en-US"/>
        </w:rPr>
        <w:t>G</w:t>
      </w:r>
      <w:r w:rsidRPr="00027FD8">
        <w:t>,</w:t>
      </w:r>
      <w:r>
        <w:rPr>
          <w:lang w:val="en-US"/>
        </w:rPr>
        <w:t>M</w:t>
      </w:r>
      <w:r w:rsidRPr="00027FD8">
        <w:t>)</w:t>
      </w:r>
      <w:r>
        <w:t>;</w:t>
      </w:r>
    </w:p>
    <w:p w14:paraId="0FF387EA" w14:textId="77777777" w:rsidR="00EF54E3" w:rsidRPr="006A495D" w:rsidRDefault="00EF54E3" w:rsidP="00EF54E3">
      <w:pPr>
        <w:pStyle w:val="Numlist"/>
        <w:tabs>
          <w:tab w:val="left" w:pos="284"/>
        </w:tabs>
        <w:spacing w:line="360" w:lineRule="auto"/>
        <w:ind w:firstLine="284"/>
        <w:jc w:val="both"/>
      </w:pPr>
      <w:r w:rsidRPr="006A495D">
        <w:t xml:space="preserve">- определение свободных легких цепей </w:t>
      </w:r>
      <w:r>
        <w:t>и их соотношения при «неизмеряемом» заболевании.</w:t>
      </w:r>
    </w:p>
    <w:p w14:paraId="0CB1D927" w14:textId="77777777" w:rsidR="00EF54E3" w:rsidRPr="006A495D" w:rsidRDefault="00EF54E3" w:rsidP="00727CDE">
      <w:pPr>
        <w:pStyle w:val="Numlist"/>
        <w:numPr>
          <w:ilvl w:val="0"/>
          <w:numId w:val="66"/>
        </w:numPr>
        <w:tabs>
          <w:tab w:val="left" w:pos="284"/>
        </w:tabs>
        <w:spacing w:line="360" w:lineRule="auto"/>
        <w:ind w:left="0" w:firstLine="284"/>
        <w:jc w:val="both"/>
      </w:pPr>
      <w:r w:rsidRPr="006A495D">
        <w:t xml:space="preserve">Пункция костного мозга </w:t>
      </w:r>
      <w:r>
        <w:t xml:space="preserve">с </w:t>
      </w:r>
      <w:r w:rsidRPr="006A495D">
        <w:t>подсчет</w:t>
      </w:r>
      <w:r>
        <w:t xml:space="preserve"> миелограммы</w:t>
      </w:r>
      <w:r w:rsidRPr="006A495D">
        <w:t>.</w:t>
      </w:r>
    </w:p>
    <w:p w14:paraId="1DE4690A" w14:textId="66E5ECAC" w:rsidR="00EF54E3" w:rsidRDefault="004C0C25" w:rsidP="00727CDE">
      <w:pPr>
        <w:pStyle w:val="Numlist"/>
        <w:numPr>
          <w:ilvl w:val="0"/>
          <w:numId w:val="66"/>
        </w:numPr>
        <w:tabs>
          <w:tab w:val="left" w:pos="284"/>
        </w:tabs>
        <w:spacing w:line="360" w:lineRule="auto"/>
        <w:ind w:left="0" w:firstLine="284"/>
        <w:jc w:val="both"/>
      </w:pPr>
      <w:r>
        <w:t>Гистологическое</w:t>
      </w:r>
      <w:r w:rsidRPr="00100A57">
        <w:t xml:space="preserve"> </w:t>
      </w:r>
      <w:r w:rsidR="00EF54E3" w:rsidRPr="00100A57">
        <w:t>исследование биопсийного (операционного) материала костного мозга</w:t>
      </w:r>
      <w:r w:rsidR="00EF54E3">
        <w:t xml:space="preserve"> для оценки кроветворения.</w:t>
      </w:r>
    </w:p>
    <w:p w14:paraId="5E9E5D21" w14:textId="3C45F195" w:rsidR="00EF54E3" w:rsidRDefault="004C0C25" w:rsidP="00727CDE">
      <w:pPr>
        <w:pStyle w:val="Numlist"/>
        <w:numPr>
          <w:ilvl w:val="0"/>
          <w:numId w:val="66"/>
        </w:numPr>
        <w:tabs>
          <w:tab w:val="left" w:pos="284"/>
        </w:tabs>
        <w:spacing w:line="360" w:lineRule="auto"/>
        <w:ind w:left="0" w:firstLine="284"/>
        <w:jc w:val="both"/>
      </w:pPr>
      <w:r>
        <w:t>Гистологическое</w:t>
      </w:r>
      <w:r w:rsidRPr="00100A57">
        <w:t xml:space="preserve"> </w:t>
      </w:r>
      <w:r w:rsidR="00EF54E3" w:rsidRPr="00100A57">
        <w:t xml:space="preserve">исследование биопсийного (операционного) материала </w:t>
      </w:r>
      <w:r w:rsidR="00EF54E3">
        <w:t xml:space="preserve">плазмоцитомы и/или </w:t>
      </w:r>
      <w:r w:rsidR="00EF54E3" w:rsidRPr="00100A57">
        <w:t>костного мозга с применением иммуногистохимических методов</w:t>
      </w:r>
      <w:r w:rsidR="00EF54E3">
        <w:t xml:space="preserve"> - для оценки кроветворения.</w:t>
      </w:r>
    </w:p>
    <w:p w14:paraId="7C67932D" w14:textId="77777777" w:rsidR="00EF54E3" w:rsidRDefault="00EF54E3" w:rsidP="00727CDE">
      <w:pPr>
        <w:pStyle w:val="Numlist"/>
        <w:numPr>
          <w:ilvl w:val="0"/>
          <w:numId w:val="66"/>
        </w:numPr>
        <w:tabs>
          <w:tab w:val="left" w:pos="284"/>
        </w:tabs>
        <w:spacing w:line="360" w:lineRule="auto"/>
        <w:ind w:left="0" w:firstLine="284"/>
        <w:jc w:val="both"/>
      </w:pPr>
      <w:r w:rsidRPr="006A495D">
        <w:t>Иммунофенотипическое исследование костного мозга методом проточной цитометрии</w:t>
      </w:r>
      <w:r>
        <w:t xml:space="preserve"> при достижении полной ремиссии заболевания.</w:t>
      </w:r>
    </w:p>
    <w:p w14:paraId="2C861D89" w14:textId="77777777" w:rsidR="00EF54E3" w:rsidRDefault="00EF54E3" w:rsidP="00727CDE">
      <w:pPr>
        <w:pStyle w:val="Numlist"/>
        <w:numPr>
          <w:ilvl w:val="0"/>
          <w:numId w:val="66"/>
        </w:numPr>
        <w:tabs>
          <w:tab w:val="left" w:pos="284"/>
        </w:tabs>
        <w:spacing w:line="360" w:lineRule="auto"/>
        <w:ind w:left="0" w:firstLine="284"/>
        <w:jc w:val="both"/>
      </w:pPr>
      <w:r>
        <w:t>Определение группы крови (</w:t>
      </w:r>
      <w:r w:rsidRPr="00100A57">
        <w:rPr>
          <w:lang w:val="en-US"/>
        </w:rPr>
        <w:t>ABO</w:t>
      </w:r>
      <w:r w:rsidRPr="00100A57">
        <w:t xml:space="preserve">, </w:t>
      </w:r>
      <w:r>
        <w:t xml:space="preserve">Резус, </w:t>
      </w:r>
      <w:r w:rsidRPr="00100A57">
        <w:t>фенотип по</w:t>
      </w:r>
      <w:r>
        <w:t xml:space="preserve"> антигенам C, c, E, e, Cw, K, k, а также </w:t>
      </w:r>
      <w:r w:rsidRPr="00100A57">
        <w:t>определение антиэритроцитарных антител</w:t>
      </w:r>
      <w:r>
        <w:t>).</w:t>
      </w:r>
    </w:p>
    <w:p w14:paraId="3027D1BC" w14:textId="77777777" w:rsidR="00EF54E3" w:rsidRPr="006A495D" w:rsidRDefault="00EF54E3" w:rsidP="00727CDE">
      <w:pPr>
        <w:pStyle w:val="Numlist"/>
        <w:numPr>
          <w:ilvl w:val="0"/>
          <w:numId w:val="66"/>
        </w:numPr>
        <w:tabs>
          <w:tab w:val="left" w:pos="284"/>
        </w:tabs>
        <w:spacing w:line="360" w:lineRule="auto"/>
        <w:ind w:left="0" w:firstLine="284"/>
        <w:jc w:val="both"/>
      </w:pPr>
      <w:r>
        <w:t>Исследование на м</w:t>
      </w:r>
      <w:r w:rsidRPr="006A495D">
        <w:t>аркеры вирусов гепатит</w:t>
      </w:r>
      <w:r>
        <w:t>ов</w:t>
      </w:r>
      <w:r>
        <w:rPr>
          <w:lang w:val="en-US"/>
        </w:rPr>
        <w:t> B</w:t>
      </w:r>
      <w:r w:rsidRPr="006A495D">
        <w:t xml:space="preserve"> и </w:t>
      </w:r>
      <w:r>
        <w:rPr>
          <w:lang w:val="en-US"/>
        </w:rPr>
        <w:t>C</w:t>
      </w:r>
      <w:r w:rsidRPr="006A495D">
        <w:t xml:space="preserve">, </w:t>
      </w:r>
      <w:r>
        <w:t>ВИЧ.</w:t>
      </w:r>
    </w:p>
    <w:p w14:paraId="02A5DF49" w14:textId="77777777" w:rsidR="00EF54E3" w:rsidRDefault="00EF54E3" w:rsidP="00727CDE">
      <w:pPr>
        <w:pStyle w:val="Numlist"/>
        <w:numPr>
          <w:ilvl w:val="0"/>
          <w:numId w:val="66"/>
        </w:numPr>
        <w:tabs>
          <w:tab w:val="left" w:pos="284"/>
        </w:tabs>
        <w:spacing w:line="360" w:lineRule="auto"/>
        <w:ind w:left="0" w:firstLine="284"/>
        <w:jc w:val="both"/>
      </w:pPr>
      <w:r>
        <w:t xml:space="preserve">КТ костей позвоночника, таза, грудной полости – контроль размеров плазмоцитом - для оценки противоопухолевого ответа. </w:t>
      </w:r>
    </w:p>
    <w:p w14:paraId="307399A9" w14:textId="77777777" w:rsidR="00EF54E3" w:rsidRDefault="00EF54E3" w:rsidP="00727CDE">
      <w:pPr>
        <w:pStyle w:val="Numlist"/>
        <w:numPr>
          <w:ilvl w:val="0"/>
          <w:numId w:val="66"/>
        </w:numPr>
        <w:tabs>
          <w:tab w:val="left" w:pos="284"/>
        </w:tabs>
        <w:spacing w:line="360" w:lineRule="auto"/>
        <w:ind w:left="0" w:firstLine="284"/>
        <w:jc w:val="both"/>
      </w:pPr>
      <w:r>
        <w:t>Позитронно-эмиссионная томография, совмещенная с КТ – при достижении полной ремиссии заболевания.</w:t>
      </w:r>
    </w:p>
    <w:p w14:paraId="5DDAAD54" w14:textId="77777777" w:rsidR="00EF54E3" w:rsidRDefault="00EF54E3" w:rsidP="00727CDE">
      <w:pPr>
        <w:pStyle w:val="Numlist"/>
        <w:numPr>
          <w:ilvl w:val="0"/>
          <w:numId w:val="66"/>
        </w:numPr>
        <w:tabs>
          <w:tab w:val="left" w:pos="284"/>
        </w:tabs>
        <w:spacing w:line="360" w:lineRule="auto"/>
        <w:ind w:left="0" w:firstLine="284"/>
        <w:jc w:val="both"/>
      </w:pPr>
      <w:r>
        <w:t>Магнитно-резонансная томография области мягкотканного компонента для оценки размеров и противоопухолевого ответа.</w:t>
      </w:r>
    </w:p>
    <w:p w14:paraId="2938648E" w14:textId="77777777" w:rsidR="00EF54E3" w:rsidRPr="006A495D" w:rsidRDefault="00EF54E3" w:rsidP="00727CDE">
      <w:pPr>
        <w:pStyle w:val="Numlist"/>
        <w:numPr>
          <w:ilvl w:val="0"/>
          <w:numId w:val="66"/>
        </w:numPr>
        <w:tabs>
          <w:tab w:val="left" w:pos="284"/>
        </w:tabs>
        <w:spacing w:line="360" w:lineRule="auto"/>
        <w:ind w:left="0" w:firstLine="284"/>
        <w:jc w:val="both"/>
      </w:pPr>
      <w:r>
        <w:t>Электрокардиограмма.</w:t>
      </w:r>
    </w:p>
    <w:p w14:paraId="73766AC8" w14:textId="77777777" w:rsidR="00EF54E3" w:rsidRDefault="00EF54E3" w:rsidP="00727CDE">
      <w:pPr>
        <w:pStyle w:val="Numlist"/>
        <w:numPr>
          <w:ilvl w:val="0"/>
          <w:numId w:val="66"/>
        </w:numPr>
        <w:tabs>
          <w:tab w:val="left" w:pos="284"/>
        </w:tabs>
        <w:spacing w:line="360" w:lineRule="auto"/>
        <w:ind w:left="0" w:firstLine="284"/>
        <w:jc w:val="both"/>
      </w:pPr>
      <w:r w:rsidRPr="005A330B">
        <w:t>Эхокардиография</w:t>
      </w:r>
      <w:r>
        <w:t>.</w:t>
      </w:r>
    </w:p>
    <w:p w14:paraId="20EB7AA3" w14:textId="77777777" w:rsidR="00EF54E3" w:rsidRDefault="00EF54E3" w:rsidP="00727CDE">
      <w:pPr>
        <w:pStyle w:val="Numlist"/>
        <w:numPr>
          <w:ilvl w:val="0"/>
          <w:numId w:val="66"/>
        </w:numPr>
        <w:tabs>
          <w:tab w:val="left" w:pos="284"/>
        </w:tabs>
        <w:spacing w:line="360" w:lineRule="auto"/>
        <w:ind w:left="0" w:firstLine="284"/>
        <w:jc w:val="both"/>
      </w:pPr>
      <w:r>
        <w:t>Холтеровское мониторирование сердечного ритма – при выявлении нарушений ритма и проводимости на ЭКГ.</w:t>
      </w:r>
    </w:p>
    <w:p w14:paraId="04CC7BFC" w14:textId="77777777" w:rsidR="00EF54E3" w:rsidRDefault="00EF54E3" w:rsidP="00727CDE">
      <w:pPr>
        <w:pStyle w:val="Numlist"/>
        <w:numPr>
          <w:ilvl w:val="0"/>
          <w:numId w:val="66"/>
        </w:numPr>
        <w:tabs>
          <w:tab w:val="left" w:pos="284"/>
        </w:tabs>
        <w:spacing w:line="360" w:lineRule="auto"/>
        <w:ind w:left="0" w:firstLine="284"/>
        <w:jc w:val="both"/>
      </w:pPr>
      <w:r>
        <w:t>УЗИ брюшной полости (комплексное).</w:t>
      </w:r>
    </w:p>
    <w:p w14:paraId="33BD31F0" w14:textId="3C1F8E3C" w:rsidR="00EF54E3" w:rsidRPr="004C0C25" w:rsidRDefault="00EF54E3" w:rsidP="00727CDE">
      <w:pPr>
        <w:pStyle w:val="Numlist"/>
        <w:numPr>
          <w:ilvl w:val="0"/>
          <w:numId w:val="66"/>
        </w:numPr>
        <w:tabs>
          <w:tab w:val="left" w:pos="284"/>
        </w:tabs>
        <w:spacing w:line="360" w:lineRule="auto"/>
        <w:ind w:left="0" w:firstLine="284"/>
        <w:jc w:val="both"/>
      </w:pPr>
      <w:r w:rsidRPr="004C0C25">
        <w:t>Ультразвуковая допплерография сосудов (артерий и вен) нижних конечностей - при необходимости</w:t>
      </w:r>
      <w:r w:rsidR="005F555B" w:rsidRPr="004C0C25">
        <w:t xml:space="preserve"> (при необходимости)</w:t>
      </w:r>
      <w:r w:rsidRPr="004C0C25">
        <w:t>.</w:t>
      </w:r>
    </w:p>
    <w:p w14:paraId="7C319149" w14:textId="22D1756E" w:rsidR="00EF54E3" w:rsidRPr="004C0C25" w:rsidRDefault="00EF54E3" w:rsidP="00727CDE">
      <w:pPr>
        <w:pStyle w:val="Numlist"/>
        <w:numPr>
          <w:ilvl w:val="0"/>
          <w:numId w:val="66"/>
        </w:numPr>
        <w:tabs>
          <w:tab w:val="left" w:pos="284"/>
        </w:tabs>
        <w:spacing w:line="360" w:lineRule="auto"/>
        <w:ind w:left="0" w:firstLine="284"/>
        <w:jc w:val="both"/>
      </w:pPr>
      <w:r w:rsidRPr="004C0C25">
        <w:lastRenderedPageBreak/>
        <w:t>Эзофагогастродуоденоскопия с биопсией</w:t>
      </w:r>
      <w:r w:rsidR="005F555B" w:rsidRPr="004C0C25">
        <w:t xml:space="preserve"> (при необходимости)</w:t>
      </w:r>
      <w:r w:rsidRPr="004C0C25">
        <w:t>.</w:t>
      </w:r>
    </w:p>
    <w:p w14:paraId="149F9A34" w14:textId="77777777" w:rsidR="00EF54E3" w:rsidRPr="004C0C25" w:rsidRDefault="00EF54E3" w:rsidP="00727CDE">
      <w:pPr>
        <w:pStyle w:val="Numlist"/>
        <w:numPr>
          <w:ilvl w:val="0"/>
          <w:numId w:val="66"/>
        </w:numPr>
        <w:tabs>
          <w:tab w:val="left" w:pos="284"/>
        </w:tabs>
        <w:spacing w:line="360" w:lineRule="auto"/>
        <w:ind w:left="0" w:firstLine="284"/>
        <w:jc w:val="both"/>
      </w:pPr>
      <w:r w:rsidRPr="004C0C25">
        <w:t xml:space="preserve">МРТ головного мозга. </w:t>
      </w:r>
    </w:p>
    <w:p w14:paraId="49EB79F5" w14:textId="77777777" w:rsidR="00EF54E3" w:rsidRPr="004C0C25" w:rsidRDefault="00EF54E3" w:rsidP="00727CDE">
      <w:pPr>
        <w:pStyle w:val="Numlist"/>
        <w:numPr>
          <w:ilvl w:val="0"/>
          <w:numId w:val="66"/>
        </w:numPr>
        <w:tabs>
          <w:tab w:val="left" w:pos="284"/>
        </w:tabs>
        <w:spacing w:line="360" w:lineRule="auto"/>
        <w:ind w:left="0" w:firstLine="284"/>
        <w:jc w:val="both"/>
      </w:pPr>
      <w:r w:rsidRPr="004C0C25">
        <w:t>КТ органов грудной полости.</w:t>
      </w:r>
    </w:p>
    <w:p w14:paraId="69B28744" w14:textId="77777777" w:rsidR="00EF54E3" w:rsidRPr="0031585B" w:rsidRDefault="00EF54E3" w:rsidP="00727CDE">
      <w:pPr>
        <w:pStyle w:val="Numlist"/>
        <w:numPr>
          <w:ilvl w:val="0"/>
          <w:numId w:val="66"/>
        </w:numPr>
        <w:tabs>
          <w:tab w:val="left" w:pos="284"/>
        </w:tabs>
        <w:spacing w:line="360" w:lineRule="auto"/>
        <w:ind w:left="0" w:firstLine="284"/>
        <w:jc w:val="both"/>
      </w:pPr>
      <w:r>
        <w:t>Люмбальная пункция с последующим цитологическим, комплексным иммунохимическим и иммунофенотипическим исследованием ликвора при подозрении на вовлечение в патологический процесс центральной нервной системы или с целью диагностики инфекционного процесса на фоне миелотоксического агранулоцитоза.</w:t>
      </w:r>
    </w:p>
    <w:p w14:paraId="00FC1EB0" w14:textId="3F53F257" w:rsidR="00EF54E3" w:rsidRPr="000713B4" w:rsidRDefault="000713B4" w:rsidP="000713B4">
      <w:pPr>
        <w:pStyle w:val="af0"/>
        <w:spacing w:line="360" w:lineRule="auto"/>
        <w:rPr>
          <w:b/>
        </w:rPr>
      </w:pPr>
      <w:r>
        <w:rPr>
          <w:b/>
        </w:rPr>
        <w:t>3</w:t>
      </w:r>
      <w:r w:rsidR="00EF54E3" w:rsidRPr="000713B4">
        <w:rPr>
          <w:b/>
        </w:rPr>
        <w:t>.5 Лабораторные и инструментальные методы исследования на этапе диспансерного наблюдения больных симптоматической множественной миеломой</w:t>
      </w:r>
    </w:p>
    <w:p w14:paraId="6331F763" w14:textId="77777777" w:rsidR="00EF54E3" w:rsidRPr="006A495D" w:rsidRDefault="00EF54E3" w:rsidP="00727CDE">
      <w:pPr>
        <w:pStyle w:val="Numlist"/>
        <w:numPr>
          <w:ilvl w:val="0"/>
          <w:numId w:val="67"/>
        </w:numPr>
        <w:tabs>
          <w:tab w:val="left" w:pos="284"/>
        </w:tabs>
        <w:spacing w:before="240" w:line="360" w:lineRule="auto"/>
        <w:ind w:left="0" w:firstLine="284"/>
        <w:jc w:val="both"/>
      </w:pPr>
      <w:r>
        <w:t>Развернутый анализ крови.</w:t>
      </w:r>
    </w:p>
    <w:p w14:paraId="0EEC8CAD" w14:textId="77777777" w:rsidR="00EF54E3" w:rsidRPr="006A495D" w:rsidRDefault="00EF54E3" w:rsidP="00727CDE">
      <w:pPr>
        <w:pStyle w:val="Numlist"/>
        <w:numPr>
          <w:ilvl w:val="0"/>
          <w:numId w:val="67"/>
        </w:numPr>
        <w:tabs>
          <w:tab w:val="left" w:pos="284"/>
        </w:tabs>
        <w:spacing w:line="360" w:lineRule="auto"/>
        <w:ind w:left="0" w:firstLine="284"/>
        <w:jc w:val="both"/>
      </w:pPr>
      <w:r w:rsidRPr="006A495D">
        <w:t xml:space="preserve">Биохимический анализ крови с обязательным определением: </w:t>
      </w:r>
      <w:r>
        <w:t xml:space="preserve">уровней </w:t>
      </w:r>
      <w:r w:rsidRPr="006A495D">
        <w:t xml:space="preserve">общего белка, альбумина, креатинина, мочевой кислоты, калия, кальция, </w:t>
      </w:r>
      <w:r>
        <w:t xml:space="preserve">активности </w:t>
      </w:r>
      <w:r w:rsidRPr="006A495D">
        <w:t>ЛДГ.</w:t>
      </w:r>
    </w:p>
    <w:p w14:paraId="23DD8385" w14:textId="77777777" w:rsidR="00EF54E3" w:rsidRDefault="00EF54E3" w:rsidP="00727CDE">
      <w:pPr>
        <w:pStyle w:val="Numlist"/>
        <w:numPr>
          <w:ilvl w:val="0"/>
          <w:numId w:val="67"/>
        </w:numPr>
        <w:tabs>
          <w:tab w:val="left" w:pos="284"/>
        </w:tabs>
        <w:spacing w:line="360" w:lineRule="auto"/>
        <w:ind w:left="0" w:firstLine="284"/>
        <w:jc w:val="both"/>
      </w:pPr>
      <w:r>
        <w:t>Общий анализ мочи.</w:t>
      </w:r>
    </w:p>
    <w:p w14:paraId="040B416A" w14:textId="77777777" w:rsidR="00EF54E3" w:rsidRDefault="00EF54E3" w:rsidP="00727CDE">
      <w:pPr>
        <w:pStyle w:val="Numlist"/>
        <w:numPr>
          <w:ilvl w:val="0"/>
          <w:numId w:val="67"/>
        </w:numPr>
        <w:tabs>
          <w:tab w:val="left" w:pos="284"/>
        </w:tabs>
        <w:spacing w:line="360" w:lineRule="auto"/>
        <w:ind w:left="0" w:firstLine="284"/>
        <w:jc w:val="both"/>
      </w:pPr>
      <w:r w:rsidRPr="00100A57">
        <w:t>Определение количества белка в суточной моче</w:t>
      </w:r>
      <w:r>
        <w:t>.</w:t>
      </w:r>
    </w:p>
    <w:p w14:paraId="3ED9268C" w14:textId="77777777" w:rsidR="00EF54E3" w:rsidRDefault="00EF54E3" w:rsidP="00727CDE">
      <w:pPr>
        <w:pStyle w:val="Numlist"/>
        <w:numPr>
          <w:ilvl w:val="0"/>
          <w:numId w:val="67"/>
        </w:numPr>
        <w:tabs>
          <w:tab w:val="left" w:pos="284"/>
        </w:tabs>
        <w:spacing w:line="360" w:lineRule="auto"/>
        <w:ind w:left="0" w:firstLine="284"/>
        <w:jc w:val="both"/>
      </w:pPr>
      <w:r>
        <w:t>Определение скорости клубочковой фильтрации.</w:t>
      </w:r>
    </w:p>
    <w:p w14:paraId="2BA894B0" w14:textId="77777777" w:rsidR="00EF54E3" w:rsidRDefault="00EF54E3" w:rsidP="00727CDE">
      <w:pPr>
        <w:pStyle w:val="Numlist"/>
        <w:numPr>
          <w:ilvl w:val="0"/>
          <w:numId w:val="67"/>
        </w:numPr>
        <w:tabs>
          <w:tab w:val="left" w:pos="284"/>
        </w:tabs>
        <w:spacing w:line="360" w:lineRule="auto"/>
        <w:ind w:left="0" w:firstLine="284"/>
        <w:jc w:val="both"/>
      </w:pPr>
      <w:r>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7D5CF6E1" w14:textId="2BFAF925" w:rsidR="00EF54E3" w:rsidRPr="006A495D" w:rsidRDefault="00EF54E3" w:rsidP="00727CDE">
      <w:pPr>
        <w:pStyle w:val="Numlist"/>
        <w:numPr>
          <w:ilvl w:val="0"/>
          <w:numId w:val="67"/>
        </w:numPr>
        <w:tabs>
          <w:tab w:val="left" w:pos="284"/>
        </w:tabs>
        <w:spacing w:line="360" w:lineRule="auto"/>
        <w:ind w:left="0" w:firstLine="284"/>
        <w:jc w:val="both"/>
      </w:pPr>
      <w:r>
        <w:t>Комплексное и</w:t>
      </w:r>
      <w:r w:rsidRPr="006A495D">
        <w:t>ммунохимическое исследование сыворотки и мочи</w:t>
      </w:r>
      <w:r w:rsidR="000713B4">
        <w:t xml:space="preserve"> (каждые три месяца)</w:t>
      </w:r>
      <w:r>
        <w:t xml:space="preserve">, включающее </w:t>
      </w:r>
    </w:p>
    <w:p w14:paraId="727818DC" w14:textId="77777777" w:rsidR="00EF54E3" w:rsidRPr="006A495D" w:rsidRDefault="00EF54E3" w:rsidP="00EF54E3">
      <w:pPr>
        <w:pStyle w:val="Numlist"/>
        <w:tabs>
          <w:tab w:val="left" w:pos="284"/>
        </w:tabs>
        <w:spacing w:line="360" w:lineRule="auto"/>
        <w:ind w:firstLine="284"/>
        <w:jc w:val="both"/>
      </w:pPr>
      <w:r w:rsidRPr="006A495D">
        <w:t>- электрофорез и иммунофи</w:t>
      </w:r>
      <w:r>
        <w:t>ксация белков сыворотки и мочи с определением белка Бенс-Джонса;</w:t>
      </w:r>
    </w:p>
    <w:p w14:paraId="045EAB2F" w14:textId="77777777" w:rsidR="00EF54E3" w:rsidRPr="006A495D" w:rsidRDefault="00EF54E3" w:rsidP="00EF54E3">
      <w:pPr>
        <w:pStyle w:val="Numlist"/>
        <w:tabs>
          <w:tab w:val="left" w:pos="284"/>
        </w:tabs>
        <w:spacing w:line="360" w:lineRule="auto"/>
        <w:ind w:firstLine="284"/>
        <w:jc w:val="both"/>
      </w:pPr>
      <w:r w:rsidRPr="006A495D">
        <w:t>- определение уровня п</w:t>
      </w:r>
      <w:r>
        <w:t>оликлональных иммуноглобулинов (</w:t>
      </w:r>
      <w:r>
        <w:rPr>
          <w:lang w:val="en-US"/>
        </w:rPr>
        <w:t>A</w:t>
      </w:r>
      <w:r w:rsidRPr="00027FD8">
        <w:t xml:space="preserve">, </w:t>
      </w:r>
      <w:r>
        <w:rPr>
          <w:lang w:val="en-US"/>
        </w:rPr>
        <w:t>G</w:t>
      </w:r>
      <w:r w:rsidRPr="00027FD8">
        <w:t>,</w:t>
      </w:r>
      <w:r>
        <w:rPr>
          <w:lang w:val="en-US"/>
        </w:rPr>
        <w:t>M</w:t>
      </w:r>
      <w:r w:rsidRPr="00027FD8">
        <w:t>)</w:t>
      </w:r>
      <w:r>
        <w:t>;</w:t>
      </w:r>
    </w:p>
    <w:p w14:paraId="3ED9D5E8" w14:textId="77777777" w:rsidR="00EF54E3" w:rsidRPr="006A495D" w:rsidRDefault="00EF54E3" w:rsidP="00EF54E3">
      <w:pPr>
        <w:pStyle w:val="Numlist"/>
        <w:tabs>
          <w:tab w:val="left" w:pos="284"/>
        </w:tabs>
        <w:spacing w:line="360" w:lineRule="auto"/>
        <w:ind w:firstLine="284"/>
        <w:jc w:val="both"/>
      </w:pPr>
      <w:r w:rsidRPr="006A495D">
        <w:t xml:space="preserve">- определение свободных легких цепей </w:t>
      </w:r>
      <w:r>
        <w:t>и их соотношения при «неизмеряемом» заболевании.</w:t>
      </w:r>
    </w:p>
    <w:p w14:paraId="45F00916" w14:textId="77777777" w:rsidR="00EF54E3" w:rsidRPr="006A495D" w:rsidRDefault="00EF54E3" w:rsidP="00727CDE">
      <w:pPr>
        <w:pStyle w:val="Numlist"/>
        <w:numPr>
          <w:ilvl w:val="0"/>
          <w:numId w:val="67"/>
        </w:numPr>
        <w:tabs>
          <w:tab w:val="left" w:pos="284"/>
        </w:tabs>
        <w:spacing w:line="360" w:lineRule="auto"/>
        <w:ind w:left="0" w:firstLine="284"/>
        <w:jc w:val="both"/>
      </w:pPr>
      <w:r w:rsidRPr="006A495D">
        <w:t xml:space="preserve">Пункция костного мозга </w:t>
      </w:r>
      <w:r>
        <w:t xml:space="preserve">с </w:t>
      </w:r>
      <w:r w:rsidRPr="006A495D">
        <w:t>подсчет</w:t>
      </w:r>
      <w:r>
        <w:t xml:space="preserve"> миелограммы – ежегодно</w:t>
      </w:r>
      <w:r w:rsidRPr="006A495D">
        <w:t>.</w:t>
      </w:r>
    </w:p>
    <w:p w14:paraId="0446C209" w14:textId="0877865F" w:rsidR="00EF54E3" w:rsidRPr="000713B4" w:rsidRDefault="000713B4" w:rsidP="000713B4">
      <w:pPr>
        <w:pStyle w:val="af0"/>
        <w:spacing w:line="360" w:lineRule="auto"/>
        <w:rPr>
          <w:b/>
        </w:rPr>
      </w:pPr>
      <w:r>
        <w:rPr>
          <w:b/>
        </w:rPr>
        <w:t>3</w:t>
      </w:r>
      <w:r w:rsidR="00EF54E3" w:rsidRPr="000713B4">
        <w:rPr>
          <w:b/>
        </w:rPr>
        <w:t>.6 Лабораторные и инструментальные методы исследования на этапе констатации рецидива/прогрессии симптоматической множественной миеломы</w:t>
      </w:r>
    </w:p>
    <w:p w14:paraId="298E8A0B" w14:textId="77777777" w:rsidR="00EF54E3" w:rsidRPr="006A495D" w:rsidRDefault="00EF54E3" w:rsidP="00727CDE">
      <w:pPr>
        <w:pStyle w:val="Numlist"/>
        <w:numPr>
          <w:ilvl w:val="0"/>
          <w:numId w:val="68"/>
        </w:numPr>
        <w:tabs>
          <w:tab w:val="left" w:pos="284"/>
        </w:tabs>
        <w:spacing w:before="240" w:line="360" w:lineRule="auto"/>
        <w:ind w:left="0" w:firstLine="284"/>
        <w:jc w:val="both"/>
      </w:pPr>
      <w:r>
        <w:t>Развернутый анализ крови.</w:t>
      </w:r>
    </w:p>
    <w:p w14:paraId="5C52995E" w14:textId="77777777" w:rsidR="00EF54E3" w:rsidRPr="006A495D" w:rsidRDefault="00EF54E3" w:rsidP="00727CDE">
      <w:pPr>
        <w:pStyle w:val="Numlist"/>
        <w:numPr>
          <w:ilvl w:val="0"/>
          <w:numId w:val="68"/>
        </w:numPr>
        <w:tabs>
          <w:tab w:val="left" w:pos="284"/>
        </w:tabs>
        <w:spacing w:line="360" w:lineRule="auto"/>
        <w:ind w:left="0" w:firstLine="284"/>
        <w:jc w:val="both"/>
      </w:pPr>
      <w:r w:rsidRPr="006A495D">
        <w:t xml:space="preserve">Биохимический анализ крови с обязательным определением: </w:t>
      </w:r>
      <w:r>
        <w:t xml:space="preserve">уровней </w:t>
      </w:r>
      <w:r w:rsidRPr="006A495D">
        <w:t xml:space="preserve">общего белка, альбумина, креатинина, мочевой кислоты, калия, кальция, </w:t>
      </w:r>
      <w:r>
        <w:t xml:space="preserve">активности </w:t>
      </w:r>
      <w:r w:rsidRPr="006A495D">
        <w:t>ЛДГ.</w:t>
      </w:r>
    </w:p>
    <w:p w14:paraId="67D28F07" w14:textId="77777777" w:rsidR="00EF54E3" w:rsidRDefault="00EF54E3" w:rsidP="00727CDE">
      <w:pPr>
        <w:pStyle w:val="Numlist"/>
        <w:numPr>
          <w:ilvl w:val="0"/>
          <w:numId w:val="68"/>
        </w:numPr>
        <w:tabs>
          <w:tab w:val="left" w:pos="284"/>
        </w:tabs>
        <w:spacing w:line="360" w:lineRule="auto"/>
        <w:ind w:left="0" w:firstLine="284"/>
        <w:jc w:val="both"/>
      </w:pPr>
      <w:r>
        <w:t>Общий анализ мочи.</w:t>
      </w:r>
    </w:p>
    <w:p w14:paraId="13C5DE41" w14:textId="77777777" w:rsidR="00EF54E3" w:rsidRDefault="00EF54E3" w:rsidP="00727CDE">
      <w:pPr>
        <w:pStyle w:val="Numlist"/>
        <w:numPr>
          <w:ilvl w:val="0"/>
          <w:numId w:val="68"/>
        </w:numPr>
        <w:tabs>
          <w:tab w:val="left" w:pos="284"/>
        </w:tabs>
        <w:spacing w:line="360" w:lineRule="auto"/>
        <w:ind w:left="0" w:firstLine="284"/>
        <w:jc w:val="both"/>
      </w:pPr>
      <w:r w:rsidRPr="00100A57">
        <w:t>Определение количества белка в суточной моче</w:t>
      </w:r>
      <w:r>
        <w:t>.</w:t>
      </w:r>
    </w:p>
    <w:p w14:paraId="28EC2DDE" w14:textId="77777777" w:rsidR="00EF54E3" w:rsidRDefault="00EF54E3" w:rsidP="00727CDE">
      <w:pPr>
        <w:pStyle w:val="Numlist"/>
        <w:numPr>
          <w:ilvl w:val="0"/>
          <w:numId w:val="68"/>
        </w:numPr>
        <w:tabs>
          <w:tab w:val="left" w:pos="284"/>
        </w:tabs>
        <w:spacing w:line="360" w:lineRule="auto"/>
        <w:ind w:left="0" w:firstLine="284"/>
        <w:jc w:val="both"/>
      </w:pPr>
      <w:r>
        <w:lastRenderedPageBreak/>
        <w:t>Определение скорости клубочковой фильтрации.</w:t>
      </w:r>
    </w:p>
    <w:p w14:paraId="07A877B7" w14:textId="77777777" w:rsidR="00EF54E3" w:rsidRDefault="00EF54E3" w:rsidP="00727CDE">
      <w:pPr>
        <w:pStyle w:val="Numlist"/>
        <w:numPr>
          <w:ilvl w:val="0"/>
          <w:numId w:val="68"/>
        </w:numPr>
        <w:tabs>
          <w:tab w:val="left" w:pos="284"/>
        </w:tabs>
        <w:spacing w:line="360" w:lineRule="auto"/>
        <w:ind w:left="0" w:firstLine="284"/>
        <w:jc w:val="both"/>
      </w:pPr>
      <w:r>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650567B1" w14:textId="77777777" w:rsidR="00EF54E3" w:rsidRPr="006A495D" w:rsidRDefault="00EF54E3" w:rsidP="00727CDE">
      <w:pPr>
        <w:pStyle w:val="Numlist"/>
        <w:numPr>
          <w:ilvl w:val="0"/>
          <w:numId w:val="68"/>
        </w:numPr>
        <w:tabs>
          <w:tab w:val="left" w:pos="284"/>
        </w:tabs>
        <w:spacing w:line="360" w:lineRule="auto"/>
        <w:ind w:left="0" w:firstLine="284"/>
        <w:jc w:val="both"/>
      </w:pPr>
      <w:r>
        <w:t>Комплексное и</w:t>
      </w:r>
      <w:r w:rsidRPr="006A495D">
        <w:t>ммунохимическое исследование сыворотки и мочи</w:t>
      </w:r>
      <w:r>
        <w:t xml:space="preserve">, включающее </w:t>
      </w:r>
    </w:p>
    <w:p w14:paraId="1B67E4B1" w14:textId="77777777" w:rsidR="00EF54E3" w:rsidRPr="006A495D" w:rsidRDefault="00EF54E3" w:rsidP="00EF54E3">
      <w:pPr>
        <w:pStyle w:val="Numlist"/>
        <w:tabs>
          <w:tab w:val="left" w:pos="284"/>
        </w:tabs>
        <w:spacing w:line="360" w:lineRule="auto"/>
        <w:ind w:firstLine="284"/>
        <w:jc w:val="both"/>
      </w:pPr>
      <w:r w:rsidRPr="006A495D">
        <w:t>- электрофорез и иммунофи</w:t>
      </w:r>
      <w:r>
        <w:t>ксация белков сыворотки и мочи с определением белка Бенс-Джонса;</w:t>
      </w:r>
    </w:p>
    <w:p w14:paraId="7BBD29A6" w14:textId="77777777" w:rsidR="00EF54E3" w:rsidRPr="006A495D" w:rsidRDefault="00EF54E3" w:rsidP="00EF54E3">
      <w:pPr>
        <w:pStyle w:val="Numlist"/>
        <w:tabs>
          <w:tab w:val="left" w:pos="284"/>
        </w:tabs>
        <w:spacing w:line="360" w:lineRule="auto"/>
        <w:ind w:firstLine="284"/>
        <w:jc w:val="both"/>
      </w:pPr>
      <w:r w:rsidRPr="006A495D">
        <w:t>- определение уровня п</w:t>
      </w:r>
      <w:r>
        <w:t>оликлональных иммуноглобулинов (</w:t>
      </w:r>
      <w:r>
        <w:rPr>
          <w:lang w:val="en-US"/>
        </w:rPr>
        <w:t>A</w:t>
      </w:r>
      <w:r w:rsidRPr="00027FD8">
        <w:t xml:space="preserve">, </w:t>
      </w:r>
      <w:r>
        <w:rPr>
          <w:lang w:val="en-US"/>
        </w:rPr>
        <w:t>G</w:t>
      </w:r>
      <w:r w:rsidRPr="00027FD8">
        <w:t>,</w:t>
      </w:r>
      <w:r>
        <w:rPr>
          <w:lang w:val="en-US"/>
        </w:rPr>
        <w:t>M</w:t>
      </w:r>
      <w:r w:rsidRPr="00027FD8">
        <w:t>)</w:t>
      </w:r>
      <w:r>
        <w:t>;</w:t>
      </w:r>
    </w:p>
    <w:p w14:paraId="22F3ACDC" w14:textId="77777777" w:rsidR="00EF54E3" w:rsidRPr="006A495D" w:rsidRDefault="00EF54E3" w:rsidP="00EF54E3">
      <w:pPr>
        <w:pStyle w:val="Numlist"/>
        <w:tabs>
          <w:tab w:val="left" w:pos="284"/>
        </w:tabs>
        <w:spacing w:line="360" w:lineRule="auto"/>
        <w:ind w:firstLine="284"/>
        <w:jc w:val="both"/>
      </w:pPr>
      <w:r w:rsidRPr="006A495D">
        <w:t xml:space="preserve">- определение свободных легких цепей </w:t>
      </w:r>
      <w:r>
        <w:t>и их соотношения при «неизмеряемом» заболевании.</w:t>
      </w:r>
    </w:p>
    <w:p w14:paraId="793B2872" w14:textId="77777777" w:rsidR="00EF54E3" w:rsidRPr="006A495D" w:rsidRDefault="00EF54E3" w:rsidP="00727CDE">
      <w:pPr>
        <w:pStyle w:val="Numlist"/>
        <w:numPr>
          <w:ilvl w:val="0"/>
          <w:numId w:val="68"/>
        </w:numPr>
        <w:tabs>
          <w:tab w:val="left" w:pos="284"/>
        </w:tabs>
        <w:spacing w:line="360" w:lineRule="auto"/>
        <w:ind w:left="0" w:firstLine="284"/>
        <w:jc w:val="both"/>
      </w:pPr>
      <w:r w:rsidRPr="006A495D">
        <w:t xml:space="preserve">Пункция костного мозга </w:t>
      </w:r>
      <w:r>
        <w:t xml:space="preserve">с </w:t>
      </w:r>
      <w:r w:rsidRPr="006A495D">
        <w:t>подсчет</w:t>
      </w:r>
      <w:r>
        <w:t>ом миелограммы</w:t>
      </w:r>
      <w:r w:rsidRPr="006A495D">
        <w:t>.</w:t>
      </w:r>
    </w:p>
    <w:p w14:paraId="6D8B83EA" w14:textId="713FD323" w:rsidR="00EF54E3" w:rsidRDefault="004C0C25" w:rsidP="00727CDE">
      <w:pPr>
        <w:pStyle w:val="Numlist"/>
        <w:numPr>
          <w:ilvl w:val="0"/>
          <w:numId w:val="68"/>
        </w:numPr>
        <w:tabs>
          <w:tab w:val="left" w:pos="284"/>
        </w:tabs>
        <w:spacing w:line="360" w:lineRule="auto"/>
        <w:ind w:left="0" w:firstLine="284"/>
        <w:jc w:val="both"/>
      </w:pPr>
      <w:r>
        <w:t>Гистологическое</w:t>
      </w:r>
      <w:r w:rsidR="006D1871">
        <w:t xml:space="preserve"> </w:t>
      </w:r>
      <w:r w:rsidR="00EF54E3" w:rsidRPr="00100A57">
        <w:t xml:space="preserve">исследование биопсийного (операционного) материала </w:t>
      </w:r>
      <w:r w:rsidR="00EF54E3">
        <w:t xml:space="preserve">плазмоцитомы и/или </w:t>
      </w:r>
      <w:r w:rsidR="00EF54E3" w:rsidRPr="00100A57">
        <w:t>костного мозга</w:t>
      </w:r>
      <w:r w:rsidR="00EF54E3">
        <w:t>.</w:t>
      </w:r>
    </w:p>
    <w:p w14:paraId="1C50946E" w14:textId="1D1917D9" w:rsidR="00EF54E3" w:rsidRDefault="004C0C25" w:rsidP="00727CDE">
      <w:pPr>
        <w:pStyle w:val="Numlist"/>
        <w:numPr>
          <w:ilvl w:val="0"/>
          <w:numId w:val="68"/>
        </w:numPr>
        <w:tabs>
          <w:tab w:val="left" w:pos="284"/>
        </w:tabs>
        <w:spacing w:line="360" w:lineRule="auto"/>
        <w:ind w:left="0" w:firstLine="284"/>
        <w:jc w:val="both"/>
      </w:pPr>
      <w:r>
        <w:t>Гистологическое</w:t>
      </w:r>
      <w:r w:rsidR="006D1871">
        <w:t xml:space="preserve"> </w:t>
      </w:r>
      <w:r w:rsidR="00EF54E3" w:rsidRPr="00100A57">
        <w:t xml:space="preserve">исследование биопсийного (операционного) материала </w:t>
      </w:r>
      <w:r w:rsidR="00EF54E3">
        <w:t xml:space="preserve">плазмоцитомы и/или </w:t>
      </w:r>
      <w:r w:rsidR="00EF54E3" w:rsidRPr="00100A57">
        <w:t>костного мозга с применением иммуногистохимических методов</w:t>
      </w:r>
      <w:r w:rsidR="00EF54E3">
        <w:t>.</w:t>
      </w:r>
    </w:p>
    <w:p w14:paraId="5A5B1381" w14:textId="77777777" w:rsidR="00EF54E3" w:rsidRDefault="00EF54E3" w:rsidP="00727CDE">
      <w:pPr>
        <w:pStyle w:val="Numlist"/>
        <w:numPr>
          <w:ilvl w:val="0"/>
          <w:numId w:val="68"/>
        </w:numPr>
        <w:tabs>
          <w:tab w:val="left" w:pos="284"/>
        </w:tabs>
        <w:spacing w:line="360" w:lineRule="auto"/>
        <w:ind w:left="0" w:firstLine="284"/>
        <w:jc w:val="both"/>
      </w:pPr>
      <w:r>
        <w:t>Определение группы крови (</w:t>
      </w:r>
      <w:r w:rsidRPr="00100A57">
        <w:rPr>
          <w:lang w:val="en-US"/>
        </w:rPr>
        <w:t>ABO</w:t>
      </w:r>
      <w:r w:rsidRPr="00100A57">
        <w:t xml:space="preserve">, </w:t>
      </w:r>
      <w:r>
        <w:t xml:space="preserve">Резус, </w:t>
      </w:r>
      <w:r w:rsidRPr="00100A57">
        <w:t>фенотип по</w:t>
      </w:r>
      <w:r>
        <w:t xml:space="preserve"> антигенам C, c, E, e, Cw, K, k, а также </w:t>
      </w:r>
      <w:r w:rsidRPr="00100A57">
        <w:t>определение антиэритроцитарных антител</w:t>
      </w:r>
      <w:r>
        <w:t xml:space="preserve"> при необходимости).</w:t>
      </w:r>
    </w:p>
    <w:p w14:paraId="73082A01" w14:textId="77777777" w:rsidR="00EF54E3" w:rsidRDefault="00EF54E3" w:rsidP="00727CDE">
      <w:pPr>
        <w:pStyle w:val="Numlist"/>
        <w:numPr>
          <w:ilvl w:val="0"/>
          <w:numId w:val="68"/>
        </w:numPr>
        <w:tabs>
          <w:tab w:val="left" w:pos="284"/>
        </w:tabs>
        <w:spacing w:line="360" w:lineRule="auto"/>
        <w:ind w:left="0" w:firstLine="284"/>
        <w:jc w:val="both"/>
      </w:pPr>
      <w:r>
        <w:t>Стандартное цитогенетическое исследование (кариотипирование).</w:t>
      </w:r>
    </w:p>
    <w:p w14:paraId="1B406905" w14:textId="77777777" w:rsidR="00EF54E3" w:rsidRDefault="00EF54E3" w:rsidP="00727CDE">
      <w:pPr>
        <w:pStyle w:val="Numlist"/>
        <w:numPr>
          <w:ilvl w:val="0"/>
          <w:numId w:val="68"/>
        </w:numPr>
        <w:tabs>
          <w:tab w:val="left" w:pos="284"/>
        </w:tabs>
        <w:spacing w:line="360" w:lineRule="auto"/>
        <w:ind w:left="0" w:firstLine="284"/>
        <w:jc w:val="both"/>
      </w:pPr>
      <w:r w:rsidRPr="00100A57">
        <w:t>Молекулярно-цитогенетическое исследование (FISH-метод)</w:t>
      </w:r>
      <w:r>
        <w:t xml:space="preserve"> для выявления наиболее прогностически важных цитогенетических аномалий</w:t>
      </w:r>
      <w:r w:rsidRPr="005A330B">
        <w:t xml:space="preserve">: </w:t>
      </w:r>
      <w:r w:rsidRPr="005A330B">
        <w:rPr>
          <w:lang w:val="en-US"/>
        </w:rPr>
        <w:t>t</w:t>
      </w:r>
      <w:r w:rsidRPr="005A330B">
        <w:t xml:space="preserve">(4;14), </w:t>
      </w:r>
      <w:r w:rsidRPr="005A330B">
        <w:rPr>
          <w:lang w:val="en-US"/>
        </w:rPr>
        <w:t>t</w:t>
      </w:r>
      <w:r w:rsidRPr="005A330B">
        <w:t xml:space="preserve">(14;16), </w:t>
      </w:r>
      <w:r w:rsidRPr="005A330B">
        <w:rPr>
          <w:lang w:val="en-US"/>
        </w:rPr>
        <w:t>t</w:t>
      </w:r>
      <w:r w:rsidRPr="005A330B">
        <w:t xml:space="preserve">(6;14), </w:t>
      </w:r>
      <w:r w:rsidRPr="005A330B">
        <w:rPr>
          <w:lang w:val="en-US"/>
        </w:rPr>
        <w:t>del</w:t>
      </w:r>
      <w:r w:rsidRPr="005A330B">
        <w:t xml:space="preserve"> 17</w:t>
      </w:r>
      <w:r w:rsidRPr="005A330B">
        <w:rPr>
          <w:lang w:val="en-US"/>
        </w:rPr>
        <w:t>p</w:t>
      </w:r>
      <w:r w:rsidRPr="005A330B">
        <w:t xml:space="preserve">13, </w:t>
      </w:r>
      <w:r w:rsidRPr="005A330B">
        <w:rPr>
          <w:lang w:val="en-US"/>
        </w:rPr>
        <w:t>t</w:t>
      </w:r>
      <w:r w:rsidRPr="005A330B">
        <w:t xml:space="preserve">(11;14), </w:t>
      </w:r>
      <w:r w:rsidRPr="005A330B">
        <w:rPr>
          <w:lang w:val="en-US"/>
        </w:rPr>
        <w:t>del</w:t>
      </w:r>
      <w:r w:rsidRPr="005A330B">
        <w:t>13,</w:t>
      </w:r>
      <w:r>
        <w:t xml:space="preserve"> плоидности и изменений хромосомы 1.</w:t>
      </w:r>
    </w:p>
    <w:p w14:paraId="110993A6" w14:textId="77777777" w:rsidR="00EF54E3" w:rsidRPr="006A495D" w:rsidRDefault="00EF54E3" w:rsidP="00727CDE">
      <w:pPr>
        <w:pStyle w:val="Numlist"/>
        <w:numPr>
          <w:ilvl w:val="0"/>
          <w:numId w:val="68"/>
        </w:numPr>
        <w:tabs>
          <w:tab w:val="left" w:pos="284"/>
        </w:tabs>
        <w:spacing w:line="360" w:lineRule="auto"/>
        <w:ind w:left="0" w:firstLine="284"/>
        <w:jc w:val="both"/>
      </w:pPr>
      <w:r>
        <w:t>Исследование на м</w:t>
      </w:r>
      <w:r w:rsidRPr="006A495D">
        <w:t>аркеры вирусов гепатит</w:t>
      </w:r>
      <w:r>
        <w:t>ов</w:t>
      </w:r>
      <w:r>
        <w:rPr>
          <w:lang w:val="en-US"/>
        </w:rPr>
        <w:t> B</w:t>
      </w:r>
      <w:r w:rsidRPr="006A495D">
        <w:t xml:space="preserve"> и </w:t>
      </w:r>
      <w:r>
        <w:rPr>
          <w:lang w:val="en-US"/>
        </w:rPr>
        <w:t>C</w:t>
      </w:r>
      <w:r w:rsidRPr="006A495D">
        <w:t xml:space="preserve">, </w:t>
      </w:r>
      <w:r>
        <w:t>ВИЧ.</w:t>
      </w:r>
    </w:p>
    <w:p w14:paraId="37720EF0" w14:textId="77777777" w:rsidR="00EF54E3" w:rsidRDefault="00EF54E3" w:rsidP="00727CDE">
      <w:pPr>
        <w:pStyle w:val="Numlist"/>
        <w:numPr>
          <w:ilvl w:val="0"/>
          <w:numId w:val="68"/>
        </w:numPr>
        <w:tabs>
          <w:tab w:val="left" w:pos="284"/>
        </w:tabs>
        <w:spacing w:line="360" w:lineRule="auto"/>
        <w:ind w:left="0" w:firstLine="284"/>
        <w:jc w:val="both"/>
      </w:pPr>
      <w:r>
        <w:t>Низкодозная компьютерная томография костей скелета – предпочтительный метод визуализации.</w:t>
      </w:r>
    </w:p>
    <w:p w14:paraId="2DB3D98A" w14:textId="77777777" w:rsidR="00EF54E3" w:rsidRDefault="00EF54E3" w:rsidP="00727CDE">
      <w:pPr>
        <w:pStyle w:val="Numlist"/>
        <w:numPr>
          <w:ilvl w:val="0"/>
          <w:numId w:val="68"/>
        </w:numPr>
        <w:tabs>
          <w:tab w:val="left" w:pos="284"/>
        </w:tabs>
        <w:spacing w:line="360" w:lineRule="auto"/>
        <w:ind w:left="0" w:firstLine="284"/>
        <w:jc w:val="both"/>
      </w:pPr>
      <w:r>
        <w:t>КТ костей позвоночника, таза, грудной полости (при отсутствии возможности выполнения низкодозной КТ костей скелета).</w:t>
      </w:r>
    </w:p>
    <w:p w14:paraId="67AD607E" w14:textId="77777777" w:rsidR="00EF54E3" w:rsidRDefault="00EF54E3" w:rsidP="00727CDE">
      <w:pPr>
        <w:pStyle w:val="Numlist"/>
        <w:numPr>
          <w:ilvl w:val="0"/>
          <w:numId w:val="68"/>
        </w:numPr>
        <w:tabs>
          <w:tab w:val="left" w:pos="284"/>
        </w:tabs>
        <w:spacing w:line="360" w:lineRule="auto"/>
        <w:ind w:left="0" w:firstLine="284"/>
        <w:jc w:val="both"/>
      </w:pPr>
      <w:r>
        <w:t>Позитронно-эмиссионная томография, совмещенная с КТ (</w:t>
      </w:r>
      <w:r w:rsidRPr="00433BA2">
        <w:t>при отсутствии возможности выполнения низкодозной КТ костей скелета</w:t>
      </w:r>
      <w:r>
        <w:t xml:space="preserve"> и КТ в стандартном режиме).</w:t>
      </w:r>
    </w:p>
    <w:p w14:paraId="015BA80E" w14:textId="77777777" w:rsidR="00EF54E3" w:rsidRDefault="00EF54E3" w:rsidP="00727CDE">
      <w:pPr>
        <w:pStyle w:val="Numlist"/>
        <w:numPr>
          <w:ilvl w:val="0"/>
          <w:numId w:val="68"/>
        </w:numPr>
        <w:tabs>
          <w:tab w:val="left" w:pos="284"/>
        </w:tabs>
        <w:spacing w:line="360" w:lineRule="auto"/>
        <w:ind w:left="0" w:firstLine="284"/>
        <w:jc w:val="both"/>
      </w:pPr>
      <w:r>
        <w:t>Рентгенография костей скелета (при отсутствии возможности выполнения низкодозной КТ костей скелета, КТ в стандартном режиме или ПЭТ/КТ).</w:t>
      </w:r>
    </w:p>
    <w:p w14:paraId="344AD23D" w14:textId="77777777" w:rsidR="00EF54E3" w:rsidRDefault="00EF54E3" w:rsidP="00727CDE">
      <w:pPr>
        <w:pStyle w:val="Numlist"/>
        <w:numPr>
          <w:ilvl w:val="0"/>
          <w:numId w:val="68"/>
        </w:numPr>
        <w:tabs>
          <w:tab w:val="left" w:pos="284"/>
        </w:tabs>
        <w:spacing w:line="360" w:lineRule="auto"/>
        <w:ind w:left="0" w:firstLine="284"/>
        <w:jc w:val="both"/>
      </w:pPr>
      <w:r>
        <w:t>Магнитно-резонансная томография области мягкотканного компонента для оценки размеров.</w:t>
      </w:r>
    </w:p>
    <w:p w14:paraId="35704DFF" w14:textId="77777777" w:rsidR="00EF54E3" w:rsidRPr="004C0C25" w:rsidRDefault="00EF54E3" w:rsidP="00727CDE">
      <w:pPr>
        <w:pStyle w:val="Numlist"/>
        <w:numPr>
          <w:ilvl w:val="0"/>
          <w:numId w:val="68"/>
        </w:numPr>
        <w:tabs>
          <w:tab w:val="left" w:pos="284"/>
        </w:tabs>
        <w:spacing w:line="360" w:lineRule="auto"/>
        <w:ind w:left="0" w:firstLine="284"/>
        <w:jc w:val="both"/>
      </w:pPr>
      <w:r w:rsidRPr="004C0C25">
        <w:t>Электрокардиограмма.</w:t>
      </w:r>
    </w:p>
    <w:p w14:paraId="306CFAD4" w14:textId="47507C08" w:rsidR="00EF54E3" w:rsidRPr="004C0C25" w:rsidRDefault="00EF54E3" w:rsidP="00727CDE">
      <w:pPr>
        <w:pStyle w:val="Numlist"/>
        <w:numPr>
          <w:ilvl w:val="0"/>
          <w:numId w:val="68"/>
        </w:numPr>
        <w:tabs>
          <w:tab w:val="left" w:pos="284"/>
        </w:tabs>
        <w:spacing w:line="360" w:lineRule="auto"/>
        <w:ind w:left="0" w:firstLine="284"/>
        <w:jc w:val="both"/>
      </w:pPr>
      <w:r w:rsidRPr="004C0C25">
        <w:t>Эхокардиография</w:t>
      </w:r>
      <w:r w:rsidR="000713B4" w:rsidRPr="004C0C25">
        <w:t xml:space="preserve"> (при необходимости)</w:t>
      </w:r>
      <w:r w:rsidRPr="004C0C25">
        <w:t>.</w:t>
      </w:r>
    </w:p>
    <w:p w14:paraId="5FDF6850" w14:textId="77777777" w:rsidR="00EF54E3" w:rsidRPr="004C0C25" w:rsidRDefault="00EF54E3" w:rsidP="00727CDE">
      <w:pPr>
        <w:pStyle w:val="Numlist"/>
        <w:numPr>
          <w:ilvl w:val="0"/>
          <w:numId w:val="68"/>
        </w:numPr>
        <w:tabs>
          <w:tab w:val="left" w:pos="284"/>
        </w:tabs>
        <w:spacing w:line="360" w:lineRule="auto"/>
        <w:ind w:left="0" w:firstLine="284"/>
        <w:jc w:val="both"/>
      </w:pPr>
      <w:r w:rsidRPr="004C0C25">
        <w:lastRenderedPageBreak/>
        <w:t>УЗИ брюшной полости (комплексное).</w:t>
      </w:r>
    </w:p>
    <w:p w14:paraId="18B1A1FA" w14:textId="747295EA" w:rsidR="00EF54E3" w:rsidRPr="004C0C25" w:rsidRDefault="00EF54E3" w:rsidP="00727CDE">
      <w:pPr>
        <w:pStyle w:val="Numlist"/>
        <w:numPr>
          <w:ilvl w:val="0"/>
          <w:numId w:val="68"/>
        </w:numPr>
        <w:tabs>
          <w:tab w:val="left" w:pos="284"/>
        </w:tabs>
        <w:spacing w:line="360" w:lineRule="auto"/>
        <w:ind w:left="0" w:firstLine="284"/>
        <w:jc w:val="both"/>
      </w:pPr>
      <w:r w:rsidRPr="004C0C25">
        <w:t>Ультразвуковая допплерография сосудов (артерий и вен) нижних конечностей</w:t>
      </w:r>
      <w:r w:rsidR="000713B4" w:rsidRPr="004C0C25">
        <w:t xml:space="preserve"> (при необходимости)</w:t>
      </w:r>
      <w:r w:rsidRPr="004C0C25">
        <w:t>.</w:t>
      </w:r>
    </w:p>
    <w:p w14:paraId="719FB049" w14:textId="4F8D4D6A" w:rsidR="00EF54E3" w:rsidRPr="004C0C25" w:rsidRDefault="00EF54E3" w:rsidP="00727CDE">
      <w:pPr>
        <w:pStyle w:val="Numlist"/>
        <w:numPr>
          <w:ilvl w:val="0"/>
          <w:numId w:val="68"/>
        </w:numPr>
        <w:tabs>
          <w:tab w:val="left" w:pos="284"/>
        </w:tabs>
        <w:spacing w:line="360" w:lineRule="auto"/>
        <w:ind w:left="0" w:firstLine="284"/>
        <w:jc w:val="both"/>
      </w:pPr>
      <w:r w:rsidRPr="004C0C25">
        <w:t>Эзофагогастродуоденоскопия с биопсией</w:t>
      </w:r>
      <w:r w:rsidR="000713B4" w:rsidRPr="004C0C25">
        <w:t xml:space="preserve"> (при необходимости)</w:t>
      </w:r>
      <w:r w:rsidRPr="004C0C25">
        <w:t>.</w:t>
      </w:r>
    </w:p>
    <w:p w14:paraId="163AD0C4" w14:textId="749019BE" w:rsidR="00EF54E3" w:rsidRPr="004C0C25" w:rsidRDefault="00EF54E3" w:rsidP="00727CDE">
      <w:pPr>
        <w:pStyle w:val="Numlist"/>
        <w:numPr>
          <w:ilvl w:val="0"/>
          <w:numId w:val="68"/>
        </w:numPr>
        <w:tabs>
          <w:tab w:val="left" w:pos="284"/>
        </w:tabs>
        <w:spacing w:line="360" w:lineRule="auto"/>
        <w:ind w:left="0" w:firstLine="284"/>
        <w:jc w:val="both"/>
      </w:pPr>
      <w:r w:rsidRPr="004C0C25">
        <w:t>МРТ головного мозга</w:t>
      </w:r>
      <w:r w:rsidR="000713B4" w:rsidRPr="004C0C25">
        <w:t xml:space="preserve"> (при необходимости)</w:t>
      </w:r>
      <w:r w:rsidRPr="004C0C25">
        <w:t xml:space="preserve">. </w:t>
      </w:r>
    </w:p>
    <w:p w14:paraId="6967A66C" w14:textId="77777777" w:rsidR="00EF54E3" w:rsidRPr="006A495D" w:rsidRDefault="00EF54E3" w:rsidP="00727CDE">
      <w:pPr>
        <w:pStyle w:val="Numlist"/>
        <w:numPr>
          <w:ilvl w:val="0"/>
          <w:numId w:val="68"/>
        </w:numPr>
        <w:tabs>
          <w:tab w:val="left" w:pos="284"/>
        </w:tabs>
        <w:spacing w:line="360" w:lineRule="auto"/>
        <w:ind w:left="0" w:firstLine="284"/>
        <w:jc w:val="both"/>
      </w:pPr>
      <w:r>
        <w:t>Люмбальная пункция с последующим цитологическим, комплексным иммунохимическим и иммунофенотипическим исследованием ликвора при подозрении на вовлечение в патологический процесс центральной нервной системы.</w:t>
      </w:r>
    </w:p>
    <w:p w14:paraId="4868786B" w14:textId="4FFF92CF" w:rsidR="00EF54E3" w:rsidRPr="000713B4" w:rsidRDefault="000713B4" w:rsidP="000713B4">
      <w:pPr>
        <w:pStyle w:val="af0"/>
        <w:rPr>
          <w:rFonts w:eastAsia="Arial Unicode MS"/>
          <w:b/>
        </w:rPr>
      </w:pPr>
      <w:r>
        <w:rPr>
          <w:b/>
        </w:rPr>
        <w:t>4</w:t>
      </w:r>
      <w:r w:rsidR="00EF54E3" w:rsidRPr="000713B4">
        <w:rPr>
          <w:b/>
        </w:rPr>
        <w:t>. Список литературы</w:t>
      </w:r>
    </w:p>
    <w:p w14:paraId="6AE06C06" w14:textId="77777777" w:rsidR="00EF54E3" w:rsidRPr="00E80630" w:rsidRDefault="00EF54E3" w:rsidP="00727CDE">
      <w:pPr>
        <w:pStyle w:val="Literature"/>
        <w:numPr>
          <w:ilvl w:val="0"/>
          <w:numId w:val="69"/>
        </w:numPr>
        <w:tabs>
          <w:tab w:val="left" w:pos="142"/>
          <w:tab w:val="left" w:pos="709"/>
        </w:tabs>
        <w:spacing w:line="276" w:lineRule="auto"/>
        <w:ind w:left="0" w:firstLine="0"/>
        <w:jc w:val="both"/>
        <w:rPr>
          <w:rFonts w:cs="Times New Roman"/>
        </w:rPr>
      </w:pPr>
      <w:r w:rsidRPr="00E80630">
        <w:rPr>
          <w:rFonts w:cs="Times New Roman"/>
        </w:rPr>
        <w:t>Менделеева Л.П., Покровская О.С., Рехтина И.Г. Протокол диагностики и лечения множественной миеломы. В кн.: Алгоритмы диагностики и протоколы лечения заболеваний системы крови./ ФГБУ "Национальный медицинский исследовательский центр гематологии Министерства здравоохранения России" под ред. В. Г. Савченко. В двух томах.  - Москва: Практика, 2018. т. 2, 405 с.</w:t>
      </w:r>
    </w:p>
    <w:p w14:paraId="3E9D0323" w14:textId="77777777" w:rsidR="00EF54E3" w:rsidRPr="00E80630" w:rsidRDefault="00EF54E3" w:rsidP="00727CDE">
      <w:pPr>
        <w:pStyle w:val="Literature"/>
        <w:numPr>
          <w:ilvl w:val="0"/>
          <w:numId w:val="69"/>
        </w:numPr>
        <w:tabs>
          <w:tab w:val="clear" w:pos="1068"/>
          <w:tab w:val="left" w:pos="142"/>
          <w:tab w:val="left" w:pos="709"/>
        </w:tabs>
        <w:spacing w:line="276" w:lineRule="auto"/>
        <w:ind w:left="0" w:firstLine="0"/>
        <w:jc w:val="both"/>
        <w:rPr>
          <w:rFonts w:cs="Times New Roman"/>
        </w:rPr>
      </w:pPr>
      <w:r w:rsidRPr="00E80630">
        <w:rPr>
          <w:rFonts w:cs="Times New Roman"/>
        </w:rPr>
        <w:t>Менделеева Л.П., Вотякова О.М., Рехтина И.Г. Множественная миелома // Российские клинические рекомендации по диагностике и лечению злокачественных лимфопролиферативных заболеваний; под ред. И.В. Поддубной, В.Г. Савченко. Москва, 2018. P. 213–241.</w:t>
      </w:r>
    </w:p>
    <w:p w14:paraId="288E3134" w14:textId="77777777" w:rsidR="00EF54E3" w:rsidRPr="00E80630" w:rsidRDefault="00EF54E3" w:rsidP="00727CDE">
      <w:pPr>
        <w:pStyle w:val="Literature"/>
        <w:numPr>
          <w:ilvl w:val="0"/>
          <w:numId w:val="69"/>
        </w:numPr>
        <w:tabs>
          <w:tab w:val="left" w:pos="142"/>
          <w:tab w:val="left" w:pos="709"/>
        </w:tabs>
        <w:spacing w:line="276" w:lineRule="auto"/>
        <w:ind w:left="0" w:firstLine="0"/>
        <w:jc w:val="both"/>
        <w:rPr>
          <w:rFonts w:cs="Times New Roman"/>
          <w:lang w:val="en-US"/>
        </w:rPr>
      </w:pPr>
      <w:r w:rsidRPr="00E80630">
        <w:rPr>
          <w:rFonts w:cs="Times New Roman"/>
        </w:rPr>
        <w:t xml:space="preserve">Любимова Н.В. и др. Свободные легкие цепи иммуноглобулинов в диагностике и прогнозе множественной миеломы. // Альманах клинической медицины. 2017. </w:t>
      </w:r>
      <w:r w:rsidRPr="00E80630">
        <w:rPr>
          <w:rFonts w:cs="Times New Roman"/>
          <w:lang w:val="en-US"/>
        </w:rPr>
        <w:t>Vol</w:t>
      </w:r>
      <w:r w:rsidRPr="00E80630">
        <w:rPr>
          <w:rFonts w:cs="Times New Roman"/>
        </w:rPr>
        <w:t>. 45, № 2.</w:t>
      </w:r>
      <w:r w:rsidRPr="00E80630">
        <w:rPr>
          <w:rFonts w:cs="Times New Roman"/>
          <w:lang w:val="en-US"/>
        </w:rPr>
        <w:t>P. 102–108.</w:t>
      </w:r>
    </w:p>
    <w:p w14:paraId="72026969" w14:textId="77777777" w:rsidR="00EF54E3" w:rsidRPr="00E80630" w:rsidRDefault="00EF54E3" w:rsidP="00727CDE">
      <w:pPr>
        <w:pStyle w:val="Literature"/>
        <w:numPr>
          <w:ilvl w:val="0"/>
          <w:numId w:val="69"/>
        </w:numPr>
        <w:tabs>
          <w:tab w:val="left" w:pos="142"/>
          <w:tab w:val="left" w:pos="709"/>
        </w:tabs>
        <w:spacing w:line="276" w:lineRule="auto"/>
        <w:ind w:left="0" w:firstLine="0"/>
        <w:jc w:val="both"/>
        <w:rPr>
          <w:rFonts w:cs="Times New Roman"/>
          <w:lang w:val="en-US"/>
        </w:rPr>
      </w:pPr>
      <w:r w:rsidRPr="00E80630">
        <w:rPr>
          <w:rFonts w:cs="Times New Roman"/>
          <w:lang w:val="en-US"/>
        </w:rPr>
        <w:t xml:space="preserve">Bailly C, Leforestier R, Jamet B, Carlier T, Bourgeois M, Guérard F, Touzeau C, Moreau P, Chérel M, Kraeber-Bodéré F, Bodet-Milin C. PET Imaging for Initial Staging and Therapy Assessment in Multiple Myeloma Patients. Int. J. Mol. Sci. 2017; 18(2):445. </w:t>
      </w:r>
    </w:p>
    <w:p w14:paraId="6192D2F5" w14:textId="77777777" w:rsidR="00EF54E3" w:rsidRPr="00E80630" w:rsidRDefault="00EF54E3" w:rsidP="00727CDE">
      <w:pPr>
        <w:pStyle w:val="Literature"/>
        <w:numPr>
          <w:ilvl w:val="0"/>
          <w:numId w:val="69"/>
        </w:numPr>
        <w:tabs>
          <w:tab w:val="left" w:pos="142"/>
          <w:tab w:val="left" w:pos="709"/>
        </w:tabs>
        <w:spacing w:line="276" w:lineRule="auto"/>
        <w:ind w:left="0" w:firstLine="0"/>
        <w:jc w:val="both"/>
        <w:rPr>
          <w:rFonts w:cs="Times New Roman"/>
          <w:lang w:val="en-US"/>
        </w:rPr>
      </w:pPr>
      <w:r w:rsidRPr="00E80630">
        <w:rPr>
          <w:rFonts w:cs="Times New Roman"/>
          <w:lang w:val="en-US"/>
        </w:rPr>
        <w:t>Bartel TB, Haessler J, Brown TL, Shaughnessy JD Jr, van Rhee F, Anaissie E, Alpe T, Angtuaco E, Walker R, Epstein J, Crowley J, Barlogie B. F18-fluorodeoxyglucose positron emission tomography in the context of other imaging techniques and prognostic factors in multiple myeloma. Blood. 2009; 114 (10):2068–76.</w:t>
      </w:r>
    </w:p>
    <w:p w14:paraId="58B3FDE8" w14:textId="77777777" w:rsidR="00EF54E3" w:rsidRPr="00E80630" w:rsidRDefault="00EF54E3" w:rsidP="00727CDE">
      <w:pPr>
        <w:pStyle w:val="Literature"/>
        <w:numPr>
          <w:ilvl w:val="0"/>
          <w:numId w:val="69"/>
        </w:numPr>
        <w:tabs>
          <w:tab w:val="left" w:pos="142"/>
          <w:tab w:val="left" w:pos="709"/>
        </w:tabs>
        <w:spacing w:line="276" w:lineRule="auto"/>
        <w:ind w:left="0" w:firstLine="0"/>
        <w:jc w:val="both"/>
        <w:rPr>
          <w:rFonts w:cs="Times New Roman"/>
          <w:lang w:val="en-US"/>
        </w:rPr>
      </w:pPr>
      <w:r w:rsidRPr="00E80630">
        <w:rPr>
          <w:rFonts w:cs="Times New Roman"/>
          <w:lang w:val="en-US"/>
        </w:rPr>
        <w:t>Cavo M, Terpos E, Nanni C, Moreau P, Lentzsch S, Zweegman S, Hillengass J, Engelhardt M, Usmani SZ, Vesole DH, San-Miguel J, Kumar SK, Richardson PG, Mikhael JR, da Costa FL, Dimopoulos MA, Zingaretti C, Abildgaard N, Goldschmidt H, Orlowski RZ, Chng WJ, Einsele H, Lonial S, Barlogie B, Anderson KC, Rajkumar SV, Durie BGM, Zamagni E. Role of 18F-FDG PET/CT in the diagnosis and management of multiple myeloma and other plasma cell disorders: a consensus statement by the International Myeloma Working Group. Lancet. Oncol. 2017; 18(4):206–217.</w:t>
      </w:r>
    </w:p>
    <w:p w14:paraId="0C20A59F" w14:textId="77777777" w:rsidR="00EF54E3" w:rsidRPr="00E80630" w:rsidRDefault="00EF54E3" w:rsidP="00727CDE">
      <w:pPr>
        <w:pStyle w:val="Literature"/>
        <w:numPr>
          <w:ilvl w:val="0"/>
          <w:numId w:val="69"/>
        </w:numPr>
        <w:tabs>
          <w:tab w:val="left" w:pos="142"/>
          <w:tab w:val="left" w:pos="709"/>
        </w:tabs>
        <w:spacing w:line="276" w:lineRule="auto"/>
        <w:ind w:left="0" w:firstLine="0"/>
        <w:jc w:val="both"/>
        <w:rPr>
          <w:rFonts w:cs="Times New Roman"/>
          <w:lang w:val="en-US"/>
        </w:rPr>
      </w:pPr>
      <w:r w:rsidRPr="00E80630">
        <w:rPr>
          <w:rFonts w:cs="Times New Roman"/>
          <w:lang w:val="en-US"/>
        </w:rPr>
        <w:t>Haznedar R, Akı SZ, Akdemir OU, Ozkurt ZN, Ceneli O, Yağcı M, Sucak GT, Unlü M. Value of 18F-fluorodeoxyglucose uptake in positron emission tomography/computed tomography in predicting survival in multiple myeloma. Eur. J. Nucl. Med. Mol. Imaging. 2011; 38(6):1046–1053.</w:t>
      </w:r>
    </w:p>
    <w:p w14:paraId="5B7E6D4C" w14:textId="77777777" w:rsidR="00EF54E3" w:rsidRPr="00E80630" w:rsidRDefault="00EF54E3" w:rsidP="00727CDE">
      <w:pPr>
        <w:pStyle w:val="Literature"/>
        <w:numPr>
          <w:ilvl w:val="0"/>
          <w:numId w:val="69"/>
        </w:numPr>
        <w:tabs>
          <w:tab w:val="left" w:pos="142"/>
          <w:tab w:val="left" w:pos="709"/>
        </w:tabs>
        <w:spacing w:line="276" w:lineRule="auto"/>
        <w:ind w:left="0" w:firstLine="0"/>
        <w:jc w:val="both"/>
        <w:rPr>
          <w:rFonts w:cs="Times New Roman"/>
          <w:lang w:val="en-US"/>
        </w:rPr>
      </w:pPr>
      <w:r w:rsidRPr="00E80630">
        <w:rPr>
          <w:rFonts w:cs="Times New Roman"/>
          <w:lang w:val="en-US"/>
        </w:rPr>
        <w:t xml:space="preserve">Julie D. et al. Comparison of Bone marrow Aspirate and Bone marrow Biopsy in the workup of Patients with Multiple Myeloma //Clin. Lymphoma Myeloma Leuk. Elsevier BV, 2015. </w:t>
      </w:r>
      <w:r w:rsidRPr="0062559D">
        <w:rPr>
          <w:rFonts w:cs="Times New Roman"/>
          <w:lang w:val="en-US"/>
        </w:rPr>
        <w:t>Vol. 15. P. e117.</w:t>
      </w:r>
    </w:p>
    <w:p w14:paraId="1C33E0B7" w14:textId="77777777" w:rsidR="00EF54E3" w:rsidRPr="00E80630" w:rsidRDefault="00EF54E3" w:rsidP="00727CDE">
      <w:pPr>
        <w:pStyle w:val="Literature"/>
        <w:numPr>
          <w:ilvl w:val="0"/>
          <w:numId w:val="69"/>
        </w:numPr>
        <w:tabs>
          <w:tab w:val="left" w:pos="142"/>
          <w:tab w:val="left" w:pos="709"/>
        </w:tabs>
        <w:spacing w:line="276" w:lineRule="auto"/>
        <w:ind w:left="0" w:firstLine="0"/>
        <w:jc w:val="both"/>
        <w:rPr>
          <w:rFonts w:cs="Times New Roman"/>
          <w:lang w:val="en-US"/>
        </w:rPr>
      </w:pPr>
      <w:r w:rsidRPr="00E80630">
        <w:rPr>
          <w:rFonts w:cs="Times New Roman"/>
          <w:lang w:val="en-US"/>
        </w:rPr>
        <w:lastRenderedPageBreak/>
        <w:t>Kumar S. et al. International Myeloma Working Group consensus criteria for response and minimal residual disease assessment in multiple myeloma // The Lancet Oncology. Lancet</w:t>
      </w:r>
      <w:r w:rsidRPr="0062559D">
        <w:rPr>
          <w:rFonts w:cs="Times New Roman"/>
          <w:lang w:val="en-US"/>
        </w:rPr>
        <w:t xml:space="preserve"> </w:t>
      </w:r>
      <w:r w:rsidRPr="00E80630">
        <w:rPr>
          <w:rFonts w:cs="Times New Roman"/>
          <w:lang w:val="en-US"/>
        </w:rPr>
        <w:t>Publishing Group, 2016. Vol. 17, № 8. P. e328–e346.</w:t>
      </w:r>
    </w:p>
    <w:p w14:paraId="0D4099BC" w14:textId="77777777" w:rsidR="00EF54E3" w:rsidRPr="00E80630" w:rsidRDefault="00EF54E3" w:rsidP="00727CDE">
      <w:pPr>
        <w:pStyle w:val="Literature"/>
        <w:numPr>
          <w:ilvl w:val="0"/>
          <w:numId w:val="69"/>
        </w:numPr>
        <w:tabs>
          <w:tab w:val="clear" w:pos="1068"/>
          <w:tab w:val="left" w:pos="142"/>
          <w:tab w:val="left" w:pos="709"/>
        </w:tabs>
        <w:spacing w:line="276" w:lineRule="auto"/>
        <w:ind w:left="0" w:firstLine="0"/>
        <w:jc w:val="both"/>
        <w:rPr>
          <w:rFonts w:cs="Times New Roman"/>
          <w:lang w:val="en-US"/>
        </w:rPr>
      </w:pPr>
      <w:r w:rsidRPr="00E80630">
        <w:rPr>
          <w:rFonts w:cs="Times New Roman"/>
          <w:lang w:val="en-US"/>
        </w:rPr>
        <w:t>Kyle R.A., Rajkumar S. V. Criteria for diagnosis, staging, risk stratification and response assessment of multiple myeloma. //Leukemia. 2009. Vol. 23, № 1. P. 3–9.</w:t>
      </w:r>
    </w:p>
    <w:p w14:paraId="02567F31" w14:textId="77777777" w:rsidR="00EF54E3" w:rsidRPr="00E80630" w:rsidRDefault="00EF54E3" w:rsidP="00727CDE">
      <w:pPr>
        <w:pStyle w:val="Literature"/>
        <w:numPr>
          <w:ilvl w:val="0"/>
          <w:numId w:val="69"/>
        </w:numPr>
        <w:tabs>
          <w:tab w:val="left" w:pos="142"/>
          <w:tab w:val="left" w:pos="709"/>
        </w:tabs>
        <w:spacing w:line="276" w:lineRule="auto"/>
        <w:ind w:left="0" w:firstLine="0"/>
        <w:jc w:val="both"/>
        <w:rPr>
          <w:rFonts w:cs="Times New Roman"/>
          <w:lang w:val="en-US"/>
        </w:rPr>
      </w:pPr>
      <w:r w:rsidRPr="00E80630">
        <w:rPr>
          <w:rFonts w:cs="Times New Roman"/>
          <w:lang w:val="en-US"/>
        </w:rPr>
        <w:t xml:space="preserve">Latifoltojar A. Whole body magnetic resonance imaging in newly diagnosed multiple myeloma: early changes in lesional signal fat fraction predict disease response / A. Latifoltojar, M. Hall-Craggs, N. Rabin, R. Popat, A. Bainbridge, N. Dikaios, M. Sokolska, A. Rismani, S. D’Sa, S. Punwani, K. Yong // Br. J. Haematol. – 2017. – </w:t>
      </w:r>
      <w:r w:rsidRPr="00E80630">
        <w:rPr>
          <w:rFonts w:cs="Times New Roman"/>
        </w:rPr>
        <w:t>Т</w:t>
      </w:r>
      <w:r w:rsidRPr="00E80630">
        <w:rPr>
          <w:rFonts w:cs="Times New Roman"/>
          <w:lang w:val="en-US"/>
        </w:rPr>
        <w:t>. 176 – № 2– 222–233</w:t>
      </w:r>
      <w:r w:rsidRPr="00E80630">
        <w:rPr>
          <w:rFonts w:cs="Times New Roman"/>
        </w:rPr>
        <w:t>с</w:t>
      </w:r>
      <w:r w:rsidRPr="00E80630">
        <w:rPr>
          <w:rFonts w:cs="Times New Roman"/>
          <w:lang w:val="en-US"/>
        </w:rPr>
        <w:t>.</w:t>
      </w:r>
    </w:p>
    <w:p w14:paraId="4B5A2FA0" w14:textId="77777777" w:rsidR="00EF54E3" w:rsidRPr="00E80630" w:rsidRDefault="00EF54E3" w:rsidP="00727CDE">
      <w:pPr>
        <w:pStyle w:val="Literature"/>
        <w:numPr>
          <w:ilvl w:val="0"/>
          <w:numId w:val="69"/>
        </w:numPr>
        <w:tabs>
          <w:tab w:val="left" w:pos="142"/>
          <w:tab w:val="left" w:pos="709"/>
        </w:tabs>
        <w:spacing w:line="276" w:lineRule="auto"/>
        <w:ind w:left="0" w:firstLine="0"/>
        <w:jc w:val="both"/>
        <w:rPr>
          <w:rFonts w:cs="Times New Roman"/>
          <w:lang w:val="en-US"/>
        </w:rPr>
      </w:pPr>
      <w:r w:rsidRPr="00E80630">
        <w:rPr>
          <w:rFonts w:cs="Times New Roman"/>
          <w:lang w:val="en-US"/>
        </w:rPr>
        <w:t>Mateos M.-V., San Miguel J. V. Smoldering multiple myeloma //Hematol. Oncol. 2015. Vol. 33. P. 33–37.</w:t>
      </w:r>
    </w:p>
    <w:p w14:paraId="5DE1E923" w14:textId="77777777" w:rsidR="00EF54E3" w:rsidRPr="00E80630" w:rsidRDefault="00EF54E3" w:rsidP="00727CDE">
      <w:pPr>
        <w:pStyle w:val="Literature"/>
        <w:numPr>
          <w:ilvl w:val="0"/>
          <w:numId w:val="69"/>
        </w:numPr>
        <w:tabs>
          <w:tab w:val="left" w:pos="142"/>
          <w:tab w:val="left" w:pos="709"/>
        </w:tabs>
        <w:spacing w:line="276" w:lineRule="auto"/>
        <w:ind w:left="0" w:firstLine="0"/>
        <w:jc w:val="both"/>
        <w:rPr>
          <w:rFonts w:cs="Times New Roman"/>
          <w:lang w:val="en-US"/>
        </w:rPr>
      </w:pPr>
      <w:r w:rsidRPr="00E80630">
        <w:rPr>
          <w:rFonts w:cs="Times New Roman"/>
          <w:lang w:val="en-US"/>
        </w:rPr>
        <w:t>Meignan M., Hutchings M., Schwartz L. H. Imaging in Lymphoma: The Key Role of Fluorodeoxyglucose-Positron Emission Tomography. Oncologist. 2015; 20(8):890–895.</w:t>
      </w:r>
    </w:p>
    <w:p w14:paraId="3EB9D6A8" w14:textId="77777777" w:rsidR="00EF54E3" w:rsidRPr="00E80630" w:rsidRDefault="00EF54E3" w:rsidP="00727CDE">
      <w:pPr>
        <w:pStyle w:val="Literature"/>
        <w:numPr>
          <w:ilvl w:val="0"/>
          <w:numId w:val="69"/>
        </w:numPr>
        <w:tabs>
          <w:tab w:val="clear" w:pos="1068"/>
          <w:tab w:val="left" w:pos="142"/>
          <w:tab w:val="left" w:pos="709"/>
        </w:tabs>
        <w:spacing w:line="276" w:lineRule="auto"/>
        <w:ind w:left="0" w:firstLine="0"/>
        <w:jc w:val="both"/>
        <w:rPr>
          <w:rFonts w:cs="Times New Roman"/>
          <w:lang w:val="en-US"/>
        </w:rPr>
      </w:pPr>
      <w:r w:rsidRPr="00E80630">
        <w:rPr>
          <w:rFonts w:cs="Times New Roman"/>
          <w:lang w:val="en-US"/>
        </w:rPr>
        <w:t>Misra A. et al. Old but Still Relevant: High Resolution Electrophoresis and Immunofixation in Multiple Myeloma // IndianJournal of Hematology and Blood Transfusion. Springer India, 2016.Vol. 32, № 1. P. 10–17.</w:t>
      </w:r>
    </w:p>
    <w:p w14:paraId="7A6CB6EE" w14:textId="77777777" w:rsidR="00EF54E3" w:rsidRPr="00E80630" w:rsidRDefault="00EF54E3" w:rsidP="00727CDE">
      <w:pPr>
        <w:pStyle w:val="Literature"/>
        <w:numPr>
          <w:ilvl w:val="0"/>
          <w:numId w:val="69"/>
        </w:numPr>
        <w:tabs>
          <w:tab w:val="clear" w:pos="1068"/>
          <w:tab w:val="left" w:pos="142"/>
          <w:tab w:val="left" w:pos="709"/>
        </w:tabs>
        <w:spacing w:line="276" w:lineRule="auto"/>
        <w:ind w:left="0" w:firstLine="0"/>
        <w:jc w:val="both"/>
        <w:rPr>
          <w:rFonts w:cs="Times New Roman"/>
          <w:lang w:val="en-US"/>
        </w:rPr>
      </w:pPr>
      <w:r w:rsidRPr="00E80630">
        <w:rPr>
          <w:rFonts w:cs="Times New Roman"/>
          <w:lang w:val="en-US"/>
        </w:rPr>
        <w:t>Moreau P. et al. Multiple myeloma: ESMO Clinical Practice Guidelines for diagnosis, treatment and follow-up. // Ann. Oncol. Off.J. Eur. Soc. Med. Oncol. 2017. Vol. 28, № suppl_4. P. iv52–iv61.</w:t>
      </w:r>
    </w:p>
    <w:p w14:paraId="37B2C8BD" w14:textId="77777777" w:rsidR="00EF54E3" w:rsidRPr="00E80630" w:rsidRDefault="00EF54E3" w:rsidP="00727CDE">
      <w:pPr>
        <w:pStyle w:val="Literature"/>
        <w:numPr>
          <w:ilvl w:val="0"/>
          <w:numId w:val="69"/>
        </w:numPr>
        <w:tabs>
          <w:tab w:val="clear" w:pos="1068"/>
          <w:tab w:val="left" w:pos="142"/>
          <w:tab w:val="left" w:pos="709"/>
        </w:tabs>
        <w:spacing w:line="276" w:lineRule="auto"/>
        <w:ind w:left="0" w:firstLine="0"/>
        <w:jc w:val="both"/>
        <w:rPr>
          <w:rFonts w:cs="Times New Roman"/>
          <w:lang w:val="en-US"/>
        </w:rPr>
      </w:pPr>
      <w:r w:rsidRPr="00E80630">
        <w:rPr>
          <w:rFonts w:cs="Times New Roman"/>
          <w:lang w:val="en-US"/>
        </w:rPr>
        <w:t>Palumbo A. et al. Revised international staging system for multiple myeloma: A report from international myeloma working group // J. Clin. Oncol. American Society of Clinical Oncology, 2015.</w:t>
      </w:r>
      <w:r w:rsidRPr="0062559D">
        <w:rPr>
          <w:rFonts w:cs="Times New Roman"/>
          <w:lang w:val="en-US"/>
        </w:rPr>
        <w:t xml:space="preserve"> Vol. 33, № 26. P. 2863–2869.</w:t>
      </w:r>
    </w:p>
    <w:p w14:paraId="60CBD34C" w14:textId="77777777" w:rsidR="00EF54E3" w:rsidRPr="00E80630" w:rsidRDefault="00EF54E3" w:rsidP="00727CDE">
      <w:pPr>
        <w:pStyle w:val="Literature"/>
        <w:numPr>
          <w:ilvl w:val="0"/>
          <w:numId w:val="69"/>
        </w:numPr>
        <w:tabs>
          <w:tab w:val="left" w:pos="142"/>
          <w:tab w:val="left" w:pos="709"/>
        </w:tabs>
        <w:spacing w:line="276" w:lineRule="auto"/>
        <w:ind w:left="0" w:firstLine="0"/>
        <w:jc w:val="both"/>
        <w:rPr>
          <w:rFonts w:cs="Times New Roman"/>
          <w:lang w:val="en-US"/>
        </w:rPr>
      </w:pPr>
      <w:r w:rsidRPr="00E80630">
        <w:rPr>
          <w:rFonts w:cs="Times New Roman"/>
          <w:lang w:val="en-US"/>
        </w:rPr>
        <w:t>Pianko M.J. et al. Whole-body low-dose computed tomography and advanced imaging techniques for multiple myeloma bone disease // Clinical Cancer Research. American Association for Cancer Research</w:t>
      </w:r>
      <w:r w:rsidRPr="0062559D">
        <w:rPr>
          <w:rFonts w:cs="Times New Roman"/>
          <w:lang w:val="en-US"/>
        </w:rPr>
        <w:t xml:space="preserve"> </w:t>
      </w:r>
      <w:r w:rsidRPr="00E80630">
        <w:rPr>
          <w:rFonts w:cs="Times New Roman"/>
          <w:lang w:val="en-US"/>
        </w:rPr>
        <w:t>Inc., 2014. Vol. 20, № 23. P. 5888–5897.</w:t>
      </w:r>
    </w:p>
    <w:p w14:paraId="0676063F" w14:textId="77777777" w:rsidR="00EF54E3" w:rsidRPr="00E80630" w:rsidRDefault="00EF54E3" w:rsidP="00727CDE">
      <w:pPr>
        <w:pStyle w:val="Literature"/>
        <w:numPr>
          <w:ilvl w:val="0"/>
          <w:numId w:val="69"/>
        </w:numPr>
        <w:tabs>
          <w:tab w:val="clear" w:pos="1068"/>
          <w:tab w:val="left" w:pos="142"/>
          <w:tab w:val="left" w:pos="709"/>
        </w:tabs>
        <w:spacing w:line="276" w:lineRule="auto"/>
        <w:ind w:left="0" w:firstLine="0"/>
        <w:jc w:val="both"/>
        <w:rPr>
          <w:rFonts w:cs="Times New Roman"/>
          <w:lang w:val="en-US"/>
        </w:rPr>
      </w:pPr>
      <w:r w:rsidRPr="00E80630">
        <w:rPr>
          <w:rFonts w:cs="Times New Roman"/>
          <w:lang w:val="en-US"/>
        </w:rPr>
        <w:t>Rajkumar S.V. et al. International Myeloma Working Group updated criteria for the diagnosis of multiple myeloma // The Lancet Oncology. Lancet Publishing Group, 2014. Vol. 15, № 12. P. e538–e548.</w:t>
      </w:r>
    </w:p>
    <w:p w14:paraId="78DA471F" w14:textId="77777777" w:rsidR="00EF54E3" w:rsidRPr="00E80630" w:rsidRDefault="00EF54E3" w:rsidP="00727CDE">
      <w:pPr>
        <w:pStyle w:val="Literature"/>
        <w:numPr>
          <w:ilvl w:val="0"/>
          <w:numId w:val="69"/>
        </w:numPr>
        <w:tabs>
          <w:tab w:val="left" w:pos="142"/>
          <w:tab w:val="left" w:pos="709"/>
        </w:tabs>
        <w:spacing w:line="276" w:lineRule="auto"/>
        <w:ind w:left="0" w:firstLine="0"/>
        <w:jc w:val="both"/>
        <w:rPr>
          <w:rFonts w:cs="Times New Roman"/>
          <w:lang w:val="en-US"/>
        </w:rPr>
      </w:pPr>
      <w:r w:rsidRPr="00E80630">
        <w:rPr>
          <w:rFonts w:cs="Times New Roman"/>
          <w:lang w:val="en-US"/>
        </w:rPr>
        <w:t>Stetler-Stevenson M. Consensus guidelines for myeloma minimal residual disease sample staining and data acquisition. / M. Stetler-Stevenson, B. Paiva, L. Stoolman, P. Lin, J. L. Jorgensen, A. Orfao, J. Van Dongen, A. C. Rawstron // Cytometry B. Clin. Cytom. – 2016. – Т. 90 – № 1– 26–30с.</w:t>
      </w:r>
    </w:p>
    <w:p w14:paraId="68E75EDB" w14:textId="77777777" w:rsidR="00EF54E3" w:rsidRPr="00E80630" w:rsidRDefault="00EF54E3" w:rsidP="00727CDE">
      <w:pPr>
        <w:pStyle w:val="Literature"/>
        <w:numPr>
          <w:ilvl w:val="0"/>
          <w:numId w:val="69"/>
        </w:numPr>
        <w:tabs>
          <w:tab w:val="clear" w:pos="1068"/>
          <w:tab w:val="left" w:pos="142"/>
          <w:tab w:val="left" w:pos="709"/>
        </w:tabs>
        <w:spacing w:line="276" w:lineRule="auto"/>
        <w:ind w:left="0" w:firstLine="0"/>
        <w:jc w:val="both"/>
        <w:rPr>
          <w:rFonts w:cs="Times New Roman"/>
          <w:lang w:val="en-US"/>
        </w:rPr>
      </w:pPr>
      <w:r w:rsidRPr="00E80630">
        <w:rPr>
          <w:rFonts w:cs="Times New Roman"/>
          <w:lang w:val="en-US"/>
        </w:rPr>
        <w:t>Tripathy S. The role of serum protein electrophoresis in the detection of multiple myeloma: An experience of a corporate hospital// J. Clin. Diagnostic Res. 2012. Vol. 6, № 9. P. 1458–1461.</w:t>
      </w:r>
    </w:p>
    <w:p w14:paraId="0F2ED54C" w14:textId="77777777" w:rsidR="00EF54E3" w:rsidRPr="00E80630" w:rsidRDefault="00EF54E3" w:rsidP="00727CDE">
      <w:pPr>
        <w:pStyle w:val="Literature"/>
        <w:numPr>
          <w:ilvl w:val="0"/>
          <w:numId w:val="69"/>
        </w:numPr>
        <w:tabs>
          <w:tab w:val="left" w:pos="142"/>
          <w:tab w:val="left" w:pos="709"/>
        </w:tabs>
        <w:spacing w:line="276" w:lineRule="auto"/>
        <w:ind w:left="0" w:firstLine="0"/>
        <w:jc w:val="both"/>
        <w:rPr>
          <w:rFonts w:cs="Times New Roman"/>
          <w:lang w:val="en-US"/>
        </w:rPr>
      </w:pPr>
      <w:r w:rsidRPr="00E80630">
        <w:rPr>
          <w:rFonts w:cs="Times New Roman"/>
          <w:lang w:val="en-US"/>
        </w:rPr>
        <w:t>Usmani SZ, Mitchell A, Waheed S, Crowley J, Hoering A, Petty N, Brown T, Bartel T, Anaissie E, van Rhee F, Barlogie B. Prognostic implications of serial 18-fluoro-deoxyglucose emission tomography in multiple myeloma treated with total therapy 3. Blood. 2013; 121(10):1819–1823.</w:t>
      </w:r>
    </w:p>
    <w:p w14:paraId="12B98101" w14:textId="77777777" w:rsidR="00EF54E3" w:rsidRPr="00E80630" w:rsidRDefault="00EF54E3" w:rsidP="00727CDE">
      <w:pPr>
        <w:pStyle w:val="Literature"/>
        <w:numPr>
          <w:ilvl w:val="0"/>
          <w:numId w:val="69"/>
        </w:numPr>
        <w:tabs>
          <w:tab w:val="left" w:pos="142"/>
          <w:tab w:val="left" w:pos="709"/>
        </w:tabs>
        <w:spacing w:line="276" w:lineRule="auto"/>
        <w:ind w:left="0" w:firstLine="0"/>
        <w:jc w:val="both"/>
        <w:rPr>
          <w:rFonts w:cs="Times New Roman"/>
          <w:lang w:val="en-US"/>
        </w:rPr>
      </w:pPr>
      <w:r w:rsidRPr="00E80630">
        <w:rPr>
          <w:rFonts w:cs="Times New Roman"/>
          <w:lang w:val="en-US"/>
        </w:rPr>
        <w:t>Zamagni E, Patriarca F, Nanni C, Zannetti B, Englaro E, Pezzi A, Tacchetti P, Buttignol S, Perrone G, Brioli A, Pantani L, Terragna C, Carobolante F, Baccarani M, Fanin R, Fanti S, Cavo M.Prognostic relevance of 18-F FDG PET/CT in newly diagnosed multiple myeloma patients treated with up-front autologous transplantation. Blood. 2011; 118(23): 5989–95.</w:t>
      </w:r>
      <w:r w:rsidRPr="00E80630">
        <w:rPr>
          <w:rFonts w:eastAsia="Times New Roman" w:cs="Times New Roman"/>
          <w:noProof/>
          <w:color w:val="auto"/>
          <w:spacing w:val="0"/>
          <w:sz w:val="28"/>
          <w:szCs w:val="28"/>
          <w:lang w:val="en-US"/>
        </w:rPr>
        <w:t xml:space="preserve"> </w:t>
      </w:r>
    </w:p>
    <w:p w14:paraId="7CF82974" w14:textId="575B32BD" w:rsidR="00EB605F" w:rsidRPr="00EB605F" w:rsidRDefault="00EB605F" w:rsidP="00EB605F">
      <w:pPr>
        <w:tabs>
          <w:tab w:val="left" w:pos="0"/>
        </w:tabs>
      </w:pPr>
    </w:p>
    <w:p w14:paraId="2FBF17A3" w14:textId="51469F74" w:rsidR="00D26A57" w:rsidRPr="003C62C6" w:rsidRDefault="000713B4" w:rsidP="003C62C6">
      <w:pPr>
        <w:pStyle w:val="1"/>
        <w:rPr>
          <w:rFonts w:eastAsia="Arial Unicode MS"/>
        </w:rPr>
      </w:pPr>
      <w:bookmarkStart w:id="76" w:name="_Toc53140923"/>
      <w:r w:rsidRPr="003C62C6">
        <w:lastRenderedPageBreak/>
        <w:t>Приложение Г3</w:t>
      </w:r>
      <w:r w:rsidRPr="003C62C6">
        <w:rPr>
          <w:rStyle w:val="ac"/>
          <w:b/>
          <w:bCs w:val="0"/>
        </w:rPr>
        <w:t xml:space="preserve">. </w:t>
      </w:r>
      <w:r w:rsidR="00D26A57" w:rsidRPr="003C62C6">
        <w:rPr>
          <w:rFonts w:eastAsia="Arial Unicode MS"/>
        </w:rPr>
        <w:t>Препараты, улучшающие метаболизм костной ткани</w:t>
      </w:r>
      <w:r w:rsidR="005961D4" w:rsidRPr="003C62C6">
        <w:rPr>
          <w:rFonts w:eastAsia="Arial Unicode MS"/>
        </w:rPr>
        <w:t xml:space="preserve"> у больных множественной миеломой</w:t>
      </w:r>
      <w:bookmarkEnd w:id="76"/>
    </w:p>
    <w:p w14:paraId="1A01550F" w14:textId="77777777" w:rsidR="005961D4" w:rsidRPr="005961D4" w:rsidRDefault="005961D4" w:rsidP="005961D4">
      <w:pPr>
        <w:pStyle w:val="a6"/>
        <w:tabs>
          <w:tab w:val="left" w:pos="0"/>
        </w:tabs>
        <w:ind w:left="0"/>
        <w:rPr>
          <w:b/>
          <w:szCs w:val="28"/>
        </w:rPr>
      </w:pPr>
      <w:r w:rsidRPr="005961D4">
        <w:rPr>
          <w:b/>
          <w:szCs w:val="28"/>
        </w:rPr>
        <w:t>Список сокращений</w:t>
      </w:r>
    </w:p>
    <w:p w14:paraId="4028D3A0" w14:textId="77777777" w:rsidR="005961D4" w:rsidRPr="005961D4" w:rsidRDefault="005961D4" w:rsidP="005961D4">
      <w:pPr>
        <w:pStyle w:val="a6"/>
        <w:tabs>
          <w:tab w:val="left" w:pos="0"/>
        </w:tabs>
        <w:ind w:left="0"/>
        <w:rPr>
          <w:rFonts w:eastAsia="Times New Roman"/>
          <w:szCs w:val="24"/>
          <w:lang w:eastAsia="ru-RU"/>
        </w:rPr>
      </w:pPr>
      <w:r w:rsidRPr="005961D4">
        <w:rPr>
          <w:rFonts w:eastAsia="Times New Roman"/>
          <w:szCs w:val="24"/>
          <w:lang w:eastAsia="ru-RU"/>
        </w:rPr>
        <w:t>ГКС – глюкокортикостероиды</w:t>
      </w:r>
    </w:p>
    <w:p w14:paraId="794B7D49" w14:textId="77777777" w:rsidR="005961D4" w:rsidRPr="005961D4" w:rsidRDefault="005961D4" w:rsidP="005961D4">
      <w:pPr>
        <w:pStyle w:val="a6"/>
        <w:tabs>
          <w:tab w:val="left" w:pos="0"/>
        </w:tabs>
        <w:ind w:left="0"/>
        <w:rPr>
          <w:rFonts w:eastAsia="Times New Roman"/>
          <w:szCs w:val="24"/>
          <w:lang w:eastAsia="ru-RU"/>
        </w:rPr>
      </w:pPr>
      <w:r w:rsidRPr="005961D4">
        <w:rPr>
          <w:rFonts w:eastAsia="Times New Roman"/>
          <w:szCs w:val="24"/>
          <w:lang w:eastAsia="ru-RU"/>
        </w:rPr>
        <w:t>ДПИД – д</w:t>
      </w:r>
      <w:r w:rsidRPr="005961D4">
        <w:rPr>
          <w:rFonts w:eastAsia="Times New Roman"/>
          <w:bCs/>
          <w:szCs w:val="24"/>
          <w:lang w:eastAsia="ru-RU"/>
        </w:rPr>
        <w:t>езоксипиридинолин, продукт</w:t>
      </w:r>
      <w:r w:rsidRPr="005961D4">
        <w:rPr>
          <w:rFonts w:eastAsia="Times New Roman"/>
          <w:szCs w:val="24"/>
          <w:lang w:eastAsia="ru-RU"/>
        </w:rPr>
        <w:t xml:space="preserve"> деградации коллагена, специфический маркер резорбции кости </w:t>
      </w:r>
    </w:p>
    <w:p w14:paraId="60124364" w14:textId="77777777" w:rsidR="005961D4" w:rsidRPr="005961D4" w:rsidRDefault="005961D4" w:rsidP="005961D4">
      <w:pPr>
        <w:pStyle w:val="a6"/>
        <w:tabs>
          <w:tab w:val="left" w:pos="0"/>
        </w:tabs>
        <w:ind w:left="0"/>
        <w:rPr>
          <w:rFonts w:eastAsia="Times New Roman"/>
          <w:szCs w:val="24"/>
          <w:lang w:eastAsia="ru-RU"/>
        </w:rPr>
      </w:pPr>
      <w:r w:rsidRPr="005961D4">
        <w:rPr>
          <w:rFonts w:eastAsia="Times New Roman"/>
          <w:szCs w:val="24"/>
          <w:lang w:eastAsia="ru-RU"/>
        </w:rPr>
        <w:t>ОЧХР – очень хорошая частичная ремиссия</w:t>
      </w:r>
    </w:p>
    <w:p w14:paraId="37B0467E" w14:textId="77777777" w:rsidR="005961D4" w:rsidRPr="005961D4" w:rsidRDefault="005961D4" w:rsidP="005961D4">
      <w:pPr>
        <w:pStyle w:val="a6"/>
        <w:tabs>
          <w:tab w:val="left" w:pos="0"/>
        </w:tabs>
        <w:ind w:left="0"/>
        <w:rPr>
          <w:rFonts w:eastAsia="Times New Roman"/>
          <w:szCs w:val="24"/>
          <w:lang w:eastAsia="ru-RU"/>
        </w:rPr>
      </w:pPr>
      <w:r w:rsidRPr="005961D4">
        <w:rPr>
          <w:rFonts w:eastAsia="Times New Roman"/>
          <w:szCs w:val="24"/>
          <w:lang w:eastAsia="ru-RU"/>
        </w:rPr>
        <w:t>ПР – полная ремиссия</w:t>
      </w:r>
    </w:p>
    <w:p w14:paraId="008D3096" w14:textId="77777777" w:rsidR="005961D4" w:rsidRPr="005961D4" w:rsidRDefault="005961D4" w:rsidP="005961D4">
      <w:pPr>
        <w:pStyle w:val="a6"/>
        <w:tabs>
          <w:tab w:val="left" w:pos="0"/>
        </w:tabs>
        <w:ind w:left="0"/>
        <w:rPr>
          <w:rFonts w:eastAsia="Times New Roman"/>
          <w:szCs w:val="24"/>
          <w:lang w:eastAsia="ru-RU"/>
        </w:rPr>
      </w:pPr>
      <w:r w:rsidRPr="005961D4">
        <w:rPr>
          <w:rFonts w:eastAsia="Times New Roman"/>
          <w:szCs w:val="24"/>
          <w:lang w:eastAsia="ru-RU"/>
        </w:rPr>
        <w:t>СКФ – скорость клубочковой фильтрации</w:t>
      </w:r>
    </w:p>
    <w:p w14:paraId="438D91AE" w14:textId="36B8E6C6" w:rsidR="005961D4" w:rsidRPr="005961D4" w:rsidRDefault="00521D08" w:rsidP="005961D4">
      <w:pPr>
        <w:pStyle w:val="a6"/>
        <w:tabs>
          <w:tab w:val="left" w:pos="0"/>
        </w:tabs>
        <w:ind w:left="0"/>
        <w:rPr>
          <w:rFonts w:eastAsia="Times New Roman"/>
          <w:szCs w:val="24"/>
          <w:lang w:eastAsia="ru-RU"/>
        </w:rPr>
      </w:pPr>
      <w:r>
        <w:rPr>
          <w:rFonts w:eastAsia="Times New Roman"/>
          <w:szCs w:val="24"/>
          <w:lang w:eastAsia="ru-RU"/>
        </w:rPr>
        <w:t xml:space="preserve">beta-crocc laps – </w:t>
      </w:r>
      <w:r w:rsidR="005961D4" w:rsidRPr="005961D4">
        <w:rPr>
          <w:rFonts w:eastAsia="Times New Roman"/>
          <w:szCs w:val="24"/>
          <w:lang w:eastAsia="ru-RU"/>
        </w:rPr>
        <w:t>образующийся в результате деградации коллагена I типа С-терминальный белковый фрагмент, маркер резорбции костной ткани</w:t>
      </w:r>
    </w:p>
    <w:p w14:paraId="291A99FA" w14:textId="77777777" w:rsidR="005961D4" w:rsidRPr="005961D4" w:rsidRDefault="005961D4" w:rsidP="005961D4">
      <w:pPr>
        <w:pStyle w:val="a6"/>
        <w:tabs>
          <w:tab w:val="left" w:pos="0"/>
        </w:tabs>
        <w:ind w:left="0"/>
        <w:rPr>
          <w:rFonts w:eastAsia="Times New Roman"/>
          <w:szCs w:val="24"/>
          <w:lang w:eastAsia="ru-RU"/>
        </w:rPr>
      </w:pPr>
      <w:r w:rsidRPr="005961D4">
        <w:rPr>
          <w:rFonts w:eastAsia="Times New Roman"/>
          <w:szCs w:val="24"/>
          <w:lang w:eastAsia="ru-RU"/>
        </w:rPr>
        <w:t>IMWG - Международная рабочая группа по изучению множественной миеломы</w:t>
      </w:r>
    </w:p>
    <w:p w14:paraId="7C91E1FC" w14:textId="77777777" w:rsidR="005961D4" w:rsidRPr="005961D4" w:rsidRDefault="005961D4" w:rsidP="005961D4">
      <w:pPr>
        <w:pStyle w:val="a6"/>
        <w:tabs>
          <w:tab w:val="left" w:pos="0"/>
        </w:tabs>
        <w:ind w:left="0"/>
        <w:rPr>
          <w:rFonts w:eastAsia="Times New Roman"/>
          <w:szCs w:val="24"/>
          <w:lang w:eastAsia="ru-RU"/>
        </w:rPr>
      </w:pPr>
      <w:r w:rsidRPr="005961D4">
        <w:rPr>
          <w:rFonts w:eastAsia="Times New Roman"/>
          <w:szCs w:val="24"/>
          <w:lang w:eastAsia="ru-RU"/>
        </w:rPr>
        <w:t>OPG - остеопротегерин</w:t>
      </w:r>
    </w:p>
    <w:p w14:paraId="03977C68" w14:textId="77777777" w:rsidR="005961D4" w:rsidRPr="005961D4" w:rsidRDefault="005961D4" w:rsidP="005961D4">
      <w:pPr>
        <w:pStyle w:val="a6"/>
        <w:tabs>
          <w:tab w:val="left" w:pos="0"/>
        </w:tabs>
        <w:ind w:left="0"/>
        <w:rPr>
          <w:rFonts w:eastAsia="Times New Roman"/>
          <w:szCs w:val="24"/>
          <w:lang w:eastAsia="ru-RU"/>
        </w:rPr>
      </w:pPr>
      <w:r w:rsidRPr="005961D4">
        <w:rPr>
          <w:rFonts w:eastAsia="Times New Roman"/>
          <w:szCs w:val="24"/>
          <w:lang w:eastAsia="ru-RU"/>
        </w:rPr>
        <w:t>RANK - рецептор-активатор ядерного траскрипционного фактора NF-κB</w:t>
      </w:r>
    </w:p>
    <w:p w14:paraId="658C5EFF" w14:textId="77777777" w:rsidR="005961D4" w:rsidRPr="005961D4" w:rsidRDefault="005961D4" w:rsidP="005961D4">
      <w:pPr>
        <w:pStyle w:val="a6"/>
        <w:tabs>
          <w:tab w:val="left" w:pos="0"/>
        </w:tabs>
        <w:ind w:left="0"/>
        <w:rPr>
          <w:rFonts w:eastAsia="Times New Roman"/>
          <w:szCs w:val="24"/>
          <w:lang w:eastAsia="ru-RU"/>
        </w:rPr>
      </w:pPr>
      <w:r w:rsidRPr="005961D4">
        <w:rPr>
          <w:rFonts w:eastAsia="Times New Roman"/>
          <w:szCs w:val="24"/>
          <w:lang w:eastAsia="ru-RU"/>
        </w:rPr>
        <w:t>RANKL – лиганд рецептора-активатора ядерного траскрипционного фактора NF-κB</w:t>
      </w:r>
    </w:p>
    <w:p w14:paraId="552545D6" w14:textId="77777777" w:rsidR="005961D4" w:rsidRPr="005961D4" w:rsidRDefault="005961D4" w:rsidP="005961D4">
      <w:pPr>
        <w:pStyle w:val="Normal1"/>
        <w:numPr>
          <w:ilvl w:val="0"/>
          <w:numId w:val="61"/>
        </w:numPr>
        <w:tabs>
          <w:tab w:val="left" w:pos="0"/>
        </w:tabs>
        <w:spacing w:line="360" w:lineRule="auto"/>
        <w:ind w:left="0" w:firstLine="0"/>
        <w:jc w:val="both"/>
        <w:rPr>
          <w:rFonts w:cs="Times New Roman"/>
          <w:b/>
          <w:szCs w:val="28"/>
          <w:shd w:val="clear" w:color="auto" w:fill="FFFFFF"/>
        </w:rPr>
      </w:pPr>
      <w:r w:rsidRPr="005961D4">
        <w:rPr>
          <w:rFonts w:cs="Times New Roman"/>
          <w:b/>
          <w:szCs w:val="28"/>
        </w:rPr>
        <w:t xml:space="preserve">Общие сведения </w:t>
      </w:r>
    </w:p>
    <w:p w14:paraId="11F4FD7C" w14:textId="77777777" w:rsidR="005961D4" w:rsidRPr="005961D4" w:rsidRDefault="005961D4" w:rsidP="005961D4">
      <w:pPr>
        <w:pStyle w:val="a6"/>
        <w:tabs>
          <w:tab w:val="left" w:pos="0"/>
        </w:tabs>
        <w:ind w:left="0" w:firstLine="709"/>
        <w:rPr>
          <w:rFonts w:eastAsia="Times New Roman"/>
          <w:szCs w:val="24"/>
          <w:lang w:eastAsia="ru-RU"/>
        </w:rPr>
      </w:pPr>
      <w:r w:rsidRPr="005961D4">
        <w:rPr>
          <w:rFonts w:eastAsia="Times New Roman"/>
          <w:szCs w:val="24"/>
          <w:lang w:eastAsia="ru-RU"/>
        </w:rPr>
        <w:t>Ключевым звеном, регулирующим гомеостаз костной ткани, является лиганд-рецепторная система RANK/RANKL/OPG. Рецептор-активатор ядерного траскрипционного фактора NF-κB (receptor activator of NF-κB, RANK) и его лиганд – RANKL - это часть суперсемейства фактора некроза опухоли. Связывание RANKL с RANK приводит к активации зрелых остеокластов. Природный антагонист RANKL – остеопротегерин (OPG) - блокирует взаимодействие RANK и RANKL. Нарушения в системе RANK/RANKL/OPG приводят к изменению баланса ремоделирования кости, что способствует развитию таких патологических процессов, как разрушение костей (остеодеструктивный процесс) и метастазирование. Повышенная сигнальная активность RANKL была выявлена при раке молочной железы, простаты, почки, множественной миеломе, и некоторых других солидных опухолях. С целью снижения активности остеокластов и подавления остеолиза при различных нозологических формах, сопровождающихся деструкцией костной ткани, используются ингибиторы взаимодействия RANK/RANKL.</w:t>
      </w:r>
    </w:p>
    <w:p w14:paraId="7EAD303F" w14:textId="2F3B667A" w:rsidR="005961D4" w:rsidRPr="005961D4" w:rsidRDefault="005961D4" w:rsidP="005961D4">
      <w:pPr>
        <w:pStyle w:val="a6"/>
        <w:tabs>
          <w:tab w:val="left" w:pos="0"/>
        </w:tabs>
        <w:ind w:left="0"/>
        <w:rPr>
          <w:rFonts w:eastAsia="Times New Roman"/>
          <w:szCs w:val="24"/>
          <w:lang w:eastAsia="ru-RU"/>
        </w:rPr>
      </w:pPr>
      <w:r>
        <w:rPr>
          <w:rFonts w:eastAsia="Times New Roman"/>
          <w:szCs w:val="24"/>
          <w:lang w:eastAsia="ru-RU"/>
        </w:rPr>
        <w:tab/>
      </w:r>
      <w:r w:rsidRPr="005961D4">
        <w:rPr>
          <w:rFonts w:eastAsia="Times New Roman"/>
          <w:szCs w:val="24"/>
          <w:lang w:eastAsia="ru-RU"/>
        </w:rPr>
        <w:t xml:space="preserve">В связи с тем, что абсолютное большинство протоколов противоопухолевого и иммуносупрессивного лечения </w:t>
      </w:r>
      <w:r w:rsidR="00521D08">
        <w:rPr>
          <w:rFonts w:eastAsia="Times New Roman"/>
          <w:szCs w:val="24"/>
          <w:lang w:eastAsia="ru-RU"/>
        </w:rPr>
        <w:t>множественной миеломы</w:t>
      </w:r>
      <w:r w:rsidRPr="005961D4">
        <w:rPr>
          <w:rFonts w:eastAsia="Times New Roman"/>
          <w:szCs w:val="24"/>
          <w:lang w:eastAsia="ru-RU"/>
        </w:rPr>
        <w:t xml:space="preserve"> включает высокие дозы </w:t>
      </w:r>
      <w:r w:rsidRPr="005961D4">
        <w:rPr>
          <w:rFonts w:eastAsia="Times New Roman"/>
          <w:szCs w:val="24"/>
          <w:lang w:eastAsia="ru-RU"/>
        </w:rPr>
        <w:lastRenderedPageBreak/>
        <w:t xml:space="preserve">глюкокортикостероидов, оправдано применение препаратов, улучшающих метаболизм костной ткани, с целью профилактики костных осложнений. </w:t>
      </w:r>
    </w:p>
    <w:p w14:paraId="5520D58D" w14:textId="77777777" w:rsidR="005961D4" w:rsidRPr="005961D4" w:rsidRDefault="005961D4" w:rsidP="005961D4">
      <w:pPr>
        <w:pStyle w:val="Normal1"/>
        <w:numPr>
          <w:ilvl w:val="0"/>
          <w:numId w:val="61"/>
        </w:numPr>
        <w:spacing w:line="360" w:lineRule="auto"/>
        <w:ind w:left="720"/>
        <w:jc w:val="both"/>
        <w:rPr>
          <w:rFonts w:cs="Times New Roman"/>
          <w:b/>
          <w:szCs w:val="28"/>
        </w:rPr>
      </w:pPr>
      <w:r w:rsidRPr="005961D4">
        <w:rPr>
          <w:rFonts w:cs="Times New Roman"/>
          <w:b/>
          <w:szCs w:val="28"/>
        </w:rPr>
        <w:t>Диагностика остеодеструктивного процесса</w:t>
      </w:r>
    </w:p>
    <w:p w14:paraId="67AD5504" w14:textId="77777777" w:rsidR="005961D4" w:rsidRDefault="005961D4" w:rsidP="005961D4">
      <w:pPr>
        <w:pStyle w:val="Normal1"/>
        <w:spacing w:line="360" w:lineRule="auto"/>
        <w:jc w:val="both"/>
        <w:rPr>
          <w:rFonts w:cs="Times New Roman"/>
          <w:sz w:val="28"/>
          <w:szCs w:val="28"/>
        </w:rPr>
      </w:pPr>
      <w:r>
        <w:rPr>
          <w:rFonts w:cs="Times New Roman"/>
          <w:b/>
          <w:sz w:val="28"/>
          <w:szCs w:val="28"/>
        </w:rPr>
        <w:tab/>
      </w:r>
      <w:r>
        <w:rPr>
          <w:rFonts w:cs="Times New Roman"/>
          <w:b/>
          <w:sz w:val="28"/>
          <w:szCs w:val="28"/>
        </w:rPr>
        <w:tab/>
      </w:r>
      <w:r w:rsidRPr="005961D4">
        <w:rPr>
          <w:rFonts w:eastAsia="Times New Roman" w:cs="Times New Roman"/>
          <w:color w:val="auto"/>
          <w:spacing w:val="0"/>
        </w:rPr>
        <w:t>Для уточнения характера остеодеструктивного процесса рекомендуется проведение лабораторных и инструментальных исследований, при необходимости – консультации специалистов.</w:t>
      </w:r>
    </w:p>
    <w:p w14:paraId="7FA36FA3" w14:textId="77777777" w:rsidR="005961D4" w:rsidRPr="005961D4" w:rsidRDefault="005961D4" w:rsidP="008033EF">
      <w:pPr>
        <w:pStyle w:val="Normal1"/>
        <w:numPr>
          <w:ilvl w:val="0"/>
          <w:numId w:val="72"/>
        </w:numPr>
        <w:spacing w:line="360" w:lineRule="auto"/>
        <w:ind w:left="0" w:firstLine="0"/>
        <w:jc w:val="both"/>
        <w:rPr>
          <w:rFonts w:eastAsia="Times New Roman" w:cs="Times New Roman"/>
          <w:color w:val="auto"/>
          <w:spacing w:val="0"/>
        </w:rPr>
      </w:pPr>
      <w:r w:rsidRPr="005961D4">
        <w:rPr>
          <w:rFonts w:eastAsia="Times New Roman" w:cs="Times New Roman"/>
          <w:color w:val="auto"/>
          <w:spacing w:val="0"/>
        </w:rPr>
        <w:t xml:space="preserve">Лабораторные исследования: </w:t>
      </w:r>
    </w:p>
    <w:p w14:paraId="37A714EE" w14:textId="32923272" w:rsidR="005961D4" w:rsidRPr="005961D4" w:rsidRDefault="005961D4" w:rsidP="008033EF">
      <w:pPr>
        <w:pStyle w:val="Normal1"/>
        <w:spacing w:line="360" w:lineRule="auto"/>
        <w:ind w:left="0" w:firstLine="0"/>
        <w:jc w:val="both"/>
        <w:rPr>
          <w:rFonts w:eastAsia="Times New Roman" w:cs="Times New Roman"/>
          <w:color w:val="auto"/>
          <w:spacing w:val="0"/>
        </w:rPr>
      </w:pPr>
      <w:r>
        <w:rPr>
          <w:rFonts w:eastAsia="Times New Roman" w:cs="Times New Roman"/>
          <w:color w:val="auto"/>
          <w:spacing w:val="0"/>
        </w:rPr>
        <w:t xml:space="preserve">- </w:t>
      </w:r>
      <w:r w:rsidRPr="005961D4">
        <w:rPr>
          <w:rFonts w:eastAsia="Times New Roman" w:cs="Times New Roman"/>
          <w:color w:val="auto"/>
          <w:spacing w:val="0"/>
        </w:rPr>
        <w:t>исследования м</w:t>
      </w:r>
      <w:r w:rsidR="00521D08">
        <w:rPr>
          <w:rFonts w:eastAsia="Times New Roman" w:cs="Times New Roman"/>
          <w:color w:val="auto"/>
          <w:spacing w:val="0"/>
        </w:rPr>
        <w:t xml:space="preserve">аркеров костного метаболизма: </w:t>
      </w:r>
      <w:r w:rsidRPr="005961D4">
        <w:rPr>
          <w:rFonts w:eastAsia="Times New Roman" w:cs="Times New Roman"/>
          <w:color w:val="auto"/>
          <w:spacing w:val="0"/>
        </w:rPr>
        <w:t>уровень кальция крови, уровень кальция суточной мочи, паратгормон, активность щелочной фосфатазы, 25-(ОН) вит D, ДПИД или beta-crocc laps, остеокальцин;</w:t>
      </w:r>
    </w:p>
    <w:p w14:paraId="1FDAB2F3" w14:textId="686ED1A3" w:rsidR="005961D4" w:rsidRPr="005961D4" w:rsidRDefault="005961D4" w:rsidP="008033EF">
      <w:pPr>
        <w:pStyle w:val="Normal1"/>
        <w:numPr>
          <w:ilvl w:val="0"/>
          <w:numId w:val="72"/>
        </w:numPr>
        <w:spacing w:line="360" w:lineRule="auto"/>
        <w:ind w:left="0" w:firstLine="0"/>
        <w:jc w:val="both"/>
        <w:rPr>
          <w:rFonts w:eastAsia="Times New Roman" w:cs="Times New Roman"/>
          <w:color w:val="auto"/>
          <w:spacing w:val="0"/>
        </w:rPr>
      </w:pPr>
      <w:r w:rsidRPr="005961D4">
        <w:rPr>
          <w:rFonts w:eastAsia="Times New Roman" w:cs="Times New Roman"/>
          <w:color w:val="auto"/>
          <w:spacing w:val="0"/>
        </w:rPr>
        <w:t>исследование функции почек</w:t>
      </w:r>
      <w:r>
        <w:rPr>
          <w:rFonts w:eastAsia="Times New Roman" w:cs="Times New Roman"/>
          <w:color w:val="auto"/>
          <w:spacing w:val="0"/>
        </w:rPr>
        <w:t>:</w:t>
      </w:r>
      <w:r w:rsidRPr="005961D4">
        <w:rPr>
          <w:rFonts w:eastAsia="Times New Roman" w:cs="Times New Roman"/>
          <w:color w:val="auto"/>
          <w:spacing w:val="0"/>
        </w:rPr>
        <w:t xml:space="preserve"> </w:t>
      </w:r>
    </w:p>
    <w:p w14:paraId="240FC881" w14:textId="77777777" w:rsidR="005961D4" w:rsidRPr="005961D4" w:rsidRDefault="005961D4" w:rsidP="008033EF">
      <w:pPr>
        <w:pStyle w:val="Normal1"/>
        <w:spacing w:line="360" w:lineRule="auto"/>
        <w:ind w:left="0" w:firstLine="0"/>
        <w:jc w:val="both"/>
        <w:rPr>
          <w:rFonts w:eastAsia="Times New Roman" w:cs="Times New Roman"/>
          <w:color w:val="auto"/>
          <w:spacing w:val="0"/>
        </w:rPr>
      </w:pPr>
      <w:r w:rsidRPr="005961D4">
        <w:rPr>
          <w:rFonts w:eastAsia="Times New Roman" w:cs="Times New Roman"/>
          <w:color w:val="auto"/>
          <w:spacing w:val="0"/>
        </w:rPr>
        <w:t>мочевина, креатинин, скорость клубочковой фильтрации (СКФ), электролиты К, Na, Са общий и свободный.</w:t>
      </w:r>
    </w:p>
    <w:p w14:paraId="0C8BC77F" w14:textId="77777777" w:rsidR="005961D4" w:rsidRPr="005961D4" w:rsidRDefault="005961D4" w:rsidP="008033EF">
      <w:pPr>
        <w:pStyle w:val="Normal1"/>
        <w:numPr>
          <w:ilvl w:val="0"/>
          <w:numId w:val="72"/>
        </w:numPr>
        <w:spacing w:line="360" w:lineRule="auto"/>
        <w:ind w:left="0" w:firstLine="0"/>
        <w:jc w:val="both"/>
        <w:rPr>
          <w:rFonts w:eastAsia="Times New Roman" w:cs="Times New Roman"/>
          <w:color w:val="auto"/>
          <w:spacing w:val="0"/>
        </w:rPr>
      </w:pPr>
      <w:r w:rsidRPr="005961D4">
        <w:rPr>
          <w:rFonts w:eastAsia="Times New Roman" w:cs="Times New Roman"/>
          <w:color w:val="auto"/>
          <w:spacing w:val="0"/>
        </w:rPr>
        <w:t>Инструментальные исследования: рентгенография/компьютерная томография/магнитно-резонансная томография соответствующего отдела костного скелета</w:t>
      </w:r>
    </w:p>
    <w:p w14:paraId="69710350" w14:textId="77777777" w:rsidR="005961D4" w:rsidRPr="005961D4" w:rsidRDefault="005961D4" w:rsidP="005961D4">
      <w:pPr>
        <w:pStyle w:val="Normal1"/>
        <w:numPr>
          <w:ilvl w:val="0"/>
          <w:numId w:val="61"/>
        </w:numPr>
        <w:tabs>
          <w:tab w:val="left" w:pos="0"/>
          <w:tab w:val="left" w:pos="993"/>
        </w:tabs>
        <w:spacing w:line="360" w:lineRule="auto"/>
        <w:ind w:left="720"/>
        <w:jc w:val="both"/>
        <w:rPr>
          <w:rFonts w:cs="Times New Roman"/>
          <w:b/>
          <w:szCs w:val="28"/>
        </w:rPr>
      </w:pPr>
      <w:r w:rsidRPr="005961D4">
        <w:rPr>
          <w:rFonts w:cs="Times New Roman"/>
          <w:b/>
          <w:szCs w:val="28"/>
        </w:rPr>
        <w:t>Лечение остеодеструктивного процесса</w:t>
      </w:r>
    </w:p>
    <w:p w14:paraId="2F990C66" w14:textId="46ECF6EC" w:rsidR="005961D4" w:rsidRPr="005961D4" w:rsidRDefault="005961D4" w:rsidP="005961D4">
      <w:pPr>
        <w:pStyle w:val="Normal1"/>
        <w:tabs>
          <w:tab w:val="left" w:pos="0"/>
        </w:tabs>
        <w:spacing w:line="360" w:lineRule="auto"/>
        <w:jc w:val="both"/>
        <w:rPr>
          <w:rFonts w:eastAsia="Times New Roman" w:cs="Times New Roman"/>
          <w:color w:val="auto"/>
          <w:spacing w:val="0"/>
        </w:rPr>
      </w:pPr>
      <w:r>
        <w:rPr>
          <w:rFonts w:cs="Times New Roman"/>
          <w:sz w:val="28"/>
          <w:szCs w:val="28"/>
          <w:shd w:val="clear" w:color="auto" w:fill="FFFFFF"/>
        </w:rPr>
        <w:tab/>
      </w:r>
      <w:r>
        <w:rPr>
          <w:rFonts w:cs="Times New Roman"/>
          <w:sz w:val="28"/>
          <w:szCs w:val="28"/>
          <w:shd w:val="clear" w:color="auto" w:fill="FFFFFF"/>
        </w:rPr>
        <w:tab/>
      </w:r>
      <w:r w:rsidRPr="005961D4">
        <w:rPr>
          <w:rFonts w:eastAsia="Times New Roman" w:cs="Times New Roman"/>
          <w:color w:val="auto"/>
          <w:spacing w:val="0"/>
        </w:rPr>
        <w:t>В настоящее время применяется два класса препаратов, улучшающих метаболизм костной ткани у больных множественной миеломой: бисфосфонаты и моноклональные антитела.</w:t>
      </w:r>
    </w:p>
    <w:p w14:paraId="1D7D73F5" w14:textId="50287250" w:rsidR="005961D4" w:rsidRPr="005961D4" w:rsidRDefault="005961D4" w:rsidP="005961D4">
      <w:pPr>
        <w:pStyle w:val="Normal1"/>
        <w:numPr>
          <w:ilvl w:val="1"/>
          <w:numId w:val="61"/>
        </w:numPr>
        <w:tabs>
          <w:tab w:val="left" w:pos="0"/>
          <w:tab w:val="left" w:pos="993"/>
        </w:tabs>
        <w:spacing w:line="360" w:lineRule="auto"/>
        <w:ind w:left="709" w:hanging="425"/>
        <w:jc w:val="both"/>
        <w:rPr>
          <w:rFonts w:cs="Times New Roman"/>
          <w:b/>
        </w:rPr>
      </w:pPr>
      <w:r w:rsidRPr="005961D4">
        <w:rPr>
          <w:rFonts w:cs="Times New Roman"/>
          <w:b/>
        </w:rPr>
        <w:t>Бисфосфонаты</w:t>
      </w:r>
    </w:p>
    <w:p w14:paraId="70D63BBE" w14:textId="77777777" w:rsidR="005961D4" w:rsidRPr="005961D4" w:rsidRDefault="005961D4" w:rsidP="005961D4">
      <w:pPr>
        <w:pStyle w:val="Normal1"/>
        <w:tabs>
          <w:tab w:val="left" w:pos="0"/>
        </w:tabs>
        <w:spacing w:line="360" w:lineRule="auto"/>
        <w:ind w:firstLine="567"/>
        <w:jc w:val="both"/>
        <w:rPr>
          <w:rFonts w:cs="Times New Roman"/>
        </w:rPr>
      </w:pPr>
      <w:r w:rsidRPr="005961D4">
        <w:rPr>
          <w:rFonts w:cs="Times New Roman"/>
        </w:rPr>
        <w:t>Бисфосфонаты ингибируют костную резорбцию, подавляя активность остеокластов. Селективное действие бисфосфонатов на костную ткань основано на высоком сродстве к минералу основного аморфного вещества кости гидроксиапатиту, поэтому они могут длительное время сохраняться в местах активного костеобразования. При гиперкальциемии применение бисфосфонатов приводит к снижению концентрации кальция в сыворотке и уменьшению его выведения почками. Помимо ингибирующего действия на резорбцию костной ткани, бисфосфонаты обладают противоопухолевыми свойствами, обеспечивающими терапевтическую эффективность при костных метастазах.</w:t>
      </w:r>
    </w:p>
    <w:p w14:paraId="65BEDBA3" w14:textId="77777777" w:rsidR="005961D4" w:rsidRPr="005961D4" w:rsidRDefault="005961D4" w:rsidP="005961D4">
      <w:pPr>
        <w:pStyle w:val="Normal1"/>
        <w:tabs>
          <w:tab w:val="left" w:pos="0"/>
        </w:tabs>
        <w:spacing w:line="360" w:lineRule="auto"/>
        <w:ind w:firstLine="567"/>
        <w:jc w:val="both"/>
        <w:rPr>
          <w:rFonts w:cs="Times New Roman"/>
        </w:rPr>
      </w:pPr>
      <w:r w:rsidRPr="005961D4">
        <w:rPr>
          <w:rFonts w:cs="Times New Roman"/>
        </w:rPr>
        <w:t>Бисфосфонаты применяются для купирования болевого синдрома в костях, с целью снижения риска патологических переломов, компрессии спинного мозга, опухолевой гиперкальциемии.</w:t>
      </w:r>
    </w:p>
    <w:p w14:paraId="65FCE08B" w14:textId="6AA77A81" w:rsidR="005961D4" w:rsidRPr="005961D4" w:rsidRDefault="005961D4" w:rsidP="005961D4">
      <w:pPr>
        <w:pStyle w:val="Normal1"/>
        <w:tabs>
          <w:tab w:val="left" w:pos="0"/>
        </w:tabs>
        <w:spacing w:line="360" w:lineRule="auto"/>
        <w:ind w:left="394"/>
        <w:jc w:val="both"/>
        <w:rPr>
          <w:rFonts w:cs="Times New Roman"/>
          <w:b/>
          <w:i/>
        </w:rPr>
      </w:pPr>
      <w:r w:rsidRPr="005961D4">
        <w:rPr>
          <w:rFonts w:cs="Times New Roman"/>
          <w:b/>
          <w:i/>
        </w:rPr>
        <w:lastRenderedPageBreak/>
        <w:tab/>
        <w:t>Показания к назначению бисфосфонатов:</w:t>
      </w:r>
    </w:p>
    <w:p w14:paraId="313F16A7" w14:textId="77777777" w:rsidR="005961D4" w:rsidRPr="005961D4" w:rsidRDefault="005961D4" w:rsidP="005961D4">
      <w:pPr>
        <w:pStyle w:val="Normal1"/>
        <w:numPr>
          <w:ilvl w:val="0"/>
          <w:numId w:val="71"/>
        </w:numPr>
        <w:tabs>
          <w:tab w:val="left" w:pos="0"/>
        </w:tabs>
        <w:spacing w:line="360" w:lineRule="auto"/>
        <w:ind w:left="567" w:firstLine="0"/>
        <w:jc w:val="both"/>
        <w:rPr>
          <w:rFonts w:cs="Times New Roman"/>
        </w:rPr>
      </w:pPr>
      <w:r w:rsidRPr="005961D4">
        <w:rPr>
          <w:rFonts w:cs="Times New Roman"/>
        </w:rPr>
        <w:t xml:space="preserve"> Множественная миелома;</w:t>
      </w:r>
    </w:p>
    <w:p w14:paraId="5C54DC8F" w14:textId="77777777" w:rsidR="005961D4" w:rsidRPr="005961D4" w:rsidRDefault="005961D4" w:rsidP="005961D4">
      <w:pPr>
        <w:pStyle w:val="Normal1"/>
        <w:numPr>
          <w:ilvl w:val="0"/>
          <w:numId w:val="71"/>
        </w:numPr>
        <w:tabs>
          <w:tab w:val="left" w:pos="0"/>
        </w:tabs>
        <w:spacing w:line="360" w:lineRule="auto"/>
        <w:ind w:left="567" w:firstLine="0"/>
        <w:jc w:val="both"/>
        <w:rPr>
          <w:rFonts w:cs="Times New Roman"/>
        </w:rPr>
      </w:pPr>
      <w:r w:rsidRPr="005961D4">
        <w:rPr>
          <w:rFonts w:cs="Times New Roman"/>
        </w:rPr>
        <w:t xml:space="preserve"> Гиперкальциемия, обусловленная злокачественными опухолями;</w:t>
      </w:r>
    </w:p>
    <w:p w14:paraId="3E9E3643" w14:textId="77777777" w:rsidR="005961D4" w:rsidRPr="005961D4" w:rsidRDefault="005961D4" w:rsidP="005961D4">
      <w:pPr>
        <w:pStyle w:val="Normal1"/>
        <w:numPr>
          <w:ilvl w:val="0"/>
          <w:numId w:val="71"/>
        </w:numPr>
        <w:tabs>
          <w:tab w:val="left" w:pos="0"/>
        </w:tabs>
        <w:spacing w:line="360" w:lineRule="auto"/>
        <w:ind w:left="567" w:firstLine="0"/>
        <w:jc w:val="both"/>
        <w:rPr>
          <w:rFonts w:cs="Times New Roman"/>
        </w:rPr>
      </w:pPr>
      <w:r w:rsidRPr="005961D4">
        <w:rPr>
          <w:rFonts w:cs="Times New Roman"/>
        </w:rPr>
        <w:t>Профилактика и лечение остеопороза, вызванного применением глюкокортикостероидов (ГКС);</w:t>
      </w:r>
    </w:p>
    <w:p w14:paraId="569479C9" w14:textId="77777777" w:rsidR="005961D4" w:rsidRPr="00FD15FE" w:rsidRDefault="005961D4" w:rsidP="00FD15FE">
      <w:pPr>
        <w:rPr>
          <w:rFonts w:eastAsia="Arial Unicode MS"/>
          <w:b/>
          <w:i/>
          <w:color w:val="000000"/>
          <w:spacing w:val="4"/>
          <w:szCs w:val="24"/>
          <w:u w:color="000000"/>
          <w:lang w:eastAsia="ru-RU"/>
        </w:rPr>
      </w:pPr>
      <w:r w:rsidRPr="00FD15FE">
        <w:rPr>
          <w:rFonts w:eastAsia="Arial Unicode MS"/>
          <w:b/>
          <w:i/>
          <w:color w:val="000000"/>
          <w:spacing w:val="4"/>
          <w:szCs w:val="24"/>
          <w:u w:color="000000"/>
          <w:lang w:eastAsia="ru-RU"/>
        </w:rPr>
        <w:t>Режим дозирования бифосфонатов:</w:t>
      </w:r>
    </w:p>
    <w:p w14:paraId="1910FEDF" w14:textId="77777777" w:rsidR="005961D4" w:rsidRPr="005961D4" w:rsidRDefault="005961D4" w:rsidP="005961D4">
      <w:pPr>
        <w:tabs>
          <w:tab w:val="left" w:pos="0"/>
        </w:tabs>
        <w:ind w:firstLine="567"/>
        <w:rPr>
          <w:szCs w:val="24"/>
          <w:lang w:eastAsia="ru-RU"/>
        </w:rPr>
      </w:pPr>
      <w:r w:rsidRPr="005961D4">
        <w:rPr>
          <w:szCs w:val="24"/>
          <w:lang w:eastAsia="ru-RU"/>
        </w:rPr>
        <w:t xml:space="preserve">Режим применения препаратов для улучшения метаболизма костной ткани приведены в таб 1. </w:t>
      </w:r>
    </w:p>
    <w:p w14:paraId="3C0E653D" w14:textId="77777777" w:rsidR="005961D4" w:rsidRPr="005961D4" w:rsidRDefault="005961D4" w:rsidP="005961D4">
      <w:pPr>
        <w:tabs>
          <w:tab w:val="left" w:pos="0"/>
        </w:tabs>
        <w:ind w:firstLine="567"/>
        <w:rPr>
          <w:szCs w:val="24"/>
          <w:lang w:eastAsia="ru-RU"/>
        </w:rPr>
      </w:pPr>
      <w:r w:rsidRPr="005961D4">
        <w:rPr>
          <w:szCs w:val="24"/>
          <w:lang w:eastAsia="ru-RU"/>
        </w:rPr>
        <w:t>Таблица 1. Режим дозирования бисфосфонатов.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223"/>
        <w:gridCol w:w="2116"/>
        <w:gridCol w:w="4012"/>
      </w:tblGrid>
      <w:tr w:rsidR="005961D4" w:rsidRPr="005961D4" w14:paraId="666F65CA" w14:textId="77777777" w:rsidTr="00FD15FE">
        <w:tc>
          <w:tcPr>
            <w:tcW w:w="1970" w:type="dxa"/>
          </w:tcPr>
          <w:p w14:paraId="0F4E9FCB" w14:textId="77777777" w:rsidR="005961D4" w:rsidRPr="005961D4" w:rsidRDefault="005961D4" w:rsidP="008372B8">
            <w:pPr>
              <w:tabs>
                <w:tab w:val="left" w:pos="0"/>
              </w:tabs>
              <w:ind w:firstLine="34"/>
              <w:rPr>
                <w:b/>
                <w:szCs w:val="24"/>
                <w:lang w:eastAsia="ru-RU"/>
              </w:rPr>
            </w:pPr>
            <w:r w:rsidRPr="005961D4">
              <w:rPr>
                <w:b/>
                <w:szCs w:val="24"/>
                <w:lang w:eastAsia="ru-RU"/>
              </w:rPr>
              <w:t>Препарат</w:t>
            </w:r>
          </w:p>
        </w:tc>
        <w:tc>
          <w:tcPr>
            <w:tcW w:w="1223" w:type="dxa"/>
          </w:tcPr>
          <w:p w14:paraId="5654DEED" w14:textId="77777777" w:rsidR="005961D4" w:rsidRPr="005961D4" w:rsidRDefault="005961D4" w:rsidP="008372B8">
            <w:pPr>
              <w:tabs>
                <w:tab w:val="left" w:pos="0"/>
              </w:tabs>
              <w:jc w:val="center"/>
              <w:rPr>
                <w:b/>
                <w:szCs w:val="24"/>
                <w:lang w:eastAsia="ru-RU"/>
              </w:rPr>
            </w:pPr>
            <w:r w:rsidRPr="005961D4">
              <w:rPr>
                <w:b/>
                <w:szCs w:val="24"/>
                <w:lang w:eastAsia="ru-RU"/>
              </w:rPr>
              <w:t>Разовая доза</w:t>
            </w:r>
          </w:p>
        </w:tc>
        <w:tc>
          <w:tcPr>
            <w:tcW w:w="2116" w:type="dxa"/>
          </w:tcPr>
          <w:p w14:paraId="10F8FC13" w14:textId="77777777" w:rsidR="005961D4" w:rsidRPr="005961D4" w:rsidRDefault="005961D4" w:rsidP="008372B8">
            <w:pPr>
              <w:tabs>
                <w:tab w:val="left" w:pos="0"/>
                <w:tab w:val="left" w:pos="176"/>
              </w:tabs>
              <w:jc w:val="center"/>
              <w:rPr>
                <w:b/>
                <w:szCs w:val="24"/>
                <w:lang w:eastAsia="ru-RU"/>
              </w:rPr>
            </w:pPr>
            <w:r w:rsidRPr="005961D4">
              <w:rPr>
                <w:b/>
                <w:szCs w:val="24"/>
                <w:lang w:eastAsia="ru-RU"/>
              </w:rPr>
              <w:t>Частота применения</w:t>
            </w:r>
          </w:p>
        </w:tc>
        <w:tc>
          <w:tcPr>
            <w:tcW w:w="4012" w:type="dxa"/>
          </w:tcPr>
          <w:p w14:paraId="3AEB0D70" w14:textId="77777777" w:rsidR="005961D4" w:rsidRPr="005961D4" w:rsidRDefault="005961D4" w:rsidP="008372B8">
            <w:pPr>
              <w:tabs>
                <w:tab w:val="left" w:pos="0"/>
              </w:tabs>
              <w:rPr>
                <w:b/>
                <w:szCs w:val="24"/>
                <w:lang w:eastAsia="ru-RU"/>
              </w:rPr>
            </w:pPr>
            <w:r w:rsidRPr="005961D4">
              <w:rPr>
                <w:b/>
                <w:szCs w:val="24"/>
                <w:lang w:eastAsia="ru-RU"/>
              </w:rPr>
              <w:t>Способ введения</w:t>
            </w:r>
          </w:p>
        </w:tc>
      </w:tr>
      <w:tr w:rsidR="005961D4" w:rsidRPr="005961D4" w14:paraId="264E7DAB" w14:textId="77777777" w:rsidTr="00FD15FE">
        <w:tc>
          <w:tcPr>
            <w:tcW w:w="1970" w:type="dxa"/>
          </w:tcPr>
          <w:p w14:paraId="5AA0E9FF" w14:textId="77777777" w:rsidR="005961D4" w:rsidRPr="005961D4" w:rsidRDefault="005961D4" w:rsidP="008372B8">
            <w:pPr>
              <w:tabs>
                <w:tab w:val="left" w:pos="0"/>
              </w:tabs>
              <w:rPr>
                <w:szCs w:val="24"/>
                <w:lang w:eastAsia="ru-RU"/>
              </w:rPr>
            </w:pPr>
            <w:r w:rsidRPr="005961D4">
              <w:rPr>
                <w:szCs w:val="24"/>
                <w:lang w:eastAsia="ru-RU"/>
              </w:rPr>
              <w:t>Золедроновая кислота</w:t>
            </w:r>
          </w:p>
        </w:tc>
        <w:tc>
          <w:tcPr>
            <w:tcW w:w="1223" w:type="dxa"/>
          </w:tcPr>
          <w:p w14:paraId="6A3DBFE3" w14:textId="77777777" w:rsidR="005961D4" w:rsidRPr="005961D4" w:rsidRDefault="005961D4" w:rsidP="008372B8">
            <w:pPr>
              <w:tabs>
                <w:tab w:val="left" w:pos="0"/>
              </w:tabs>
              <w:jc w:val="center"/>
              <w:rPr>
                <w:szCs w:val="24"/>
                <w:lang w:eastAsia="ru-RU"/>
              </w:rPr>
            </w:pPr>
            <w:r w:rsidRPr="005961D4">
              <w:rPr>
                <w:szCs w:val="24"/>
                <w:lang w:eastAsia="ru-RU"/>
              </w:rPr>
              <w:t>4 мг</w:t>
            </w:r>
          </w:p>
        </w:tc>
        <w:tc>
          <w:tcPr>
            <w:tcW w:w="2116" w:type="dxa"/>
          </w:tcPr>
          <w:p w14:paraId="5DF76904" w14:textId="77777777" w:rsidR="005961D4" w:rsidRPr="005961D4" w:rsidRDefault="005961D4" w:rsidP="008372B8">
            <w:pPr>
              <w:tabs>
                <w:tab w:val="left" w:pos="0"/>
                <w:tab w:val="left" w:pos="176"/>
              </w:tabs>
              <w:ind w:firstLine="34"/>
              <w:rPr>
                <w:szCs w:val="24"/>
                <w:lang w:eastAsia="ru-RU"/>
              </w:rPr>
            </w:pPr>
            <w:r w:rsidRPr="005961D4">
              <w:rPr>
                <w:szCs w:val="24"/>
                <w:lang w:eastAsia="ru-RU"/>
              </w:rPr>
              <w:t>Ежемесячно</w:t>
            </w:r>
          </w:p>
        </w:tc>
        <w:tc>
          <w:tcPr>
            <w:tcW w:w="4012" w:type="dxa"/>
          </w:tcPr>
          <w:p w14:paraId="77849A76" w14:textId="77777777" w:rsidR="005961D4" w:rsidRPr="005961D4" w:rsidRDefault="005961D4" w:rsidP="008372B8">
            <w:pPr>
              <w:tabs>
                <w:tab w:val="left" w:pos="0"/>
              </w:tabs>
              <w:rPr>
                <w:szCs w:val="24"/>
                <w:lang w:eastAsia="ru-RU"/>
              </w:rPr>
            </w:pPr>
            <w:r w:rsidRPr="005961D4">
              <w:rPr>
                <w:szCs w:val="24"/>
                <w:lang w:eastAsia="ru-RU"/>
              </w:rPr>
              <w:t xml:space="preserve">Внутривенно, </w:t>
            </w:r>
          </w:p>
          <w:p w14:paraId="3526A32B" w14:textId="77777777" w:rsidR="005961D4" w:rsidRPr="005961D4" w:rsidRDefault="005961D4" w:rsidP="008372B8">
            <w:pPr>
              <w:tabs>
                <w:tab w:val="left" w:pos="0"/>
              </w:tabs>
              <w:rPr>
                <w:szCs w:val="24"/>
                <w:lang w:eastAsia="ru-RU"/>
              </w:rPr>
            </w:pPr>
            <w:r w:rsidRPr="005961D4">
              <w:rPr>
                <w:szCs w:val="24"/>
                <w:lang w:eastAsia="ru-RU"/>
              </w:rPr>
              <w:t>разводят в 0.9% растворе хлорида натрия, вводят в течение 15 минут</w:t>
            </w:r>
          </w:p>
        </w:tc>
      </w:tr>
      <w:tr w:rsidR="005961D4" w:rsidRPr="005961D4" w14:paraId="047CAA3D" w14:textId="77777777" w:rsidTr="00FD15FE">
        <w:tc>
          <w:tcPr>
            <w:tcW w:w="1970" w:type="dxa"/>
          </w:tcPr>
          <w:p w14:paraId="2C37C2D1" w14:textId="77777777" w:rsidR="005961D4" w:rsidRPr="005961D4" w:rsidRDefault="005961D4" w:rsidP="008372B8">
            <w:pPr>
              <w:tabs>
                <w:tab w:val="left" w:pos="0"/>
              </w:tabs>
              <w:rPr>
                <w:szCs w:val="24"/>
                <w:lang w:eastAsia="ru-RU"/>
              </w:rPr>
            </w:pPr>
            <w:r w:rsidRPr="005961D4">
              <w:rPr>
                <w:szCs w:val="24"/>
                <w:lang w:eastAsia="ru-RU"/>
              </w:rPr>
              <w:t>Памидроновая кислота</w:t>
            </w:r>
          </w:p>
        </w:tc>
        <w:tc>
          <w:tcPr>
            <w:tcW w:w="1223" w:type="dxa"/>
          </w:tcPr>
          <w:p w14:paraId="7239A084" w14:textId="77777777" w:rsidR="005961D4" w:rsidRPr="005961D4" w:rsidRDefault="005961D4" w:rsidP="008372B8">
            <w:pPr>
              <w:tabs>
                <w:tab w:val="left" w:pos="0"/>
              </w:tabs>
              <w:jc w:val="center"/>
              <w:rPr>
                <w:szCs w:val="24"/>
                <w:lang w:eastAsia="ru-RU"/>
              </w:rPr>
            </w:pPr>
            <w:r w:rsidRPr="005961D4">
              <w:rPr>
                <w:szCs w:val="24"/>
                <w:lang w:eastAsia="ru-RU"/>
              </w:rPr>
              <w:t>90 мг</w:t>
            </w:r>
          </w:p>
        </w:tc>
        <w:tc>
          <w:tcPr>
            <w:tcW w:w="2116" w:type="dxa"/>
          </w:tcPr>
          <w:p w14:paraId="27CFEAEE" w14:textId="77777777" w:rsidR="005961D4" w:rsidRPr="005961D4" w:rsidRDefault="005961D4" w:rsidP="008372B8">
            <w:pPr>
              <w:tabs>
                <w:tab w:val="left" w:pos="0"/>
                <w:tab w:val="left" w:pos="176"/>
              </w:tabs>
              <w:ind w:firstLine="34"/>
              <w:rPr>
                <w:szCs w:val="24"/>
                <w:lang w:eastAsia="ru-RU"/>
              </w:rPr>
            </w:pPr>
            <w:r w:rsidRPr="005961D4">
              <w:rPr>
                <w:szCs w:val="24"/>
                <w:lang w:eastAsia="ru-RU"/>
              </w:rPr>
              <w:t>Ежемесячно</w:t>
            </w:r>
          </w:p>
        </w:tc>
        <w:tc>
          <w:tcPr>
            <w:tcW w:w="4012" w:type="dxa"/>
          </w:tcPr>
          <w:p w14:paraId="6E74736A" w14:textId="77777777" w:rsidR="005961D4" w:rsidRPr="005961D4" w:rsidRDefault="005961D4" w:rsidP="008372B8">
            <w:pPr>
              <w:tabs>
                <w:tab w:val="left" w:pos="0"/>
              </w:tabs>
              <w:rPr>
                <w:szCs w:val="24"/>
                <w:lang w:eastAsia="ru-RU"/>
              </w:rPr>
            </w:pPr>
            <w:r w:rsidRPr="005961D4">
              <w:rPr>
                <w:szCs w:val="24"/>
                <w:lang w:eastAsia="ru-RU"/>
              </w:rPr>
              <w:t>Внутривенно, разводят в 0.9% растворе хлорида натрия, вводят в течение 2-4 часов</w:t>
            </w:r>
          </w:p>
        </w:tc>
      </w:tr>
      <w:tr w:rsidR="005961D4" w:rsidRPr="005961D4" w14:paraId="7702BC19" w14:textId="77777777" w:rsidTr="00FD15FE">
        <w:tc>
          <w:tcPr>
            <w:tcW w:w="1970" w:type="dxa"/>
          </w:tcPr>
          <w:p w14:paraId="3D9B9BE2" w14:textId="77777777" w:rsidR="005961D4" w:rsidRPr="005961D4" w:rsidRDefault="005961D4" w:rsidP="008372B8">
            <w:pPr>
              <w:tabs>
                <w:tab w:val="left" w:pos="0"/>
              </w:tabs>
              <w:rPr>
                <w:szCs w:val="24"/>
                <w:lang w:eastAsia="ru-RU"/>
              </w:rPr>
            </w:pPr>
            <w:r w:rsidRPr="005961D4">
              <w:rPr>
                <w:szCs w:val="24"/>
                <w:lang w:eastAsia="ru-RU"/>
              </w:rPr>
              <w:t>Клодроновая кислота</w:t>
            </w:r>
          </w:p>
        </w:tc>
        <w:tc>
          <w:tcPr>
            <w:tcW w:w="1223" w:type="dxa"/>
          </w:tcPr>
          <w:p w14:paraId="15B81003" w14:textId="77777777" w:rsidR="005961D4" w:rsidRPr="005961D4" w:rsidRDefault="005961D4" w:rsidP="008372B8">
            <w:pPr>
              <w:tabs>
                <w:tab w:val="left" w:pos="0"/>
              </w:tabs>
              <w:jc w:val="center"/>
              <w:rPr>
                <w:szCs w:val="24"/>
                <w:lang w:eastAsia="ru-RU"/>
              </w:rPr>
            </w:pPr>
            <w:r w:rsidRPr="005961D4">
              <w:rPr>
                <w:szCs w:val="24"/>
                <w:lang w:eastAsia="ru-RU"/>
              </w:rPr>
              <w:t>1600 мг</w:t>
            </w:r>
          </w:p>
        </w:tc>
        <w:tc>
          <w:tcPr>
            <w:tcW w:w="2116" w:type="dxa"/>
          </w:tcPr>
          <w:p w14:paraId="514AED93" w14:textId="77777777" w:rsidR="005961D4" w:rsidRPr="005961D4" w:rsidRDefault="005961D4" w:rsidP="008372B8">
            <w:pPr>
              <w:tabs>
                <w:tab w:val="left" w:pos="0"/>
                <w:tab w:val="left" w:pos="176"/>
              </w:tabs>
              <w:ind w:firstLine="34"/>
              <w:rPr>
                <w:szCs w:val="24"/>
                <w:lang w:eastAsia="ru-RU"/>
              </w:rPr>
            </w:pPr>
            <w:r w:rsidRPr="005961D4">
              <w:rPr>
                <w:szCs w:val="24"/>
                <w:lang w:eastAsia="ru-RU"/>
              </w:rPr>
              <w:t>Ежедневно</w:t>
            </w:r>
          </w:p>
        </w:tc>
        <w:tc>
          <w:tcPr>
            <w:tcW w:w="4012" w:type="dxa"/>
          </w:tcPr>
          <w:p w14:paraId="4288F9DE" w14:textId="77777777" w:rsidR="005961D4" w:rsidRPr="005961D4" w:rsidRDefault="005961D4" w:rsidP="008372B8">
            <w:pPr>
              <w:tabs>
                <w:tab w:val="left" w:pos="0"/>
              </w:tabs>
              <w:rPr>
                <w:szCs w:val="24"/>
                <w:lang w:eastAsia="ru-RU"/>
              </w:rPr>
            </w:pPr>
            <w:r w:rsidRPr="005961D4">
              <w:rPr>
                <w:szCs w:val="24"/>
                <w:lang w:eastAsia="ru-RU"/>
              </w:rPr>
              <w:t xml:space="preserve">Перорально, </w:t>
            </w:r>
          </w:p>
          <w:p w14:paraId="1BE68ED8" w14:textId="77777777" w:rsidR="005961D4" w:rsidRPr="005961D4" w:rsidRDefault="005961D4" w:rsidP="008372B8">
            <w:pPr>
              <w:tabs>
                <w:tab w:val="left" w:pos="0"/>
              </w:tabs>
              <w:rPr>
                <w:szCs w:val="24"/>
                <w:lang w:eastAsia="ru-RU"/>
              </w:rPr>
            </w:pPr>
            <w:r w:rsidRPr="005961D4">
              <w:rPr>
                <w:szCs w:val="24"/>
                <w:lang w:eastAsia="ru-RU"/>
              </w:rPr>
              <w:t xml:space="preserve">Прием утром натощак, запивая стаканом воды. </w:t>
            </w:r>
          </w:p>
        </w:tc>
      </w:tr>
    </w:tbl>
    <w:p w14:paraId="3EF6FDCC" w14:textId="77777777" w:rsidR="005961D4" w:rsidRPr="005961D4" w:rsidRDefault="005961D4" w:rsidP="005961D4">
      <w:pPr>
        <w:tabs>
          <w:tab w:val="left" w:pos="0"/>
        </w:tabs>
        <w:ind w:firstLine="567"/>
        <w:rPr>
          <w:szCs w:val="24"/>
          <w:lang w:eastAsia="ru-RU"/>
        </w:rPr>
      </w:pPr>
      <w:r w:rsidRPr="005961D4">
        <w:rPr>
          <w:szCs w:val="24"/>
          <w:lang w:eastAsia="ru-RU"/>
        </w:rPr>
        <w:t xml:space="preserve">Для поддержания кальциевого гомеостаза во время терапии бисфосфонатами следует принимать препараты кальция и витамина </w:t>
      </w:r>
      <w:r w:rsidRPr="005961D4">
        <w:rPr>
          <w:szCs w:val="24"/>
          <w:lang w:val="en-US" w:eastAsia="ru-RU"/>
        </w:rPr>
        <w:t>D</w:t>
      </w:r>
      <w:r w:rsidRPr="005961D4">
        <w:rPr>
          <w:szCs w:val="24"/>
          <w:lang w:eastAsia="ru-RU"/>
        </w:rPr>
        <w:t>3 при отсутствии гиперкальциемии (с осторожностью при почечной недостаточности).</w:t>
      </w:r>
    </w:p>
    <w:p w14:paraId="2473588C" w14:textId="77777777" w:rsidR="005961D4" w:rsidRPr="005961D4" w:rsidRDefault="005961D4" w:rsidP="005961D4">
      <w:pPr>
        <w:pStyle w:val="a6"/>
        <w:tabs>
          <w:tab w:val="left" w:pos="0"/>
        </w:tabs>
        <w:spacing w:before="240"/>
        <w:ind w:left="567"/>
        <w:rPr>
          <w:b/>
          <w:i/>
          <w:szCs w:val="24"/>
          <w:lang w:eastAsia="ru-RU"/>
        </w:rPr>
      </w:pPr>
      <w:r w:rsidRPr="005961D4">
        <w:rPr>
          <w:b/>
          <w:i/>
          <w:szCs w:val="24"/>
          <w:lang w:eastAsia="ru-RU"/>
        </w:rPr>
        <w:t>Применение бисфосфонатов при почечной недостаточности</w:t>
      </w:r>
    </w:p>
    <w:p w14:paraId="7818B9BD" w14:textId="77777777" w:rsidR="005961D4" w:rsidRPr="005961D4" w:rsidRDefault="005961D4" w:rsidP="005961D4">
      <w:pPr>
        <w:pStyle w:val="a6"/>
        <w:tabs>
          <w:tab w:val="left" w:pos="0"/>
        </w:tabs>
        <w:spacing w:before="0" w:after="0"/>
        <w:ind w:left="0" w:firstLine="567"/>
        <w:rPr>
          <w:szCs w:val="24"/>
        </w:rPr>
      </w:pPr>
      <w:r w:rsidRPr="005961D4">
        <w:rPr>
          <w:szCs w:val="24"/>
        </w:rPr>
        <w:t>У пациентов с поражением почек требуется коррекция дозы бисфосфонатов в зависимости от скорости клубочковой фильтрации (СКФ), поскольку и золедроновая кислота, и памидронат могут усугублять острое почечное повреждение, приводить к повышению концентрации креатинина (таб. 2).</w:t>
      </w:r>
    </w:p>
    <w:p w14:paraId="679A816B" w14:textId="77777777" w:rsidR="005961D4" w:rsidRPr="005961D4" w:rsidRDefault="005961D4" w:rsidP="005961D4">
      <w:pPr>
        <w:pStyle w:val="a6"/>
        <w:tabs>
          <w:tab w:val="left" w:pos="0"/>
        </w:tabs>
        <w:spacing w:before="0" w:after="0"/>
        <w:ind w:left="0" w:firstLine="567"/>
        <w:rPr>
          <w:szCs w:val="24"/>
        </w:rPr>
      </w:pPr>
      <w:r w:rsidRPr="005961D4">
        <w:rPr>
          <w:szCs w:val="24"/>
        </w:rPr>
        <w:lastRenderedPageBreak/>
        <w:t>Бисфосфонаты следует отменить в случае возникновения почечной токсичности и возобновить терапию, когда концентрация креатинина крови вернется в пределы 10% от базового значения.</w:t>
      </w:r>
    </w:p>
    <w:p w14:paraId="2D63C628" w14:textId="77777777" w:rsidR="005961D4" w:rsidRPr="005961D4" w:rsidRDefault="005961D4" w:rsidP="005961D4">
      <w:pPr>
        <w:pStyle w:val="a6"/>
        <w:tabs>
          <w:tab w:val="left" w:pos="0"/>
        </w:tabs>
        <w:spacing w:before="0" w:after="0"/>
        <w:ind w:left="0" w:firstLine="567"/>
        <w:rPr>
          <w:szCs w:val="24"/>
        </w:rPr>
      </w:pPr>
      <w:r w:rsidRPr="005961D4">
        <w:rPr>
          <w:szCs w:val="24"/>
        </w:rPr>
        <w:t xml:space="preserve">Памидроновую кислоту не следует назначать пациентам с тяжелой почечной недостаточностью (СКФ </w:t>
      </w:r>
      <w:r w:rsidRPr="005961D4">
        <w:rPr>
          <w:rFonts w:eastAsia="Times New Roman"/>
          <w:color w:val="000000" w:themeColor="dark1"/>
          <w:kern w:val="24"/>
          <w:szCs w:val="24"/>
          <w:lang w:eastAsia="ru-RU"/>
        </w:rPr>
        <w:t>&lt;30 мл/мин.), за исключением случаев угрожающей жизни гиперкальциемии.</w:t>
      </w:r>
    </w:p>
    <w:p w14:paraId="67B5AFAA" w14:textId="77777777" w:rsidR="005961D4" w:rsidRPr="005961D4" w:rsidRDefault="005961D4" w:rsidP="005961D4">
      <w:pPr>
        <w:tabs>
          <w:tab w:val="left" w:pos="0"/>
        </w:tabs>
        <w:ind w:firstLine="567"/>
        <w:rPr>
          <w:szCs w:val="24"/>
        </w:rPr>
      </w:pPr>
      <w:r w:rsidRPr="005961D4">
        <w:rPr>
          <w:szCs w:val="24"/>
          <w:lang w:eastAsia="ru-RU"/>
        </w:rPr>
        <w:t>Таблица 2. Коррекция дозы бисфосфонатов в зависимости от СКФ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2588"/>
        <w:gridCol w:w="3793"/>
      </w:tblGrid>
      <w:tr w:rsidR="005961D4" w:rsidRPr="005961D4" w14:paraId="798C9273" w14:textId="77777777" w:rsidTr="00FD15FE">
        <w:tc>
          <w:tcPr>
            <w:tcW w:w="3190" w:type="dxa"/>
          </w:tcPr>
          <w:p w14:paraId="4021035F" w14:textId="77777777" w:rsidR="005961D4" w:rsidRPr="005961D4" w:rsidRDefault="005961D4" w:rsidP="008372B8">
            <w:pPr>
              <w:pStyle w:val="a6"/>
              <w:tabs>
                <w:tab w:val="left" w:pos="0"/>
              </w:tabs>
              <w:ind w:left="0" w:firstLine="567"/>
              <w:rPr>
                <w:szCs w:val="24"/>
              </w:rPr>
            </w:pPr>
            <w:r w:rsidRPr="005961D4">
              <w:rPr>
                <w:b/>
                <w:szCs w:val="24"/>
                <w:lang w:eastAsia="ru-RU"/>
              </w:rPr>
              <w:t>Препараты</w:t>
            </w:r>
          </w:p>
        </w:tc>
        <w:tc>
          <w:tcPr>
            <w:tcW w:w="2588" w:type="dxa"/>
          </w:tcPr>
          <w:p w14:paraId="4D8B1B98" w14:textId="77777777" w:rsidR="005961D4" w:rsidRPr="005961D4" w:rsidRDefault="005961D4" w:rsidP="008372B8">
            <w:pPr>
              <w:pStyle w:val="a6"/>
              <w:tabs>
                <w:tab w:val="left" w:pos="0"/>
              </w:tabs>
              <w:ind w:left="0" w:firstLine="567"/>
              <w:rPr>
                <w:b/>
                <w:szCs w:val="24"/>
              </w:rPr>
            </w:pPr>
            <w:r w:rsidRPr="005961D4">
              <w:rPr>
                <w:b/>
                <w:szCs w:val="24"/>
              </w:rPr>
              <w:t xml:space="preserve">СКФ, </w:t>
            </w:r>
            <w:r w:rsidRPr="005961D4">
              <w:rPr>
                <w:rFonts w:eastAsia="Times New Roman"/>
                <w:b/>
                <w:color w:val="000000" w:themeColor="dark1"/>
                <w:kern w:val="24"/>
                <w:szCs w:val="24"/>
                <w:lang w:eastAsia="ru-RU"/>
              </w:rPr>
              <w:t>мл/мин</w:t>
            </w:r>
          </w:p>
        </w:tc>
        <w:tc>
          <w:tcPr>
            <w:tcW w:w="3793" w:type="dxa"/>
          </w:tcPr>
          <w:p w14:paraId="6CAE6604" w14:textId="77777777" w:rsidR="005961D4" w:rsidRPr="005961D4" w:rsidRDefault="005961D4" w:rsidP="008372B8">
            <w:pPr>
              <w:pStyle w:val="a6"/>
              <w:tabs>
                <w:tab w:val="left" w:pos="0"/>
              </w:tabs>
              <w:ind w:left="0" w:firstLine="567"/>
              <w:rPr>
                <w:b/>
                <w:szCs w:val="24"/>
              </w:rPr>
            </w:pPr>
            <w:r w:rsidRPr="005961D4">
              <w:rPr>
                <w:b/>
                <w:szCs w:val="24"/>
              </w:rPr>
              <w:t>Доза</w:t>
            </w:r>
          </w:p>
        </w:tc>
      </w:tr>
      <w:tr w:rsidR="005961D4" w:rsidRPr="005961D4" w14:paraId="43C06A50" w14:textId="77777777" w:rsidTr="00FD15FE">
        <w:trPr>
          <w:trHeight w:val="483"/>
        </w:trPr>
        <w:tc>
          <w:tcPr>
            <w:tcW w:w="3190" w:type="dxa"/>
          </w:tcPr>
          <w:p w14:paraId="20DB2E4E" w14:textId="77777777" w:rsidR="005961D4" w:rsidRPr="005961D4" w:rsidRDefault="005961D4" w:rsidP="008372B8">
            <w:pPr>
              <w:tabs>
                <w:tab w:val="left" w:pos="0"/>
              </w:tabs>
              <w:rPr>
                <w:rFonts w:eastAsia="Times New Roman"/>
                <w:szCs w:val="24"/>
                <w:lang w:eastAsia="ru-RU"/>
              </w:rPr>
            </w:pPr>
            <w:r w:rsidRPr="005961D4">
              <w:rPr>
                <w:rFonts w:eastAsia="Times New Roman"/>
                <w:color w:val="000000" w:themeColor="dark1"/>
                <w:kern w:val="24"/>
                <w:szCs w:val="24"/>
                <w:lang w:eastAsia="ru-RU"/>
              </w:rPr>
              <w:t>Золедроновая кислота</w:t>
            </w:r>
          </w:p>
        </w:tc>
        <w:tc>
          <w:tcPr>
            <w:tcW w:w="2588" w:type="dxa"/>
          </w:tcPr>
          <w:p w14:paraId="138C28CD" w14:textId="77777777" w:rsidR="005961D4" w:rsidRPr="005961D4" w:rsidRDefault="005961D4" w:rsidP="008372B8">
            <w:pPr>
              <w:tabs>
                <w:tab w:val="left" w:pos="0"/>
              </w:tabs>
              <w:ind w:firstLine="567"/>
              <w:rPr>
                <w:rFonts w:eastAsia="Times New Roman"/>
                <w:szCs w:val="24"/>
                <w:lang w:eastAsia="ru-RU"/>
              </w:rPr>
            </w:pPr>
            <w:r w:rsidRPr="005961D4">
              <w:rPr>
                <w:rFonts w:eastAsia="Times New Roman"/>
                <w:color w:val="000000" w:themeColor="dark1"/>
                <w:kern w:val="24"/>
                <w:szCs w:val="24"/>
                <w:lang w:eastAsia="ru-RU"/>
              </w:rPr>
              <w:t xml:space="preserve">30-60 </w:t>
            </w:r>
          </w:p>
          <w:p w14:paraId="0305F860" w14:textId="77777777" w:rsidR="005961D4" w:rsidRPr="005961D4" w:rsidRDefault="005961D4" w:rsidP="008372B8">
            <w:pPr>
              <w:tabs>
                <w:tab w:val="left" w:pos="0"/>
              </w:tabs>
              <w:ind w:firstLine="567"/>
              <w:rPr>
                <w:rFonts w:eastAsia="Times New Roman"/>
                <w:szCs w:val="24"/>
                <w:lang w:eastAsia="ru-RU"/>
              </w:rPr>
            </w:pPr>
            <w:r w:rsidRPr="005961D4">
              <w:rPr>
                <w:rFonts w:eastAsia="Times New Roman"/>
                <w:color w:val="000000" w:themeColor="dark1"/>
                <w:kern w:val="24"/>
                <w:szCs w:val="24"/>
                <w:lang w:eastAsia="ru-RU"/>
              </w:rPr>
              <w:t xml:space="preserve">  </w:t>
            </w:r>
            <w:r w:rsidRPr="005961D4">
              <w:rPr>
                <w:rFonts w:eastAsia="Times New Roman"/>
                <w:color w:val="000000" w:themeColor="dark1"/>
                <w:kern w:val="24"/>
                <w:szCs w:val="24"/>
                <w:lang w:val="en-US" w:eastAsia="ru-RU"/>
              </w:rPr>
              <w:t xml:space="preserve">&lt; 30 </w:t>
            </w:r>
          </w:p>
        </w:tc>
        <w:tc>
          <w:tcPr>
            <w:tcW w:w="3793" w:type="dxa"/>
          </w:tcPr>
          <w:p w14:paraId="17161B52" w14:textId="77777777" w:rsidR="005961D4" w:rsidRPr="005961D4" w:rsidRDefault="005961D4" w:rsidP="008372B8">
            <w:pPr>
              <w:tabs>
                <w:tab w:val="left" w:pos="0"/>
              </w:tabs>
              <w:ind w:firstLine="567"/>
              <w:rPr>
                <w:rFonts w:eastAsia="Times New Roman"/>
                <w:color w:val="000000" w:themeColor="dark1"/>
                <w:kern w:val="24"/>
                <w:szCs w:val="24"/>
                <w:lang w:eastAsia="ru-RU"/>
              </w:rPr>
            </w:pPr>
            <w:r w:rsidRPr="005961D4">
              <w:rPr>
                <w:rFonts w:eastAsia="Times New Roman"/>
                <w:color w:val="000000" w:themeColor="dark1"/>
                <w:kern w:val="24"/>
                <w:szCs w:val="24"/>
                <w:lang w:eastAsia="ru-RU"/>
              </w:rPr>
              <w:t>100% (4 мг)</w:t>
            </w:r>
          </w:p>
          <w:p w14:paraId="4622E538" w14:textId="77777777" w:rsidR="005961D4" w:rsidRPr="005961D4" w:rsidRDefault="005961D4" w:rsidP="008372B8">
            <w:pPr>
              <w:tabs>
                <w:tab w:val="left" w:pos="0"/>
              </w:tabs>
              <w:ind w:firstLine="567"/>
              <w:rPr>
                <w:rFonts w:eastAsia="Times New Roman"/>
                <w:szCs w:val="24"/>
                <w:lang w:eastAsia="ru-RU"/>
              </w:rPr>
            </w:pPr>
            <w:r w:rsidRPr="005961D4">
              <w:rPr>
                <w:rFonts w:eastAsia="Times New Roman"/>
                <w:color w:val="000000" w:themeColor="dark1"/>
                <w:kern w:val="24"/>
                <w:szCs w:val="24"/>
                <w:lang w:eastAsia="ru-RU"/>
              </w:rPr>
              <w:t>Не рекомендовано</w:t>
            </w:r>
          </w:p>
        </w:tc>
      </w:tr>
      <w:tr w:rsidR="005961D4" w:rsidRPr="005961D4" w14:paraId="0960BF31" w14:textId="77777777" w:rsidTr="00FD15FE">
        <w:tc>
          <w:tcPr>
            <w:tcW w:w="3190" w:type="dxa"/>
          </w:tcPr>
          <w:p w14:paraId="47BB5827" w14:textId="77777777" w:rsidR="005961D4" w:rsidRPr="005961D4" w:rsidRDefault="005961D4" w:rsidP="008372B8">
            <w:pPr>
              <w:tabs>
                <w:tab w:val="left" w:pos="0"/>
              </w:tabs>
              <w:rPr>
                <w:rFonts w:eastAsia="Times New Roman"/>
                <w:szCs w:val="24"/>
                <w:lang w:eastAsia="ru-RU"/>
              </w:rPr>
            </w:pPr>
            <w:r w:rsidRPr="005961D4">
              <w:rPr>
                <w:rFonts w:eastAsia="Times New Roman"/>
                <w:color w:val="000000" w:themeColor="dark1"/>
                <w:kern w:val="24"/>
                <w:szCs w:val="24"/>
                <w:lang w:eastAsia="ru-RU"/>
              </w:rPr>
              <w:t>Памидроновая кислота</w:t>
            </w:r>
          </w:p>
        </w:tc>
        <w:tc>
          <w:tcPr>
            <w:tcW w:w="2588" w:type="dxa"/>
          </w:tcPr>
          <w:p w14:paraId="7931A8E1" w14:textId="77777777" w:rsidR="005961D4" w:rsidRPr="005961D4" w:rsidRDefault="005961D4" w:rsidP="008372B8">
            <w:pPr>
              <w:tabs>
                <w:tab w:val="left" w:pos="0"/>
              </w:tabs>
              <w:ind w:firstLine="567"/>
              <w:rPr>
                <w:rFonts w:eastAsia="Times New Roman"/>
                <w:szCs w:val="24"/>
                <w:lang w:eastAsia="ru-RU"/>
              </w:rPr>
            </w:pPr>
            <w:r w:rsidRPr="005961D4">
              <w:rPr>
                <w:rFonts w:eastAsia="Times New Roman"/>
                <w:color w:val="000000" w:themeColor="dark1"/>
                <w:kern w:val="24"/>
                <w:szCs w:val="24"/>
                <w:lang w:eastAsia="ru-RU"/>
              </w:rPr>
              <w:t xml:space="preserve">30-60 </w:t>
            </w:r>
          </w:p>
          <w:p w14:paraId="0128C258" w14:textId="77777777" w:rsidR="005961D4" w:rsidRPr="005961D4" w:rsidRDefault="005961D4" w:rsidP="008372B8">
            <w:pPr>
              <w:tabs>
                <w:tab w:val="left" w:pos="0"/>
              </w:tabs>
              <w:ind w:firstLine="567"/>
              <w:rPr>
                <w:rFonts w:eastAsia="Times New Roman"/>
                <w:szCs w:val="24"/>
                <w:lang w:eastAsia="ru-RU"/>
              </w:rPr>
            </w:pPr>
            <w:r w:rsidRPr="005961D4">
              <w:rPr>
                <w:rFonts w:eastAsia="Times New Roman"/>
                <w:color w:val="000000" w:themeColor="dark1"/>
                <w:kern w:val="24"/>
                <w:szCs w:val="24"/>
                <w:lang w:eastAsia="ru-RU"/>
              </w:rPr>
              <w:t xml:space="preserve">&lt;30 </w:t>
            </w:r>
          </w:p>
        </w:tc>
        <w:tc>
          <w:tcPr>
            <w:tcW w:w="3793" w:type="dxa"/>
          </w:tcPr>
          <w:p w14:paraId="13B44E2A" w14:textId="77777777" w:rsidR="005961D4" w:rsidRPr="005961D4" w:rsidRDefault="005961D4" w:rsidP="008372B8">
            <w:pPr>
              <w:tabs>
                <w:tab w:val="left" w:pos="0"/>
              </w:tabs>
              <w:ind w:firstLine="567"/>
              <w:rPr>
                <w:rFonts w:eastAsia="Times New Roman"/>
                <w:szCs w:val="24"/>
                <w:lang w:eastAsia="ru-RU"/>
              </w:rPr>
            </w:pPr>
            <w:r w:rsidRPr="005961D4">
              <w:rPr>
                <w:rFonts w:eastAsia="Times New Roman"/>
                <w:color w:val="000000" w:themeColor="dark1"/>
                <w:kern w:val="24"/>
                <w:szCs w:val="24"/>
                <w:lang w:eastAsia="ru-RU"/>
              </w:rPr>
              <w:t>100% (90 мг)</w:t>
            </w:r>
          </w:p>
          <w:p w14:paraId="07274A79" w14:textId="77777777" w:rsidR="005961D4" w:rsidRPr="005961D4" w:rsidRDefault="005961D4" w:rsidP="008372B8">
            <w:pPr>
              <w:tabs>
                <w:tab w:val="left" w:pos="0"/>
              </w:tabs>
              <w:ind w:firstLine="567"/>
              <w:rPr>
                <w:rFonts w:eastAsia="Times New Roman"/>
                <w:szCs w:val="24"/>
                <w:lang w:eastAsia="ru-RU"/>
              </w:rPr>
            </w:pPr>
            <w:r w:rsidRPr="005961D4">
              <w:rPr>
                <w:rFonts w:eastAsia="Times New Roman"/>
                <w:color w:val="000000" w:themeColor="dark1"/>
                <w:kern w:val="24"/>
                <w:szCs w:val="24"/>
                <w:lang w:eastAsia="ru-RU"/>
              </w:rPr>
              <w:t>Не рекомендовано</w:t>
            </w:r>
          </w:p>
        </w:tc>
      </w:tr>
      <w:tr w:rsidR="005961D4" w:rsidRPr="005961D4" w14:paraId="76B1F10D" w14:textId="77777777" w:rsidTr="00FD15FE">
        <w:tc>
          <w:tcPr>
            <w:tcW w:w="3190" w:type="dxa"/>
          </w:tcPr>
          <w:p w14:paraId="5F93719C" w14:textId="77777777" w:rsidR="005961D4" w:rsidRPr="005961D4" w:rsidRDefault="005961D4" w:rsidP="008372B8">
            <w:pPr>
              <w:tabs>
                <w:tab w:val="left" w:pos="0"/>
              </w:tabs>
              <w:rPr>
                <w:szCs w:val="24"/>
              </w:rPr>
            </w:pPr>
            <w:r w:rsidRPr="005961D4">
              <w:rPr>
                <w:szCs w:val="24"/>
                <w:lang w:eastAsia="ru-RU"/>
              </w:rPr>
              <w:t>Клодроновая кислота</w:t>
            </w:r>
          </w:p>
        </w:tc>
        <w:tc>
          <w:tcPr>
            <w:tcW w:w="2588" w:type="dxa"/>
          </w:tcPr>
          <w:p w14:paraId="367A55B6" w14:textId="77777777" w:rsidR="005961D4" w:rsidRPr="005961D4" w:rsidRDefault="005961D4" w:rsidP="008372B8">
            <w:pPr>
              <w:pStyle w:val="a6"/>
              <w:tabs>
                <w:tab w:val="left" w:pos="0"/>
              </w:tabs>
              <w:ind w:left="0" w:firstLine="567"/>
              <w:rPr>
                <w:szCs w:val="24"/>
              </w:rPr>
            </w:pPr>
            <w:r w:rsidRPr="005961D4">
              <w:rPr>
                <w:szCs w:val="24"/>
              </w:rPr>
              <w:t xml:space="preserve">50-80 </w:t>
            </w:r>
          </w:p>
          <w:p w14:paraId="0E36F5CC" w14:textId="77777777" w:rsidR="005961D4" w:rsidRPr="005961D4" w:rsidRDefault="005961D4" w:rsidP="008372B8">
            <w:pPr>
              <w:pStyle w:val="a6"/>
              <w:tabs>
                <w:tab w:val="left" w:pos="0"/>
              </w:tabs>
              <w:ind w:left="0" w:firstLine="567"/>
              <w:rPr>
                <w:szCs w:val="24"/>
              </w:rPr>
            </w:pPr>
            <w:r w:rsidRPr="005961D4">
              <w:rPr>
                <w:szCs w:val="24"/>
              </w:rPr>
              <w:t>30-50</w:t>
            </w:r>
          </w:p>
          <w:p w14:paraId="6D803BF1" w14:textId="77777777" w:rsidR="005961D4" w:rsidRPr="005961D4" w:rsidRDefault="005961D4" w:rsidP="008372B8">
            <w:pPr>
              <w:pStyle w:val="a6"/>
              <w:tabs>
                <w:tab w:val="left" w:pos="0"/>
              </w:tabs>
              <w:ind w:left="0" w:firstLine="567"/>
              <w:rPr>
                <w:szCs w:val="24"/>
              </w:rPr>
            </w:pPr>
            <w:r w:rsidRPr="005961D4">
              <w:rPr>
                <w:szCs w:val="24"/>
              </w:rPr>
              <w:t>10-30</w:t>
            </w:r>
          </w:p>
          <w:p w14:paraId="6B888C87" w14:textId="77777777" w:rsidR="005961D4" w:rsidRPr="005961D4" w:rsidRDefault="005961D4" w:rsidP="008372B8">
            <w:pPr>
              <w:pStyle w:val="a6"/>
              <w:tabs>
                <w:tab w:val="left" w:pos="0"/>
              </w:tabs>
              <w:ind w:left="0" w:firstLine="567"/>
              <w:rPr>
                <w:szCs w:val="24"/>
              </w:rPr>
            </w:pPr>
            <w:r w:rsidRPr="005961D4">
              <w:rPr>
                <w:rFonts w:eastAsia="Times New Roman"/>
                <w:color w:val="000000" w:themeColor="dark1"/>
                <w:kern w:val="24"/>
                <w:szCs w:val="24"/>
                <w:lang w:eastAsia="ru-RU"/>
              </w:rPr>
              <w:t>&lt;10</w:t>
            </w:r>
          </w:p>
        </w:tc>
        <w:tc>
          <w:tcPr>
            <w:tcW w:w="3793" w:type="dxa"/>
          </w:tcPr>
          <w:p w14:paraId="7083FA2C" w14:textId="77777777" w:rsidR="005961D4" w:rsidRPr="005961D4" w:rsidRDefault="005961D4" w:rsidP="008372B8">
            <w:pPr>
              <w:pStyle w:val="a6"/>
              <w:tabs>
                <w:tab w:val="left" w:pos="0"/>
              </w:tabs>
              <w:ind w:left="0" w:firstLine="567"/>
              <w:rPr>
                <w:szCs w:val="24"/>
              </w:rPr>
            </w:pPr>
            <w:r w:rsidRPr="005961D4">
              <w:rPr>
                <w:rFonts w:eastAsia="Times New Roman"/>
                <w:color w:val="000000" w:themeColor="dark1"/>
                <w:kern w:val="24"/>
                <w:szCs w:val="24"/>
                <w:lang w:eastAsia="ru-RU"/>
              </w:rPr>
              <w:t>100% (</w:t>
            </w:r>
            <w:r w:rsidRPr="005961D4">
              <w:rPr>
                <w:szCs w:val="24"/>
              </w:rPr>
              <w:t>1600 мг)</w:t>
            </w:r>
          </w:p>
          <w:p w14:paraId="12214FD1" w14:textId="77777777" w:rsidR="005961D4" w:rsidRPr="005961D4" w:rsidRDefault="005961D4" w:rsidP="008372B8">
            <w:pPr>
              <w:pStyle w:val="a6"/>
              <w:tabs>
                <w:tab w:val="left" w:pos="0"/>
              </w:tabs>
              <w:ind w:left="0" w:firstLine="567"/>
              <w:rPr>
                <w:szCs w:val="24"/>
              </w:rPr>
            </w:pPr>
            <w:r w:rsidRPr="005961D4">
              <w:rPr>
                <w:szCs w:val="24"/>
              </w:rPr>
              <w:t>1200 мг</w:t>
            </w:r>
          </w:p>
          <w:p w14:paraId="22FFB2B6" w14:textId="77777777" w:rsidR="005961D4" w:rsidRPr="005961D4" w:rsidRDefault="005961D4" w:rsidP="008372B8">
            <w:pPr>
              <w:pStyle w:val="a6"/>
              <w:tabs>
                <w:tab w:val="left" w:pos="0"/>
              </w:tabs>
              <w:ind w:left="0" w:firstLine="567"/>
              <w:rPr>
                <w:szCs w:val="24"/>
              </w:rPr>
            </w:pPr>
            <w:r w:rsidRPr="005961D4">
              <w:rPr>
                <w:szCs w:val="24"/>
              </w:rPr>
              <w:t>800 мг</w:t>
            </w:r>
          </w:p>
          <w:p w14:paraId="4677A2EB" w14:textId="77777777" w:rsidR="005961D4" w:rsidRPr="005961D4" w:rsidRDefault="005961D4" w:rsidP="008372B8">
            <w:pPr>
              <w:pStyle w:val="a6"/>
              <w:tabs>
                <w:tab w:val="left" w:pos="0"/>
              </w:tabs>
              <w:ind w:left="0" w:firstLine="567"/>
              <w:rPr>
                <w:szCs w:val="24"/>
              </w:rPr>
            </w:pPr>
            <w:r w:rsidRPr="005961D4">
              <w:rPr>
                <w:rFonts w:eastAsia="Times New Roman"/>
                <w:color w:val="000000" w:themeColor="dark1"/>
                <w:kern w:val="24"/>
                <w:szCs w:val="24"/>
                <w:lang w:eastAsia="ru-RU"/>
              </w:rPr>
              <w:t>Не рекомендовано</w:t>
            </w:r>
          </w:p>
        </w:tc>
      </w:tr>
    </w:tbl>
    <w:p w14:paraId="23797E34" w14:textId="77777777" w:rsidR="005961D4" w:rsidRPr="005961D4" w:rsidRDefault="005961D4" w:rsidP="005961D4">
      <w:pPr>
        <w:pStyle w:val="a6"/>
        <w:tabs>
          <w:tab w:val="left" w:pos="0"/>
        </w:tabs>
        <w:spacing w:before="0" w:after="0"/>
        <w:ind w:left="0" w:firstLine="567"/>
        <w:rPr>
          <w:i/>
          <w:szCs w:val="24"/>
        </w:rPr>
      </w:pPr>
      <w:r w:rsidRPr="005961D4">
        <w:rPr>
          <w:szCs w:val="24"/>
        </w:rPr>
        <w:t xml:space="preserve">Во время терапии бисфосфонатами требуется мониторинг показателей мочевины, креатинина, электролитов К, </w:t>
      </w:r>
      <w:r w:rsidRPr="005961D4">
        <w:rPr>
          <w:szCs w:val="24"/>
          <w:lang w:val="en-US"/>
        </w:rPr>
        <w:t>Na</w:t>
      </w:r>
      <w:r w:rsidRPr="005961D4">
        <w:rPr>
          <w:szCs w:val="24"/>
        </w:rPr>
        <w:t>, Са общий и свободный.</w:t>
      </w:r>
    </w:p>
    <w:p w14:paraId="06EB5BBF" w14:textId="77777777" w:rsidR="005961D4" w:rsidRPr="005961D4" w:rsidRDefault="005961D4" w:rsidP="005961D4">
      <w:pPr>
        <w:tabs>
          <w:tab w:val="left" w:pos="0"/>
        </w:tabs>
        <w:spacing w:before="0" w:after="0"/>
        <w:ind w:firstLine="567"/>
        <w:rPr>
          <w:szCs w:val="24"/>
        </w:rPr>
      </w:pPr>
      <w:r w:rsidRPr="005961D4">
        <w:rPr>
          <w:szCs w:val="24"/>
        </w:rPr>
        <w:t>Согласно рекомендациям экспертов Международной рабочей группы по изучению множественной миеломы (</w:t>
      </w:r>
      <w:r w:rsidRPr="005961D4">
        <w:rPr>
          <w:szCs w:val="24"/>
          <w:lang w:val="en-US"/>
        </w:rPr>
        <w:t>IMWG</w:t>
      </w:r>
      <w:r w:rsidRPr="005961D4">
        <w:rPr>
          <w:szCs w:val="24"/>
        </w:rPr>
        <w:t xml:space="preserve">), назначение бисфосфонатов следует рассматривать у всех пациентов с множественной миеломой, получающих специфическую терапию. Золедроновая кислота предпочтительнее перорального клодроната для пациентов с вновь диагностированной множественной миеломой из-за потенциального антимиеломного эффекта, доказанного при применении золедроновой кислоты. </w:t>
      </w:r>
    </w:p>
    <w:p w14:paraId="0E2B7379" w14:textId="56A8355B" w:rsidR="005961D4" w:rsidRPr="005961D4" w:rsidRDefault="005961D4" w:rsidP="005961D4">
      <w:pPr>
        <w:tabs>
          <w:tab w:val="left" w:pos="0"/>
        </w:tabs>
        <w:spacing w:before="0"/>
        <w:ind w:firstLine="567"/>
        <w:rPr>
          <w:szCs w:val="24"/>
        </w:rPr>
      </w:pPr>
      <w:r w:rsidRPr="005961D4">
        <w:rPr>
          <w:szCs w:val="24"/>
        </w:rPr>
        <w:t>Длительность терапии препаратами, улучшающие метаболизм костной ткани, четко не регламентирована. Ежемесячное введение бисфосфонатов может быть продолжено в течение 2 лет. Пациентам, получающим поддерживающую терапию, без признаков активности заболевания, возможно уменьшение кратности введения бисфосфонатов до одного введения в три месяца. При дл</w:t>
      </w:r>
      <w:r w:rsidR="00521D08">
        <w:rPr>
          <w:szCs w:val="24"/>
        </w:rPr>
        <w:t xml:space="preserve">ительной терапии бифосфонатами </w:t>
      </w:r>
      <w:r w:rsidRPr="005961D4">
        <w:rPr>
          <w:szCs w:val="24"/>
        </w:rPr>
        <w:t xml:space="preserve">может наблюдаься специфическое осложнение – остеонекроз челюсти, что может ограничивать  их длительное использование. Согласно рекомендациям экспертов </w:t>
      </w:r>
      <w:r w:rsidRPr="005961D4">
        <w:rPr>
          <w:szCs w:val="24"/>
          <w:lang w:val="en-US"/>
        </w:rPr>
        <w:t>IMWG</w:t>
      </w:r>
      <w:r w:rsidRPr="005961D4">
        <w:rPr>
          <w:szCs w:val="24"/>
        </w:rPr>
        <w:t xml:space="preserve">, после </w:t>
      </w:r>
      <w:r w:rsidRPr="005961D4">
        <w:rPr>
          <w:szCs w:val="24"/>
        </w:rPr>
        <w:lastRenderedPageBreak/>
        <w:t xml:space="preserve">окончания первого года терапии бисфосфонатами лечение может быть прекращено при достижении полной ремиссии (ПР) или очень хорошей частичной ремиссии (ОХЧР). При наличии менее чем ОХЧР, терапию бисфосфонатами рекомендовано продолжить. По окончании 2 лет, лечение бисфосфонатами следует продолжать при наличии активной костной болезни и возможно прекратить при ее отсутствии. Терапию бисфосфонатами рекомендуется возобновить при развитии рецидива заболевания. </w:t>
      </w:r>
    </w:p>
    <w:p w14:paraId="33F9AE91" w14:textId="38AD0FD7" w:rsidR="005961D4" w:rsidRPr="005961D4" w:rsidRDefault="005961D4" w:rsidP="005961D4">
      <w:pPr>
        <w:pStyle w:val="a6"/>
        <w:numPr>
          <w:ilvl w:val="1"/>
          <w:numId w:val="61"/>
        </w:numPr>
        <w:tabs>
          <w:tab w:val="left" w:pos="0"/>
        </w:tabs>
        <w:spacing w:before="0" w:after="200"/>
        <w:ind w:left="1276" w:hanging="567"/>
        <w:rPr>
          <w:b/>
          <w:szCs w:val="24"/>
        </w:rPr>
      </w:pPr>
      <w:r w:rsidRPr="005961D4">
        <w:rPr>
          <w:b/>
          <w:szCs w:val="24"/>
        </w:rPr>
        <w:t>Моноклональное антитело деносумаб</w:t>
      </w:r>
    </w:p>
    <w:p w14:paraId="0CAAC0B4" w14:textId="77777777" w:rsidR="005961D4" w:rsidRPr="005961D4" w:rsidRDefault="005961D4" w:rsidP="005961D4">
      <w:pPr>
        <w:tabs>
          <w:tab w:val="left" w:pos="0"/>
        </w:tabs>
        <w:spacing w:before="0" w:after="0"/>
        <w:ind w:firstLine="567"/>
        <w:rPr>
          <w:szCs w:val="24"/>
        </w:rPr>
      </w:pPr>
      <w:r w:rsidRPr="005961D4">
        <w:rPr>
          <w:szCs w:val="24"/>
        </w:rPr>
        <w:t>Деносумаб – человеческое моноклональное антитело к RANKL (IgG2), обладающее высоким сродством и специфичностью, препятствующей активации RANK. Предотвращение взаимодействия RANKL/RANK ингибирует созревание, функционирование и продолжительность существования остеокластов. В результате деносумаб уменьшает костную резорбцию и увеличивает массу и прочность кортикального и губчатого слоев кости.</w:t>
      </w:r>
    </w:p>
    <w:p w14:paraId="0DAF6C92" w14:textId="6FC74BA5" w:rsidR="005961D4" w:rsidRPr="005961D4" w:rsidRDefault="005961D4" w:rsidP="005961D4">
      <w:pPr>
        <w:tabs>
          <w:tab w:val="left" w:pos="0"/>
        </w:tabs>
        <w:spacing w:before="0" w:after="0"/>
        <w:ind w:firstLine="567"/>
        <w:rPr>
          <w:szCs w:val="24"/>
          <w:lang w:eastAsia="ru-RU"/>
        </w:rPr>
      </w:pPr>
      <w:r w:rsidRPr="005961D4">
        <w:rPr>
          <w:szCs w:val="24"/>
        </w:rPr>
        <w:t xml:space="preserve">При множественной миеломе деносумаб применяется в виде подкожной инъекции 120 мг препарата каждые 4 недели. </w:t>
      </w:r>
      <w:r w:rsidRPr="005961D4">
        <w:rPr>
          <w:szCs w:val="24"/>
          <w:lang w:eastAsia="ru-RU"/>
        </w:rPr>
        <w:t xml:space="preserve">Для поддержания кальциевого гомеостаза во время терапии деносумабом следует принимать препараты кальция и витамина </w:t>
      </w:r>
      <w:r w:rsidRPr="005961D4">
        <w:rPr>
          <w:szCs w:val="24"/>
          <w:lang w:val="en-US" w:eastAsia="ru-RU"/>
        </w:rPr>
        <w:t>D</w:t>
      </w:r>
      <w:r w:rsidRPr="005961D4">
        <w:rPr>
          <w:szCs w:val="24"/>
          <w:lang w:eastAsia="ru-RU"/>
        </w:rPr>
        <w:t xml:space="preserve">3 (при отсутствии гиперкальциемии). </w:t>
      </w:r>
      <w:r w:rsidRPr="005961D4">
        <w:rPr>
          <w:szCs w:val="24"/>
        </w:rPr>
        <w:t>Коррекции режима дозирования деносумаба при нарушении функции почек не требуется. Нет необходимости в мониторинге почечной функции во время лечения деносумабом.</w:t>
      </w:r>
      <w:r w:rsidRPr="005961D4">
        <w:rPr>
          <w:szCs w:val="24"/>
          <w:lang w:eastAsia="ru-RU"/>
        </w:rPr>
        <w:t xml:space="preserve"> П</w:t>
      </w:r>
      <w:r w:rsidRPr="005961D4">
        <w:rPr>
          <w:szCs w:val="24"/>
        </w:rPr>
        <w:t xml:space="preserve">о эффективности деносумаб не уступает золедроновой кислоте, а подкожная форма введения и отсутствие негативного влияния на функцию почек являются преимуществами препарата. </w:t>
      </w:r>
    </w:p>
    <w:p w14:paraId="1DE4D2D7" w14:textId="77777777" w:rsidR="005961D4" w:rsidRPr="005961D4" w:rsidRDefault="005961D4" w:rsidP="005961D4">
      <w:pPr>
        <w:pStyle w:val="a6"/>
        <w:tabs>
          <w:tab w:val="left" w:pos="0"/>
        </w:tabs>
        <w:ind w:left="567"/>
        <w:rPr>
          <w:b/>
          <w:szCs w:val="24"/>
        </w:rPr>
      </w:pPr>
      <w:r w:rsidRPr="005961D4">
        <w:rPr>
          <w:b/>
          <w:szCs w:val="24"/>
        </w:rPr>
        <w:t>Список литературы</w:t>
      </w:r>
    </w:p>
    <w:p w14:paraId="6E79459D" w14:textId="77777777" w:rsidR="005961D4" w:rsidRPr="005961D4" w:rsidRDefault="005961D4" w:rsidP="005961D4">
      <w:pPr>
        <w:pStyle w:val="a6"/>
        <w:numPr>
          <w:ilvl w:val="0"/>
          <w:numId w:val="70"/>
        </w:numPr>
        <w:tabs>
          <w:tab w:val="left" w:pos="0"/>
        </w:tabs>
        <w:spacing w:before="0" w:after="200"/>
        <w:ind w:left="0" w:hanging="11"/>
        <w:rPr>
          <w:szCs w:val="24"/>
          <w:lang w:val="en-US"/>
        </w:rPr>
      </w:pPr>
      <w:r w:rsidRPr="005961D4">
        <w:rPr>
          <w:szCs w:val="24"/>
          <w:lang w:val="en-US"/>
        </w:rPr>
        <w:t>Dougall W. C. RANKL signaling in bone physiology and cancer. Curr Opin Support Palliat Care 2007;1(4):317–22.</w:t>
      </w:r>
    </w:p>
    <w:p w14:paraId="3D708B20" w14:textId="77777777" w:rsidR="005961D4" w:rsidRPr="005961D4" w:rsidRDefault="005961D4" w:rsidP="005961D4">
      <w:pPr>
        <w:pStyle w:val="a6"/>
        <w:numPr>
          <w:ilvl w:val="0"/>
          <w:numId w:val="70"/>
        </w:numPr>
        <w:tabs>
          <w:tab w:val="left" w:pos="0"/>
        </w:tabs>
        <w:spacing w:before="0" w:after="200"/>
        <w:ind w:left="0" w:hanging="11"/>
        <w:rPr>
          <w:szCs w:val="24"/>
        </w:rPr>
      </w:pPr>
      <w:r w:rsidRPr="005961D4">
        <w:rPr>
          <w:szCs w:val="24"/>
          <w:lang w:val="en-US"/>
        </w:rPr>
        <w:t>Boyce B. F., Xing L. Functions of RANKL/ RANK/OPG in bone modeling and remodeling. Arch Biochem Biophys 2008;473(2):139–46.</w:t>
      </w:r>
    </w:p>
    <w:p w14:paraId="21962477" w14:textId="77777777" w:rsidR="005961D4" w:rsidRPr="005961D4" w:rsidRDefault="005961D4" w:rsidP="005961D4">
      <w:pPr>
        <w:pStyle w:val="a6"/>
        <w:numPr>
          <w:ilvl w:val="0"/>
          <w:numId w:val="70"/>
        </w:numPr>
        <w:tabs>
          <w:tab w:val="left" w:pos="0"/>
        </w:tabs>
        <w:spacing w:before="0" w:after="200"/>
        <w:ind w:left="0" w:hanging="11"/>
        <w:rPr>
          <w:szCs w:val="24"/>
        </w:rPr>
      </w:pPr>
      <w:r w:rsidRPr="005961D4">
        <w:rPr>
          <w:szCs w:val="24"/>
          <w:lang w:val="en-US"/>
        </w:rPr>
        <w:t xml:space="preserve">Hofbauer L. C., Kuhne C. A., Viereck V. The OPG/RANKL/RANK system in metabolic bone diseases. </w:t>
      </w:r>
      <w:r w:rsidRPr="005961D4">
        <w:rPr>
          <w:szCs w:val="24"/>
        </w:rPr>
        <w:t>J Musculoskelet Neuronal Interact 2004;4(3):268–75.</w:t>
      </w:r>
    </w:p>
    <w:p w14:paraId="1801BAE8" w14:textId="77777777" w:rsidR="005961D4" w:rsidRPr="005961D4" w:rsidRDefault="005961D4" w:rsidP="005961D4">
      <w:pPr>
        <w:pStyle w:val="a6"/>
        <w:numPr>
          <w:ilvl w:val="0"/>
          <w:numId w:val="70"/>
        </w:numPr>
        <w:tabs>
          <w:tab w:val="left" w:pos="0"/>
        </w:tabs>
        <w:spacing w:before="0" w:after="200"/>
        <w:ind w:left="0" w:hanging="11"/>
        <w:rPr>
          <w:szCs w:val="24"/>
        </w:rPr>
      </w:pPr>
      <w:r w:rsidRPr="005961D4">
        <w:rPr>
          <w:szCs w:val="24"/>
          <w:lang w:val="en-US"/>
        </w:rPr>
        <w:t xml:space="preserve"> Delmas P. D. Clinical potential of RANKL inhibition for the management of postmenopausal osteoporosis and other metabolic bone diseases. J Clin Densitom</w:t>
      </w:r>
      <w:r w:rsidRPr="005961D4">
        <w:rPr>
          <w:szCs w:val="24"/>
        </w:rPr>
        <w:t xml:space="preserve"> 2008;11(2):325–38</w:t>
      </w:r>
    </w:p>
    <w:p w14:paraId="156C094F" w14:textId="77777777" w:rsidR="005961D4" w:rsidRPr="005961D4" w:rsidRDefault="005961D4" w:rsidP="005961D4">
      <w:pPr>
        <w:pStyle w:val="a6"/>
        <w:numPr>
          <w:ilvl w:val="0"/>
          <w:numId w:val="70"/>
        </w:numPr>
        <w:tabs>
          <w:tab w:val="left" w:pos="0"/>
        </w:tabs>
        <w:spacing w:before="0" w:after="200"/>
        <w:ind w:left="0" w:hanging="11"/>
        <w:rPr>
          <w:szCs w:val="24"/>
          <w:lang w:val="en-US"/>
        </w:rPr>
      </w:pPr>
      <w:r w:rsidRPr="005961D4">
        <w:rPr>
          <w:szCs w:val="24"/>
          <w:lang w:val="en-US"/>
        </w:rPr>
        <w:lastRenderedPageBreak/>
        <w:t>Casimiro S., Mohammad K. S., Pires R. et al. RANKL/RANK/MMP-1 molecular triad contributes to the metastatic phenotype of breast and prostate cancer cells in vitro. PLoS One 2013;8(5):e63153.</w:t>
      </w:r>
    </w:p>
    <w:p w14:paraId="6CADE9EC" w14:textId="77777777" w:rsidR="005961D4" w:rsidRPr="005961D4" w:rsidRDefault="005961D4" w:rsidP="005961D4">
      <w:pPr>
        <w:pStyle w:val="a6"/>
        <w:numPr>
          <w:ilvl w:val="0"/>
          <w:numId w:val="70"/>
        </w:numPr>
        <w:tabs>
          <w:tab w:val="left" w:pos="0"/>
        </w:tabs>
        <w:spacing w:before="0" w:after="200"/>
        <w:ind w:left="0" w:hanging="11"/>
        <w:rPr>
          <w:szCs w:val="24"/>
          <w:lang w:val="en-US"/>
        </w:rPr>
      </w:pPr>
      <w:r w:rsidRPr="005961D4">
        <w:rPr>
          <w:szCs w:val="24"/>
          <w:lang w:val="en-US"/>
        </w:rPr>
        <w:t>Mikami S., Oya M., Mizuno R. et al. Invasion and metastasis of renal cell carcinoma. Med Mol Morphol 2013;47(2):63–7.</w:t>
      </w:r>
    </w:p>
    <w:p w14:paraId="66F3F4D9" w14:textId="77777777" w:rsidR="005961D4" w:rsidRPr="005961D4" w:rsidRDefault="005961D4" w:rsidP="005961D4">
      <w:pPr>
        <w:pStyle w:val="a6"/>
        <w:numPr>
          <w:ilvl w:val="0"/>
          <w:numId w:val="70"/>
        </w:numPr>
        <w:tabs>
          <w:tab w:val="left" w:pos="0"/>
        </w:tabs>
        <w:spacing w:before="0" w:after="200"/>
        <w:ind w:left="0" w:hanging="11"/>
        <w:rPr>
          <w:szCs w:val="24"/>
          <w:lang w:val="en-US"/>
        </w:rPr>
      </w:pPr>
      <w:r w:rsidRPr="005961D4">
        <w:rPr>
          <w:szCs w:val="24"/>
          <w:lang w:val="en-US"/>
        </w:rPr>
        <w:t>Crockett J. C., Mellis D. J., Scott D. I., Helfrich M. H. New knowledge on critical osteoclast formation and activation pathways from study of rare genetic diseases of osteoclasts: focus on the RANK/RANKL axis. Osteoporos Int 2010;22(1):1–20.</w:t>
      </w:r>
    </w:p>
    <w:p w14:paraId="38051B40" w14:textId="77777777" w:rsidR="005961D4" w:rsidRPr="005961D4" w:rsidRDefault="005961D4" w:rsidP="005961D4">
      <w:pPr>
        <w:pStyle w:val="a6"/>
        <w:numPr>
          <w:ilvl w:val="0"/>
          <w:numId w:val="70"/>
        </w:numPr>
        <w:tabs>
          <w:tab w:val="left" w:pos="0"/>
        </w:tabs>
        <w:spacing w:before="0" w:after="200"/>
        <w:ind w:left="0" w:hanging="11"/>
        <w:rPr>
          <w:szCs w:val="24"/>
          <w:lang w:val="en-US"/>
        </w:rPr>
      </w:pPr>
      <w:r w:rsidRPr="005961D4">
        <w:rPr>
          <w:szCs w:val="24"/>
          <w:lang w:val="en-US"/>
        </w:rPr>
        <w:t>Santini D., Perrone G., Roato I. et al. Expression pattern of receptor activator of NFkappaB(RANK) in a series of primary solid tumors and related bone metastases. J Cell Physiol 2010;226(3):780–4.</w:t>
      </w:r>
    </w:p>
    <w:p w14:paraId="36F327BD" w14:textId="77777777" w:rsidR="005961D4" w:rsidRPr="005961D4" w:rsidRDefault="005961D4" w:rsidP="005961D4">
      <w:pPr>
        <w:pStyle w:val="a6"/>
        <w:numPr>
          <w:ilvl w:val="0"/>
          <w:numId w:val="70"/>
        </w:numPr>
        <w:tabs>
          <w:tab w:val="left" w:pos="0"/>
        </w:tabs>
        <w:spacing w:before="0" w:after="200"/>
        <w:ind w:left="0" w:hanging="11"/>
        <w:rPr>
          <w:szCs w:val="24"/>
        </w:rPr>
      </w:pPr>
      <w:r w:rsidRPr="005961D4">
        <w:rPr>
          <w:szCs w:val="24"/>
          <w:lang w:val="en-US"/>
        </w:rPr>
        <w:t>Anastasilakis A. D., Toulis K. A., Polyzos S. A., Terpos E. RANKL inhibition for the management of patients with benign metabolic bone disorders. Expert Opin</w:t>
      </w:r>
      <w:r w:rsidRPr="005961D4">
        <w:rPr>
          <w:szCs w:val="24"/>
        </w:rPr>
        <w:t xml:space="preserve"> Investig Drugs 2009;18(8):1085–102.</w:t>
      </w:r>
    </w:p>
    <w:p w14:paraId="29484E0F" w14:textId="77777777" w:rsidR="005961D4" w:rsidRPr="005961D4" w:rsidRDefault="005961D4" w:rsidP="005961D4">
      <w:pPr>
        <w:pStyle w:val="a6"/>
        <w:numPr>
          <w:ilvl w:val="0"/>
          <w:numId w:val="70"/>
        </w:numPr>
        <w:tabs>
          <w:tab w:val="left" w:pos="0"/>
        </w:tabs>
        <w:spacing w:before="0" w:after="200"/>
        <w:ind w:left="0" w:hanging="11"/>
        <w:rPr>
          <w:szCs w:val="24"/>
        </w:rPr>
      </w:pPr>
      <w:r w:rsidRPr="005961D4">
        <w:rPr>
          <w:szCs w:val="24"/>
          <w:lang w:val="en-US"/>
        </w:rPr>
        <w:t xml:space="preserve">Berenson JR, Lichtenstein A, Porter L, et al: Efficacy of pamidronate in reducing skeletal events in patients with advanced multiple myeloma: Myeloma Aredia Study Group. </w:t>
      </w:r>
      <w:r w:rsidRPr="005961D4">
        <w:rPr>
          <w:szCs w:val="24"/>
        </w:rPr>
        <w:t>N Engl J Med 334:488- 493, 1996</w:t>
      </w:r>
    </w:p>
    <w:p w14:paraId="55E76B77" w14:textId="77777777" w:rsidR="005961D4" w:rsidRPr="005961D4" w:rsidRDefault="005961D4" w:rsidP="005961D4">
      <w:pPr>
        <w:pStyle w:val="a6"/>
        <w:numPr>
          <w:ilvl w:val="0"/>
          <w:numId w:val="70"/>
        </w:numPr>
        <w:tabs>
          <w:tab w:val="left" w:pos="0"/>
        </w:tabs>
        <w:spacing w:before="0" w:after="200"/>
        <w:ind w:left="0" w:hanging="11"/>
        <w:rPr>
          <w:szCs w:val="24"/>
        </w:rPr>
      </w:pPr>
      <w:r w:rsidRPr="005961D4">
        <w:rPr>
          <w:szCs w:val="24"/>
          <w:lang w:val="en-US"/>
        </w:rPr>
        <w:t xml:space="preserve">. Rosen LS, Gordon D, Kaminski M, et al: Zoledronic acid versus pamidronate in the treatment of skeletal metastases in patients with breast cancer or osteolytic lesions of multiple myeloma: A phase III, double-blind, comparative trial. </w:t>
      </w:r>
      <w:r w:rsidRPr="005961D4">
        <w:rPr>
          <w:szCs w:val="24"/>
        </w:rPr>
        <w:t>Cancer J 7:377-387, 2001</w:t>
      </w:r>
    </w:p>
    <w:p w14:paraId="2A12A227" w14:textId="77777777" w:rsidR="005961D4" w:rsidRPr="005961D4" w:rsidRDefault="005961D4" w:rsidP="005961D4">
      <w:pPr>
        <w:pStyle w:val="a6"/>
        <w:numPr>
          <w:ilvl w:val="0"/>
          <w:numId w:val="70"/>
        </w:numPr>
        <w:tabs>
          <w:tab w:val="left" w:pos="0"/>
        </w:tabs>
        <w:spacing w:before="0" w:after="200"/>
        <w:ind w:left="0" w:hanging="11"/>
        <w:rPr>
          <w:szCs w:val="24"/>
        </w:rPr>
      </w:pPr>
      <w:r w:rsidRPr="005961D4">
        <w:rPr>
          <w:szCs w:val="24"/>
          <w:lang w:val="en-US"/>
        </w:rPr>
        <w:t xml:space="preserve">Rosen LS, Gordon D, Kaminski M, et al: Long-term efficacy and safety of zoledronic acid compared with pamidronate disodium in the treatment of skeletal complications in patients with advanced multiple myeloma or breast carcinoma: A randomized, double-blind, multicenter, comparative trial. Cancer 98:1735-1744, 2003 34. </w:t>
      </w:r>
    </w:p>
    <w:p w14:paraId="27E3778E" w14:textId="77777777" w:rsidR="005961D4" w:rsidRPr="005961D4" w:rsidRDefault="005961D4" w:rsidP="005961D4">
      <w:pPr>
        <w:pStyle w:val="a6"/>
        <w:numPr>
          <w:ilvl w:val="0"/>
          <w:numId w:val="70"/>
        </w:numPr>
        <w:tabs>
          <w:tab w:val="left" w:pos="0"/>
        </w:tabs>
        <w:spacing w:before="0" w:after="200"/>
        <w:ind w:left="0" w:hanging="11"/>
        <w:rPr>
          <w:szCs w:val="24"/>
          <w:lang w:val="en-US"/>
        </w:rPr>
      </w:pPr>
      <w:r w:rsidRPr="005961D4">
        <w:rPr>
          <w:szCs w:val="24"/>
          <w:lang w:val="en-US"/>
        </w:rPr>
        <w:t>Morgan GJ, Davies FE, Gregory WM, et al: First-line treatment with zoledronic acid as compared with clodronic acid in multiple myeloma (MRC Myeloma IX): A randomised controlled trial. Lancet 376:1989-1999, 2010</w:t>
      </w:r>
    </w:p>
    <w:p w14:paraId="5C6E3DB4" w14:textId="77777777" w:rsidR="005961D4" w:rsidRPr="005961D4" w:rsidRDefault="005961D4" w:rsidP="005961D4">
      <w:pPr>
        <w:pStyle w:val="a6"/>
        <w:numPr>
          <w:ilvl w:val="0"/>
          <w:numId w:val="70"/>
        </w:numPr>
        <w:tabs>
          <w:tab w:val="left" w:pos="0"/>
        </w:tabs>
        <w:spacing w:before="0" w:after="200"/>
        <w:ind w:left="0" w:hanging="11"/>
        <w:rPr>
          <w:szCs w:val="24"/>
          <w:lang w:val="en-US"/>
        </w:rPr>
      </w:pPr>
      <w:r w:rsidRPr="005961D4">
        <w:rPr>
          <w:szCs w:val="24"/>
          <w:lang w:val="en-US"/>
        </w:rPr>
        <w:t xml:space="preserve">. Morgan GJ, Davies FE, Gregory WM, et al: Effects of induction and maintenance plus long-term bisphosphonates on bone disease in patients with multiple myeloma: MRC Myeloma IX trial. </w:t>
      </w:r>
      <w:r w:rsidRPr="005961D4">
        <w:rPr>
          <w:szCs w:val="24"/>
        </w:rPr>
        <w:t>Blood 119:5374-5383, 2012</w:t>
      </w:r>
    </w:p>
    <w:p w14:paraId="0C42084C" w14:textId="77777777" w:rsidR="005961D4" w:rsidRPr="005961D4" w:rsidRDefault="005961D4" w:rsidP="005961D4">
      <w:pPr>
        <w:pStyle w:val="a6"/>
        <w:numPr>
          <w:ilvl w:val="0"/>
          <w:numId w:val="70"/>
        </w:numPr>
        <w:tabs>
          <w:tab w:val="left" w:pos="0"/>
        </w:tabs>
        <w:spacing w:before="0" w:after="200"/>
        <w:ind w:left="0" w:hanging="11"/>
        <w:rPr>
          <w:szCs w:val="24"/>
          <w:lang w:val="en-US"/>
        </w:rPr>
      </w:pPr>
      <w:r w:rsidRPr="005961D4">
        <w:rPr>
          <w:szCs w:val="24"/>
          <w:lang w:val="en-US"/>
        </w:rPr>
        <w:t xml:space="preserve">Terpos E, Morgan G, Dimopoulos MA, et al. International Myeloma Working Group recommendations for the treatment of multiple myeloma-related bone disease. </w:t>
      </w:r>
      <w:r w:rsidRPr="007B028D">
        <w:rPr>
          <w:szCs w:val="24"/>
          <w:lang w:val="en-US"/>
        </w:rPr>
        <w:t>J Clin Oncol. 2013;31(18):2347</w:t>
      </w:r>
      <w:r w:rsidRPr="007B028D">
        <w:rPr>
          <w:rFonts w:ascii="Cambria Math" w:hAnsi="Cambria Math" w:cs="Cambria Math"/>
          <w:szCs w:val="24"/>
          <w:lang w:val="en-US"/>
        </w:rPr>
        <w:t>‐</w:t>
      </w:r>
      <w:r w:rsidRPr="007B028D">
        <w:rPr>
          <w:szCs w:val="24"/>
          <w:lang w:val="en-US"/>
        </w:rPr>
        <w:t>2357.</w:t>
      </w:r>
    </w:p>
    <w:p w14:paraId="5C450048" w14:textId="77777777" w:rsidR="005961D4" w:rsidRPr="005961D4" w:rsidRDefault="005961D4" w:rsidP="005961D4">
      <w:pPr>
        <w:pStyle w:val="a6"/>
        <w:numPr>
          <w:ilvl w:val="0"/>
          <w:numId w:val="70"/>
        </w:numPr>
        <w:tabs>
          <w:tab w:val="left" w:pos="0"/>
        </w:tabs>
        <w:spacing w:before="0" w:after="200"/>
        <w:ind w:left="0" w:hanging="11"/>
        <w:rPr>
          <w:szCs w:val="24"/>
          <w:lang w:val="en-US"/>
        </w:rPr>
      </w:pPr>
      <w:r w:rsidRPr="005961D4">
        <w:rPr>
          <w:szCs w:val="24"/>
          <w:lang w:val="en-US"/>
        </w:rPr>
        <w:lastRenderedPageBreak/>
        <w:t>Anderson K, Ismaila N, Flynn PJ, et al: Role of bone-modifying agents in multiple myeloma: American Society of Clinical Oncology clinical practice guideline update. J Clin Oncol 36:812-818, 2018</w:t>
      </w:r>
    </w:p>
    <w:p w14:paraId="5E28BE98" w14:textId="77777777" w:rsidR="005961D4" w:rsidRPr="005961D4" w:rsidRDefault="005961D4" w:rsidP="005961D4">
      <w:pPr>
        <w:pStyle w:val="a6"/>
        <w:numPr>
          <w:ilvl w:val="0"/>
          <w:numId w:val="70"/>
        </w:numPr>
        <w:tabs>
          <w:tab w:val="left" w:pos="0"/>
        </w:tabs>
        <w:spacing w:before="0" w:after="200"/>
        <w:ind w:left="0" w:hanging="11"/>
        <w:rPr>
          <w:szCs w:val="24"/>
          <w:lang w:val="en-US"/>
        </w:rPr>
      </w:pPr>
      <w:r w:rsidRPr="005961D4">
        <w:rPr>
          <w:szCs w:val="24"/>
          <w:lang w:val="en-US"/>
        </w:rPr>
        <w:t>Terpos E, Sezer O, Croucher PI, et al: The use of bisphosphonates in multiple myeloma: Recommendations of an expert panel on behalf of the European Myeloma Network. Ann Oncol 20:1303-1317, 2009</w:t>
      </w:r>
    </w:p>
    <w:p w14:paraId="5C24B165" w14:textId="77777777" w:rsidR="005961D4" w:rsidRPr="005961D4" w:rsidRDefault="005961D4" w:rsidP="005961D4">
      <w:pPr>
        <w:pStyle w:val="a6"/>
        <w:numPr>
          <w:ilvl w:val="0"/>
          <w:numId w:val="70"/>
        </w:numPr>
        <w:tabs>
          <w:tab w:val="left" w:pos="0"/>
        </w:tabs>
        <w:spacing w:before="0" w:after="200"/>
        <w:ind w:left="0" w:hanging="11"/>
        <w:rPr>
          <w:szCs w:val="24"/>
          <w:lang w:val="en-US"/>
        </w:rPr>
      </w:pPr>
      <w:r w:rsidRPr="005961D4">
        <w:rPr>
          <w:szCs w:val="24"/>
          <w:lang w:val="en-US"/>
        </w:rPr>
        <w:t>Lacy MQ, Dispenzieri A, Gertz MA, et al: Mayo Clinic consensus statement for the use of bisphosphonates in multiple myeloma. Mayo Clin Proc 81:1047-1053, 2006</w:t>
      </w:r>
    </w:p>
    <w:p w14:paraId="06B66A47" w14:textId="77777777" w:rsidR="005961D4" w:rsidRPr="005961D4" w:rsidRDefault="005961D4" w:rsidP="005961D4">
      <w:pPr>
        <w:pStyle w:val="a6"/>
        <w:numPr>
          <w:ilvl w:val="0"/>
          <w:numId w:val="70"/>
        </w:numPr>
        <w:tabs>
          <w:tab w:val="left" w:pos="0"/>
        </w:tabs>
        <w:spacing w:before="0" w:after="200"/>
        <w:ind w:left="0" w:hanging="11"/>
        <w:rPr>
          <w:szCs w:val="24"/>
          <w:lang w:val="en-US"/>
        </w:rPr>
      </w:pPr>
      <w:r w:rsidRPr="005961D4">
        <w:rPr>
          <w:szCs w:val="24"/>
          <w:lang w:val="en-US"/>
        </w:rPr>
        <w:t>Burkiewicz J. S., Scarpace S. L., Bruce S. P. Denosumab in osteoporosis and oncology. Ann Pharmacother 2009;43(9):1445–55.</w:t>
      </w:r>
    </w:p>
    <w:p w14:paraId="1F17DF91" w14:textId="77777777" w:rsidR="005961D4" w:rsidRPr="005961D4" w:rsidRDefault="005961D4" w:rsidP="005961D4">
      <w:pPr>
        <w:pStyle w:val="a6"/>
        <w:numPr>
          <w:ilvl w:val="0"/>
          <w:numId w:val="70"/>
        </w:numPr>
        <w:tabs>
          <w:tab w:val="left" w:pos="0"/>
        </w:tabs>
        <w:spacing w:before="0" w:after="200"/>
        <w:ind w:left="0" w:hanging="11"/>
        <w:rPr>
          <w:szCs w:val="24"/>
          <w:lang w:val="en-US"/>
        </w:rPr>
      </w:pPr>
      <w:r w:rsidRPr="005961D4">
        <w:rPr>
          <w:szCs w:val="24"/>
          <w:lang w:val="en-US"/>
        </w:rPr>
        <w:t>Raje N, Terpos E, Willenbacher W, et al. Denosumab versus zoledronic acid in bone disease treatment of newly diagnosed multiple myeloma: an international, double-blind, double-dummy, randomised, controlled, phase 3 study. Lancet Oncol. 2018;19(3):370</w:t>
      </w:r>
      <w:r w:rsidRPr="005961D4">
        <w:rPr>
          <w:rFonts w:ascii="Cambria Math" w:hAnsi="Cambria Math" w:cs="Cambria Math"/>
          <w:szCs w:val="24"/>
          <w:lang w:val="en-US"/>
        </w:rPr>
        <w:t>‐</w:t>
      </w:r>
      <w:r w:rsidRPr="005961D4">
        <w:rPr>
          <w:szCs w:val="24"/>
          <w:lang w:val="en-US"/>
        </w:rPr>
        <w:t xml:space="preserve">381. </w:t>
      </w:r>
    </w:p>
    <w:p w14:paraId="71E872DF" w14:textId="77777777" w:rsidR="005961D4" w:rsidRPr="005961D4" w:rsidRDefault="005961D4" w:rsidP="005961D4">
      <w:pPr>
        <w:pStyle w:val="a6"/>
        <w:numPr>
          <w:ilvl w:val="0"/>
          <w:numId w:val="70"/>
        </w:numPr>
        <w:tabs>
          <w:tab w:val="left" w:pos="0"/>
        </w:tabs>
        <w:spacing w:before="0" w:after="200" w:line="276" w:lineRule="auto"/>
        <w:ind w:left="0" w:hanging="11"/>
        <w:jc w:val="left"/>
        <w:rPr>
          <w:szCs w:val="24"/>
        </w:rPr>
      </w:pPr>
      <w:r w:rsidRPr="005961D4">
        <w:rPr>
          <w:szCs w:val="24"/>
        </w:rPr>
        <w:t>Инструкция по медицинскому применению лекарственного препарата Деносумаб Регистрационный номер: ЛП-000871</w:t>
      </w:r>
    </w:p>
    <w:p w14:paraId="7EF24C57" w14:textId="123434AD" w:rsidR="005961D4" w:rsidRDefault="005961D4">
      <w:pPr>
        <w:spacing w:before="0" w:after="0" w:line="240" w:lineRule="auto"/>
        <w:jc w:val="left"/>
        <w:rPr>
          <w:szCs w:val="24"/>
        </w:rPr>
      </w:pPr>
      <w:r>
        <w:rPr>
          <w:szCs w:val="24"/>
        </w:rPr>
        <w:br w:type="page"/>
      </w:r>
    </w:p>
    <w:p w14:paraId="379ACC94" w14:textId="5558143D" w:rsidR="003C62C6" w:rsidRDefault="005961D4" w:rsidP="003C62C6">
      <w:pPr>
        <w:pStyle w:val="1"/>
      </w:pPr>
      <w:bookmarkStart w:id="77" w:name="_Toc53140924"/>
      <w:r w:rsidRPr="005961D4">
        <w:lastRenderedPageBreak/>
        <w:t>Приложение Г</w:t>
      </w:r>
      <w:r w:rsidR="003C62C6">
        <w:t>4</w:t>
      </w:r>
      <w:r w:rsidRPr="003C62C6">
        <w:t xml:space="preserve">. </w:t>
      </w:r>
      <w:r w:rsidRPr="005961D4">
        <w:t>«Профилактика и лечение тошноты и рвоты»</w:t>
      </w:r>
      <w:bookmarkEnd w:id="77"/>
    </w:p>
    <w:p w14:paraId="22278F3D" w14:textId="77777777" w:rsidR="003C62C6" w:rsidRPr="002459A8" w:rsidRDefault="003C62C6" w:rsidP="003C62C6">
      <w:pPr>
        <w:pStyle w:val="a6"/>
        <w:tabs>
          <w:tab w:val="left" w:pos="0"/>
        </w:tabs>
        <w:ind w:left="0"/>
        <w:rPr>
          <w:b/>
          <w:i/>
          <w:szCs w:val="24"/>
        </w:rPr>
      </w:pPr>
      <w:r w:rsidRPr="002459A8">
        <w:rPr>
          <w:b/>
          <w:i/>
          <w:szCs w:val="24"/>
        </w:rPr>
        <w:t>Список сокращений</w:t>
      </w:r>
    </w:p>
    <w:p w14:paraId="62AED26D" w14:textId="77777777" w:rsidR="003C62C6" w:rsidRPr="0030741F" w:rsidRDefault="003C62C6" w:rsidP="003C62C6">
      <w:pPr>
        <w:pStyle w:val="a6"/>
        <w:tabs>
          <w:tab w:val="left" w:pos="0"/>
        </w:tabs>
        <w:ind w:left="0"/>
        <w:rPr>
          <w:szCs w:val="24"/>
        </w:rPr>
      </w:pPr>
      <w:r>
        <w:rPr>
          <w:szCs w:val="24"/>
        </w:rPr>
        <w:t>NK-1 – н</w:t>
      </w:r>
      <w:r w:rsidRPr="0030741F">
        <w:rPr>
          <w:szCs w:val="24"/>
        </w:rPr>
        <w:t>ейрокинин-1</w:t>
      </w:r>
    </w:p>
    <w:p w14:paraId="67CB936F" w14:textId="77777777" w:rsidR="003C62C6" w:rsidRPr="0030741F" w:rsidRDefault="003C62C6" w:rsidP="003C62C6">
      <w:pPr>
        <w:pStyle w:val="a6"/>
        <w:tabs>
          <w:tab w:val="left" w:pos="0"/>
        </w:tabs>
        <w:ind w:left="0"/>
        <w:rPr>
          <w:szCs w:val="24"/>
        </w:rPr>
      </w:pPr>
      <w:r w:rsidRPr="0030741F">
        <w:rPr>
          <w:szCs w:val="24"/>
        </w:rPr>
        <w:t xml:space="preserve">MASCC </w:t>
      </w:r>
      <w:r>
        <w:rPr>
          <w:szCs w:val="24"/>
        </w:rPr>
        <w:t>–</w:t>
      </w:r>
      <w:r w:rsidRPr="0030741F">
        <w:rPr>
          <w:szCs w:val="24"/>
        </w:rPr>
        <w:t xml:space="preserve"> Международная ассоциация по поддерживающему лечению в онкологии </w:t>
      </w:r>
    </w:p>
    <w:p w14:paraId="07E4027D" w14:textId="77777777" w:rsidR="003C62C6" w:rsidRPr="0030741F" w:rsidRDefault="003C62C6" w:rsidP="003C62C6">
      <w:pPr>
        <w:pStyle w:val="a6"/>
        <w:tabs>
          <w:tab w:val="left" w:pos="0"/>
        </w:tabs>
        <w:ind w:left="0"/>
        <w:rPr>
          <w:szCs w:val="24"/>
        </w:rPr>
      </w:pPr>
      <w:r w:rsidRPr="0030741F">
        <w:rPr>
          <w:szCs w:val="24"/>
        </w:rPr>
        <w:t xml:space="preserve">HT </w:t>
      </w:r>
      <w:r>
        <w:rPr>
          <w:szCs w:val="24"/>
        </w:rPr>
        <w:t>–</w:t>
      </w:r>
      <w:r w:rsidRPr="0030741F">
        <w:rPr>
          <w:szCs w:val="24"/>
        </w:rPr>
        <w:t xml:space="preserve"> гидрокситриптамин (серотонин)</w:t>
      </w:r>
    </w:p>
    <w:p w14:paraId="51401DDF" w14:textId="77777777" w:rsidR="003C62C6" w:rsidRPr="0030741F" w:rsidRDefault="003C62C6" w:rsidP="003C62C6">
      <w:pPr>
        <w:pStyle w:val="a6"/>
        <w:tabs>
          <w:tab w:val="left" w:pos="0"/>
        </w:tabs>
        <w:ind w:left="0"/>
        <w:rPr>
          <w:szCs w:val="24"/>
        </w:rPr>
      </w:pPr>
      <w:r w:rsidRPr="00134561">
        <w:rPr>
          <w:szCs w:val="24"/>
        </w:rPr>
        <w:t>ЖКТ - желудочно-кишечный тракт</w:t>
      </w:r>
    </w:p>
    <w:p w14:paraId="23C6D126" w14:textId="77777777" w:rsidR="003C62C6" w:rsidRDefault="003C62C6" w:rsidP="003C62C6">
      <w:pPr>
        <w:pStyle w:val="a6"/>
        <w:tabs>
          <w:tab w:val="left" w:pos="0"/>
        </w:tabs>
        <w:ind w:left="0"/>
        <w:rPr>
          <w:szCs w:val="24"/>
        </w:rPr>
      </w:pPr>
      <w:r w:rsidRPr="0030741F">
        <w:rPr>
          <w:szCs w:val="24"/>
        </w:rPr>
        <w:t>ХТ – химиотерапия</w:t>
      </w:r>
    </w:p>
    <w:p w14:paraId="1D52702E" w14:textId="77777777" w:rsidR="003C62C6" w:rsidRPr="00F34062" w:rsidRDefault="003C62C6" w:rsidP="003C62C6">
      <w:pPr>
        <w:pStyle w:val="a6"/>
        <w:tabs>
          <w:tab w:val="left" w:pos="0"/>
        </w:tabs>
        <w:ind w:left="0"/>
        <w:rPr>
          <w:szCs w:val="24"/>
        </w:rPr>
      </w:pPr>
      <w:r w:rsidRPr="00F8338E">
        <w:rPr>
          <w:szCs w:val="24"/>
          <w:shd w:val="clear" w:color="auto" w:fill="FFFFFF"/>
          <w:lang w:val="en-US"/>
        </w:rPr>
        <w:t>CHOP</w:t>
      </w:r>
      <w:r w:rsidRPr="00F8338E">
        <w:rPr>
          <w:szCs w:val="24"/>
          <w:shd w:val="clear" w:color="auto" w:fill="FFFFFF"/>
        </w:rPr>
        <w:t xml:space="preserve">, </w:t>
      </w:r>
      <w:r w:rsidRPr="00F8338E">
        <w:rPr>
          <w:szCs w:val="24"/>
          <w:shd w:val="clear" w:color="auto" w:fill="FFFFFF"/>
          <w:lang w:val="en-US"/>
        </w:rPr>
        <w:t>ABVD</w:t>
      </w:r>
      <w:r w:rsidRPr="00F8338E">
        <w:rPr>
          <w:szCs w:val="24"/>
          <w:shd w:val="clear" w:color="auto" w:fill="FFFFFF"/>
        </w:rPr>
        <w:t xml:space="preserve">, </w:t>
      </w:r>
      <w:r w:rsidRPr="00F8338E">
        <w:rPr>
          <w:szCs w:val="24"/>
          <w:shd w:val="clear" w:color="auto" w:fill="FFFFFF"/>
          <w:lang w:val="en-US"/>
        </w:rPr>
        <w:t>DHAP</w:t>
      </w:r>
      <w:r w:rsidRPr="00F8338E">
        <w:rPr>
          <w:szCs w:val="24"/>
          <w:shd w:val="clear" w:color="auto" w:fill="FFFFFF"/>
        </w:rPr>
        <w:t xml:space="preserve">, </w:t>
      </w:r>
      <w:r w:rsidRPr="00F8338E">
        <w:rPr>
          <w:szCs w:val="24"/>
          <w:lang w:val="en-US"/>
        </w:rPr>
        <w:t>ESHAP</w:t>
      </w:r>
      <w:r w:rsidRPr="00F8338E">
        <w:rPr>
          <w:szCs w:val="24"/>
          <w:shd w:val="clear" w:color="auto" w:fill="FFFFFF"/>
        </w:rPr>
        <w:t xml:space="preserve">, </w:t>
      </w:r>
      <w:r w:rsidRPr="00F8338E">
        <w:rPr>
          <w:szCs w:val="24"/>
          <w:shd w:val="clear" w:color="auto" w:fill="FFFFFF"/>
          <w:lang w:val="en-US"/>
        </w:rPr>
        <w:t>ICE</w:t>
      </w:r>
      <w:r w:rsidRPr="00F8338E">
        <w:rPr>
          <w:szCs w:val="24"/>
          <w:shd w:val="clear" w:color="auto" w:fill="FFFFFF"/>
        </w:rPr>
        <w:t xml:space="preserve">, </w:t>
      </w:r>
      <w:r w:rsidRPr="00F8338E">
        <w:rPr>
          <w:szCs w:val="24"/>
          <w:shd w:val="clear" w:color="auto" w:fill="FFFFFF"/>
          <w:lang w:val="en-US"/>
        </w:rPr>
        <w:t>VCD</w:t>
      </w:r>
      <w:r w:rsidRPr="00F8338E">
        <w:rPr>
          <w:szCs w:val="24"/>
          <w:shd w:val="clear" w:color="auto" w:fill="FFFFFF"/>
        </w:rPr>
        <w:t>, НАМ, ВЕАСОРР – курсы химиотерапии</w:t>
      </w:r>
    </w:p>
    <w:p w14:paraId="7EA65239" w14:textId="455BDE77" w:rsidR="003C62C6" w:rsidRPr="00F35BFF" w:rsidRDefault="003C62C6" w:rsidP="003C62C6">
      <w:pPr>
        <w:pStyle w:val="Normal1"/>
        <w:numPr>
          <w:ilvl w:val="3"/>
          <w:numId w:val="13"/>
        </w:numPr>
        <w:spacing w:line="360" w:lineRule="auto"/>
        <w:ind w:left="709"/>
        <w:jc w:val="both"/>
        <w:rPr>
          <w:rFonts w:cs="Times New Roman"/>
          <w:b/>
          <w:shd w:val="clear" w:color="auto" w:fill="FFFFFF"/>
        </w:rPr>
      </w:pPr>
      <w:r w:rsidRPr="0030741F">
        <w:rPr>
          <w:rFonts w:cs="Times New Roman"/>
          <w:b/>
        </w:rPr>
        <w:t xml:space="preserve">Общие сведения </w:t>
      </w:r>
    </w:p>
    <w:p w14:paraId="4DAD59C7" w14:textId="1B4B6382" w:rsidR="003C62C6" w:rsidRPr="0030741F" w:rsidRDefault="003C62C6" w:rsidP="003C62C6">
      <w:pPr>
        <w:pStyle w:val="Normal1"/>
        <w:tabs>
          <w:tab w:val="left" w:pos="0"/>
        </w:tabs>
        <w:spacing w:line="360" w:lineRule="auto"/>
        <w:ind w:firstLine="699"/>
        <w:jc w:val="both"/>
        <w:rPr>
          <w:rFonts w:cs="Times New Roman"/>
          <w:shd w:val="clear" w:color="auto" w:fill="FFFFFF"/>
        </w:rPr>
      </w:pPr>
      <w:r w:rsidRPr="0030741F">
        <w:rPr>
          <w:rFonts w:cs="Times New Roman"/>
          <w:shd w:val="clear" w:color="auto" w:fill="FFFFFF"/>
        </w:rPr>
        <w:t xml:space="preserve">Одним из частых клинически значимых побочных эффектов химиотерапии (ХТ) является тошнота и рвота. Эти побочные явления приводят не только к ухудшению самочувствия пациента, снижению качества жизни, но и препятствуют применению лекарственных препаратов в пероральной форме, а также приему пищи. Появление новых комбинаций противоопухолевых средств приводит к улучшению результатов терапии онкогематологических больных, однако выраженная тошнота и рвота могут ограничивать применение химиопрепаратов в полных дозах, отрицательно влиять на приверженность больных лечению. В связи с этим контроль тошноты и рвоты </w:t>
      </w:r>
      <w:r>
        <w:rPr>
          <w:rFonts w:cs="Times New Roman"/>
          <w:shd w:val="clear" w:color="auto" w:fill="FFFFFF"/>
        </w:rPr>
        <w:t xml:space="preserve">играет жизненно </w:t>
      </w:r>
      <w:r w:rsidRPr="0030741F">
        <w:rPr>
          <w:rFonts w:cs="Times New Roman"/>
          <w:shd w:val="clear" w:color="auto" w:fill="FFFFFF"/>
        </w:rPr>
        <w:t>важную роль в сопроводительной терапии больных</w:t>
      </w:r>
      <w:r>
        <w:rPr>
          <w:rFonts w:cs="Times New Roman"/>
          <w:shd w:val="clear" w:color="auto" w:fill="FFFFFF"/>
        </w:rPr>
        <w:t xml:space="preserve"> </w:t>
      </w:r>
      <w:r w:rsidR="00F93ED8">
        <w:rPr>
          <w:rFonts w:cs="Times New Roman"/>
          <w:shd w:val="clear" w:color="auto" w:fill="FFFFFF"/>
        </w:rPr>
        <w:t>множественной миеломой</w:t>
      </w:r>
      <w:r w:rsidRPr="0030741F">
        <w:rPr>
          <w:rFonts w:cs="Times New Roman"/>
          <w:shd w:val="clear" w:color="auto" w:fill="FFFFFF"/>
        </w:rPr>
        <w:t xml:space="preserve">. </w:t>
      </w:r>
    </w:p>
    <w:p w14:paraId="0C349C49" w14:textId="77777777" w:rsidR="003C62C6" w:rsidRDefault="003C62C6" w:rsidP="003C62C6">
      <w:pPr>
        <w:pStyle w:val="Normal1"/>
        <w:tabs>
          <w:tab w:val="left" w:pos="0"/>
        </w:tabs>
        <w:spacing w:line="360" w:lineRule="auto"/>
        <w:ind w:firstLine="699"/>
        <w:jc w:val="both"/>
        <w:rPr>
          <w:rFonts w:cs="Times New Roman"/>
          <w:shd w:val="clear" w:color="auto" w:fill="FFFFFF"/>
        </w:rPr>
      </w:pPr>
      <w:r w:rsidRPr="0030741F">
        <w:rPr>
          <w:rFonts w:cs="Times New Roman"/>
          <w:shd w:val="clear" w:color="auto" w:fill="FFFFFF"/>
        </w:rPr>
        <w:t>Тошнота и рвота развиваются при возбуждении рвотного центра несколькими путями - при воздействии нейрот</w:t>
      </w:r>
      <w:r>
        <w:rPr>
          <w:rFonts w:cs="Times New Roman"/>
          <w:shd w:val="clear" w:color="auto" w:fill="FFFFFF"/>
        </w:rPr>
        <w:t xml:space="preserve">рансмиттеров на его рецепторы, </w:t>
      </w:r>
      <w:r w:rsidRPr="0030741F">
        <w:rPr>
          <w:rFonts w:cs="Times New Roman"/>
          <w:shd w:val="clear" w:color="auto" w:fill="FFFFFF"/>
        </w:rPr>
        <w:t>или при поступлении в него импульсов от хеморецепторов триггерной зоны. Химическими веществами, вызывающими активацию рвотного центра, являются дофамин, серотонин, гистамин, ацетилхолин и субстанция Р (</w:t>
      </w:r>
      <w:r>
        <w:rPr>
          <w:rFonts w:cs="Times New Roman"/>
          <w:shd w:val="clear" w:color="auto" w:fill="FFFFFF"/>
        </w:rPr>
        <w:t>н</w:t>
      </w:r>
      <w:r w:rsidRPr="0030741F">
        <w:rPr>
          <w:rFonts w:cs="Times New Roman"/>
          <w:shd w:val="clear" w:color="auto" w:fill="FFFFFF"/>
        </w:rPr>
        <w:t>ейрокинин-1</w:t>
      </w:r>
      <w:r>
        <w:rPr>
          <w:rFonts w:cs="Times New Roman"/>
          <w:shd w:val="clear" w:color="auto" w:fill="FFFFFF"/>
        </w:rPr>
        <w:t xml:space="preserve"> - </w:t>
      </w:r>
      <w:r w:rsidRPr="0030741F">
        <w:rPr>
          <w:rFonts w:cs="Times New Roman"/>
          <w:shd w:val="clear" w:color="auto" w:fill="FFFFFF"/>
          <w:lang w:val="en-US"/>
        </w:rPr>
        <w:t>NK</w:t>
      </w:r>
      <w:r w:rsidRPr="0030741F">
        <w:rPr>
          <w:rFonts w:cs="Times New Roman"/>
          <w:shd w:val="clear" w:color="auto" w:fill="FFFFFF"/>
        </w:rPr>
        <w:t>-1). Противорвотные препараты избирательно блокируют какой-либо из перечи</w:t>
      </w:r>
      <w:r>
        <w:rPr>
          <w:rFonts w:cs="Times New Roman"/>
          <w:shd w:val="clear" w:color="auto" w:fill="FFFFFF"/>
        </w:rPr>
        <w:t>сленных нейротрансмиттеров</w:t>
      </w:r>
      <w:r w:rsidRPr="0030741F">
        <w:rPr>
          <w:rFonts w:cs="Times New Roman"/>
          <w:shd w:val="clear" w:color="auto" w:fill="FFFFFF"/>
        </w:rPr>
        <w:t>.</w:t>
      </w:r>
    </w:p>
    <w:p w14:paraId="31541FB6" w14:textId="22A8B30B" w:rsidR="003C62C6" w:rsidRPr="003C62C6" w:rsidRDefault="003C62C6" w:rsidP="003C62C6">
      <w:pPr>
        <w:pStyle w:val="Normal1"/>
        <w:numPr>
          <w:ilvl w:val="3"/>
          <w:numId w:val="13"/>
        </w:numPr>
        <w:spacing w:line="360" w:lineRule="auto"/>
        <w:ind w:left="709"/>
        <w:jc w:val="both"/>
        <w:rPr>
          <w:rFonts w:cs="Times New Roman"/>
          <w:shd w:val="clear" w:color="auto" w:fill="FFFFFF"/>
        </w:rPr>
      </w:pPr>
      <w:r w:rsidRPr="00F35BFF">
        <w:rPr>
          <w:rFonts w:cs="Times New Roman"/>
          <w:b/>
          <w:shd w:val="clear" w:color="auto" w:fill="FFFFFF"/>
        </w:rPr>
        <w:t>Типы тошноты и рвоты</w:t>
      </w:r>
    </w:p>
    <w:p w14:paraId="03514956" w14:textId="77777777" w:rsidR="003C62C6" w:rsidRPr="000E4213" w:rsidRDefault="003C62C6" w:rsidP="00CE6C1C">
      <w:pPr>
        <w:pStyle w:val="Normal1"/>
        <w:numPr>
          <w:ilvl w:val="0"/>
          <w:numId w:val="79"/>
        </w:numPr>
        <w:tabs>
          <w:tab w:val="left" w:pos="0"/>
        </w:tabs>
        <w:spacing w:line="360" w:lineRule="auto"/>
        <w:jc w:val="both"/>
        <w:rPr>
          <w:rFonts w:cs="Times New Roman"/>
          <w:shd w:val="clear" w:color="auto" w:fill="FFFFFF"/>
        </w:rPr>
      </w:pPr>
      <w:r w:rsidRPr="0030741F">
        <w:rPr>
          <w:rFonts w:cs="Times New Roman"/>
          <w:shd w:val="clear" w:color="auto" w:fill="FFFFFF"/>
        </w:rPr>
        <w:t xml:space="preserve">Острая рвота </w:t>
      </w:r>
      <w:r>
        <w:rPr>
          <w:rFonts w:cs="Times New Roman"/>
          <w:shd w:val="clear" w:color="auto" w:fill="FFFFFF"/>
        </w:rPr>
        <w:t xml:space="preserve">– </w:t>
      </w:r>
      <w:r w:rsidRPr="000E4213">
        <w:rPr>
          <w:rFonts w:cs="Times New Roman"/>
          <w:shd w:val="clear" w:color="auto" w:fill="FFFFFF"/>
        </w:rPr>
        <w:t xml:space="preserve">развивается в </w:t>
      </w:r>
      <w:r>
        <w:rPr>
          <w:rFonts w:cs="Times New Roman"/>
          <w:shd w:val="clear" w:color="auto" w:fill="FFFFFF"/>
        </w:rPr>
        <w:t>первые 24 ч после ХТ;</w:t>
      </w:r>
      <w:r w:rsidRPr="000E4213">
        <w:rPr>
          <w:rFonts w:cs="Times New Roman"/>
          <w:shd w:val="clear" w:color="auto" w:fill="FFFFFF"/>
        </w:rPr>
        <w:t xml:space="preserve"> отличается высокой интенсивностью</w:t>
      </w:r>
      <w:r>
        <w:rPr>
          <w:rFonts w:cs="Times New Roman"/>
          <w:shd w:val="clear" w:color="auto" w:fill="FFFFFF"/>
        </w:rPr>
        <w:t>;</w:t>
      </w:r>
      <w:r w:rsidRPr="000E4213">
        <w:rPr>
          <w:rFonts w:cs="Times New Roman"/>
          <w:shd w:val="clear" w:color="auto" w:fill="FFFFFF"/>
        </w:rPr>
        <w:t xml:space="preserve"> редко сопровождается тошнотой.</w:t>
      </w:r>
    </w:p>
    <w:p w14:paraId="60770EE7" w14:textId="77777777" w:rsidR="003C62C6" w:rsidRPr="000E4213" w:rsidRDefault="003C62C6" w:rsidP="00CE6C1C">
      <w:pPr>
        <w:pStyle w:val="Normal1"/>
        <w:numPr>
          <w:ilvl w:val="0"/>
          <w:numId w:val="79"/>
        </w:numPr>
        <w:tabs>
          <w:tab w:val="left" w:pos="0"/>
        </w:tabs>
        <w:spacing w:line="360" w:lineRule="auto"/>
        <w:jc w:val="both"/>
        <w:rPr>
          <w:rFonts w:cs="Times New Roman"/>
          <w:shd w:val="clear" w:color="auto" w:fill="FFFFFF"/>
        </w:rPr>
      </w:pPr>
      <w:r w:rsidRPr="009C28FA">
        <w:rPr>
          <w:rFonts w:cs="Times New Roman"/>
          <w:shd w:val="clear" w:color="auto" w:fill="FFFFFF"/>
        </w:rPr>
        <w:t xml:space="preserve">Отсроченная рвота </w:t>
      </w:r>
      <w:r>
        <w:rPr>
          <w:rFonts w:cs="Times New Roman"/>
          <w:shd w:val="clear" w:color="auto" w:fill="FFFFFF"/>
        </w:rPr>
        <w:t xml:space="preserve">– </w:t>
      </w:r>
      <w:r w:rsidRPr="000E4213">
        <w:rPr>
          <w:rFonts w:cs="Times New Roman"/>
          <w:shd w:val="clear" w:color="auto" w:fill="FFFFFF"/>
        </w:rPr>
        <w:t>развивается на 2-5 сутки после начала ХТ</w:t>
      </w:r>
      <w:r>
        <w:rPr>
          <w:rFonts w:cs="Times New Roman"/>
          <w:shd w:val="clear" w:color="auto" w:fill="FFFFFF"/>
        </w:rPr>
        <w:t>;</w:t>
      </w:r>
      <w:r w:rsidRPr="000E4213">
        <w:rPr>
          <w:rFonts w:cs="Times New Roman"/>
          <w:shd w:val="clear" w:color="auto" w:fill="FFFFFF"/>
        </w:rPr>
        <w:t xml:space="preserve"> менее интенсивна, чем острая</w:t>
      </w:r>
      <w:r>
        <w:rPr>
          <w:rFonts w:cs="Times New Roman"/>
          <w:shd w:val="clear" w:color="auto" w:fill="FFFFFF"/>
        </w:rPr>
        <w:t>;</w:t>
      </w:r>
      <w:r w:rsidRPr="000E4213">
        <w:rPr>
          <w:rFonts w:cs="Times New Roman"/>
          <w:shd w:val="clear" w:color="auto" w:fill="FFFFFF"/>
        </w:rPr>
        <w:t xml:space="preserve"> </w:t>
      </w:r>
      <w:r>
        <w:rPr>
          <w:rFonts w:cs="Times New Roman"/>
          <w:shd w:val="clear" w:color="auto" w:fill="FFFFFF"/>
        </w:rPr>
        <w:t>часто</w:t>
      </w:r>
      <w:r w:rsidRPr="000E4213">
        <w:rPr>
          <w:rFonts w:cs="Times New Roman"/>
          <w:shd w:val="clear" w:color="auto" w:fill="FFFFFF"/>
        </w:rPr>
        <w:t xml:space="preserve"> сопровождается постоянной тошнотой.</w:t>
      </w:r>
    </w:p>
    <w:p w14:paraId="5283A9A2" w14:textId="77777777" w:rsidR="003C62C6" w:rsidRPr="000E4213" w:rsidRDefault="003C62C6" w:rsidP="00CE6C1C">
      <w:pPr>
        <w:pStyle w:val="Normal1"/>
        <w:numPr>
          <w:ilvl w:val="0"/>
          <w:numId w:val="79"/>
        </w:numPr>
        <w:tabs>
          <w:tab w:val="left" w:pos="0"/>
        </w:tabs>
        <w:spacing w:line="360" w:lineRule="auto"/>
        <w:jc w:val="both"/>
        <w:rPr>
          <w:rFonts w:cs="Times New Roman"/>
          <w:shd w:val="clear" w:color="auto" w:fill="FFFFFF"/>
        </w:rPr>
      </w:pPr>
      <w:r w:rsidRPr="009C28FA">
        <w:rPr>
          <w:rFonts w:cs="Times New Roman"/>
          <w:shd w:val="clear" w:color="auto" w:fill="FFFFFF"/>
        </w:rPr>
        <w:t>Условно-рефлекторная рвота</w:t>
      </w:r>
      <w:r>
        <w:rPr>
          <w:rFonts w:cs="Times New Roman"/>
          <w:shd w:val="clear" w:color="auto" w:fill="FFFFFF"/>
        </w:rPr>
        <w:t xml:space="preserve"> – развивается как </w:t>
      </w:r>
      <w:r w:rsidRPr="000E4213">
        <w:rPr>
          <w:rFonts w:cs="Times New Roman"/>
          <w:shd w:val="clear" w:color="auto" w:fill="FFFFFF"/>
        </w:rPr>
        <w:t>условный рефлекс на ХТ и/или сопутствующие ей манипуляции и окружающую обстановку</w:t>
      </w:r>
      <w:r>
        <w:rPr>
          <w:rFonts w:cs="Times New Roman"/>
          <w:shd w:val="clear" w:color="auto" w:fill="FFFFFF"/>
        </w:rPr>
        <w:t>; р</w:t>
      </w:r>
      <w:r w:rsidRPr="000E4213">
        <w:rPr>
          <w:rFonts w:cs="Times New Roman"/>
          <w:shd w:val="clear" w:color="auto" w:fill="FFFFFF"/>
        </w:rPr>
        <w:t xml:space="preserve">иск ее развития </w:t>
      </w:r>
      <w:r w:rsidRPr="000E4213">
        <w:rPr>
          <w:rFonts w:cs="Times New Roman"/>
          <w:shd w:val="clear" w:color="auto" w:fill="FFFFFF"/>
        </w:rPr>
        <w:lastRenderedPageBreak/>
        <w:t xml:space="preserve">увеличивается </w:t>
      </w:r>
      <w:r>
        <w:rPr>
          <w:rFonts w:cs="Times New Roman"/>
          <w:shd w:val="clear" w:color="auto" w:fill="FFFFFF"/>
        </w:rPr>
        <w:t>с</w:t>
      </w:r>
      <w:r w:rsidRPr="000E4213">
        <w:rPr>
          <w:rFonts w:cs="Times New Roman"/>
          <w:shd w:val="clear" w:color="auto" w:fill="FFFFFF"/>
        </w:rPr>
        <w:t xml:space="preserve"> </w:t>
      </w:r>
      <w:r>
        <w:rPr>
          <w:rFonts w:cs="Times New Roman"/>
          <w:shd w:val="clear" w:color="auto" w:fill="FFFFFF"/>
        </w:rPr>
        <w:t>количеством</w:t>
      </w:r>
      <w:r w:rsidRPr="000E4213">
        <w:rPr>
          <w:rFonts w:cs="Times New Roman"/>
          <w:shd w:val="clear" w:color="auto" w:fill="FFFFFF"/>
        </w:rPr>
        <w:t xml:space="preserve"> курсов</w:t>
      </w:r>
      <w:r>
        <w:rPr>
          <w:rFonts w:cs="Times New Roman"/>
          <w:shd w:val="clear" w:color="auto" w:fill="FFFFFF"/>
        </w:rPr>
        <w:t xml:space="preserve"> ХТ; </w:t>
      </w:r>
      <w:r w:rsidRPr="000E4213">
        <w:rPr>
          <w:rFonts w:cs="Times New Roman"/>
          <w:shd w:val="clear" w:color="auto" w:fill="FFFFFF"/>
        </w:rPr>
        <w:t>может сохраняться в течение длительного времени после окончания ХТ.</w:t>
      </w:r>
    </w:p>
    <w:p w14:paraId="200F840B" w14:textId="77777777" w:rsidR="003C62C6" w:rsidRPr="000E4213" w:rsidRDefault="003C62C6" w:rsidP="00CE6C1C">
      <w:pPr>
        <w:pStyle w:val="Normal1"/>
        <w:numPr>
          <w:ilvl w:val="0"/>
          <w:numId w:val="79"/>
        </w:numPr>
        <w:tabs>
          <w:tab w:val="left" w:pos="0"/>
        </w:tabs>
        <w:spacing w:line="360" w:lineRule="auto"/>
        <w:jc w:val="both"/>
        <w:rPr>
          <w:rFonts w:cs="Times New Roman"/>
          <w:shd w:val="clear" w:color="auto" w:fill="FFFFFF"/>
        </w:rPr>
      </w:pPr>
      <w:r w:rsidRPr="009C28FA">
        <w:rPr>
          <w:rFonts w:cs="Times New Roman"/>
          <w:shd w:val="clear" w:color="auto" w:fill="FFFFFF"/>
        </w:rPr>
        <w:t xml:space="preserve">Неконтролируемая тошнота и рвота </w:t>
      </w:r>
      <w:r>
        <w:rPr>
          <w:rFonts w:cs="Times New Roman"/>
          <w:shd w:val="clear" w:color="auto" w:fill="FFFFFF"/>
        </w:rPr>
        <w:t xml:space="preserve">– </w:t>
      </w:r>
      <w:r w:rsidRPr="000E4213">
        <w:rPr>
          <w:rFonts w:cs="Times New Roman"/>
          <w:shd w:val="clear" w:color="auto" w:fill="FFFFFF"/>
        </w:rPr>
        <w:t>развивается на фоне адекватной антиэметической профилактики и требует дополнительной коррекции.</w:t>
      </w:r>
    </w:p>
    <w:p w14:paraId="581FBBD2" w14:textId="77777777" w:rsidR="003C62C6" w:rsidRDefault="003C62C6" w:rsidP="00CE6C1C">
      <w:pPr>
        <w:pStyle w:val="Normal1"/>
        <w:numPr>
          <w:ilvl w:val="0"/>
          <w:numId w:val="79"/>
        </w:numPr>
        <w:tabs>
          <w:tab w:val="left" w:pos="0"/>
        </w:tabs>
        <w:spacing w:line="360" w:lineRule="auto"/>
        <w:jc w:val="both"/>
        <w:rPr>
          <w:rFonts w:cs="Times New Roman"/>
          <w:shd w:val="clear" w:color="auto" w:fill="FFFFFF"/>
        </w:rPr>
      </w:pPr>
      <w:r w:rsidRPr="009C28FA">
        <w:rPr>
          <w:rFonts w:cs="Times New Roman"/>
          <w:shd w:val="clear" w:color="auto" w:fill="FFFFFF"/>
        </w:rPr>
        <w:t xml:space="preserve">Рефрактерная рвота </w:t>
      </w:r>
      <w:r>
        <w:rPr>
          <w:rFonts w:cs="Times New Roman"/>
          <w:shd w:val="clear" w:color="auto" w:fill="FFFFFF"/>
        </w:rPr>
        <w:t xml:space="preserve">– </w:t>
      </w:r>
      <w:r w:rsidRPr="000E4213">
        <w:rPr>
          <w:rFonts w:cs="Times New Roman"/>
          <w:shd w:val="clear" w:color="auto" w:fill="FFFFFF"/>
        </w:rPr>
        <w:t>возникает на последующих курсах ХТ при неэффективности противорвотной профилактики и / или препаратов резерва на предыдущих курсах лечения.</w:t>
      </w:r>
    </w:p>
    <w:p w14:paraId="31BA1841" w14:textId="7F409F61" w:rsidR="003C62C6" w:rsidRPr="003C62C6" w:rsidRDefault="003C62C6" w:rsidP="003C62C6">
      <w:pPr>
        <w:pStyle w:val="Normal1"/>
        <w:numPr>
          <w:ilvl w:val="0"/>
          <w:numId w:val="13"/>
        </w:numPr>
        <w:tabs>
          <w:tab w:val="left" w:pos="0"/>
        </w:tabs>
        <w:spacing w:line="360" w:lineRule="auto"/>
        <w:jc w:val="both"/>
        <w:rPr>
          <w:rFonts w:cs="Times New Roman"/>
          <w:shd w:val="clear" w:color="auto" w:fill="FFFFFF"/>
        </w:rPr>
      </w:pPr>
      <w:r w:rsidRPr="003C62C6">
        <w:rPr>
          <w:rFonts w:cs="Times New Roman"/>
          <w:b/>
          <w:shd w:val="clear" w:color="auto" w:fill="FFFFFF"/>
        </w:rPr>
        <w:t>Эметогенный потенциал противоопухолевых препаратов</w:t>
      </w:r>
    </w:p>
    <w:p w14:paraId="4B413B99" w14:textId="77777777" w:rsidR="003C62C6" w:rsidRPr="0030741F" w:rsidRDefault="003C62C6" w:rsidP="003C62C6">
      <w:pPr>
        <w:pStyle w:val="Normal1"/>
        <w:tabs>
          <w:tab w:val="left" w:pos="0"/>
        </w:tabs>
        <w:spacing w:line="360" w:lineRule="auto"/>
        <w:jc w:val="both"/>
        <w:rPr>
          <w:rFonts w:cs="Times New Roman"/>
          <w:shd w:val="clear" w:color="auto" w:fill="FFFFFF"/>
        </w:rPr>
      </w:pPr>
      <w:r>
        <w:rPr>
          <w:rFonts w:cs="Times New Roman"/>
          <w:shd w:val="clear" w:color="auto" w:fill="FFFFFF"/>
        </w:rPr>
        <w:tab/>
      </w:r>
      <w:r>
        <w:rPr>
          <w:rFonts w:cs="Times New Roman"/>
          <w:shd w:val="clear" w:color="auto" w:fill="FFFFFF"/>
        </w:rPr>
        <w:tab/>
      </w:r>
      <w:r w:rsidRPr="0030741F">
        <w:rPr>
          <w:rFonts w:cs="Times New Roman"/>
          <w:shd w:val="clear" w:color="auto" w:fill="FFFFFF"/>
        </w:rPr>
        <w:t>Э</w:t>
      </w:r>
      <w:r>
        <w:rPr>
          <w:rFonts w:cs="Times New Roman"/>
          <w:shd w:val="clear" w:color="auto" w:fill="FFFFFF"/>
        </w:rPr>
        <w:t>метогенность</w:t>
      </w:r>
      <w:r w:rsidRPr="0030741F">
        <w:rPr>
          <w:rFonts w:cs="Times New Roman"/>
          <w:shd w:val="clear" w:color="auto" w:fill="FFFFFF"/>
        </w:rPr>
        <w:t xml:space="preserve"> – это риск развития рвоты у больных, получающих противоопухолевый препарат (в монорежиме</w:t>
      </w:r>
      <w:r>
        <w:rPr>
          <w:rFonts w:cs="Times New Roman"/>
          <w:shd w:val="clear" w:color="auto" w:fill="FFFFFF"/>
        </w:rPr>
        <w:t xml:space="preserve">, </w:t>
      </w:r>
      <w:r w:rsidRPr="0030741F">
        <w:rPr>
          <w:rFonts w:cs="Times New Roman"/>
          <w:shd w:val="clear" w:color="auto" w:fill="FFFFFF"/>
        </w:rPr>
        <w:t>без противорвотной терапии</w:t>
      </w:r>
      <w:r>
        <w:rPr>
          <w:rFonts w:cs="Times New Roman"/>
          <w:shd w:val="clear" w:color="auto" w:fill="FFFFFF"/>
        </w:rPr>
        <w:t>)</w:t>
      </w:r>
      <w:r w:rsidRPr="0030741F">
        <w:rPr>
          <w:rFonts w:cs="Times New Roman"/>
          <w:shd w:val="clear" w:color="auto" w:fill="FFFFFF"/>
        </w:rPr>
        <w:t>. Выделено 4 градации эметогенного</w:t>
      </w:r>
      <w:r>
        <w:rPr>
          <w:rFonts w:cs="Times New Roman"/>
          <w:shd w:val="clear" w:color="auto" w:fill="FFFFFF"/>
        </w:rPr>
        <w:t xml:space="preserve"> </w:t>
      </w:r>
      <w:r w:rsidRPr="0030741F">
        <w:rPr>
          <w:rFonts w:cs="Times New Roman"/>
          <w:shd w:val="clear" w:color="auto" w:fill="FFFFFF"/>
        </w:rPr>
        <w:t>потенциала:</w:t>
      </w:r>
    </w:p>
    <w:p w14:paraId="20982916" w14:textId="77777777" w:rsidR="003C62C6" w:rsidRPr="0030741F" w:rsidRDefault="003C62C6" w:rsidP="00CE6C1C">
      <w:pPr>
        <w:pStyle w:val="Normal1"/>
        <w:numPr>
          <w:ilvl w:val="0"/>
          <w:numId w:val="74"/>
        </w:numPr>
        <w:tabs>
          <w:tab w:val="left" w:pos="0"/>
        </w:tabs>
        <w:spacing w:line="360" w:lineRule="auto"/>
        <w:jc w:val="both"/>
        <w:rPr>
          <w:rFonts w:cs="Times New Roman"/>
          <w:shd w:val="clear" w:color="auto" w:fill="FFFFFF"/>
        </w:rPr>
      </w:pPr>
      <w:r w:rsidRPr="0030741F">
        <w:rPr>
          <w:rFonts w:cs="Times New Roman"/>
          <w:shd w:val="clear" w:color="auto" w:fill="FFFFFF"/>
        </w:rPr>
        <w:t>минимальный -  развитие рвоты менее чем у 10% больных;</w:t>
      </w:r>
    </w:p>
    <w:p w14:paraId="086CF5EE" w14:textId="77777777" w:rsidR="003C62C6" w:rsidRPr="0030741F" w:rsidRDefault="003C62C6" w:rsidP="00CE6C1C">
      <w:pPr>
        <w:pStyle w:val="Normal1"/>
        <w:numPr>
          <w:ilvl w:val="0"/>
          <w:numId w:val="74"/>
        </w:numPr>
        <w:tabs>
          <w:tab w:val="left" w:pos="0"/>
        </w:tabs>
        <w:spacing w:line="360" w:lineRule="auto"/>
        <w:jc w:val="both"/>
        <w:rPr>
          <w:rFonts w:cs="Times New Roman"/>
          <w:shd w:val="clear" w:color="auto" w:fill="FFFFFF"/>
        </w:rPr>
      </w:pPr>
      <w:r w:rsidRPr="0030741F">
        <w:rPr>
          <w:rFonts w:cs="Times New Roman"/>
          <w:shd w:val="clear" w:color="auto" w:fill="FFFFFF"/>
        </w:rPr>
        <w:t xml:space="preserve">низкий </w:t>
      </w:r>
      <w:r>
        <w:rPr>
          <w:rFonts w:cs="Times New Roman"/>
          <w:shd w:val="clear" w:color="auto" w:fill="FFFFFF"/>
        </w:rPr>
        <w:t xml:space="preserve">- </w:t>
      </w:r>
      <w:r w:rsidRPr="0030741F">
        <w:rPr>
          <w:rFonts w:cs="Times New Roman"/>
          <w:shd w:val="clear" w:color="auto" w:fill="FFFFFF"/>
        </w:rPr>
        <w:t>развитие рвоты у 10 - 30% больных;</w:t>
      </w:r>
    </w:p>
    <w:p w14:paraId="57236322" w14:textId="77777777" w:rsidR="003C62C6" w:rsidRPr="0030741F" w:rsidRDefault="003C62C6" w:rsidP="00CE6C1C">
      <w:pPr>
        <w:pStyle w:val="Normal1"/>
        <w:numPr>
          <w:ilvl w:val="0"/>
          <w:numId w:val="74"/>
        </w:numPr>
        <w:tabs>
          <w:tab w:val="left" w:pos="0"/>
        </w:tabs>
        <w:spacing w:line="360" w:lineRule="auto"/>
        <w:jc w:val="both"/>
        <w:rPr>
          <w:rFonts w:cs="Times New Roman"/>
          <w:shd w:val="clear" w:color="auto" w:fill="FFFFFF"/>
        </w:rPr>
      </w:pPr>
      <w:r>
        <w:rPr>
          <w:rFonts w:cs="Times New Roman"/>
          <w:shd w:val="clear" w:color="auto" w:fill="FFFFFF"/>
        </w:rPr>
        <w:t xml:space="preserve">средний - </w:t>
      </w:r>
      <w:r w:rsidRPr="0030741F">
        <w:rPr>
          <w:rFonts w:cs="Times New Roman"/>
          <w:shd w:val="clear" w:color="auto" w:fill="FFFFFF"/>
        </w:rPr>
        <w:t>развитие рвоты у 30 - 90% больных;</w:t>
      </w:r>
    </w:p>
    <w:p w14:paraId="039EE79F" w14:textId="77777777" w:rsidR="003C62C6" w:rsidRPr="0030741F" w:rsidRDefault="003C62C6" w:rsidP="00CE6C1C">
      <w:pPr>
        <w:pStyle w:val="Normal1"/>
        <w:numPr>
          <w:ilvl w:val="0"/>
          <w:numId w:val="74"/>
        </w:numPr>
        <w:tabs>
          <w:tab w:val="left" w:pos="0"/>
        </w:tabs>
        <w:spacing w:line="360" w:lineRule="auto"/>
        <w:jc w:val="both"/>
        <w:rPr>
          <w:rFonts w:cs="Times New Roman"/>
          <w:shd w:val="clear" w:color="auto" w:fill="FFFFFF"/>
        </w:rPr>
      </w:pPr>
      <w:r>
        <w:rPr>
          <w:rFonts w:cs="Times New Roman"/>
          <w:shd w:val="clear" w:color="auto" w:fill="FFFFFF"/>
        </w:rPr>
        <w:t xml:space="preserve">высокий - развитие рвоты </w:t>
      </w:r>
      <w:r w:rsidRPr="0030741F">
        <w:rPr>
          <w:rFonts w:cs="Times New Roman"/>
          <w:shd w:val="clear" w:color="auto" w:fill="FFFFFF"/>
        </w:rPr>
        <w:t>более чем у 90 % больных.</w:t>
      </w:r>
    </w:p>
    <w:p w14:paraId="02287131" w14:textId="77777777" w:rsidR="003C62C6" w:rsidRDefault="003C62C6" w:rsidP="003C62C6">
      <w:pPr>
        <w:pStyle w:val="Normal1"/>
        <w:tabs>
          <w:tab w:val="left" w:pos="0"/>
        </w:tabs>
        <w:spacing w:line="360" w:lineRule="auto"/>
        <w:jc w:val="both"/>
        <w:rPr>
          <w:rFonts w:cs="Times New Roman"/>
          <w:shd w:val="clear" w:color="auto" w:fill="FFFFFF"/>
        </w:rPr>
      </w:pPr>
      <w:r w:rsidRPr="00EB0443">
        <w:rPr>
          <w:rFonts w:cs="Times New Roman"/>
          <w:shd w:val="clear" w:color="auto" w:fill="FFFFFF"/>
        </w:rPr>
        <w:tab/>
      </w:r>
      <w:r w:rsidRPr="00EB0443">
        <w:rPr>
          <w:rFonts w:cs="Times New Roman"/>
          <w:shd w:val="clear" w:color="auto" w:fill="FFFFFF"/>
        </w:rPr>
        <w:tab/>
      </w:r>
      <w:r w:rsidRPr="0030741F">
        <w:rPr>
          <w:rFonts w:cs="Times New Roman"/>
          <w:shd w:val="clear" w:color="auto" w:fill="FFFFFF"/>
        </w:rPr>
        <w:t xml:space="preserve">Рекомендации экспертов по принципам противорвотного </w:t>
      </w:r>
      <w:r>
        <w:rPr>
          <w:rFonts w:cs="Times New Roman"/>
          <w:shd w:val="clear" w:color="auto" w:fill="FFFFFF"/>
        </w:rPr>
        <w:t xml:space="preserve">(антиэметогенного) </w:t>
      </w:r>
      <w:r w:rsidRPr="0030741F">
        <w:rPr>
          <w:rFonts w:cs="Times New Roman"/>
          <w:shd w:val="clear" w:color="auto" w:fill="FFFFFF"/>
        </w:rPr>
        <w:t>лечения основываются на том, в какую категорию эметогенного потенциала входит цитостатик</w:t>
      </w:r>
      <w:r>
        <w:rPr>
          <w:rFonts w:cs="Times New Roman"/>
          <w:shd w:val="clear" w:color="auto" w:fill="FFFFFF"/>
        </w:rPr>
        <w:t xml:space="preserve">. </w:t>
      </w:r>
      <w:r w:rsidRPr="0030741F">
        <w:rPr>
          <w:rFonts w:cs="Times New Roman"/>
          <w:shd w:val="clear" w:color="auto" w:fill="FFFFFF"/>
        </w:rPr>
        <w:t>Эметогенный потенциал препаратов для внутривенного введения определяется, как правило, для режима однодневного введения, то есть определ</w:t>
      </w:r>
      <w:r>
        <w:rPr>
          <w:rFonts w:cs="Times New Roman"/>
          <w:shd w:val="clear" w:color="auto" w:fill="FFFFFF"/>
        </w:rPr>
        <w:t>яется</w:t>
      </w:r>
      <w:r w:rsidRPr="0030741F">
        <w:rPr>
          <w:rFonts w:cs="Times New Roman"/>
          <w:shd w:val="clear" w:color="auto" w:fill="FFFFFF"/>
        </w:rPr>
        <w:t xml:space="preserve"> эметогенность разовой дозы. В основу эметогенной классификации таблетированных препаратов положен учет эметогенности полного курса лечения. Эметогенность комбинированного режима ХТ определяется, как правило, препаратом, обладающим наибольшим эметогенным потенциалом. Это положение является абсолютно верным для режимов, включающих высокоэметогенные цитостатики. Комбинация средне</w:t>
      </w:r>
      <w:r>
        <w:rPr>
          <w:rFonts w:cs="Times New Roman"/>
          <w:shd w:val="clear" w:color="auto" w:fill="FFFFFF"/>
        </w:rPr>
        <w:t>-</w:t>
      </w:r>
      <w:r w:rsidRPr="0030741F">
        <w:rPr>
          <w:rFonts w:cs="Times New Roman"/>
          <w:shd w:val="clear" w:color="auto" w:fill="FFFFFF"/>
        </w:rPr>
        <w:t>эметогенных цитостатиков может повышать эметогенн</w:t>
      </w:r>
      <w:r>
        <w:rPr>
          <w:rFonts w:cs="Times New Roman"/>
          <w:shd w:val="clear" w:color="auto" w:fill="FFFFFF"/>
        </w:rPr>
        <w:t>ость режима в целом.</w:t>
      </w:r>
    </w:p>
    <w:p w14:paraId="48967D4D" w14:textId="77777777" w:rsidR="003C62C6" w:rsidRPr="0030741F" w:rsidRDefault="003C62C6" w:rsidP="00CE6C1C">
      <w:pPr>
        <w:pStyle w:val="Normal1"/>
        <w:numPr>
          <w:ilvl w:val="1"/>
          <w:numId w:val="81"/>
        </w:numPr>
        <w:tabs>
          <w:tab w:val="left" w:pos="0"/>
        </w:tabs>
        <w:spacing w:line="360" w:lineRule="auto"/>
        <w:jc w:val="both"/>
        <w:rPr>
          <w:rFonts w:cs="Times New Roman"/>
          <w:b/>
          <w:shd w:val="clear" w:color="auto" w:fill="FFFFFF"/>
        </w:rPr>
      </w:pPr>
      <w:r w:rsidRPr="0030741F">
        <w:rPr>
          <w:rFonts w:cs="Times New Roman"/>
          <w:b/>
          <w:shd w:val="clear" w:color="auto" w:fill="FFFFFF"/>
        </w:rPr>
        <w:t>Схемы противоопухолевого лечения, применяемые в гематологии</w:t>
      </w:r>
    </w:p>
    <w:p w14:paraId="5051D2F5" w14:textId="77777777" w:rsidR="003C62C6" w:rsidRPr="0030741F" w:rsidRDefault="003C62C6" w:rsidP="003C62C6">
      <w:pPr>
        <w:pStyle w:val="Normal1"/>
        <w:tabs>
          <w:tab w:val="left" w:pos="0"/>
        </w:tabs>
        <w:spacing w:line="360" w:lineRule="auto"/>
        <w:jc w:val="both"/>
        <w:rPr>
          <w:rFonts w:cs="Times New Roman"/>
          <w:shd w:val="clear" w:color="auto" w:fill="FFFFFF"/>
        </w:rPr>
      </w:pPr>
      <w:r>
        <w:rPr>
          <w:rFonts w:cs="Times New Roman"/>
          <w:shd w:val="clear" w:color="auto" w:fill="FFFFFF"/>
        </w:rPr>
        <w:tab/>
      </w:r>
      <w:r>
        <w:rPr>
          <w:rFonts w:cs="Times New Roman"/>
          <w:shd w:val="clear" w:color="auto" w:fill="FFFFFF"/>
        </w:rPr>
        <w:tab/>
      </w:r>
      <w:r w:rsidRPr="0030741F">
        <w:rPr>
          <w:rFonts w:cs="Times New Roman"/>
          <w:shd w:val="clear" w:color="auto" w:fill="FFFFFF"/>
        </w:rPr>
        <w:t xml:space="preserve">Курсы ХТ, применяющиеся в онкогематологии, как правило, относятся к категории среднего и высокого эметогенного потенциала. </w:t>
      </w:r>
    </w:p>
    <w:p w14:paraId="6E16CEA1" w14:textId="77777777" w:rsidR="003C62C6" w:rsidRDefault="003C62C6" w:rsidP="00CE6C1C">
      <w:pPr>
        <w:pStyle w:val="Normal1"/>
        <w:numPr>
          <w:ilvl w:val="0"/>
          <w:numId w:val="80"/>
        </w:numPr>
        <w:tabs>
          <w:tab w:val="left" w:pos="0"/>
        </w:tabs>
        <w:spacing w:line="360" w:lineRule="auto"/>
        <w:jc w:val="both"/>
        <w:rPr>
          <w:rFonts w:cs="Times New Roman"/>
          <w:shd w:val="clear" w:color="auto" w:fill="FFFFFF"/>
        </w:rPr>
      </w:pPr>
      <w:r w:rsidRPr="0030741F">
        <w:rPr>
          <w:rFonts w:cs="Times New Roman"/>
          <w:shd w:val="clear" w:color="auto" w:fill="FFFFFF"/>
        </w:rPr>
        <w:t xml:space="preserve">Примеры </w:t>
      </w:r>
      <w:r>
        <w:rPr>
          <w:rFonts w:cs="Times New Roman"/>
          <w:shd w:val="clear" w:color="auto" w:fill="FFFFFF"/>
        </w:rPr>
        <w:t>ХТ</w:t>
      </w:r>
      <w:r w:rsidRPr="0030741F">
        <w:rPr>
          <w:rFonts w:cs="Times New Roman"/>
          <w:shd w:val="clear" w:color="auto" w:fill="FFFFFF"/>
        </w:rPr>
        <w:t xml:space="preserve"> с высокой эметогенностью: CHOP,</w:t>
      </w:r>
      <w:r w:rsidRPr="0079248E">
        <w:rPr>
          <w:rFonts w:cs="Times New Roman"/>
          <w:shd w:val="clear" w:color="auto" w:fill="FFFFFF"/>
        </w:rPr>
        <w:t xml:space="preserve"> </w:t>
      </w:r>
      <w:r w:rsidRPr="0030741F">
        <w:rPr>
          <w:rFonts w:cs="Times New Roman"/>
          <w:shd w:val="clear" w:color="auto" w:fill="FFFFFF"/>
        </w:rPr>
        <w:t>ABVD,</w:t>
      </w:r>
      <w:r>
        <w:rPr>
          <w:rFonts w:cs="Times New Roman"/>
          <w:shd w:val="clear" w:color="auto" w:fill="FFFFFF"/>
        </w:rPr>
        <w:t xml:space="preserve"> </w:t>
      </w:r>
      <w:r w:rsidRPr="0030741F">
        <w:rPr>
          <w:rFonts w:cs="Times New Roman"/>
          <w:shd w:val="clear" w:color="auto" w:fill="FFFFFF"/>
        </w:rPr>
        <w:t xml:space="preserve">DHAP, </w:t>
      </w:r>
      <w:r w:rsidRPr="0079248E">
        <w:rPr>
          <w:rFonts w:eastAsia="Calibri" w:cs="Times New Roman"/>
          <w:lang w:val="en-US"/>
        </w:rPr>
        <w:t>ESHAP</w:t>
      </w:r>
      <w:r w:rsidRPr="0079248E">
        <w:rPr>
          <w:rFonts w:cs="Times New Roman"/>
          <w:shd w:val="clear" w:color="auto" w:fill="FFFFFF"/>
        </w:rPr>
        <w:t>,</w:t>
      </w:r>
      <w:r>
        <w:rPr>
          <w:rFonts w:cs="Times New Roman"/>
          <w:shd w:val="clear" w:color="auto" w:fill="FFFFFF"/>
        </w:rPr>
        <w:t xml:space="preserve"> </w:t>
      </w:r>
      <w:r w:rsidRPr="0030741F">
        <w:rPr>
          <w:rFonts w:cs="Times New Roman"/>
          <w:shd w:val="clear" w:color="auto" w:fill="FFFFFF"/>
        </w:rPr>
        <w:t>ICE, даунорубицин + цитарабин, применение высоких доз мелфалана, циклофосфана.</w:t>
      </w:r>
    </w:p>
    <w:p w14:paraId="7C01D738" w14:textId="77777777" w:rsidR="003C62C6" w:rsidRPr="0030741F" w:rsidRDefault="003C62C6" w:rsidP="00CE6C1C">
      <w:pPr>
        <w:pStyle w:val="Normal1"/>
        <w:numPr>
          <w:ilvl w:val="0"/>
          <w:numId w:val="80"/>
        </w:numPr>
        <w:tabs>
          <w:tab w:val="left" w:pos="0"/>
        </w:tabs>
        <w:spacing w:line="360" w:lineRule="auto"/>
        <w:jc w:val="both"/>
        <w:rPr>
          <w:rFonts w:cs="Times New Roman"/>
          <w:shd w:val="clear" w:color="auto" w:fill="FFFFFF"/>
        </w:rPr>
      </w:pPr>
      <w:r>
        <w:rPr>
          <w:rFonts w:cs="Times New Roman"/>
          <w:shd w:val="clear" w:color="auto" w:fill="FFFFFF"/>
        </w:rPr>
        <w:t>Примеры</w:t>
      </w:r>
      <w:r w:rsidRPr="0030741F">
        <w:rPr>
          <w:rFonts w:cs="Times New Roman"/>
          <w:shd w:val="clear" w:color="auto" w:fill="FFFFFF"/>
        </w:rPr>
        <w:t xml:space="preserve"> </w:t>
      </w:r>
      <w:r>
        <w:rPr>
          <w:rFonts w:cs="Times New Roman"/>
          <w:shd w:val="clear" w:color="auto" w:fill="FFFFFF"/>
        </w:rPr>
        <w:t>ХТ</w:t>
      </w:r>
      <w:r w:rsidRPr="0030741F">
        <w:rPr>
          <w:rFonts w:cs="Times New Roman"/>
          <w:shd w:val="clear" w:color="auto" w:fill="FFFFFF"/>
        </w:rPr>
        <w:t xml:space="preserve"> со средней эметогенностью: 7+3 (идарубицин+цитарабин), </w:t>
      </w:r>
      <w:r w:rsidRPr="0030741F">
        <w:rPr>
          <w:rFonts w:cs="Times New Roman"/>
          <w:shd w:val="clear" w:color="auto" w:fill="FFFFFF"/>
          <w:lang w:val="en-US"/>
        </w:rPr>
        <w:t>VCD</w:t>
      </w:r>
      <w:r w:rsidRPr="0030741F">
        <w:rPr>
          <w:rFonts w:cs="Times New Roman"/>
          <w:shd w:val="clear" w:color="auto" w:fill="FFFFFF"/>
        </w:rPr>
        <w:t xml:space="preserve">, </w:t>
      </w:r>
      <w:r>
        <w:rPr>
          <w:rFonts w:cs="Times New Roman"/>
          <w:shd w:val="clear" w:color="auto" w:fill="FFFFFF"/>
        </w:rPr>
        <w:t xml:space="preserve">НАМ, </w:t>
      </w:r>
      <w:r w:rsidRPr="0030741F">
        <w:rPr>
          <w:rFonts w:cs="Times New Roman"/>
          <w:shd w:val="clear" w:color="auto" w:fill="FFFFFF"/>
        </w:rPr>
        <w:t>комбинации с кармустином, комбинации с мелфаланом (в средних и низких дозах)</w:t>
      </w:r>
      <w:r>
        <w:rPr>
          <w:rFonts w:cs="Times New Roman"/>
          <w:shd w:val="clear" w:color="auto" w:fill="FFFFFF"/>
        </w:rPr>
        <w:t>, ВЕАСОРР</w:t>
      </w:r>
      <w:r w:rsidRPr="0030741F">
        <w:rPr>
          <w:rFonts w:cs="Times New Roman"/>
          <w:shd w:val="clear" w:color="auto" w:fill="FFFFFF"/>
        </w:rPr>
        <w:t>.</w:t>
      </w:r>
    </w:p>
    <w:p w14:paraId="6DAA6C5D" w14:textId="77777777" w:rsidR="003C62C6" w:rsidRDefault="003C62C6" w:rsidP="00CE6C1C">
      <w:pPr>
        <w:pStyle w:val="Normal1"/>
        <w:numPr>
          <w:ilvl w:val="0"/>
          <w:numId w:val="80"/>
        </w:numPr>
        <w:tabs>
          <w:tab w:val="left" w:pos="0"/>
        </w:tabs>
        <w:spacing w:line="360" w:lineRule="auto"/>
        <w:jc w:val="both"/>
        <w:rPr>
          <w:rFonts w:cs="Times New Roman"/>
          <w:shd w:val="clear" w:color="auto" w:fill="FFFFFF"/>
        </w:rPr>
      </w:pPr>
      <w:r>
        <w:rPr>
          <w:rFonts w:cs="Times New Roman"/>
          <w:shd w:val="clear" w:color="auto" w:fill="FFFFFF"/>
        </w:rPr>
        <w:lastRenderedPageBreak/>
        <w:t>Примеры ХТ с низкой эметогенностью: гидроксимочевина, этопозид, флударабин.</w:t>
      </w:r>
    </w:p>
    <w:p w14:paraId="3E0C10B7" w14:textId="77777777" w:rsidR="003C62C6" w:rsidRDefault="003C62C6" w:rsidP="00CE6C1C">
      <w:pPr>
        <w:pStyle w:val="Normal1"/>
        <w:numPr>
          <w:ilvl w:val="0"/>
          <w:numId w:val="80"/>
        </w:numPr>
        <w:tabs>
          <w:tab w:val="left" w:pos="0"/>
        </w:tabs>
        <w:spacing w:line="360" w:lineRule="auto"/>
        <w:jc w:val="both"/>
        <w:rPr>
          <w:rFonts w:cs="Times New Roman"/>
          <w:shd w:val="clear" w:color="auto" w:fill="FFFFFF"/>
        </w:rPr>
      </w:pPr>
      <w:r>
        <w:rPr>
          <w:rFonts w:cs="Times New Roman"/>
          <w:shd w:val="clear" w:color="auto" w:fill="FFFFFF"/>
        </w:rPr>
        <w:t xml:space="preserve">Примеры ХТ с минимальной эметогенностью: кладрибин, метотрексат, хлорамбуцил, ниволумаб, ритусимаб. </w:t>
      </w:r>
    </w:p>
    <w:p w14:paraId="00842F31" w14:textId="77777777" w:rsidR="003C62C6" w:rsidRPr="0030741F" w:rsidRDefault="003C62C6" w:rsidP="00CE6C1C">
      <w:pPr>
        <w:pStyle w:val="Normal1"/>
        <w:numPr>
          <w:ilvl w:val="1"/>
          <w:numId w:val="81"/>
        </w:numPr>
        <w:tabs>
          <w:tab w:val="left" w:pos="0"/>
        </w:tabs>
        <w:spacing w:line="360" w:lineRule="auto"/>
        <w:jc w:val="both"/>
        <w:rPr>
          <w:rFonts w:cs="Times New Roman"/>
          <w:b/>
        </w:rPr>
      </w:pPr>
      <w:r w:rsidRPr="0030741F">
        <w:rPr>
          <w:rFonts w:cs="Times New Roman"/>
          <w:b/>
        </w:rPr>
        <w:t>Противорвотные препараты</w:t>
      </w:r>
    </w:p>
    <w:p w14:paraId="6A131F9F" w14:textId="77777777" w:rsidR="003C62C6" w:rsidRPr="0030741F" w:rsidRDefault="003C62C6" w:rsidP="003C62C6">
      <w:pPr>
        <w:pStyle w:val="Normal1"/>
        <w:tabs>
          <w:tab w:val="left" w:pos="0"/>
        </w:tabs>
        <w:spacing w:line="360" w:lineRule="auto"/>
        <w:jc w:val="both"/>
        <w:rPr>
          <w:rFonts w:cs="Times New Roman"/>
        </w:rPr>
      </w:pPr>
      <w:r>
        <w:rPr>
          <w:rFonts w:cs="Times New Roman"/>
        </w:rPr>
        <w:tab/>
      </w:r>
      <w:r>
        <w:rPr>
          <w:rFonts w:cs="Times New Roman"/>
        </w:rPr>
        <w:tab/>
      </w:r>
      <w:r w:rsidRPr="0030741F">
        <w:rPr>
          <w:rFonts w:cs="Times New Roman"/>
        </w:rPr>
        <w:t>Для клинического применения используется 5 групп препаратов, обладающих противорвотным действием:</w:t>
      </w:r>
    </w:p>
    <w:p w14:paraId="7AB11923" w14:textId="77777777" w:rsidR="003C62C6" w:rsidRPr="0030741F" w:rsidRDefault="003C62C6" w:rsidP="00CE6C1C">
      <w:pPr>
        <w:pStyle w:val="Normal1"/>
        <w:numPr>
          <w:ilvl w:val="0"/>
          <w:numId w:val="75"/>
        </w:numPr>
        <w:tabs>
          <w:tab w:val="left" w:pos="0"/>
        </w:tabs>
        <w:spacing w:line="360" w:lineRule="auto"/>
        <w:jc w:val="both"/>
        <w:rPr>
          <w:rFonts w:cs="Times New Roman"/>
        </w:rPr>
      </w:pPr>
      <w:r w:rsidRPr="0030741F">
        <w:rPr>
          <w:rFonts w:cs="Times New Roman"/>
        </w:rPr>
        <w:t>Антагонисты 5-HT3-рецепторов (</w:t>
      </w:r>
      <w:r w:rsidRPr="0030741F">
        <w:rPr>
          <w:rFonts w:cs="Times New Roman"/>
          <w:lang w:val="en-US"/>
        </w:rPr>
        <w:t>HT</w:t>
      </w:r>
      <w:r w:rsidRPr="0030741F">
        <w:rPr>
          <w:rFonts w:cs="Times New Roman"/>
        </w:rPr>
        <w:t xml:space="preserve"> - гидрокситриптамин)</w:t>
      </w:r>
    </w:p>
    <w:p w14:paraId="771E3B1D" w14:textId="77777777" w:rsidR="003C62C6" w:rsidRPr="0030741F" w:rsidRDefault="003C62C6" w:rsidP="00CE6C1C">
      <w:pPr>
        <w:pStyle w:val="Normal1"/>
        <w:numPr>
          <w:ilvl w:val="0"/>
          <w:numId w:val="75"/>
        </w:numPr>
        <w:tabs>
          <w:tab w:val="left" w:pos="0"/>
        </w:tabs>
        <w:spacing w:line="360" w:lineRule="auto"/>
        <w:jc w:val="both"/>
        <w:rPr>
          <w:rFonts w:cs="Times New Roman"/>
        </w:rPr>
      </w:pPr>
      <w:r w:rsidRPr="0030741F">
        <w:rPr>
          <w:rFonts w:cs="Times New Roman"/>
          <w:bCs/>
        </w:rPr>
        <w:t>Кортикостероиды</w:t>
      </w:r>
    </w:p>
    <w:p w14:paraId="5DCEBAD9" w14:textId="77777777" w:rsidR="003C62C6" w:rsidRPr="0030741F" w:rsidRDefault="003C62C6" w:rsidP="00CE6C1C">
      <w:pPr>
        <w:pStyle w:val="Normal1"/>
        <w:numPr>
          <w:ilvl w:val="0"/>
          <w:numId w:val="75"/>
        </w:numPr>
        <w:tabs>
          <w:tab w:val="left" w:pos="0"/>
        </w:tabs>
        <w:spacing w:line="360" w:lineRule="auto"/>
        <w:jc w:val="both"/>
        <w:rPr>
          <w:rFonts w:cs="Times New Roman"/>
        </w:rPr>
      </w:pPr>
      <w:r w:rsidRPr="0030741F">
        <w:rPr>
          <w:rFonts w:cs="Times New Roman"/>
          <w:bCs/>
        </w:rPr>
        <w:t>Антагонисты рецепторов</w:t>
      </w:r>
      <w:r>
        <w:rPr>
          <w:rFonts w:cs="Times New Roman"/>
          <w:bCs/>
        </w:rPr>
        <w:t xml:space="preserve"> </w:t>
      </w:r>
      <w:r>
        <w:rPr>
          <w:rFonts w:cs="Times New Roman"/>
        </w:rPr>
        <w:t>н</w:t>
      </w:r>
      <w:r w:rsidRPr="0030741F">
        <w:rPr>
          <w:rFonts w:cs="Times New Roman"/>
        </w:rPr>
        <w:t>ейрокинин</w:t>
      </w:r>
      <w:r>
        <w:rPr>
          <w:rFonts w:cs="Times New Roman"/>
        </w:rPr>
        <w:t>а</w:t>
      </w:r>
      <w:r w:rsidRPr="0030741F">
        <w:rPr>
          <w:rFonts w:cs="Times New Roman"/>
        </w:rPr>
        <w:t>-1</w:t>
      </w:r>
      <w:r>
        <w:rPr>
          <w:rFonts w:cs="Times New Roman"/>
        </w:rPr>
        <w:t xml:space="preserve"> (</w:t>
      </w:r>
      <w:r w:rsidRPr="0030741F">
        <w:rPr>
          <w:rFonts w:cs="Times New Roman"/>
          <w:bCs/>
        </w:rPr>
        <w:t>NK</w:t>
      </w:r>
      <w:r>
        <w:rPr>
          <w:rFonts w:cs="Times New Roman"/>
          <w:bCs/>
        </w:rPr>
        <w:t>-</w:t>
      </w:r>
      <w:r w:rsidRPr="0030741F">
        <w:rPr>
          <w:rFonts w:cs="Times New Roman"/>
          <w:bCs/>
        </w:rPr>
        <w:t>1</w:t>
      </w:r>
      <w:r>
        <w:rPr>
          <w:rFonts w:cs="Times New Roman"/>
          <w:bCs/>
        </w:rPr>
        <w:t>)</w:t>
      </w:r>
    </w:p>
    <w:p w14:paraId="5EE305A6" w14:textId="77777777" w:rsidR="003C62C6" w:rsidRPr="0030741F" w:rsidRDefault="003C62C6" w:rsidP="00CE6C1C">
      <w:pPr>
        <w:pStyle w:val="Normal1"/>
        <w:numPr>
          <w:ilvl w:val="0"/>
          <w:numId w:val="75"/>
        </w:numPr>
        <w:tabs>
          <w:tab w:val="left" w:pos="0"/>
        </w:tabs>
        <w:spacing w:line="360" w:lineRule="auto"/>
        <w:jc w:val="both"/>
        <w:rPr>
          <w:rFonts w:cs="Times New Roman"/>
        </w:rPr>
      </w:pPr>
      <w:r w:rsidRPr="0030741F">
        <w:rPr>
          <w:rFonts w:cs="Times New Roman"/>
          <w:bCs/>
        </w:rPr>
        <w:t>Блокаторы рецепторов допамина</w:t>
      </w:r>
    </w:p>
    <w:p w14:paraId="465CA3F2" w14:textId="77777777" w:rsidR="003C62C6" w:rsidRPr="0030741F" w:rsidRDefault="003C62C6" w:rsidP="00CE6C1C">
      <w:pPr>
        <w:pStyle w:val="Normal1"/>
        <w:numPr>
          <w:ilvl w:val="0"/>
          <w:numId w:val="75"/>
        </w:numPr>
        <w:tabs>
          <w:tab w:val="left" w:pos="0"/>
        </w:tabs>
        <w:spacing w:line="360" w:lineRule="auto"/>
        <w:jc w:val="both"/>
        <w:rPr>
          <w:rFonts w:cs="Times New Roman"/>
        </w:rPr>
      </w:pPr>
      <w:r w:rsidRPr="0030741F">
        <w:rPr>
          <w:rFonts w:cs="Times New Roman"/>
          <w:bCs/>
        </w:rPr>
        <w:t>Нейролептики</w:t>
      </w:r>
    </w:p>
    <w:p w14:paraId="6B0A514E" w14:textId="77777777" w:rsidR="003C62C6" w:rsidRPr="0030741F" w:rsidRDefault="003C62C6" w:rsidP="003C62C6">
      <w:pPr>
        <w:pStyle w:val="Normal1"/>
        <w:tabs>
          <w:tab w:val="left" w:pos="0"/>
        </w:tabs>
        <w:spacing w:line="360" w:lineRule="auto"/>
        <w:jc w:val="both"/>
        <w:rPr>
          <w:rFonts w:cs="Times New Roman"/>
          <w:b/>
        </w:rPr>
      </w:pPr>
      <w:r>
        <w:rPr>
          <w:rFonts w:cs="Times New Roman"/>
          <w:b/>
        </w:rPr>
        <w:tab/>
        <w:t xml:space="preserve">3.2.1  </w:t>
      </w:r>
      <w:r w:rsidRPr="0030741F">
        <w:rPr>
          <w:rFonts w:cs="Times New Roman"/>
          <w:b/>
        </w:rPr>
        <w:t>Антагонисты 5-HT3-рецепторов</w:t>
      </w:r>
    </w:p>
    <w:p w14:paraId="05DE07BD" w14:textId="77777777" w:rsidR="003C62C6" w:rsidRPr="0030741F" w:rsidRDefault="003C62C6" w:rsidP="003C62C6">
      <w:pPr>
        <w:pStyle w:val="Normal1"/>
        <w:tabs>
          <w:tab w:val="left" w:pos="0"/>
        </w:tabs>
        <w:spacing w:line="360" w:lineRule="auto"/>
        <w:jc w:val="both"/>
        <w:rPr>
          <w:rFonts w:cs="Times New Roman"/>
        </w:rPr>
      </w:pPr>
      <w:r>
        <w:rPr>
          <w:rFonts w:cs="Times New Roman"/>
        </w:rPr>
        <w:tab/>
      </w:r>
      <w:r>
        <w:rPr>
          <w:rFonts w:cs="Times New Roman"/>
        </w:rPr>
        <w:tab/>
        <w:t>Эта</w:t>
      </w:r>
      <w:r w:rsidRPr="0030741F">
        <w:rPr>
          <w:rFonts w:cs="Times New Roman"/>
        </w:rPr>
        <w:t xml:space="preserve"> групп</w:t>
      </w:r>
      <w:r>
        <w:rPr>
          <w:rFonts w:cs="Times New Roman"/>
        </w:rPr>
        <w:t>а</w:t>
      </w:r>
      <w:r w:rsidRPr="0030741F">
        <w:rPr>
          <w:rFonts w:cs="Times New Roman"/>
        </w:rPr>
        <w:t xml:space="preserve"> препаратов в</w:t>
      </w:r>
      <w:r>
        <w:rPr>
          <w:rFonts w:cs="Times New Roman"/>
        </w:rPr>
        <w:t>ключает</w:t>
      </w:r>
      <w:r w:rsidRPr="0030741F">
        <w:rPr>
          <w:rFonts w:cs="Times New Roman"/>
        </w:rPr>
        <w:t xml:space="preserve"> ондансетрон, гранисетрон, трописетрон, палоносетрон. Механизм действия </w:t>
      </w:r>
      <w:r>
        <w:rPr>
          <w:rFonts w:cs="Times New Roman"/>
        </w:rPr>
        <w:t xml:space="preserve">препаратов </w:t>
      </w:r>
      <w:r w:rsidRPr="0030741F">
        <w:rPr>
          <w:rFonts w:cs="Times New Roman"/>
        </w:rPr>
        <w:t>обусловлен способностью селективно блокировать серотониновые 5-HT3-рецепторы</w:t>
      </w:r>
      <w:r>
        <w:rPr>
          <w:rFonts w:cs="Times New Roman"/>
        </w:rPr>
        <w:t>,</w:t>
      </w:r>
      <w:r w:rsidRPr="00835D9B">
        <w:rPr>
          <w:rFonts w:cs="Times New Roman"/>
        </w:rPr>
        <w:t xml:space="preserve"> </w:t>
      </w:r>
      <w:r w:rsidRPr="0030741F">
        <w:rPr>
          <w:rFonts w:cs="Times New Roman"/>
        </w:rPr>
        <w:t>предупрежда</w:t>
      </w:r>
      <w:r>
        <w:rPr>
          <w:rFonts w:cs="Times New Roman"/>
        </w:rPr>
        <w:t>я</w:t>
      </w:r>
      <w:r w:rsidRPr="0030741F">
        <w:rPr>
          <w:rFonts w:cs="Times New Roman"/>
        </w:rPr>
        <w:t xml:space="preserve"> возникновение рвотного рефлекса</w:t>
      </w:r>
      <w:r>
        <w:rPr>
          <w:rFonts w:cs="Times New Roman"/>
        </w:rPr>
        <w:t xml:space="preserve"> вследствие</w:t>
      </w:r>
      <w:r w:rsidRPr="0030741F">
        <w:rPr>
          <w:rFonts w:cs="Times New Roman"/>
        </w:rPr>
        <w:t xml:space="preserve"> стимуляци</w:t>
      </w:r>
      <w:r>
        <w:rPr>
          <w:rFonts w:cs="Times New Roman"/>
        </w:rPr>
        <w:t>и</w:t>
      </w:r>
      <w:r w:rsidRPr="0030741F">
        <w:rPr>
          <w:rFonts w:cs="Times New Roman"/>
        </w:rPr>
        <w:t xml:space="preserve"> афферентных волокон блуждающего нерва серотонином, выделяющимся из энтерохромаффинных клеток слизистой оболочки </w:t>
      </w:r>
      <w:r>
        <w:rPr>
          <w:rFonts w:cs="Times New Roman"/>
        </w:rPr>
        <w:t>желудочно-кишечного тракта (ЖКТ)</w:t>
      </w:r>
      <w:r w:rsidRPr="0030741F">
        <w:rPr>
          <w:rFonts w:cs="Times New Roman"/>
        </w:rPr>
        <w:t xml:space="preserve">. </w:t>
      </w:r>
      <w:r>
        <w:rPr>
          <w:rFonts w:cs="Times New Roman"/>
        </w:rPr>
        <w:t>А</w:t>
      </w:r>
      <w:r w:rsidRPr="0030741F">
        <w:rPr>
          <w:rFonts w:cs="Times New Roman"/>
        </w:rPr>
        <w:t xml:space="preserve">нтагонисты 5-HT3-рецепторов </w:t>
      </w:r>
      <w:r>
        <w:rPr>
          <w:rFonts w:cs="Times New Roman"/>
        </w:rPr>
        <w:t xml:space="preserve">также </w:t>
      </w:r>
      <w:r w:rsidRPr="0030741F">
        <w:rPr>
          <w:rFonts w:cs="Times New Roman"/>
        </w:rPr>
        <w:t>угнетают центральные звенья рвотного рефлекса, блокируя 5-HT3-рецепторы дна IV желудочка</w:t>
      </w:r>
      <w:r>
        <w:rPr>
          <w:rFonts w:cs="Times New Roman"/>
        </w:rPr>
        <w:t xml:space="preserve"> головного мозга</w:t>
      </w:r>
      <w:r w:rsidRPr="0030741F">
        <w:rPr>
          <w:rFonts w:cs="Times New Roman"/>
        </w:rPr>
        <w:t>. Препараты назначаются за 30-60 минут до ХТ.</w:t>
      </w:r>
      <w:r>
        <w:rPr>
          <w:rFonts w:cs="Times New Roman"/>
        </w:rPr>
        <w:t xml:space="preserve"> </w:t>
      </w:r>
      <w:r w:rsidRPr="0030741F">
        <w:rPr>
          <w:rFonts w:cs="Times New Roman"/>
        </w:rPr>
        <w:t xml:space="preserve">В таблице </w:t>
      </w:r>
      <w:r>
        <w:rPr>
          <w:rFonts w:cs="Times New Roman"/>
        </w:rPr>
        <w:t>2</w:t>
      </w:r>
      <w:r w:rsidRPr="0030741F">
        <w:rPr>
          <w:rFonts w:cs="Times New Roman"/>
        </w:rPr>
        <w:t xml:space="preserve"> указан режим дозирования антагонистов 5-HT3-рецепторов.</w:t>
      </w:r>
    </w:p>
    <w:p w14:paraId="31DB8E71" w14:textId="77777777" w:rsidR="003C62C6" w:rsidRPr="0030741F" w:rsidRDefault="003C62C6" w:rsidP="003C62C6">
      <w:pPr>
        <w:pStyle w:val="Normal1"/>
        <w:tabs>
          <w:tab w:val="left" w:pos="0"/>
        </w:tabs>
        <w:spacing w:line="360" w:lineRule="auto"/>
        <w:ind w:left="0" w:firstLine="0"/>
        <w:jc w:val="both"/>
        <w:rPr>
          <w:rFonts w:cs="Times New Roman"/>
          <w:b/>
        </w:rPr>
      </w:pPr>
      <w:r>
        <w:rPr>
          <w:rFonts w:cs="Times New Roman"/>
          <w:b/>
        </w:rPr>
        <w:tab/>
      </w:r>
      <w:r w:rsidRPr="0030741F">
        <w:rPr>
          <w:rFonts w:cs="Times New Roman"/>
          <w:b/>
        </w:rPr>
        <w:t xml:space="preserve">Таблица </w:t>
      </w:r>
      <w:r>
        <w:rPr>
          <w:rFonts w:cs="Times New Roman"/>
          <w:b/>
        </w:rPr>
        <w:t>2</w:t>
      </w:r>
      <w:r w:rsidRPr="0030741F">
        <w:rPr>
          <w:rFonts w:cs="Times New Roman"/>
          <w:b/>
        </w:rPr>
        <w:t xml:space="preserve"> . Режим дозирования антагонистов 5-HT3-рецепторов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756"/>
        <w:gridCol w:w="3557"/>
      </w:tblGrid>
      <w:tr w:rsidR="003C62C6" w:rsidRPr="0079248E" w14:paraId="3B3C97FD" w14:textId="77777777" w:rsidTr="00FD15FE">
        <w:trPr>
          <w:jc w:val="center"/>
        </w:trPr>
        <w:tc>
          <w:tcPr>
            <w:tcW w:w="2220" w:type="dxa"/>
          </w:tcPr>
          <w:p w14:paraId="4EF4420B" w14:textId="77777777" w:rsidR="003C62C6" w:rsidRPr="0079248E" w:rsidRDefault="003C62C6" w:rsidP="008372B8">
            <w:pPr>
              <w:tabs>
                <w:tab w:val="left" w:pos="0"/>
              </w:tabs>
              <w:jc w:val="center"/>
              <w:rPr>
                <w:szCs w:val="24"/>
                <w:lang w:eastAsia="ru-RU"/>
              </w:rPr>
            </w:pPr>
            <w:r w:rsidRPr="0079248E">
              <w:rPr>
                <w:szCs w:val="24"/>
                <w:lang w:eastAsia="ru-RU"/>
              </w:rPr>
              <w:t>Препарат</w:t>
            </w:r>
          </w:p>
        </w:tc>
        <w:tc>
          <w:tcPr>
            <w:tcW w:w="2756" w:type="dxa"/>
          </w:tcPr>
          <w:p w14:paraId="0B96744B" w14:textId="77777777" w:rsidR="003C62C6" w:rsidRPr="0079248E" w:rsidRDefault="003C62C6" w:rsidP="008372B8">
            <w:pPr>
              <w:tabs>
                <w:tab w:val="left" w:pos="0"/>
              </w:tabs>
              <w:jc w:val="center"/>
              <w:rPr>
                <w:szCs w:val="24"/>
                <w:lang w:eastAsia="ru-RU"/>
              </w:rPr>
            </w:pPr>
            <w:r w:rsidRPr="0079248E">
              <w:rPr>
                <w:szCs w:val="24"/>
                <w:lang w:eastAsia="ru-RU"/>
              </w:rPr>
              <w:t>Разовая доза, мг</w:t>
            </w:r>
          </w:p>
        </w:tc>
        <w:tc>
          <w:tcPr>
            <w:tcW w:w="3557" w:type="dxa"/>
          </w:tcPr>
          <w:p w14:paraId="25F821FC" w14:textId="77777777" w:rsidR="003C62C6" w:rsidRPr="0079248E" w:rsidRDefault="003C62C6" w:rsidP="008372B8">
            <w:pPr>
              <w:tabs>
                <w:tab w:val="left" w:pos="0"/>
              </w:tabs>
              <w:jc w:val="center"/>
              <w:rPr>
                <w:szCs w:val="24"/>
                <w:lang w:eastAsia="ru-RU"/>
              </w:rPr>
            </w:pPr>
            <w:r w:rsidRPr="00835D9B">
              <w:rPr>
                <w:szCs w:val="24"/>
                <w:lang w:eastAsia="ru-RU"/>
              </w:rPr>
              <w:t>Способ применения</w:t>
            </w:r>
            <w:r>
              <w:rPr>
                <w:szCs w:val="24"/>
                <w:lang w:eastAsia="ru-RU"/>
              </w:rPr>
              <w:t xml:space="preserve"> </w:t>
            </w:r>
          </w:p>
        </w:tc>
      </w:tr>
      <w:tr w:rsidR="003C62C6" w:rsidRPr="0030741F" w14:paraId="6F39AB27" w14:textId="77777777" w:rsidTr="00FD15FE">
        <w:trPr>
          <w:jc w:val="center"/>
        </w:trPr>
        <w:tc>
          <w:tcPr>
            <w:tcW w:w="2220" w:type="dxa"/>
          </w:tcPr>
          <w:p w14:paraId="1E9F9DC7" w14:textId="77777777" w:rsidR="003C62C6" w:rsidRPr="0030741F" w:rsidRDefault="003C62C6" w:rsidP="008372B8">
            <w:pPr>
              <w:tabs>
                <w:tab w:val="left" w:pos="0"/>
              </w:tabs>
              <w:rPr>
                <w:szCs w:val="24"/>
                <w:lang w:eastAsia="ru-RU"/>
              </w:rPr>
            </w:pPr>
            <w:r w:rsidRPr="0030741F">
              <w:rPr>
                <w:szCs w:val="24"/>
                <w:lang w:eastAsia="ru-RU"/>
              </w:rPr>
              <w:t>Ондансетрон</w:t>
            </w:r>
          </w:p>
        </w:tc>
        <w:tc>
          <w:tcPr>
            <w:tcW w:w="2756" w:type="dxa"/>
          </w:tcPr>
          <w:p w14:paraId="6C749F1A" w14:textId="77777777" w:rsidR="003C62C6" w:rsidRPr="0030741F" w:rsidRDefault="003C62C6" w:rsidP="008372B8">
            <w:pPr>
              <w:tabs>
                <w:tab w:val="left" w:pos="0"/>
              </w:tabs>
              <w:rPr>
                <w:szCs w:val="24"/>
                <w:lang w:eastAsia="ru-RU"/>
              </w:rPr>
            </w:pPr>
            <w:r w:rsidRPr="0030741F">
              <w:rPr>
                <w:szCs w:val="24"/>
                <w:lang w:eastAsia="ru-RU"/>
              </w:rPr>
              <w:t>8</w:t>
            </w:r>
          </w:p>
          <w:p w14:paraId="5108910B" w14:textId="77777777" w:rsidR="003C62C6" w:rsidRDefault="003C62C6" w:rsidP="008372B8">
            <w:pPr>
              <w:tabs>
                <w:tab w:val="left" w:pos="0"/>
              </w:tabs>
              <w:rPr>
                <w:szCs w:val="24"/>
                <w:lang w:eastAsia="ru-RU"/>
              </w:rPr>
            </w:pPr>
            <w:r w:rsidRPr="0030741F">
              <w:rPr>
                <w:szCs w:val="24"/>
                <w:lang w:eastAsia="ru-RU"/>
              </w:rPr>
              <w:t xml:space="preserve">16 </w:t>
            </w:r>
          </w:p>
          <w:p w14:paraId="50B142B7" w14:textId="77777777" w:rsidR="003C62C6" w:rsidRPr="0030741F" w:rsidRDefault="003C62C6" w:rsidP="008372B8">
            <w:pPr>
              <w:tabs>
                <w:tab w:val="left" w:pos="0"/>
              </w:tabs>
              <w:rPr>
                <w:szCs w:val="24"/>
                <w:lang w:eastAsia="ru-RU"/>
              </w:rPr>
            </w:pPr>
            <w:r>
              <w:rPr>
                <w:szCs w:val="24"/>
                <w:lang w:eastAsia="ru-RU"/>
              </w:rPr>
              <w:t>8</w:t>
            </w:r>
          </w:p>
        </w:tc>
        <w:tc>
          <w:tcPr>
            <w:tcW w:w="3557" w:type="dxa"/>
          </w:tcPr>
          <w:p w14:paraId="3B5939A7" w14:textId="77777777" w:rsidR="003C62C6" w:rsidRPr="00C36F88" w:rsidRDefault="003C62C6" w:rsidP="008372B8">
            <w:pPr>
              <w:tabs>
                <w:tab w:val="left" w:pos="0"/>
              </w:tabs>
              <w:rPr>
                <w:szCs w:val="24"/>
                <w:lang w:eastAsia="ru-RU"/>
              </w:rPr>
            </w:pPr>
            <w:r w:rsidRPr="00C36F88">
              <w:rPr>
                <w:szCs w:val="24"/>
                <w:lang w:eastAsia="ru-RU"/>
              </w:rPr>
              <w:t xml:space="preserve">в/в </w:t>
            </w:r>
          </w:p>
          <w:p w14:paraId="690586F8" w14:textId="77777777" w:rsidR="003C62C6" w:rsidRPr="00C36F88" w:rsidRDefault="003C62C6" w:rsidP="008372B8">
            <w:pPr>
              <w:tabs>
                <w:tab w:val="left" w:pos="0"/>
              </w:tabs>
              <w:rPr>
                <w:szCs w:val="24"/>
                <w:lang w:eastAsia="ru-RU"/>
              </w:rPr>
            </w:pPr>
            <w:r w:rsidRPr="00C36F88">
              <w:rPr>
                <w:szCs w:val="24"/>
                <w:lang w:eastAsia="ru-RU"/>
              </w:rPr>
              <w:t>внутрь</w:t>
            </w:r>
          </w:p>
          <w:p w14:paraId="1417C6FE" w14:textId="77777777" w:rsidR="003C62C6" w:rsidRPr="00C36F88" w:rsidRDefault="003C62C6" w:rsidP="008372B8">
            <w:pPr>
              <w:tabs>
                <w:tab w:val="left" w:pos="0"/>
              </w:tabs>
              <w:rPr>
                <w:szCs w:val="24"/>
                <w:lang w:eastAsia="ru-RU"/>
              </w:rPr>
            </w:pPr>
            <w:r w:rsidRPr="00C36F88">
              <w:rPr>
                <w:szCs w:val="24"/>
                <w:lang w:eastAsia="ru-RU"/>
              </w:rPr>
              <w:t>суппозитории ректальные</w:t>
            </w:r>
          </w:p>
        </w:tc>
      </w:tr>
      <w:tr w:rsidR="003C62C6" w:rsidRPr="0030741F" w14:paraId="72823659" w14:textId="77777777" w:rsidTr="00FD15FE">
        <w:trPr>
          <w:jc w:val="center"/>
        </w:trPr>
        <w:tc>
          <w:tcPr>
            <w:tcW w:w="2220" w:type="dxa"/>
          </w:tcPr>
          <w:p w14:paraId="1267EFCE" w14:textId="77777777" w:rsidR="003C62C6" w:rsidRPr="0030741F" w:rsidRDefault="003C62C6" w:rsidP="008372B8">
            <w:pPr>
              <w:tabs>
                <w:tab w:val="left" w:pos="0"/>
              </w:tabs>
              <w:rPr>
                <w:szCs w:val="24"/>
                <w:lang w:eastAsia="ru-RU"/>
              </w:rPr>
            </w:pPr>
            <w:r w:rsidRPr="0030741F">
              <w:rPr>
                <w:szCs w:val="24"/>
                <w:lang w:eastAsia="ru-RU"/>
              </w:rPr>
              <w:t>Гранисетрон</w:t>
            </w:r>
          </w:p>
        </w:tc>
        <w:tc>
          <w:tcPr>
            <w:tcW w:w="2756" w:type="dxa"/>
          </w:tcPr>
          <w:p w14:paraId="3867763F" w14:textId="77777777" w:rsidR="003C62C6" w:rsidRPr="0030741F" w:rsidRDefault="003C62C6" w:rsidP="008372B8">
            <w:pPr>
              <w:tabs>
                <w:tab w:val="left" w:pos="0"/>
              </w:tabs>
              <w:rPr>
                <w:szCs w:val="24"/>
                <w:lang w:eastAsia="ru-RU"/>
              </w:rPr>
            </w:pPr>
            <w:r w:rsidRPr="0030741F">
              <w:rPr>
                <w:szCs w:val="24"/>
                <w:lang w:eastAsia="ru-RU"/>
              </w:rPr>
              <w:t>1-3</w:t>
            </w:r>
          </w:p>
          <w:p w14:paraId="74302281" w14:textId="77777777" w:rsidR="003C62C6" w:rsidRPr="0030741F" w:rsidRDefault="003C62C6" w:rsidP="008372B8">
            <w:pPr>
              <w:tabs>
                <w:tab w:val="left" w:pos="0"/>
              </w:tabs>
              <w:rPr>
                <w:szCs w:val="24"/>
                <w:lang w:eastAsia="ru-RU"/>
              </w:rPr>
            </w:pPr>
            <w:r w:rsidRPr="0030741F">
              <w:rPr>
                <w:szCs w:val="24"/>
                <w:lang w:eastAsia="ru-RU"/>
              </w:rPr>
              <w:t>2</w:t>
            </w:r>
          </w:p>
        </w:tc>
        <w:tc>
          <w:tcPr>
            <w:tcW w:w="3557" w:type="dxa"/>
          </w:tcPr>
          <w:p w14:paraId="75A8A3F9" w14:textId="77777777" w:rsidR="003C62C6" w:rsidRPr="0030741F" w:rsidRDefault="003C62C6" w:rsidP="008372B8">
            <w:pPr>
              <w:tabs>
                <w:tab w:val="left" w:pos="0"/>
              </w:tabs>
              <w:rPr>
                <w:szCs w:val="24"/>
                <w:lang w:eastAsia="ru-RU"/>
              </w:rPr>
            </w:pPr>
            <w:r w:rsidRPr="0030741F">
              <w:rPr>
                <w:szCs w:val="24"/>
                <w:lang w:eastAsia="ru-RU"/>
              </w:rPr>
              <w:t xml:space="preserve">в/в  </w:t>
            </w:r>
          </w:p>
          <w:p w14:paraId="61A78410" w14:textId="77777777" w:rsidR="003C62C6" w:rsidRPr="0030741F" w:rsidRDefault="003C62C6" w:rsidP="008372B8">
            <w:pPr>
              <w:rPr>
                <w:szCs w:val="24"/>
              </w:rPr>
            </w:pPr>
            <w:r w:rsidRPr="0030741F">
              <w:rPr>
                <w:szCs w:val="24"/>
                <w:lang w:eastAsia="ru-RU"/>
              </w:rPr>
              <w:t>внутрь</w:t>
            </w:r>
          </w:p>
        </w:tc>
      </w:tr>
      <w:tr w:rsidR="003C62C6" w:rsidRPr="0030741F" w14:paraId="5E66F452" w14:textId="77777777" w:rsidTr="00FD15FE">
        <w:trPr>
          <w:jc w:val="center"/>
        </w:trPr>
        <w:tc>
          <w:tcPr>
            <w:tcW w:w="2220" w:type="dxa"/>
          </w:tcPr>
          <w:p w14:paraId="086BDAB0" w14:textId="77777777" w:rsidR="003C62C6" w:rsidRPr="0030741F" w:rsidRDefault="003C62C6" w:rsidP="008372B8">
            <w:pPr>
              <w:tabs>
                <w:tab w:val="left" w:pos="0"/>
              </w:tabs>
              <w:rPr>
                <w:szCs w:val="24"/>
                <w:lang w:eastAsia="ru-RU"/>
              </w:rPr>
            </w:pPr>
            <w:r w:rsidRPr="0030741F">
              <w:rPr>
                <w:szCs w:val="24"/>
                <w:lang w:eastAsia="ru-RU"/>
              </w:rPr>
              <w:t>Трописетрон</w:t>
            </w:r>
          </w:p>
        </w:tc>
        <w:tc>
          <w:tcPr>
            <w:tcW w:w="2756" w:type="dxa"/>
          </w:tcPr>
          <w:p w14:paraId="2CB14A0F" w14:textId="77777777" w:rsidR="003C62C6" w:rsidRPr="0030741F" w:rsidRDefault="003C62C6" w:rsidP="008372B8">
            <w:pPr>
              <w:tabs>
                <w:tab w:val="left" w:pos="0"/>
              </w:tabs>
              <w:rPr>
                <w:szCs w:val="24"/>
                <w:lang w:eastAsia="ru-RU"/>
              </w:rPr>
            </w:pPr>
            <w:r w:rsidRPr="0030741F">
              <w:rPr>
                <w:szCs w:val="24"/>
                <w:lang w:eastAsia="ru-RU"/>
              </w:rPr>
              <w:t xml:space="preserve">5 </w:t>
            </w:r>
          </w:p>
        </w:tc>
        <w:tc>
          <w:tcPr>
            <w:tcW w:w="3557" w:type="dxa"/>
          </w:tcPr>
          <w:p w14:paraId="2872FD2A" w14:textId="77777777" w:rsidR="003C62C6" w:rsidRPr="0030741F" w:rsidRDefault="003C62C6" w:rsidP="008372B8">
            <w:pPr>
              <w:rPr>
                <w:szCs w:val="24"/>
              </w:rPr>
            </w:pPr>
            <w:r w:rsidRPr="0030741F">
              <w:rPr>
                <w:szCs w:val="24"/>
                <w:lang w:eastAsia="ru-RU"/>
              </w:rPr>
              <w:t>в/в или внутрь</w:t>
            </w:r>
          </w:p>
        </w:tc>
      </w:tr>
      <w:tr w:rsidR="003C62C6" w:rsidRPr="0030741F" w14:paraId="68A1792C" w14:textId="77777777" w:rsidTr="00FD15FE">
        <w:trPr>
          <w:jc w:val="center"/>
        </w:trPr>
        <w:tc>
          <w:tcPr>
            <w:tcW w:w="2220" w:type="dxa"/>
          </w:tcPr>
          <w:p w14:paraId="2EB7D33E" w14:textId="77777777" w:rsidR="003C62C6" w:rsidRPr="0030741F" w:rsidRDefault="003C62C6" w:rsidP="008372B8">
            <w:pPr>
              <w:tabs>
                <w:tab w:val="left" w:pos="0"/>
              </w:tabs>
              <w:rPr>
                <w:szCs w:val="24"/>
                <w:lang w:eastAsia="ru-RU"/>
              </w:rPr>
            </w:pPr>
            <w:r w:rsidRPr="0030741F">
              <w:rPr>
                <w:szCs w:val="24"/>
              </w:rPr>
              <w:lastRenderedPageBreak/>
              <w:t>Палоносетрон</w:t>
            </w:r>
          </w:p>
        </w:tc>
        <w:tc>
          <w:tcPr>
            <w:tcW w:w="2756" w:type="dxa"/>
          </w:tcPr>
          <w:p w14:paraId="5D2FC91D" w14:textId="77777777" w:rsidR="003C62C6" w:rsidRPr="0030741F" w:rsidRDefault="003C62C6" w:rsidP="008372B8">
            <w:pPr>
              <w:tabs>
                <w:tab w:val="left" w:pos="0"/>
              </w:tabs>
              <w:rPr>
                <w:szCs w:val="24"/>
                <w:lang w:eastAsia="ru-RU"/>
              </w:rPr>
            </w:pPr>
            <w:r w:rsidRPr="0030741F">
              <w:rPr>
                <w:szCs w:val="24"/>
                <w:lang w:eastAsia="ru-RU"/>
              </w:rPr>
              <w:t>0,25</w:t>
            </w:r>
          </w:p>
        </w:tc>
        <w:tc>
          <w:tcPr>
            <w:tcW w:w="3557" w:type="dxa"/>
          </w:tcPr>
          <w:p w14:paraId="0D434457" w14:textId="77777777" w:rsidR="003C62C6" w:rsidRPr="0030741F" w:rsidRDefault="003C62C6" w:rsidP="008372B8">
            <w:pPr>
              <w:rPr>
                <w:szCs w:val="24"/>
              </w:rPr>
            </w:pPr>
            <w:r w:rsidRPr="0030741F">
              <w:rPr>
                <w:szCs w:val="24"/>
                <w:lang w:eastAsia="ru-RU"/>
              </w:rPr>
              <w:t>в/в</w:t>
            </w:r>
          </w:p>
        </w:tc>
      </w:tr>
    </w:tbl>
    <w:p w14:paraId="7A72838D" w14:textId="77777777" w:rsidR="003C62C6" w:rsidRPr="0030741F" w:rsidRDefault="003C62C6" w:rsidP="003C62C6">
      <w:pPr>
        <w:spacing w:before="0" w:after="0"/>
        <w:ind w:firstLine="708"/>
        <w:rPr>
          <w:szCs w:val="24"/>
          <w:lang w:eastAsia="ru-RU"/>
        </w:rPr>
      </w:pPr>
      <w:r w:rsidRPr="0030741F">
        <w:rPr>
          <w:szCs w:val="24"/>
          <w:lang w:eastAsia="ru-RU"/>
        </w:rPr>
        <w:t>Рекомендуется мониторинг ЭКГ, электролитов у больных с признаками кардиальных нарушений. Антагонисты 5-HT3-рецепторов могут удлинять интервал QT</w:t>
      </w:r>
      <w:r>
        <w:rPr>
          <w:szCs w:val="24"/>
          <w:lang w:eastAsia="ru-RU"/>
        </w:rPr>
        <w:t>, в связи с чем у</w:t>
      </w:r>
      <w:r w:rsidRPr="0030741F">
        <w:rPr>
          <w:szCs w:val="24"/>
          <w:lang w:eastAsia="ru-RU"/>
        </w:rPr>
        <w:t xml:space="preserve"> пациентов с синдромом удлинения QT следует избегать применения 5-HT3-антагонистов, за исключением палоносетрона, который не оказывает влияния на интервал QT. Палоносетрон </w:t>
      </w:r>
      <w:r>
        <w:rPr>
          <w:szCs w:val="24"/>
          <w:lang w:eastAsia="ru-RU"/>
        </w:rPr>
        <w:t>–</w:t>
      </w:r>
      <w:r w:rsidRPr="0030741F">
        <w:rPr>
          <w:szCs w:val="24"/>
          <w:lang w:eastAsia="ru-RU"/>
        </w:rPr>
        <w:t xml:space="preserve"> высокоселективный антагонист серотониновых рецепторов, имеющий самый длительный период полувыведения (до 40 часов). Применяется однократно с 1-го дня 1-го цикла при однодневном курсе ХТ и через день - при многодневном курсе ХТ.</w:t>
      </w:r>
    </w:p>
    <w:p w14:paraId="162DAEE9" w14:textId="77777777" w:rsidR="003C62C6" w:rsidRPr="00F35BFF" w:rsidRDefault="003C62C6" w:rsidP="00CE6C1C">
      <w:pPr>
        <w:pStyle w:val="a6"/>
        <w:numPr>
          <w:ilvl w:val="2"/>
          <w:numId w:val="82"/>
        </w:numPr>
        <w:spacing w:before="0" w:after="0"/>
        <w:rPr>
          <w:b/>
          <w:szCs w:val="24"/>
          <w:lang w:eastAsia="ru-RU"/>
        </w:rPr>
      </w:pPr>
      <w:r w:rsidRPr="00F35BFF">
        <w:rPr>
          <w:b/>
          <w:szCs w:val="24"/>
          <w:lang w:eastAsia="ru-RU"/>
        </w:rPr>
        <w:t>Кортикостероиды (дексаметазон)</w:t>
      </w:r>
    </w:p>
    <w:p w14:paraId="719BEFB1" w14:textId="77777777" w:rsidR="003C62C6" w:rsidRDefault="003C62C6" w:rsidP="003C62C6">
      <w:pPr>
        <w:spacing w:before="0" w:after="0"/>
        <w:ind w:firstLine="360"/>
        <w:rPr>
          <w:szCs w:val="24"/>
          <w:lang w:eastAsia="ru-RU"/>
        </w:rPr>
      </w:pPr>
      <w:r w:rsidRPr="0030741F">
        <w:rPr>
          <w:szCs w:val="24"/>
          <w:lang w:eastAsia="ru-RU"/>
        </w:rPr>
        <w:t xml:space="preserve">Если схема ХТ содержит кортикостероиды, дополнительного назначения дексаметазона с противорвотной целью не требуется. </w:t>
      </w:r>
    </w:p>
    <w:p w14:paraId="06474B58" w14:textId="77777777" w:rsidR="003C62C6" w:rsidRPr="0030741F" w:rsidRDefault="003C62C6" w:rsidP="003C62C6">
      <w:pPr>
        <w:spacing w:before="0" w:after="0"/>
        <w:ind w:firstLine="360"/>
        <w:rPr>
          <w:szCs w:val="24"/>
          <w:lang w:eastAsia="ru-RU"/>
        </w:rPr>
      </w:pPr>
      <w:r w:rsidRPr="0030741F">
        <w:rPr>
          <w:szCs w:val="24"/>
          <w:lang w:eastAsia="ru-RU"/>
        </w:rPr>
        <w:t>Добавление дексаметазона к антагонистам серотониновых рецепторов позволяет уменьшить риск появления острой тошноты и рвоты</w:t>
      </w:r>
      <w:r>
        <w:rPr>
          <w:szCs w:val="24"/>
          <w:lang w:eastAsia="ru-RU"/>
        </w:rPr>
        <w:t xml:space="preserve"> и</w:t>
      </w:r>
      <w:r w:rsidRPr="0030741F">
        <w:rPr>
          <w:szCs w:val="24"/>
          <w:lang w:eastAsia="ru-RU"/>
        </w:rPr>
        <w:t xml:space="preserve"> предотвращает развитие отсроченной тошноты и рвоты. Кроме того, он обладает самостоятельной противорвотной активностью и может использоваться в монотерапии для профилактики острой рвоты после введения низкоэметогенных цитостатиков. </w:t>
      </w:r>
      <w:r>
        <w:rPr>
          <w:szCs w:val="24"/>
          <w:lang w:eastAsia="ru-RU"/>
        </w:rPr>
        <w:t>Препарат н</w:t>
      </w:r>
      <w:r w:rsidRPr="0030741F">
        <w:rPr>
          <w:szCs w:val="24"/>
          <w:lang w:eastAsia="ru-RU"/>
        </w:rPr>
        <w:t>азначается в дозе 12</w:t>
      </w:r>
      <w:r w:rsidRPr="0030741F">
        <w:rPr>
          <w:szCs w:val="24"/>
        </w:rPr>
        <w:t xml:space="preserve"> </w:t>
      </w:r>
      <w:r w:rsidRPr="0030741F">
        <w:rPr>
          <w:szCs w:val="24"/>
          <w:lang w:eastAsia="ru-RU"/>
        </w:rPr>
        <w:t>мг внутривенно однократно за 30–60 минут до ХТ. В случае высокоэметогенной терапии в последующие дни назначается внутрь в дозе 8 мг два раза в сутки, продолжительностью до 5 дней.</w:t>
      </w:r>
    </w:p>
    <w:p w14:paraId="782233F9" w14:textId="77777777" w:rsidR="003C62C6" w:rsidRPr="00402F3B" w:rsidRDefault="003C62C6" w:rsidP="00CE6C1C">
      <w:pPr>
        <w:pStyle w:val="a6"/>
        <w:numPr>
          <w:ilvl w:val="2"/>
          <w:numId w:val="82"/>
        </w:numPr>
        <w:spacing w:before="0" w:after="200" w:line="276" w:lineRule="auto"/>
        <w:rPr>
          <w:b/>
          <w:szCs w:val="24"/>
          <w:lang w:eastAsia="ru-RU"/>
        </w:rPr>
      </w:pPr>
      <w:r w:rsidRPr="00402F3B">
        <w:rPr>
          <w:b/>
          <w:szCs w:val="24"/>
          <w:lang w:eastAsia="ru-RU"/>
        </w:rPr>
        <w:t>Антагонисты NK1-рецепторов</w:t>
      </w:r>
    </w:p>
    <w:p w14:paraId="5330E2D3" w14:textId="3972A4A3" w:rsidR="003C62C6" w:rsidRPr="0030741F" w:rsidRDefault="003C62C6" w:rsidP="00F93ED8">
      <w:pPr>
        <w:spacing w:before="0" w:after="0"/>
        <w:ind w:firstLine="708"/>
        <w:rPr>
          <w:bCs/>
          <w:szCs w:val="24"/>
        </w:rPr>
      </w:pPr>
      <w:r w:rsidRPr="0030741F">
        <w:rPr>
          <w:szCs w:val="24"/>
        </w:rPr>
        <w:t>В эту группу препаратов входят</w:t>
      </w:r>
      <w:r w:rsidRPr="0030741F">
        <w:rPr>
          <w:bCs/>
          <w:szCs w:val="24"/>
        </w:rPr>
        <w:t xml:space="preserve"> апрепитант и фосапрепитант</w:t>
      </w:r>
      <w:r>
        <w:rPr>
          <w:bCs/>
          <w:szCs w:val="24"/>
        </w:rPr>
        <w:t xml:space="preserve">. Апрепитант – </w:t>
      </w:r>
      <w:r w:rsidRPr="0030741F">
        <w:rPr>
          <w:bCs/>
          <w:szCs w:val="24"/>
        </w:rPr>
        <w:t>селективный высокоаффинный анта</w:t>
      </w:r>
      <w:r>
        <w:rPr>
          <w:bCs/>
          <w:szCs w:val="24"/>
        </w:rPr>
        <w:t xml:space="preserve">гонист рецепторов </w:t>
      </w:r>
      <w:r>
        <w:rPr>
          <w:szCs w:val="24"/>
        </w:rPr>
        <w:t xml:space="preserve">NK-1 </w:t>
      </w:r>
      <w:r w:rsidRPr="0030741F">
        <w:rPr>
          <w:bCs/>
          <w:szCs w:val="24"/>
        </w:rPr>
        <w:t>центрального механизма действия</w:t>
      </w:r>
      <w:r>
        <w:rPr>
          <w:bCs/>
          <w:szCs w:val="24"/>
        </w:rPr>
        <w:t xml:space="preserve"> (за счет связывания </w:t>
      </w:r>
      <w:r w:rsidRPr="0030741F">
        <w:rPr>
          <w:bCs/>
          <w:szCs w:val="24"/>
        </w:rPr>
        <w:t xml:space="preserve">с NK1-рецепторами </w:t>
      </w:r>
      <w:r>
        <w:rPr>
          <w:bCs/>
          <w:szCs w:val="24"/>
        </w:rPr>
        <w:t xml:space="preserve">головного </w:t>
      </w:r>
      <w:r w:rsidRPr="0030741F">
        <w:rPr>
          <w:bCs/>
          <w:szCs w:val="24"/>
        </w:rPr>
        <w:t>мозга</w:t>
      </w:r>
      <w:r>
        <w:rPr>
          <w:bCs/>
          <w:szCs w:val="24"/>
        </w:rPr>
        <w:t>)</w:t>
      </w:r>
      <w:r w:rsidRPr="0030741F">
        <w:rPr>
          <w:bCs/>
          <w:szCs w:val="24"/>
        </w:rPr>
        <w:t xml:space="preserve">. Центральное действие апрепитанта обладает большой продолжительностью, причем он ингибирует как острую, так и отсроченную фазы рвоты, а также повышает противорвотную активность антагонистов 5-НТ3-рецепторов (например, ондансетрона) и глюкокортикостероидов (дексаметазона). </w:t>
      </w:r>
      <w:r w:rsidRPr="0002704D">
        <w:rPr>
          <w:bCs/>
          <w:szCs w:val="24"/>
        </w:rPr>
        <w:t>Антагонисты NK1-рецепторов являются умеренными ингибиторами CYP3A4, что необходимо учитывать при одновременном использовании препаратов, метаболизируемых этой же системой (</w:t>
      </w:r>
      <w:r>
        <w:rPr>
          <w:bCs/>
          <w:szCs w:val="24"/>
        </w:rPr>
        <w:t>так</w:t>
      </w:r>
      <w:r w:rsidRPr="0002704D">
        <w:rPr>
          <w:bCs/>
          <w:szCs w:val="24"/>
        </w:rPr>
        <w:t>, апрепитант снижает эффективность гормональных контрацептивов</w:t>
      </w:r>
      <w:r>
        <w:rPr>
          <w:bCs/>
          <w:szCs w:val="24"/>
        </w:rPr>
        <w:t xml:space="preserve">, </w:t>
      </w:r>
      <w:r w:rsidRPr="0002704D">
        <w:rPr>
          <w:bCs/>
          <w:szCs w:val="24"/>
        </w:rPr>
        <w:t>в связи с чем, необходимо использовать альтернативные методы контрацепции</w:t>
      </w:r>
      <w:r>
        <w:rPr>
          <w:bCs/>
          <w:szCs w:val="24"/>
        </w:rPr>
        <w:t>; а</w:t>
      </w:r>
      <w:r w:rsidRPr="0030741F">
        <w:rPr>
          <w:bCs/>
          <w:szCs w:val="24"/>
        </w:rPr>
        <w:t>препитант повышает концентрацию кортикостероидов</w:t>
      </w:r>
      <w:r>
        <w:rPr>
          <w:bCs/>
          <w:szCs w:val="24"/>
        </w:rPr>
        <w:t>, в связи с чем в</w:t>
      </w:r>
      <w:r w:rsidRPr="0030741F">
        <w:rPr>
          <w:bCs/>
          <w:szCs w:val="24"/>
        </w:rPr>
        <w:t xml:space="preserve"> комбинации с апрепитантом доза дексаметазона должна бы</w:t>
      </w:r>
      <w:r>
        <w:rPr>
          <w:bCs/>
          <w:szCs w:val="24"/>
        </w:rPr>
        <w:t xml:space="preserve">ть снижена </w:t>
      </w:r>
      <w:r>
        <w:rPr>
          <w:bCs/>
          <w:szCs w:val="24"/>
        </w:rPr>
        <w:lastRenderedPageBreak/>
        <w:t>приблизительно на 50</w:t>
      </w:r>
      <w:r w:rsidRPr="0030741F">
        <w:rPr>
          <w:bCs/>
          <w:szCs w:val="24"/>
        </w:rPr>
        <w:t>%</w:t>
      </w:r>
      <w:r>
        <w:rPr>
          <w:bCs/>
          <w:szCs w:val="24"/>
        </w:rPr>
        <w:t>; у</w:t>
      </w:r>
      <w:r w:rsidRPr="0030741F">
        <w:rPr>
          <w:bCs/>
          <w:szCs w:val="24"/>
        </w:rPr>
        <w:t xml:space="preserve"> пациентов, по</w:t>
      </w:r>
      <w:r w:rsidR="004C0C25">
        <w:rPr>
          <w:bCs/>
          <w:szCs w:val="24"/>
        </w:rPr>
        <w:t>л</w:t>
      </w:r>
      <w:r w:rsidRPr="0030741F">
        <w:rPr>
          <w:bCs/>
          <w:szCs w:val="24"/>
        </w:rPr>
        <w:t>учающих варфарин, необходимо дополнительно контролировать уровень международ</w:t>
      </w:r>
      <w:r>
        <w:rPr>
          <w:bCs/>
          <w:szCs w:val="24"/>
        </w:rPr>
        <w:t>ного нормализованного отношения)</w:t>
      </w:r>
      <w:r w:rsidRPr="0030741F">
        <w:rPr>
          <w:bCs/>
          <w:szCs w:val="24"/>
        </w:rPr>
        <w:t>.</w:t>
      </w:r>
    </w:p>
    <w:p w14:paraId="157A8CCD" w14:textId="77777777" w:rsidR="003C62C6" w:rsidRPr="0030741F" w:rsidRDefault="003C62C6" w:rsidP="00F93ED8">
      <w:pPr>
        <w:spacing w:before="0" w:after="0"/>
        <w:ind w:firstLine="708"/>
        <w:rPr>
          <w:bCs/>
          <w:szCs w:val="24"/>
        </w:rPr>
      </w:pPr>
      <w:r w:rsidRPr="0030741F">
        <w:rPr>
          <w:bCs/>
          <w:szCs w:val="24"/>
        </w:rPr>
        <w:t>Антагонисты NK1-рецепторов применяют в комбинации с кортикостероидами и а</w:t>
      </w:r>
      <w:r>
        <w:rPr>
          <w:bCs/>
          <w:szCs w:val="24"/>
        </w:rPr>
        <w:t>нта</w:t>
      </w:r>
      <w:r w:rsidRPr="0030741F">
        <w:rPr>
          <w:bCs/>
          <w:szCs w:val="24"/>
        </w:rPr>
        <w:t>гонистами серотониновых 5-НТ</w:t>
      </w:r>
      <w:r w:rsidRPr="0030741F">
        <w:rPr>
          <w:bCs/>
          <w:szCs w:val="24"/>
          <w:vertAlign w:val="subscript"/>
        </w:rPr>
        <w:t>3</w:t>
      </w:r>
      <w:r w:rsidRPr="0030741F">
        <w:rPr>
          <w:bCs/>
          <w:szCs w:val="24"/>
        </w:rPr>
        <w:t xml:space="preserve">-рецепторов. Апрепитант принимается за час до ХТ, фосапрепитант вводится за 30 минут до ХТ в дозах, представленных в таблице </w:t>
      </w:r>
      <w:r>
        <w:rPr>
          <w:bCs/>
          <w:szCs w:val="24"/>
        </w:rPr>
        <w:t>3</w:t>
      </w:r>
      <w:r w:rsidRPr="0030741F">
        <w:rPr>
          <w:bCs/>
          <w:szCs w:val="24"/>
        </w:rPr>
        <w:t xml:space="preserve">. </w:t>
      </w:r>
    </w:p>
    <w:p w14:paraId="19784747" w14:textId="77777777" w:rsidR="003C62C6" w:rsidRPr="0030741F" w:rsidRDefault="003C62C6" w:rsidP="00F93ED8">
      <w:pPr>
        <w:pStyle w:val="a6"/>
        <w:spacing w:before="0" w:after="0"/>
        <w:ind w:left="0" w:firstLine="708"/>
        <w:rPr>
          <w:b/>
          <w:szCs w:val="24"/>
          <w:lang w:eastAsia="ru-RU"/>
        </w:rPr>
      </w:pPr>
      <w:r w:rsidRPr="0030741F">
        <w:rPr>
          <w:b/>
          <w:szCs w:val="24"/>
        </w:rPr>
        <w:t xml:space="preserve">Таблица </w:t>
      </w:r>
      <w:r>
        <w:rPr>
          <w:b/>
          <w:szCs w:val="24"/>
        </w:rPr>
        <w:t>3</w:t>
      </w:r>
      <w:r w:rsidRPr="0030741F">
        <w:rPr>
          <w:b/>
          <w:szCs w:val="24"/>
        </w:rPr>
        <w:t xml:space="preserve"> . Режим дозирования антагонистов </w:t>
      </w:r>
      <w:r w:rsidRPr="0030741F">
        <w:rPr>
          <w:b/>
          <w:szCs w:val="24"/>
          <w:lang w:eastAsia="ru-RU"/>
        </w:rPr>
        <w:t>NK1-рецепторов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1857"/>
        <w:gridCol w:w="4456"/>
      </w:tblGrid>
      <w:tr w:rsidR="003C62C6" w:rsidRPr="0030741F" w14:paraId="551EAAD0" w14:textId="77777777" w:rsidTr="00FD15FE">
        <w:trPr>
          <w:jc w:val="center"/>
        </w:trPr>
        <w:tc>
          <w:tcPr>
            <w:tcW w:w="2220" w:type="dxa"/>
          </w:tcPr>
          <w:p w14:paraId="3653281D" w14:textId="77777777" w:rsidR="003C62C6" w:rsidRPr="0030741F" w:rsidRDefault="003C62C6" w:rsidP="008372B8">
            <w:pPr>
              <w:tabs>
                <w:tab w:val="left" w:pos="0"/>
              </w:tabs>
              <w:rPr>
                <w:b/>
                <w:szCs w:val="24"/>
                <w:lang w:eastAsia="ru-RU"/>
              </w:rPr>
            </w:pPr>
            <w:r w:rsidRPr="0030741F">
              <w:rPr>
                <w:b/>
                <w:szCs w:val="24"/>
                <w:lang w:eastAsia="ru-RU"/>
              </w:rPr>
              <w:t>Препарат</w:t>
            </w:r>
          </w:p>
        </w:tc>
        <w:tc>
          <w:tcPr>
            <w:tcW w:w="1857" w:type="dxa"/>
          </w:tcPr>
          <w:p w14:paraId="2F36B8A7" w14:textId="77777777" w:rsidR="003C62C6" w:rsidRPr="0030741F" w:rsidRDefault="003C62C6" w:rsidP="008372B8">
            <w:pPr>
              <w:tabs>
                <w:tab w:val="left" w:pos="0"/>
              </w:tabs>
              <w:rPr>
                <w:b/>
                <w:szCs w:val="24"/>
                <w:lang w:eastAsia="ru-RU"/>
              </w:rPr>
            </w:pPr>
            <w:r w:rsidRPr="0030741F">
              <w:rPr>
                <w:b/>
                <w:szCs w:val="24"/>
                <w:lang w:eastAsia="ru-RU"/>
              </w:rPr>
              <w:t>Разовая доза, мг</w:t>
            </w:r>
          </w:p>
        </w:tc>
        <w:tc>
          <w:tcPr>
            <w:tcW w:w="4456" w:type="dxa"/>
          </w:tcPr>
          <w:p w14:paraId="6156A985" w14:textId="77777777" w:rsidR="003C62C6" w:rsidRDefault="003C62C6" w:rsidP="008372B8">
            <w:pPr>
              <w:tabs>
                <w:tab w:val="left" w:pos="0"/>
              </w:tabs>
              <w:rPr>
                <w:b/>
                <w:szCs w:val="24"/>
                <w:lang w:eastAsia="ru-RU"/>
              </w:rPr>
            </w:pPr>
            <w:r>
              <w:rPr>
                <w:b/>
                <w:szCs w:val="24"/>
                <w:lang w:eastAsia="ru-RU"/>
              </w:rPr>
              <w:t xml:space="preserve">Способ применения  / </w:t>
            </w:r>
          </w:p>
          <w:p w14:paraId="54B23EC3" w14:textId="77777777" w:rsidR="003C62C6" w:rsidRPr="0030741F" w:rsidRDefault="003C62C6" w:rsidP="008372B8">
            <w:pPr>
              <w:tabs>
                <w:tab w:val="left" w:pos="0"/>
              </w:tabs>
              <w:rPr>
                <w:b/>
                <w:szCs w:val="24"/>
                <w:lang w:eastAsia="ru-RU"/>
              </w:rPr>
            </w:pPr>
            <w:r w:rsidRPr="0030741F">
              <w:rPr>
                <w:b/>
                <w:szCs w:val="24"/>
                <w:lang w:eastAsia="ru-RU"/>
              </w:rPr>
              <w:t>Режим дозирования</w:t>
            </w:r>
          </w:p>
        </w:tc>
      </w:tr>
      <w:tr w:rsidR="003C62C6" w:rsidRPr="0030741F" w14:paraId="2BE0F69E" w14:textId="77777777" w:rsidTr="00FD15FE">
        <w:trPr>
          <w:jc w:val="center"/>
        </w:trPr>
        <w:tc>
          <w:tcPr>
            <w:tcW w:w="2220" w:type="dxa"/>
          </w:tcPr>
          <w:p w14:paraId="148BBD97" w14:textId="77777777" w:rsidR="003C62C6" w:rsidRPr="0030741F" w:rsidRDefault="003C62C6" w:rsidP="008372B8">
            <w:pPr>
              <w:tabs>
                <w:tab w:val="left" w:pos="0"/>
              </w:tabs>
              <w:rPr>
                <w:szCs w:val="24"/>
                <w:lang w:eastAsia="ru-RU"/>
              </w:rPr>
            </w:pPr>
            <w:r w:rsidRPr="0030741F">
              <w:rPr>
                <w:szCs w:val="24"/>
                <w:lang w:eastAsia="ru-RU"/>
              </w:rPr>
              <w:t>Апрепитант</w:t>
            </w:r>
          </w:p>
        </w:tc>
        <w:tc>
          <w:tcPr>
            <w:tcW w:w="1857" w:type="dxa"/>
          </w:tcPr>
          <w:p w14:paraId="4FF4FD08" w14:textId="77777777" w:rsidR="003C62C6" w:rsidRPr="0030741F" w:rsidRDefault="003C62C6" w:rsidP="008372B8">
            <w:pPr>
              <w:tabs>
                <w:tab w:val="left" w:pos="0"/>
              </w:tabs>
              <w:rPr>
                <w:szCs w:val="24"/>
                <w:lang w:eastAsia="ru-RU"/>
              </w:rPr>
            </w:pPr>
            <w:r w:rsidRPr="0030741F">
              <w:rPr>
                <w:szCs w:val="24"/>
                <w:lang w:eastAsia="ru-RU"/>
              </w:rPr>
              <w:t xml:space="preserve">125  </w:t>
            </w:r>
          </w:p>
          <w:p w14:paraId="049BF812" w14:textId="77777777" w:rsidR="003C62C6" w:rsidRPr="0030741F" w:rsidRDefault="003C62C6" w:rsidP="008372B8">
            <w:pPr>
              <w:tabs>
                <w:tab w:val="left" w:pos="0"/>
              </w:tabs>
              <w:rPr>
                <w:szCs w:val="24"/>
                <w:lang w:eastAsia="ru-RU"/>
              </w:rPr>
            </w:pPr>
            <w:r w:rsidRPr="0030741F">
              <w:rPr>
                <w:szCs w:val="24"/>
                <w:lang w:eastAsia="ru-RU"/>
              </w:rPr>
              <w:t xml:space="preserve">80 </w:t>
            </w:r>
          </w:p>
        </w:tc>
        <w:tc>
          <w:tcPr>
            <w:tcW w:w="4456" w:type="dxa"/>
          </w:tcPr>
          <w:p w14:paraId="6E888E0C" w14:textId="77777777" w:rsidR="003C62C6" w:rsidRPr="0030741F" w:rsidRDefault="003C62C6" w:rsidP="008372B8">
            <w:pPr>
              <w:tabs>
                <w:tab w:val="left" w:pos="0"/>
              </w:tabs>
              <w:rPr>
                <w:szCs w:val="24"/>
                <w:lang w:eastAsia="ru-RU"/>
              </w:rPr>
            </w:pPr>
            <w:r w:rsidRPr="0030741F">
              <w:rPr>
                <w:szCs w:val="24"/>
                <w:lang w:eastAsia="ru-RU"/>
              </w:rPr>
              <w:t>Внутрь в 1 день</w:t>
            </w:r>
          </w:p>
          <w:p w14:paraId="07BE5574" w14:textId="77777777" w:rsidR="003C62C6" w:rsidRPr="0030741F" w:rsidRDefault="003C62C6" w:rsidP="008372B8">
            <w:pPr>
              <w:tabs>
                <w:tab w:val="left" w:pos="0"/>
              </w:tabs>
              <w:rPr>
                <w:szCs w:val="24"/>
                <w:lang w:eastAsia="ru-RU"/>
              </w:rPr>
            </w:pPr>
            <w:r w:rsidRPr="0030741F">
              <w:rPr>
                <w:szCs w:val="24"/>
                <w:lang w:eastAsia="ru-RU"/>
              </w:rPr>
              <w:t>Внутрь во 2</w:t>
            </w:r>
            <w:r w:rsidRPr="0030741F">
              <w:rPr>
                <w:szCs w:val="24"/>
                <w:vertAlign w:val="superscript"/>
                <w:lang w:eastAsia="ru-RU"/>
              </w:rPr>
              <w:t>ой</w:t>
            </w:r>
            <w:r w:rsidRPr="0030741F">
              <w:rPr>
                <w:szCs w:val="24"/>
                <w:lang w:eastAsia="ru-RU"/>
              </w:rPr>
              <w:t xml:space="preserve"> и 3</w:t>
            </w:r>
            <w:r w:rsidRPr="0030741F">
              <w:rPr>
                <w:szCs w:val="24"/>
                <w:vertAlign w:val="superscript"/>
                <w:lang w:eastAsia="ru-RU"/>
              </w:rPr>
              <w:t>ий</w:t>
            </w:r>
            <w:r w:rsidRPr="0030741F">
              <w:rPr>
                <w:szCs w:val="24"/>
                <w:lang w:eastAsia="ru-RU"/>
              </w:rPr>
              <w:t xml:space="preserve">  дни ХТ</w:t>
            </w:r>
          </w:p>
        </w:tc>
      </w:tr>
      <w:tr w:rsidR="003C62C6" w:rsidRPr="0030741F" w14:paraId="68FA17A2" w14:textId="77777777" w:rsidTr="00FD15FE">
        <w:trPr>
          <w:jc w:val="center"/>
        </w:trPr>
        <w:tc>
          <w:tcPr>
            <w:tcW w:w="2220" w:type="dxa"/>
          </w:tcPr>
          <w:p w14:paraId="7061DD11" w14:textId="77777777" w:rsidR="003C62C6" w:rsidRPr="0030741F" w:rsidRDefault="003C62C6" w:rsidP="008372B8">
            <w:pPr>
              <w:tabs>
                <w:tab w:val="left" w:pos="0"/>
              </w:tabs>
              <w:rPr>
                <w:szCs w:val="24"/>
                <w:lang w:eastAsia="ru-RU"/>
              </w:rPr>
            </w:pPr>
            <w:r w:rsidRPr="0030741F">
              <w:rPr>
                <w:bCs/>
                <w:szCs w:val="24"/>
              </w:rPr>
              <w:t>Фосапрепитант</w:t>
            </w:r>
          </w:p>
        </w:tc>
        <w:tc>
          <w:tcPr>
            <w:tcW w:w="1857" w:type="dxa"/>
          </w:tcPr>
          <w:p w14:paraId="756AD4ED" w14:textId="77777777" w:rsidR="003C62C6" w:rsidRPr="0030741F" w:rsidRDefault="003C62C6" w:rsidP="008372B8">
            <w:pPr>
              <w:tabs>
                <w:tab w:val="left" w:pos="0"/>
              </w:tabs>
              <w:rPr>
                <w:szCs w:val="24"/>
                <w:lang w:eastAsia="ru-RU"/>
              </w:rPr>
            </w:pPr>
            <w:r w:rsidRPr="0030741F">
              <w:rPr>
                <w:szCs w:val="24"/>
                <w:lang w:eastAsia="ru-RU"/>
              </w:rPr>
              <w:t>150</w:t>
            </w:r>
          </w:p>
        </w:tc>
        <w:tc>
          <w:tcPr>
            <w:tcW w:w="4456" w:type="dxa"/>
          </w:tcPr>
          <w:p w14:paraId="1E777CC3" w14:textId="77777777" w:rsidR="003C62C6" w:rsidRPr="0030741F" w:rsidRDefault="003C62C6" w:rsidP="008372B8">
            <w:pPr>
              <w:tabs>
                <w:tab w:val="left" w:pos="0"/>
              </w:tabs>
              <w:rPr>
                <w:szCs w:val="24"/>
              </w:rPr>
            </w:pPr>
            <w:r w:rsidRPr="0030741F">
              <w:rPr>
                <w:szCs w:val="24"/>
                <w:lang w:eastAsia="ru-RU"/>
              </w:rPr>
              <w:t>В/в однократно</w:t>
            </w:r>
          </w:p>
        </w:tc>
      </w:tr>
    </w:tbl>
    <w:p w14:paraId="36D437C5" w14:textId="77777777" w:rsidR="003C62C6" w:rsidRPr="00402F3B" w:rsidRDefault="003C62C6" w:rsidP="00F93ED8">
      <w:pPr>
        <w:pStyle w:val="a6"/>
        <w:numPr>
          <w:ilvl w:val="2"/>
          <w:numId w:val="82"/>
        </w:numPr>
        <w:tabs>
          <w:tab w:val="left" w:pos="0"/>
        </w:tabs>
        <w:spacing w:before="0" w:after="0"/>
        <w:rPr>
          <w:b/>
          <w:szCs w:val="24"/>
        </w:rPr>
      </w:pPr>
      <w:r w:rsidRPr="00402F3B">
        <w:rPr>
          <w:b/>
          <w:szCs w:val="24"/>
        </w:rPr>
        <w:t xml:space="preserve">Блокаторы рецепторов допамина </w:t>
      </w:r>
    </w:p>
    <w:p w14:paraId="066C51F1" w14:textId="77777777" w:rsidR="003C62C6" w:rsidRPr="0030741F" w:rsidRDefault="003C62C6" w:rsidP="00F93ED8">
      <w:pPr>
        <w:tabs>
          <w:tab w:val="left" w:pos="0"/>
        </w:tabs>
        <w:spacing w:before="0" w:after="0"/>
        <w:rPr>
          <w:szCs w:val="24"/>
        </w:rPr>
      </w:pPr>
      <w:r>
        <w:rPr>
          <w:szCs w:val="24"/>
        </w:rPr>
        <w:tab/>
      </w:r>
      <w:r w:rsidRPr="0030741F">
        <w:rPr>
          <w:szCs w:val="24"/>
        </w:rPr>
        <w:t>В эту группу входят бензамиды (метоклопрамид, итоприд), фенотиазины (хлорпромазин или аминазин, прометазин, метопемазин), бутирофеноны (дроперидол, галоперидол), бензодиазепины (диазепам, лоразепам, альпрозолам). Препараты обладают седативными и анксиолитическими свойствами.</w:t>
      </w:r>
    </w:p>
    <w:p w14:paraId="4CE7FFA2" w14:textId="77777777" w:rsidR="003C62C6" w:rsidRDefault="003C62C6" w:rsidP="00F93ED8">
      <w:pPr>
        <w:tabs>
          <w:tab w:val="left" w:pos="0"/>
        </w:tabs>
        <w:spacing w:before="0" w:after="0"/>
        <w:rPr>
          <w:szCs w:val="24"/>
        </w:rPr>
      </w:pPr>
      <w:r>
        <w:rPr>
          <w:szCs w:val="24"/>
        </w:rPr>
        <w:tab/>
      </w:r>
      <w:r w:rsidRPr="0030741F">
        <w:rPr>
          <w:szCs w:val="24"/>
        </w:rPr>
        <w:t xml:space="preserve">Метоклопрамид, широко использовавшийся ранее в высоких дозах для профилактики острой тошноты и рвоты после высоко- </w:t>
      </w:r>
      <w:r>
        <w:rPr>
          <w:szCs w:val="24"/>
        </w:rPr>
        <w:t xml:space="preserve">и </w:t>
      </w:r>
      <w:r w:rsidRPr="0030741F">
        <w:rPr>
          <w:szCs w:val="24"/>
        </w:rPr>
        <w:t>среднеэметогенной ХТ, в настоящее время применяется реже, так как при сопоставимой эффективности с антагонистами серотониновых рецепторов имеет значительное количество выраженных побочных эффектов. Согласно международным рекомендациям, использование метоклопрамида допустимо в стандартных дозах для профилактики острой тошноты и рвоты после низкоэметогенной химиотерапии, для профилактики отсроченной рвоты в комбинации с дексаметазоном. Режим дозирования – 10 мг 1 - 4 раза в сутки внутривенно или внутрь.</w:t>
      </w:r>
    </w:p>
    <w:p w14:paraId="2E2992E3" w14:textId="7B46B54D" w:rsidR="003C62C6" w:rsidRPr="0030741F" w:rsidRDefault="003C62C6" w:rsidP="00F93ED8">
      <w:pPr>
        <w:tabs>
          <w:tab w:val="left" w:pos="0"/>
        </w:tabs>
        <w:spacing w:before="0" w:after="0"/>
        <w:ind w:firstLine="709"/>
        <w:rPr>
          <w:szCs w:val="24"/>
        </w:rPr>
      </w:pPr>
      <w:r w:rsidRPr="0030741F">
        <w:rPr>
          <w:szCs w:val="24"/>
        </w:rPr>
        <w:t xml:space="preserve">Добавление блокаторов рецепторов допамина к схеме противорвотной терапии проводится по показаниям на усмотрение лечащего врача. </w:t>
      </w:r>
    </w:p>
    <w:p w14:paraId="0BF4D8B9" w14:textId="77777777" w:rsidR="003C62C6" w:rsidRDefault="003C62C6" w:rsidP="00CE6C1C">
      <w:pPr>
        <w:pStyle w:val="a6"/>
        <w:numPr>
          <w:ilvl w:val="2"/>
          <w:numId w:val="82"/>
        </w:numPr>
        <w:tabs>
          <w:tab w:val="left" w:pos="0"/>
        </w:tabs>
        <w:spacing w:before="0" w:after="200"/>
        <w:rPr>
          <w:b/>
          <w:szCs w:val="24"/>
        </w:rPr>
      </w:pPr>
      <w:r w:rsidRPr="00402F3B">
        <w:rPr>
          <w:b/>
          <w:szCs w:val="24"/>
        </w:rPr>
        <w:t>Нейролептики</w:t>
      </w:r>
    </w:p>
    <w:p w14:paraId="4B2AE4E8" w14:textId="77777777" w:rsidR="003C62C6" w:rsidRPr="00F87DBD" w:rsidRDefault="003C62C6" w:rsidP="003C62C6">
      <w:pPr>
        <w:tabs>
          <w:tab w:val="left" w:pos="0"/>
        </w:tabs>
        <w:rPr>
          <w:szCs w:val="24"/>
        </w:rPr>
      </w:pPr>
      <w:r>
        <w:rPr>
          <w:szCs w:val="24"/>
        </w:rPr>
        <w:tab/>
      </w:r>
      <w:r w:rsidRPr="00F87DBD">
        <w:rPr>
          <w:szCs w:val="24"/>
        </w:rPr>
        <w:t>Добавление нейролептиков к схеме противорвотной терапии проводится по показаниям на усмотрение лечащего врача (например, при возникновении неконтролируемой тошноты и рвоты</w:t>
      </w:r>
      <w:r>
        <w:rPr>
          <w:szCs w:val="24"/>
        </w:rPr>
        <w:t xml:space="preserve"> –  о</w:t>
      </w:r>
      <w:r w:rsidRPr="0030741F">
        <w:rPr>
          <w:szCs w:val="24"/>
        </w:rPr>
        <w:t>л</w:t>
      </w:r>
      <w:r>
        <w:rPr>
          <w:szCs w:val="24"/>
        </w:rPr>
        <w:t>анзапин 5–10 мг в сутки внутрь</w:t>
      </w:r>
      <w:r w:rsidRPr="00F87DBD">
        <w:rPr>
          <w:szCs w:val="24"/>
        </w:rPr>
        <w:t xml:space="preserve">). </w:t>
      </w:r>
    </w:p>
    <w:p w14:paraId="479C7EDC" w14:textId="77777777" w:rsidR="003C62C6" w:rsidRPr="008A233A" w:rsidRDefault="003C62C6" w:rsidP="003C62C6">
      <w:pPr>
        <w:pStyle w:val="Normal1"/>
        <w:numPr>
          <w:ilvl w:val="0"/>
          <w:numId w:val="13"/>
        </w:numPr>
        <w:spacing w:line="360" w:lineRule="auto"/>
        <w:ind w:left="0" w:firstLine="0"/>
        <w:jc w:val="both"/>
        <w:rPr>
          <w:rFonts w:cs="Times New Roman"/>
          <w:b/>
          <w:shd w:val="clear" w:color="auto" w:fill="FFFFFF"/>
        </w:rPr>
      </w:pPr>
      <w:r w:rsidRPr="008A233A">
        <w:rPr>
          <w:rFonts w:cs="Times New Roman"/>
          <w:b/>
        </w:rPr>
        <w:lastRenderedPageBreak/>
        <w:t xml:space="preserve">Принципы профилактики и терапии тошноты и рвоты. </w:t>
      </w:r>
    </w:p>
    <w:p w14:paraId="59BB8AF2" w14:textId="77777777" w:rsidR="003C62C6" w:rsidRPr="0030741F" w:rsidRDefault="003C62C6" w:rsidP="003C62C6">
      <w:pPr>
        <w:tabs>
          <w:tab w:val="left" w:pos="0"/>
        </w:tabs>
        <w:rPr>
          <w:szCs w:val="24"/>
        </w:rPr>
      </w:pPr>
      <w:r>
        <w:rPr>
          <w:szCs w:val="24"/>
        </w:rPr>
        <w:t xml:space="preserve">Эксперты </w:t>
      </w:r>
      <w:r w:rsidRPr="0030741F">
        <w:rPr>
          <w:szCs w:val="24"/>
        </w:rPr>
        <w:t>Международн</w:t>
      </w:r>
      <w:r>
        <w:rPr>
          <w:szCs w:val="24"/>
        </w:rPr>
        <w:t>ой</w:t>
      </w:r>
      <w:r w:rsidRPr="0030741F">
        <w:rPr>
          <w:szCs w:val="24"/>
        </w:rPr>
        <w:t xml:space="preserve"> ассоциаци</w:t>
      </w:r>
      <w:r>
        <w:rPr>
          <w:szCs w:val="24"/>
        </w:rPr>
        <w:t>и</w:t>
      </w:r>
      <w:r w:rsidRPr="0030741F">
        <w:rPr>
          <w:szCs w:val="24"/>
        </w:rPr>
        <w:t xml:space="preserve"> по поддерживающему лечению в онкологии</w:t>
      </w:r>
      <w:r>
        <w:rPr>
          <w:szCs w:val="24"/>
        </w:rPr>
        <w:t xml:space="preserve"> (MASCC) разработали принципы антиэметической терапии, согласно которым используются следующие алогритм и методы профилактики тошноты и рвоты. </w:t>
      </w:r>
    </w:p>
    <w:p w14:paraId="0ACE5BA1" w14:textId="77777777" w:rsidR="003C62C6" w:rsidRDefault="003C62C6" w:rsidP="003C62C6">
      <w:pPr>
        <w:tabs>
          <w:tab w:val="left" w:pos="0"/>
        </w:tabs>
        <w:rPr>
          <w:b/>
          <w:szCs w:val="24"/>
        </w:rPr>
      </w:pPr>
      <w:r>
        <w:rPr>
          <w:b/>
          <w:szCs w:val="24"/>
        </w:rPr>
        <w:t xml:space="preserve">4.1 </w:t>
      </w:r>
      <w:r w:rsidRPr="00637009">
        <w:rPr>
          <w:b/>
          <w:szCs w:val="24"/>
        </w:rPr>
        <w:t>Алгоритм профилактики и терапии тошноты и рвоты</w:t>
      </w:r>
    </w:p>
    <w:p w14:paraId="299DF0AD" w14:textId="77777777" w:rsidR="003C62C6" w:rsidRDefault="003C62C6" w:rsidP="00CE6C1C">
      <w:pPr>
        <w:pStyle w:val="a6"/>
        <w:numPr>
          <w:ilvl w:val="0"/>
          <w:numId w:val="78"/>
        </w:numPr>
        <w:tabs>
          <w:tab w:val="left" w:pos="0"/>
        </w:tabs>
        <w:spacing w:before="0" w:after="200"/>
        <w:rPr>
          <w:szCs w:val="24"/>
        </w:rPr>
      </w:pPr>
      <w:r w:rsidRPr="0030741F">
        <w:rPr>
          <w:szCs w:val="24"/>
        </w:rPr>
        <w:t xml:space="preserve">Определить эметогенный потенциал назначенного режима ХТ </w:t>
      </w:r>
    </w:p>
    <w:p w14:paraId="2B26F7BD" w14:textId="77777777" w:rsidR="003C62C6" w:rsidRDefault="003C62C6" w:rsidP="00CE6C1C">
      <w:pPr>
        <w:pStyle w:val="a6"/>
        <w:numPr>
          <w:ilvl w:val="0"/>
          <w:numId w:val="78"/>
        </w:numPr>
        <w:tabs>
          <w:tab w:val="left" w:pos="0"/>
        </w:tabs>
        <w:spacing w:before="0" w:after="200"/>
        <w:rPr>
          <w:szCs w:val="24"/>
        </w:rPr>
      </w:pPr>
      <w:r w:rsidRPr="0030741F">
        <w:rPr>
          <w:szCs w:val="24"/>
        </w:rPr>
        <w:t>Назначить профилактическую терапию, исходя из эметогенности реж</w:t>
      </w:r>
      <w:r>
        <w:rPr>
          <w:szCs w:val="24"/>
        </w:rPr>
        <w:t>има ХТ, начиная с первого курса</w:t>
      </w:r>
    </w:p>
    <w:p w14:paraId="10FACDCD" w14:textId="77777777" w:rsidR="003C62C6" w:rsidRDefault="003C62C6" w:rsidP="00CE6C1C">
      <w:pPr>
        <w:pStyle w:val="a6"/>
        <w:numPr>
          <w:ilvl w:val="0"/>
          <w:numId w:val="78"/>
        </w:numPr>
        <w:tabs>
          <w:tab w:val="left" w:pos="0"/>
        </w:tabs>
        <w:spacing w:before="0" w:after="200"/>
        <w:rPr>
          <w:szCs w:val="24"/>
        </w:rPr>
      </w:pPr>
      <w:r w:rsidRPr="0030741F">
        <w:rPr>
          <w:szCs w:val="24"/>
        </w:rPr>
        <w:t>Назначить лечение в случае развития тошноты и рвоты на фоне профилактической терапии</w:t>
      </w:r>
    </w:p>
    <w:p w14:paraId="00B5F789" w14:textId="77777777" w:rsidR="003C62C6" w:rsidRDefault="003C62C6" w:rsidP="00CE6C1C">
      <w:pPr>
        <w:pStyle w:val="a6"/>
        <w:numPr>
          <w:ilvl w:val="0"/>
          <w:numId w:val="78"/>
        </w:numPr>
        <w:tabs>
          <w:tab w:val="left" w:pos="0"/>
        </w:tabs>
        <w:spacing w:before="0" w:after="200"/>
        <w:rPr>
          <w:szCs w:val="24"/>
        </w:rPr>
      </w:pPr>
      <w:r w:rsidRPr="0030741F">
        <w:rPr>
          <w:szCs w:val="24"/>
        </w:rPr>
        <w:t>В случае развития тошноты и рвоты внести изменения в профилактическую терапию на последующих циклах ХТ</w:t>
      </w:r>
    </w:p>
    <w:p w14:paraId="5FE5EFE0" w14:textId="77777777" w:rsidR="003C62C6" w:rsidRDefault="003C62C6" w:rsidP="00CE6C1C">
      <w:pPr>
        <w:pStyle w:val="a6"/>
        <w:numPr>
          <w:ilvl w:val="0"/>
          <w:numId w:val="78"/>
        </w:numPr>
        <w:tabs>
          <w:tab w:val="left" w:pos="0"/>
        </w:tabs>
        <w:spacing w:before="0" w:after="200"/>
        <w:rPr>
          <w:szCs w:val="24"/>
        </w:rPr>
      </w:pPr>
      <w:r w:rsidRPr="0030741F">
        <w:rPr>
          <w:szCs w:val="24"/>
        </w:rPr>
        <w:t>Критерием эффективности противорвотной терапии является полное отсутствие (полный контроль) рвоты и тошноты в течение 24 часов (период развития острой рвоты) с момента введения противоопухолевых препаратов.</w:t>
      </w:r>
    </w:p>
    <w:p w14:paraId="13304B8E" w14:textId="77777777" w:rsidR="003C62C6" w:rsidRPr="0006238A" w:rsidRDefault="003C62C6" w:rsidP="003C62C6">
      <w:pPr>
        <w:tabs>
          <w:tab w:val="left" w:pos="0"/>
        </w:tabs>
        <w:rPr>
          <w:b/>
          <w:szCs w:val="24"/>
        </w:rPr>
      </w:pPr>
      <w:r>
        <w:rPr>
          <w:b/>
          <w:szCs w:val="24"/>
        </w:rPr>
        <w:t xml:space="preserve">4.2 </w:t>
      </w:r>
      <w:r w:rsidRPr="0006238A">
        <w:rPr>
          <w:b/>
          <w:szCs w:val="24"/>
        </w:rPr>
        <w:t xml:space="preserve">Профилактика острой и отсроченной тошноты </w:t>
      </w:r>
      <w:r>
        <w:rPr>
          <w:b/>
          <w:szCs w:val="24"/>
        </w:rPr>
        <w:t>и</w:t>
      </w:r>
      <w:r w:rsidRPr="0006238A">
        <w:rPr>
          <w:b/>
          <w:szCs w:val="24"/>
        </w:rPr>
        <w:t xml:space="preserve"> рвоты при высоко-эметогенной ХТ</w:t>
      </w:r>
    </w:p>
    <w:p w14:paraId="3ECF4A19" w14:textId="3AA5C4F4" w:rsidR="003C62C6" w:rsidRPr="005D45BE" w:rsidRDefault="003C62C6" w:rsidP="003C62C6">
      <w:pPr>
        <w:tabs>
          <w:tab w:val="left" w:pos="0"/>
        </w:tabs>
        <w:rPr>
          <w:szCs w:val="24"/>
        </w:rPr>
      </w:pPr>
      <w:r>
        <w:rPr>
          <w:szCs w:val="24"/>
        </w:rPr>
        <w:tab/>
      </w:r>
      <w:r w:rsidRPr="00F87DBD">
        <w:rPr>
          <w:szCs w:val="24"/>
        </w:rPr>
        <w:t xml:space="preserve">Профилактика тошноты и рвоты должна начинаться до начала ХТ и проводиться не менее </w:t>
      </w:r>
      <w:r>
        <w:rPr>
          <w:szCs w:val="24"/>
        </w:rPr>
        <w:t>2-</w:t>
      </w:r>
      <w:r w:rsidRPr="00F87DBD">
        <w:rPr>
          <w:szCs w:val="24"/>
        </w:rPr>
        <w:t xml:space="preserve">3 дней после ее окончания. </w:t>
      </w:r>
      <w:r w:rsidRPr="0030741F">
        <w:rPr>
          <w:szCs w:val="24"/>
        </w:rPr>
        <w:t xml:space="preserve">Антиэметики назначают </w:t>
      </w:r>
      <w:r>
        <w:rPr>
          <w:szCs w:val="24"/>
        </w:rPr>
        <w:t>во все дни ХТ ежедневно (исключение:</w:t>
      </w:r>
      <w:r w:rsidRPr="0030741F">
        <w:rPr>
          <w:szCs w:val="24"/>
        </w:rPr>
        <w:t xml:space="preserve"> палоносетрон – через день) на основе эметогенного потенциала цитостатиков, вводимых в тот или иной день. Выбор противорвотной комбинации осуществляется на основе </w:t>
      </w:r>
      <w:r>
        <w:rPr>
          <w:szCs w:val="24"/>
        </w:rPr>
        <w:t>компонента ХТ</w:t>
      </w:r>
      <w:r w:rsidRPr="0030741F">
        <w:rPr>
          <w:szCs w:val="24"/>
        </w:rPr>
        <w:t>, обладающего наибольшей эметогенностью.</w:t>
      </w:r>
      <w:r>
        <w:rPr>
          <w:szCs w:val="24"/>
        </w:rPr>
        <w:t xml:space="preserve"> </w:t>
      </w:r>
      <w:r w:rsidRPr="0030741F">
        <w:rPr>
          <w:szCs w:val="24"/>
        </w:rPr>
        <w:t>В настоящее время наиболее эффективной антиэметической комбинацией является комбинация противорвотных препаратов, включающая антагонист NK1-рецепторов + антагонист рецепторов серотонина (5-HT3) + дексаметазон</w:t>
      </w:r>
      <w:r>
        <w:rPr>
          <w:szCs w:val="24"/>
        </w:rPr>
        <w:t xml:space="preserve"> (не добавляют при наличии дексаметазона в схеме ХТ). Дополнительно  </w:t>
      </w:r>
      <w:r w:rsidRPr="0030741F">
        <w:rPr>
          <w:szCs w:val="24"/>
        </w:rPr>
        <w:t>по показаниям на усмотрение лечащего врача</w:t>
      </w:r>
      <w:r>
        <w:rPr>
          <w:szCs w:val="24"/>
        </w:rPr>
        <w:t xml:space="preserve"> могут применяться бензодиазепины, </w:t>
      </w:r>
      <w:r w:rsidRPr="008E6893">
        <w:rPr>
          <w:rFonts w:eastAsia="GaramondC-Light"/>
          <w:color w:val="000000"/>
          <w:szCs w:val="24"/>
        </w:rPr>
        <w:t>блокатор</w:t>
      </w:r>
      <w:r>
        <w:rPr>
          <w:rFonts w:eastAsia="GaramondC-Light"/>
          <w:color w:val="000000"/>
          <w:szCs w:val="24"/>
        </w:rPr>
        <w:t>ы</w:t>
      </w:r>
      <w:r w:rsidRPr="008E6893">
        <w:rPr>
          <w:rFonts w:eastAsia="GaramondC-Light"/>
          <w:color w:val="000000"/>
          <w:szCs w:val="24"/>
        </w:rPr>
        <w:t xml:space="preserve"> H2-рецепторов гистамина</w:t>
      </w:r>
      <w:r>
        <w:rPr>
          <w:rFonts w:eastAsia="GaramondC-Light"/>
          <w:color w:val="000000"/>
          <w:szCs w:val="24"/>
        </w:rPr>
        <w:t>,</w:t>
      </w:r>
      <w:r w:rsidRPr="008E6893">
        <w:rPr>
          <w:rFonts w:eastAsia="GaramondC-Light"/>
          <w:color w:val="000000"/>
          <w:szCs w:val="24"/>
        </w:rPr>
        <w:t xml:space="preserve"> ингибитор</w:t>
      </w:r>
      <w:r>
        <w:rPr>
          <w:rFonts w:eastAsia="GaramondC-Light"/>
          <w:color w:val="000000"/>
          <w:szCs w:val="24"/>
        </w:rPr>
        <w:t>ы</w:t>
      </w:r>
      <w:r w:rsidRPr="008E6893">
        <w:rPr>
          <w:rFonts w:eastAsia="GaramondC-Light"/>
          <w:color w:val="000000"/>
          <w:szCs w:val="24"/>
        </w:rPr>
        <w:t xml:space="preserve"> протонной помпы</w:t>
      </w:r>
      <w:r>
        <w:rPr>
          <w:szCs w:val="24"/>
        </w:rPr>
        <w:t xml:space="preserve">. </w:t>
      </w:r>
      <w:r>
        <w:rPr>
          <w:rFonts w:eastAsia="GaramondC-Light"/>
          <w:color w:val="000000"/>
          <w:szCs w:val="24"/>
        </w:rPr>
        <w:t>М</w:t>
      </w:r>
      <w:r w:rsidRPr="005D45BE">
        <w:rPr>
          <w:rFonts w:eastAsia="GaramondC-Light"/>
          <w:color w:val="000000"/>
          <w:szCs w:val="24"/>
        </w:rPr>
        <w:t xml:space="preserve">ожет быть назначен </w:t>
      </w:r>
      <w:r>
        <w:rPr>
          <w:rFonts w:eastAsia="GaramondC-Light"/>
          <w:color w:val="000000"/>
          <w:szCs w:val="24"/>
        </w:rPr>
        <w:t>а</w:t>
      </w:r>
      <w:r w:rsidRPr="005D45BE">
        <w:rPr>
          <w:rFonts w:eastAsia="GaramondC-Light"/>
          <w:color w:val="000000"/>
          <w:szCs w:val="24"/>
        </w:rPr>
        <w:t xml:space="preserve">препитант в дозе 125 мг в 1 день и 80 мг в </w:t>
      </w:r>
      <w:r>
        <w:rPr>
          <w:rFonts w:eastAsia="GaramondC-Light"/>
          <w:color w:val="000000"/>
          <w:szCs w:val="24"/>
        </w:rPr>
        <w:t xml:space="preserve">последующие </w:t>
      </w:r>
      <w:r w:rsidRPr="005D45BE">
        <w:rPr>
          <w:rFonts w:eastAsia="GaramondC-Light"/>
          <w:color w:val="000000"/>
          <w:szCs w:val="24"/>
        </w:rPr>
        <w:t>дни.</w:t>
      </w:r>
    </w:p>
    <w:p w14:paraId="75337809" w14:textId="77777777" w:rsidR="003C62C6" w:rsidRPr="0006238A" w:rsidRDefault="003C62C6" w:rsidP="00CE6C1C">
      <w:pPr>
        <w:pStyle w:val="a6"/>
        <w:numPr>
          <w:ilvl w:val="1"/>
          <w:numId w:val="83"/>
        </w:numPr>
        <w:tabs>
          <w:tab w:val="left" w:pos="0"/>
        </w:tabs>
        <w:spacing w:before="0" w:after="200"/>
        <w:rPr>
          <w:b/>
          <w:szCs w:val="24"/>
        </w:rPr>
      </w:pPr>
      <w:r w:rsidRPr="0006238A">
        <w:rPr>
          <w:b/>
          <w:szCs w:val="24"/>
        </w:rPr>
        <w:t>Профилактика острой и отсроченной тошноты и рвоты при умеренно-эметогенной ХТ</w:t>
      </w:r>
    </w:p>
    <w:p w14:paraId="5290E94E" w14:textId="77777777" w:rsidR="003C62C6" w:rsidRPr="0030741F" w:rsidRDefault="003C62C6" w:rsidP="003C62C6">
      <w:pPr>
        <w:tabs>
          <w:tab w:val="left" w:pos="0"/>
        </w:tabs>
        <w:rPr>
          <w:szCs w:val="24"/>
        </w:rPr>
      </w:pPr>
      <w:r>
        <w:rPr>
          <w:szCs w:val="24"/>
        </w:rPr>
        <w:lastRenderedPageBreak/>
        <w:tab/>
      </w:r>
      <w:r w:rsidRPr="00F87DBD">
        <w:rPr>
          <w:szCs w:val="24"/>
        </w:rPr>
        <w:t xml:space="preserve">Профилактика тошноты и рвоты должна начинаться до начала ХТ и проводиться </w:t>
      </w:r>
      <w:r>
        <w:rPr>
          <w:szCs w:val="24"/>
        </w:rPr>
        <w:t>при необходимости</w:t>
      </w:r>
      <w:r w:rsidRPr="00F87DBD">
        <w:rPr>
          <w:szCs w:val="24"/>
        </w:rPr>
        <w:t xml:space="preserve"> </w:t>
      </w:r>
      <w:r>
        <w:rPr>
          <w:szCs w:val="24"/>
        </w:rPr>
        <w:t>еще 2-</w:t>
      </w:r>
      <w:r w:rsidRPr="00F87DBD">
        <w:rPr>
          <w:szCs w:val="24"/>
        </w:rPr>
        <w:t>3 дн</w:t>
      </w:r>
      <w:r>
        <w:rPr>
          <w:szCs w:val="24"/>
        </w:rPr>
        <w:t>я</w:t>
      </w:r>
      <w:r w:rsidRPr="00F87DBD">
        <w:rPr>
          <w:szCs w:val="24"/>
        </w:rPr>
        <w:t xml:space="preserve"> после ее окончания.</w:t>
      </w:r>
      <w:r>
        <w:rPr>
          <w:szCs w:val="24"/>
        </w:rPr>
        <w:t xml:space="preserve"> </w:t>
      </w:r>
      <w:r w:rsidRPr="0030741F">
        <w:rPr>
          <w:szCs w:val="24"/>
        </w:rPr>
        <w:t>В настоящее время наиболее эффективной антиэметической комбинацией является комбинация противорвотных препаратов, включающая антагонист рецепторов серотонина (5-HT3) + дексаметазон</w:t>
      </w:r>
      <w:r>
        <w:rPr>
          <w:szCs w:val="24"/>
        </w:rPr>
        <w:t xml:space="preserve">. </w:t>
      </w:r>
      <w:r w:rsidRPr="0030741F">
        <w:rPr>
          <w:szCs w:val="24"/>
        </w:rPr>
        <w:t>При некоторых умеренно</w:t>
      </w:r>
      <w:r>
        <w:rPr>
          <w:szCs w:val="24"/>
        </w:rPr>
        <w:t>-</w:t>
      </w:r>
      <w:r w:rsidRPr="0030741F">
        <w:rPr>
          <w:szCs w:val="24"/>
        </w:rPr>
        <w:t>эметогенных режимах, включающих карбоплатин, рекомендовано назначение апрепитанта/фосапрепитанта в комбинации с 5-НТ3-антагонистом и дексаметазоном.</w:t>
      </w:r>
    </w:p>
    <w:p w14:paraId="1C532EBA" w14:textId="77777777" w:rsidR="003C62C6" w:rsidRPr="0006238A" w:rsidRDefault="003C62C6" w:rsidP="00CE6C1C">
      <w:pPr>
        <w:pStyle w:val="a6"/>
        <w:numPr>
          <w:ilvl w:val="1"/>
          <w:numId w:val="83"/>
        </w:numPr>
        <w:tabs>
          <w:tab w:val="left" w:pos="0"/>
        </w:tabs>
        <w:spacing w:before="0" w:after="200"/>
        <w:rPr>
          <w:b/>
          <w:szCs w:val="24"/>
        </w:rPr>
      </w:pPr>
      <w:r w:rsidRPr="0006238A">
        <w:rPr>
          <w:b/>
          <w:szCs w:val="24"/>
        </w:rPr>
        <w:t>Профилактика острой и отсроченной тошноты и рвоты при низко-эметогенной и минимально-эметогенной ХТ</w:t>
      </w:r>
    </w:p>
    <w:p w14:paraId="3E3463CC" w14:textId="77777777" w:rsidR="003C62C6" w:rsidRPr="00F87DBD" w:rsidRDefault="003C62C6" w:rsidP="003C62C6">
      <w:pPr>
        <w:tabs>
          <w:tab w:val="left" w:pos="0"/>
        </w:tabs>
        <w:rPr>
          <w:szCs w:val="24"/>
        </w:rPr>
      </w:pPr>
      <w:r>
        <w:rPr>
          <w:szCs w:val="24"/>
        </w:rPr>
        <w:tab/>
      </w:r>
      <w:r w:rsidRPr="00F87DBD">
        <w:rPr>
          <w:szCs w:val="24"/>
        </w:rPr>
        <w:t>Для профилактики тошноты и рвоты при химио</w:t>
      </w:r>
      <w:r>
        <w:rPr>
          <w:szCs w:val="24"/>
        </w:rPr>
        <w:t xml:space="preserve">терапии с низкой эметогенностью </w:t>
      </w:r>
      <w:r w:rsidRPr="00F87DBD">
        <w:rPr>
          <w:szCs w:val="24"/>
        </w:rPr>
        <w:t>следует использовать только один из препаратов: дексаметазон, антагонист 5-HT3-рецепторов или антагонист рецепторов допамина (например, метоклопрамид).</w:t>
      </w:r>
      <w:r>
        <w:rPr>
          <w:szCs w:val="24"/>
        </w:rPr>
        <w:t xml:space="preserve"> При минимально-эметогенной ХТ профилактика тошноты и рвоты не требуется.</w:t>
      </w:r>
    </w:p>
    <w:p w14:paraId="7AE554DC" w14:textId="77777777" w:rsidR="003C62C6" w:rsidRDefault="003C62C6" w:rsidP="00CE6C1C">
      <w:pPr>
        <w:pStyle w:val="a6"/>
        <w:numPr>
          <w:ilvl w:val="1"/>
          <w:numId w:val="83"/>
        </w:numPr>
        <w:tabs>
          <w:tab w:val="left" w:pos="0"/>
        </w:tabs>
        <w:spacing w:before="0" w:after="200"/>
        <w:rPr>
          <w:b/>
          <w:szCs w:val="24"/>
        </w:rPr>
      </w:pPr>
      <w:r w:rsidRPr="000B3CA9">
        <w:rPr>
          <w:b/>
          <w:szCs w:val="24"/>
        </w:rPr>
        <w:t xml:space="preserve">Профилактика тошноты и рвоты при лучевой терапии </w:t>
      </w:r>
    </w:p>
    <w:p w14:paraId="4AF56E43" w14:textId="77777777" w:rsidR="003C62C6" w:rsidRPr="00AE0413" w:rsidRDefault="003C62C6" w:rsidP="003C62C6">
      <w:pPr>
        <w:tabs>
          <w:tab w:val="left" w:pos="0"/>
        </w:tabs>
        <w:rPr>
          <w:rFonts w:eastAsia="GaramondC-Light"/>
          <w:color w:val="000000"/>
          <w:szCs w:val="24"/>
        </w:rPr>
      </w:pPr>
      <w:r>
        <w:rPr>
          <w:rFonts w:eastAsia="GaramondC-Light"/>
          <w:color w:val="000000"/>
          <w:szCs w:val="24"/>
        </w:rPr>
        <w:tab/>
      </w:r>
      <w:r w:rsidRPr="00AE0413">
        <w:rPr>
          <w:rFonts w:eastAsia="GaramondC-Light"/>
          <w:color w:val="000000"/>
          <w:szCs w:val="24"/>
        </w:rPr>
        <w:t>При облучении верхней половины туловища и конечностей в большинстве случаев антиэметическая терапия не требуется. При необходимости назначения антиэметиков эметогенный потенциал определяется по максимально эметогенному воздействию (по зоне лучевой нагрузки или по лекарственному препарату, в случае сочетания лучевой терапии и ХТ) и с учетом зоны облучения. Антиэметики (в основном антагонисты 5-НТ3-рецепторов) чаще применяют неивазивным путем (перорально, ректально) за 30-60 мин до облучения. При недостаточной эффективности антагонистов 5-НТ3-рецепторов в монотерапии возможно присоединение глюкокортикоидов.</w:t>
      </w:r>
    </w:p>
    <w:p w14:paraId="4493E139" w14:textId="77777777" w:rsidR="003C62C6" w:rsidRPr="0006238A" w:rsidRDefault="003C62C6" w:rsidP="00CE6C1C">
      <w:pPr>
        <w:pStyle w:val="a6"/>
        <w:numPr>
          <w:ilvl w:val="1"/>
          <w:numId w:val="83"/>
        </w:numPr>
        <w:tabs>
          <w:tab w:val="left" w:pos="0"/>
        </w:tabs>
        <w:spacing w:before="0" w:after="200"/>
        <w:rPr>
          <w:b/>
          <w:szCs w:val="24"/>
        </w:rPr>
      </w:pPr>
      <w:r w:rsidRPr="0006238A">
        <w:rPr>
          <w:rFonts w:eastAsia="GaramondC-Light"/>
          <w:b/>
          <w:color w:val="000000"/>
          <w:szCs w:val="24"/>
        </w:rPr>
        <w:t>Терапия неконтролируемой тошноты и рвоты</w:t>
      </w:r>
    </w:p>
    <w:p w14:paraId="78341C39" w14:textId="77777777" w:rsidR="003C62C6" w:rsidRDefault="003C62C6" w:rsidP="003C62C6">
      <w:pPr>
        <w:tabs>
          <w:tab w:val="left" w:pos="0"/>
        </w:tabs>
        <w:spacing w:before="0" w:after="0"/>
        <w:rPr>
          <w:rFonts w:eastAsia="GaramondC-Light"/>
          <w:color w:val="000000"/>
          <w:szCs w:val="24"/>
        </w:rPr>
      </w:pPr>
      <w:r>
        <w:rPr>
          <w:rFonts w:eastAsia="GaramondC-Light"/>
          <w:color w:val="000000"/>
          <w:szCs w:val="24"/>
        </w:rPr>
        <w:tab/>
      </w:r>
      <w:r w:rsidRPr="0006238A">
        <w:rPr>
          <w:rFonts w:eastAsia="GaramondC-Light"/>
          <w:color w:val="000000"/>
          <w:szCs w:val="24"/>
        </w:rPr>
        <w:t>При возникновении неконтролируемой тошноты и рвоты, несмотря на плановое назначение стандартной для эметогенности данного режима ХТ антиэметической схемы, необходимо исключить причины, не связанные с непосредст</w:t>
      </w:r>
      <w:r>
        <w:rPr>
          <w:rFonts w:eastAsia="GaramondC-Light"/>
          <w:color w:val="000000"/>
          <w:szCs w:val="24"/>
        </w:rPr>
        <w:t xml:space="preserve">венным назначением цитостатиков (патология ЖКТ, электролитные нарушения, гипергликемия, уремия, метастазы в головной мозг, побочное действие опиоидных анальгетиков, психофизиологические причины). </w:t>
      </w:r>
      <w:r w:rsidRPr="0030741F">
        <w:rPr>
          <w:rFonts w:eastAsia="GaramondC-Light"/>
          <w:color w:val="000000"/>
          <w:szCs w:val="24"/>
        </w:rPr>
        <w:t>В случае их исключения необходимо перевести</w:t>
      </w:r>
      <w:r>
        <w:rPr>
          <w:rFonts w:eastAsia="GaramondC-Light"/>
          <w:color w:val="000000"/>
          <w:szCs w:val="24"/>
        </w:rPr>
        <w:t xml:space="preserve"> пациента на схему профилактики</w:t>
      </w:r>
      <w:r w:rsidRPr="0030741F">
        <w:rPr>
          <w:rFonts w:eastAsia="GaramondC-Light"/>
          <w:color w:val="000000"/>
          <w:szCs w:val="24"/>
        </w:rPr>
        <w:t xml:space="preserve"> с низко</w:t>
      </w:r>
      <w:r>
        <w:rPr>
          <w:rFonts w:eastAsia="GaramondC-Light"/>
          <w:color w:val="000000"/>
          <w:szCs w:val="24"/>
        </w:rPr>
        <w:t>-</w:t>
      </w:r>
      <w:r w:rsidRPr="0030741F">
        <w:rPr>
          <w:rFonts w:eastAsia="GaramondC-Light"/>
          <w:color w:val="000000"/>
          <w:szCs w:val="24"/>
        </w:rPr>
        <w:t xml:space="preserve">эметогенного </w:t>
      </w:r>
      <w:r>
        <w:rPr>
          <w:rFonts w:eastAsia="GaramondC-Light"/>
          <w:color w:val="000000"/>
          <w:szCs w:val="24"/>
        </w:rPr>
        <w:t>потенциала на умеренно</w:t>
      </w:r>
      <w:r w:rsidRPr="0030741F">
        <w:rPr>
          <w:rFonts w:eastAsia="GaramondC-Light"/>
          <w:color w:val="000000"/>
          <w:szCs w:val="24"/>
        </w:rPr>
        <w:t>-эметогенный и с умеренно-эметогенного на высоко-эметогенный.</w:t>
      </w:r>
      <w:r>
        <w:rPr>
          <w:rFonts w:eastAsia="GaramondC-Light"/>
          <w:color w:val="000000"/>
          <w:szCs w:val="24"/>
        </w:rPr>
        <w:t xml:space="preserve"> </w:t>
      </w:r>
      <w:r w:rsidRPr="0006238A">
        <w:rPr>
          <w:rFonts w:eastAsia="GaramondC-Light"/>
          <w:color w:val="000000"/>
          <w:szCs w:val="24"/>
        </w:rPr>
        <w:t xml:space="preserve">При возникновении неконтролируемой тошноты и рвоты на фоне стандартных противорвотных схем (без </w:t>
      </w:r>
      <w:r w:rsidRPr="0006238A">
        <w:rPr>
          <w:rFonts w:eastAsia="GaramondC-Light"/>
          <w:color w:val="000000"/>
          <w:szCs w:val="24"/>
        </w:rPr>
        <w:lastRenderedPageBreak/>
        <w:t xml:space="preserve">использования апрепитанта или фосапрепитанта) необходимо при последующих курсах ввести в противорвотный режим апрепитант или фосапрепитант. </w:t>
      </w:r>
    </w:p>
    <w:p w14:paraId="022BB2B8" w14:textId="77777777" w:rsidR="003C62C6" w:rsidRPr="00AE0413" w:rsidRDefault="003C62C6" w:rsidP="003C62C6">
      <w:pPr>
        <w:tabs>
          <w:tab w:val="left" w:pos="0"/>
        </w:tabs>
        <w:spacing w:before="0" w:after="0"/>
        <w:rPr>
          <w:rFonts w:eastAsia="GaramondC-Light"/>
          <w:color w:val="000000"/>
          <w:szCs w:val="24"/>
        </w:rPr>
      </w:pPr>
      <w:r>
        <w:rPr>
          <w:rFonts w:eastAsia="GaramondC-Light"/>
          <w:color w:val="000000"/>
          <w:szCs w:val="24"/>
        </w:rPr>
        <w:tab/>
        <w:t>Р</w:t>
      </w:r>
      <w:r w:rsidRPr="00AE0413">
        <w:rPr>
          <w:rFonts w:eastAsia="GaramondC-Light"/>
          <w:color w:val="000000"/>
          <w:szCs w:val="24"/>
        </w:rPr>
        <w:t>азвитие неконтролируемой или рефрактерной рвоты</w:t>
      </w:r>
      <w:r>
        <w:rPr>
          <w:rFonts w:eastAsia="GaramondC-Light"/>
          <w:color w:val="000000"/>
          <w:szCs w:val="24"/>
        </w:rPr>
        <w:t xml:space="preserve"> может развиться у</w:t>
      </w:r>
      <w:r w:rsidRPr="00AE0413">
        <w:rPr>
          <w:rFonts w:eastAsia="GaramondC-Light"/>
          <w:color w:val="000000"/>
          <w:szCs w:val="24"/>
        </w:rPr>
        <w:t xml:space="preserve"> пациентов с так называемым сверхбыстрым метаболическим фенотипом </w:t>
      </w:r>
      <w:r>
        <w:rPr>
          <w:rFonts w:eastAsia="GaramondC-Light"/>
          <w:color w:val="000000"/>
          <w:szCs w:val="24"/>
        </w:rPr>
        <w:t>(ускоренный метаболизм антагонистов</w:t>
      </w:r>
      <w:r w:rsidRPr="00AE0413">
        <w:rPr>
          <w:rFonts w:eastAsia="GaramondC-Light"/>
          <w:color w:val="000000"/>
          <w:szCs w:val="24"/>
        </w:rPr>
        <w:t xml:space="preserve"> 5-HT3-рецепторов в печени</w:t>
      </w:r>
      <w:r>
        <w:rPr>
          <w:rFonts w:eastAsia="GaramondC-Light"/>
          <w:color w:val="000000"/>
          <w:szCs w:val="24"/>
        </w:rPr>
        <w:t xml:space="preserve">). </w:t>
      </w:r>
      <w:r w:rsidRPr="00AE0413">
        <w:rPr>
          <w:rFonts w:eastAsia="GaramondC-Light"/>
          <w:color w:val="000000"/>
          <w:szCs w:val="24"/>
        </w:rPr>
        <w:t xml:space="preserve">В </w:t>
      </w:r>
      <w:r>
        <w:rPr>
          <w:rFonts w:eastAsia="GaramondC-Light"/>
          <w:color w:val="000000"/>
          <w:szCs w:val="24"/>
        </w:rPr>
        <w:t>таком случае</w:t>
      </w:r>
      <w:r w:rsidRPr="00AE0413">
        <w:rPr>
          <w:rFonts w:eastAsia="GaramondC-Light"/>
          <w:color w:val="000000"/>
          <w:szCs w:val="24"/>
        </w:rPr>
        <w:t xml:space="preserve"> целесообразна смена 5-HT3-блокатора </w:t>
      </w:r>
      <w:r>
        <w:rPr>
          <w:rFonts w:eastAsia="GaramondC-Light"/>
          <w:color w:val="000000"/>
          <w:szCs w:val="24"/>
        </w:rPr>
        <w:t>на другой</w:t>
      </w:r>
      <w:r w:rsidRPr="00AE0413">
        <w:rPr>
          <w:rFonts w:eastAsia="GaramondC-Light"/>
          <w:color w:val="000000"/>
          <w:szCs w:val="24"/>
        </w:rPr>
        <w:t xml:space="preserve"> </w:t>
      </w:r>
      <w:r>
        <w:rPr>
          <w:rFonts w:eastAsia="GaramondC-Light"/>
          <w:color w:val="000000"/>
          <w:szCs w:val="24"/>
        </w:rPr>
        <w:t>антиэметик</w:t>
      </w:r>
      <w:r w:rsidRPr="00AE0413">
        <w:rPr>
          <w:rFonts w:eastAsia="GaramondC-Light"/>
          <w:color w:val="000000"/>
          <w:szCs w:val="24"/>
        </w:rPr>
        <w:t xml:space="preserve"> данного класса препаратов.</w:t>
      </w:r>
    </w:p>
    <w:p w14:paraId="6173E1A2" w14:textId="77777777" w:rsidR="003C62C6" w:rsidRPr="0030741F" w:rsidRDefault="003C62C6" w:rsidP="003C62C6">
      <w:pPr>
        <w:autoSpaceDE w:val="0"/>
        <w:autoSpaceDN w:val="0"/>
        <w:adjustRightInd w:val="0"/>
        <w:spacing w:before="0" w:after="0"/>
        <w:ind w:firstLine="567"/>
        <w:rPr>
          <w:rFonts w:eastAsia="GaramondC-Light"/>
          <w:color w:val="000000"/>
          <w:szCs w:val="24"/>
        </w:rPr>
      </w:pPr>
      <w:r w:rsidRPr="0030741F">
        <w:rPr>
          <w:rFonts w:eastAsia="GaramondC-Light"/>
          <w:color w:val="000000"/>
          <w:szCs w:val="24"/>
        </w:rPr>
        <w:t>Кроме того, следует выполнять ряд общих принципов профилактики и лечения тошноты и рвоты:</w:t>
      </w:r>
    </w:p>
    <w:p w14:paraId="35A3E4D0" w14:textId="77777777" w:rsidR="003C62C6" w:rsidRPr="0030741F" w:rsidRDefault="003C62C6" w:rsidP="00CE6C1C">
      <w:pPr>
        <w:pStyle w:val="a6"/>
        <w:numPr>
          <w:ilvl w:val="0"/>
          <w:numId w:val="76"/>
        </w:numPr>
        <w:autoSpaceDE w:val="0"/>
        <w:autoSpaceDN w:val="0"/>
        <w:adjustRightInd w:val="0"/>
        <w:spacing w:before="0" w:after="0" w:line="288" w:lineRule="auto"/>
        <w:ind w:left="993" w:hanging="426"/>
        <w:rPr>
          <w:rFonts w:eastAsia="GaramondC-Light"/>
          <w:color w:val="000000"/>
          <w:szCs w:val="24"/>
        </w:rPr>
      </w:pPr>
      <w:r w:rsidRPr="0030741F">
        <w:rPr>
          <w:rFonts w:eastAsia="GaramondC-Light"/>
          <w:color w:val="000000"/>
          <w:szCs w:val="24"/>
        </w:rPr>
        <w:t>Назначать антиэметики строго по часам, а не при появлении тошноты или рвоты.</w:t>
      </w:r>
    </w:p>
    <w:p w14:paraId="6B8DCBB0" w14:textId="77777777" w:rsidR="003C62C6" w:rsidRPr="0030741F" w:rsidRDefault="003C62C6" w:rsidP="00CE6C1C">
      <w:pPr>
        <w:pStyle w:val="a6"/>
        <w:numPr>
          <w:ilvl w:val="0"/>
          <w:numId w:val="76"/>
        </w:numPr>
        <w:autoSpaceDE w:val="0"/>
        <w:autoSpaceDN w:val="0"/>
        <w:adjustRightInd w:val="0"/>
        <w:spacing w:before="0" w:after="0" w:line="288" w:lineRule="auto"/>
        <w:ind w:left="993" w:hanging="426"/>
        <w:rPr>
          <w:rFonts w:eastAsia="GaramondC-Light"/>
          <w:color w:val="000000"/>
          <w:szCs w:val="24"/>
        </w:rPr>
      </w:pPr>
      <w:r>
        <w:rPr>
          <w:rFonts w:eastAsia="GaramondC-Light"/>
          <w:color w:val="000000"/>
          <w:szCs w:val="24"/>
        </w:rPr>
        <w:t>Оценивать п</w:t>
      </w:r>
      <w:r w:rsidRPr="0030741F">
        <w:rPr>
          <w:rFonts w:eastAsia="GaramondC-Light"/>
          <w:color w:val="000000"/>
          <w:szCs w:val="24"/>
        </w:rPr>
        <w:t>редпочтительны</w:t>
      </w:r>
      <w:r>
        <w:rPr>
          <w:rFonts w:eastAsia="GaramondC-Light"/>
          <w:color w:val="000000"/>
          <w:szCs w:val="24"/>
        </w:rPr>
        <w:t>й</w:t>
      </w:r>
      <w:r w:rsidRPr="0030741F">
        <w:rPr>
          <w:rFonts w:eastAsia="GaramondC-Light"/>
          <w:color w:val="000000"/>
          <w:szCs w:val="24"/>
        </w:rPr>
        <w:t xml:space="preserve"> путь введения препаратов</w:t>
      </w:r>
      <w:r>
        <w:rPr>
          <w:rFonts w:eastAsia="GaramondC-Light"/>
          <w:color w:val="000000"/>
          <w:szCs w:val="24"/>
        </w:rPr>
        <w:t xml:space="preserve"> (парентерально, </w:t>
      </w:r>
      <w:r w:rsidRPr="0030741F">
        <w:rPr>
          <w:rFonts w:eastAsia="GaramondC-Light"/>
          <w:color w:val="000000"/>
          <w:szCs w:val="24"/>
        </w:rPr>
        <w:t xml:space="preserve">в ректальных </w:t>
      </w:r>
      <w:r>
        <w:rPr>
          <w:rFonts w:eastAsia="GaramondC-Light"/>
          <w:color w:val="000000"/>
          <w:szCs w:val="24"/>
        </w:rPr>
        <w:t>суппозиториях, или внутрь)</w:t>
      </w:r>
      <w:r w:rsidRPr="0030741F">
        <w:rPr>
          <w:rFonts w:eastAsia="GaramondC-Light"/>
          <w:color w:val="000000"/>
          <w:szCs w:val="24"/>
        </w:rPr>
        <w:t xml:space="preserve">. </w:t>
      </w:r>
    </w:p>
    <w:p w14:paraId="39CC0DC2" w14:textId="77777777" w:rsidR="003C62C6" w:rsidRPr="0030741F" w:rsidRDefault="003C62C6" w:rsidP="00CE6C1C">
      <w:pPr>
        <w:pStyle w:val="a6"/>
        <w:numPr>
          <w:ilvl w:val="0"/>
          <w:numId w:val="76"/>
        </w:numPr>
        <w:autoSpaceDE w:val="0"/>
        <w:autoSpaceDN w:val="0"/>
        <w:adjustRightInd w:val="0"/>
        <w:spacing w:before="0" w:after="0" w:line="288" w:lineRule="auto"/>
        <w:ind w:left="993" w:hanging="426"/>
        <w:rPr>
          <w:rFonts w:eastAsia="GaramondC-Light"/>
          <w:color w:val="000000"/>
          <w:szCs w:val="24"/>
        </w:rPr>
      </w:pPr>
      <w:r w:rsidRPr="0030741F">
        <w:rPr>
          <w:rFonts w:eastAsia="GaramondC-Light"/>
          <w:color w:val="000000"/>
          <w:szCs w:val="24"/>
        </w:rPr>
        <w:t>Осуществлять адекватную гидратацию и коррекцию электролитов.</w:t>
      </w:r>
    </w:p>
    <w:p w14:paraId="643897D4" w14:textId="77777777" w:rsidR="003C62C6" w:rsidRPr="0030741F" w:rsidRDefault="003C62C6" w:rsidP="00CE6C1C">
      <w:pPr>
        <w:pStyle w:val="a6"/>
        <w:numPr>
          <w:ilvl w:val="0"/>
          <w:numId w:val="76"/>
        </w:numPr>
        <w:autoSpaceDE w:val="0"/>
        <w:autoSpaceDN w:val="0"/>
        <w:adjustRightInd w:val="0"/>
        <w:spacing w:before="0" w:after="0" w:line="288" w:lineRule="auto"/>
        <w:ind w:left="993" w:hanging="426"/>
        <w:rPr>
          <w:rFonts w:eastAsia="GaramondC-Light"/>
          <w:color w:val="000000"/>
          <w:szCs w:val="24"/>
        </w:rPr>
      </w:pPr>
      <w:r>
        <w:rPr>
          <w:rFonts w:eastAsia="GaramondC-Light"/>
          <w:color w:val="000000"/>
          <w:szCs w:val="24"/>
        </w:rPr>
        <w:t xml:space="preserve">Добавлять при диспепсии </w:t>
      </w:r>
      <w:r w:rsidRPr="0030741F">
        <w:rPr>
          <w:rFonts w:eastAsia="GaramondC-Light"/>
          <w:color w:val="000000"/>
          <w:szCs w:val="24"/>
        </w:rPr>
        <w:t>Н2-блокаторы или блокаторы протонной помпы.</w:t>
      </w:r>
    </w:p>
    <w:p w14:paraId="3B47B227" w14:textId="77777777" w:rsidR="003C62C6" w:rsidRPr="0006238A" w:rsidRDefault="003C62C6" w:rsidP="003C62C6">
      <w:pPr>
        <w:tabs>
          <w:tab w:val="left" w:pos="0"/>
        </w:tabs>
        <w:rPr>
          <w:rFonts w:eastAsia="GaramondC-Light"/>
          <w:color w:val="000000"/>
          <w:szCs w:val="24"/>
        </w:rPr>
      </w:pPr>
      <w:r>
        <w:rPr>
          <w:rFonts w:eastAsia="GaramondC-Light"/>
          <w:color w:val="000000"/>
          <w:szCs w:val="24"/>
        </w:rPr>
        <w:tab/>
      </w:r>
      <w:r w:rsidRPr="0006238A">
        <w:rPr>
          <w:rFonts w:eastAsia="GaramondC-Light"/>
          <w:color w:val="000000"/>
          <w:szCs w:val="24"/>
        </w:rPr>
        <w:t>При возникновении неконтролируемой тошноты и рвоты на фоне трехкомпонентной противорвотной схемы стандартного подхода нет</w:t>
      </w:r>
      <w:r>
        <w:rPr>
          <w:rFonts w:eastAsia="GaramondC-Light"/>
          <w:color w:val="000000"/>
          <w:szCs w:val="24"/>
        </w:rPr>
        <w:t>, с</w:t>
      </w:r>
      <w:r w:rsidRPr="0006238A">
        <w:rPr>
          <w:rFonts w:eastAsia="GaramondC-Light"/>
          <w:color w:val="000000"/>
          <w:szCs w:val="24"/>
        </w:rPr>
        <w:t xml:space="preserve">ледует рассмотреть добавление препаратов иного класса из </w:t>
      </w:r>
      <w:r>
        <w:rPr>
          <w:rFonts w:eastAsia="GaramondC-Light"/>
          <w:color w:val="000000"/>
          <w:szCs w:val="24"/>
        </w:rPr>
        <w:t xml:space="preserve">группы </w:t>
      </w:r>
      <w:r w:rsidRPr="0006238A">
        <w:rPr>
          <w:rFonts w:eastAsia="GaramondC-Light"/>
          <w:color w:val="000000"/>
          <w:szCs w:val="24"/>
        </w:rPr>
        <w:t>резерва:</w:t>
      </w:r>
      <w:r>
        <w:rPr>
          <w:rFonts w:eastAsia="GaramondC-Light"/>
          <w:color w:val="000000"/>
          <w:szCs w:val="24"/>
        </w:rPr>
        <w:t xml:space="preserve"> </w:t>
      </w:r>
    </w:p>
    <w:p w14:paraId="488A59AF" w14:textId="77777777" w:rsidR="003C62C6" w:rsidRPr="00134561" w:rsidRDefault="003C62C6" w:rsidP="003C62C6">
      <w:pPr>
        <w:autoSpaceDE w:val="0"/>
        <w:autoSpaceDN w:val="0"/>
        <w:adjustRightInd w:val="0"/>
        <w:spacing w:after="0" w:line="288" w:lineRule="auto"/>
        <w:rPr>
          <w:rFonts w:eastAsia="GaramondC-Light"/>
          <w:color w:val="000000"/>
          <w:szCs w:val="24"/>
        </w:rPr>
      </w:pPr>
      <w:r>
        <w:rPr>
          <w:rFonts w:eastAsia="GaramondC-Light"/>
          <w:color w:val="000000"/>
          <w:szCs w:val="24"/>
        </w:rPr>
        <w:t xml:space="preserve">1) </w:t>
      </w:r>
      <w:r w:rsidRPr="00134561">
        <w:rPr>
          <w:rFonts w:eastAsia="GaramondC-Light"/>
          <w:color w:val="000000"/>
          <w:szCs w:val="24"/>
        </w:rPr>
        <w:t>бензодиазепины (например, лоразепам по 0,5–2 мг каждые 4–6 ч);</w:t>
      </w:r>
    </w:p>
    <w:p w14:paraId="7E9F6E67" w14:textId="77777777" w:rsidR="003C62C6" w:rsidRPr="00134561" w:rsidRDefault="003C62C6" w:rsidP="003C62C6">
      <w:pPr>
        <w:autoSpaceDE w:val="0"/>
        <w:autoSpaceDN w:val="0"/>
        <w:adjustRightInd w:val="0"/>
        <w:spacing w:after="0" w:line="288" w:lineRule="auto"/>
        <w:rPr>
          <w:rFonts w:eastAsia="GaramondC-Light"/>
          <w:color w:val="000000"/>
          <w:szCs w:val="24"/>
        </w:rPr>
      </w:pPr>
      <w:r>
        <w:rPr>
          <w:rFonts w:eastAsia="GaramondC-Light"/>
          <w:color w:val="000000"/>
          <w:szCs w:val="24"/>
        </w:rPr>
        <w:t xml:space="preserve">2) </w:t>
      </w:r>
      <w:r w:rsidRPr="00134561">
        <w:rPr>
          <w:rFonts w:eastAsia="GaramondC-Light"/>
          <w:color w:val="000000"/>
          <w:szCs w:val="24"/>
        </w:rPr>
        <w:t>блокаторы рецепторов допамина (например, метоклопрамид по 20 мг каждые 6 ч);</w:t>
      </w:r>
    </w:p>
    <w:p w14:paraId="455B71D5" w14:textId="77777777" w:rsidR="003C62C6" w:rsidRPr="00134561" w:rsidRDefault="003C62C6" w:rsidP="003C62C6">
      <w:pPr>
        <w:autoSpaceDE w:val="0"/>
        <w:autoSpaceDN w:val="0"/>
        <w:adjustRightInd w:val="0"/>
        <w:spacing w:after="0" w:line="288" w:lineRule="auto"/>
        <w:rPr>
          <w:rFonts w:eastAsia="GaramondC-Light"/>
          <w:color w:val="000000"/>
          <w:szCs w:val="24"/>
        </w:rPr>
      </w:pPr>
      <w:r>
        <w:rPr>
          <w:rFonts w:eastAsia="GaramondC-Light"/>
          <w:color w:val="000000"/>
          <w:szCs w:val="24"/>
        </w:rPr>
        <w:t xml:space="preserve">3) </w:t>
      </w:r>
      <w:r w:rsidRPr="00134561">
        <w:rPr>
          <w:rFonts w:eastAsia="GaramondC-Light"/>
          <w:color w:val="000000"/>
          <w:szCs w:val="24"/>
        </w:rPr>
        <w:t>фенотиазины (например, аминазин 25 мг 4 раза в сутки);</w:t>
      </w:r>
    </w:p>
    <w:p w14:paraId="602AE15A" w14:textId="77777777" w:rsidR="003C62C6" w:rsidRPr="00134561" w:rsidRDefault="003C62C6" w:rsidP="003C62C6">
      <w:pPr>
        <w:autoSpaceDE w:val="0"/>
        <w:autoSpaceDN w:val="0"/>
        <w:adjustRightInd w:val="0"/>
        <w:spacing w:after="0" w:line="288" w:lineRule="auto"/>
        <w:rPr>
          <w:rFonts w:eastAsia="GaramondC-Light"/>
          <w:color w:val="000000"/>
          <w:szCs w:val="24"/>
        </w:rPr>
      </w:pPr>
      <w:r>
        <w:rPr>
          <w:rFonts w:eastAsia="GaramondC-Light"/>
          <w:color w:val="000000"/>
          <w:szCs w:val="24"/>
        </w:rPr>
        <w:t xml:space="preserve">4) </w:t>
      </w:r>
      <w:r w:rsidRPr="00134561">
        <w:rPr>
          <w:rFonts w:eastAsia="GaramondC-Light"/>
          <w:color w:val="000000"/>
          <w:szCs w:val="24"/>
        </w:rPr>
        <w:t>бутирофеноны (например, галоперидол 1–2 мг каждые 4–6 ч).</w:t>
      </w:r>
    </w:p>
    <w:p w14:paraId="67FE80C1" w14:textId="77777777" w:rsidR="003C62C6" w:rsidRPr="0030741F" w:rsidRDefault="003C62C6" w:rsidP="003C62C6">
      <w:pPr>
        <w:autoSpaceDE w:val="0"/>
        <w:autoSpaceDN w:val="0"/>
        <w:adjustRightInd w:val="0"/>
        <w:spacing w:after="0"/>
        <w:ind w:firstLine="567"/>
        <w:rPr>
          <w:rFonts w:eastAsia="GaramondC-Light"/>
          <w:color w:val="000000"/>
          <w:szCs w:val="24"/>
        </w:rPr>
      </w:pPr>
      <w:r w:rsidRPr="0030741F">
        <w:rPr>
          <w:rFonts w:eastAsia="GaramondC-Light"/>
          <w:color w:val="000000"/>
          <w:szCs w:val="24"/>
        </w:rPr>
        <w:t>Возможно также использование альтернативного варианта профилактики тошноты и рвоты:</w:t>
      </w:r>
    </w:p>
    <w:p w14:paraId="299E5FA8" w14:textId="77777777" w:rsidR="003C62C6" w:rsidRPr="0030741F" w:rsidRDefault="003C62C6" w:rsidP="00CE6C1C">
      <w:pPr>
        <w:pStyle w:val="a6"/>
        <w:numPr>
          <w:ilvl w:val="0"/>
          <w:numId w:val="77"/>
        </w:numPr>
        <w:autoSpaceDE w:val="0"/>
        <w:autoSpaceDN w:val="0"/>
        <w:adjustRightInd w:val="0"/>
        <w:spacing w:before="0" w:after="0" w:line="288" w:lineRule="auto"/>
        <w:ind w:left="993" w:hanging="426"/>
        <w:rPr>
          <w:rFonts w:eastAsia="GaramondC-Light"/>
          <w:color w:val="000000"/>
          <w:szCs w:val="24"/>
        </w:rPr>
      </w:pPr>
      <w:r w:rsidRPr="0030741F">
        <w:rPr>
          <w:rFonts w:eastAsia="GaramondC-Light"/>
          <w:color w:val="000000"/>
          <w:szCs w:val="24"/>
        </w:rPr>
        <w:t>оланзапин 5–10 мг в сутки внутрь с 1 по 3 дни;</w:t>
      </w:r>
    </w:p>
    <w:p w14:paraId="3BC866F4" w14:textId="77777777" w:rsidR="003C62C6" w:rsidRPr="0030741F" w:rsidRDefault="003C62C6" w:rsidP="00CE6C1C">
      <w:pPr>
        <w:pStyle w:val="a6"/>
        <w:numPr>
          <w:ilvl w:val="0"/>
          <w:numId w:val="77"/>
        </w:numPr>
        <w:autoSpaceDE w:val="0"/>
        <w:autoSpaceDN w:val="0"/>
        <w:adjustRightInd w:val="0"/>
        <w:spacing w:before="0" w:after="0" w:line="288" w:lineRule="auto"/>
        <w:ind w:left="993" w:hanging="426"/>
        <w:rPr>
          <w:rFonts w:eastAsia="GaramondC-Light"/>
          <w:color w:val="000000"/>
          <w:szCs w:val="24"/>
        </w:rPr>
      </w:pPr>
      <w:r w:rsidRPr="0030741F">
        <w:rPr>
          <w:rFonts w:eastAsia="GaramondC-Light"/>
          <w:color w:val="000000"/>
          <w:szCs w:val="24"/>
        </w:rPr>
        <w:t>палоносетрон 0,25 мг в/в за 60 минут до ХТ в 1 день однократно;</w:t>
      </w:r>
    </w:p>
    <w:p w14:paraId="12227DF4" w14:textId="77777777" w:rsidR="003C62C6" w:rsidRPr="0030741F" w:rsidRDefault="003C62C6" w:rsidP="00CE6C1C">
      <w:pPr>
        <w:pStyle w:val="a6"/>
        <w:numPr>
          <w:ilvl w:val="0"/>
          <w:numId w:val="77"/>
        </w:numPr>
        <w:autoSpaceDE w:val="0"/>
        <w:autoSpaceDN w:val="0"/>
        <w:adjustRightInd w:val="0"/>
        <w:spacing w:before="0" w:after="0" w:line="288" w:lineRule="auto"/>
        <w:ind w:left="993" w:hanging="426"/>
        <w:rPr>
          <w:rFonts w:eastAsia="GaramondC-Light"/>
          <w:color w:val="000000"/>
          <w:szCs w:val="24"/>
        </w:rPr>
      </w:pPr>
      <w:r w:rsidRPr="0030741F">
        <w:rPr>
          <w:rFonts w:eastAsia="GaramondC-Light"/>
          <w:color w:val="000000"/>
          <w:szCs w:val="24"/>
        </w:rPr>
        <w:t>дексаметазон 20 мг в/в за 30 минут до ХТ в 1 день.</w:t>
      </w:r>
    </w:p>
    <w:p w14:paraId="42B12677" w14:textId="77777777" w:rsidR="003C62C6" w:rsidRDefault="003C62C6" w:rsidP="00CE6C1C">
      <w:pPr>
        <w:pStyle w:val="a6"/>
        <w:numPr>
          <w:ilvl w:val="1"/>
          <w:numId w:val="83"/>
        </w:numPr>
        <w:autoSpaceDE w:val="0"/>
        <w:autoSpaceDN w:val="0"/>
        <w:adjustRightInd w:val="0"/>
        <w:spacing w:before="0" w:after="200" w:line="276" w:lineRule="auto"/>
        <w:rPr>
          <w:rFonts w:eastAsia="GaramondC-Light"/>
          <w:b/>
          <w:color w:val="000000"/>
          <w:szCs w:val="24"/>
        </w:rPr>
      </w:pPr>
      <w:r w:rsidRPr="0030741F">
        <w:rPr>
          <w:rFonts w:eastAsia="GaramondC-Light"/>
          <w:b/>
          <w:color w:val="000000"/>
          <w:szCs w:val="24"/>
        </w:rPr>
        <w:t>Профилактика и терапия условно-рефлекторной рвоты</w:t>
      </w:r>
    </w:p>
    <w:p w14:paraId="211D8CCF" w14:textId="77777777" w:rsidR="003C62C6" w:rsidRDefault="003C62C6" w:rsidP="003C62C6">
      <w:pPr>
        <w:autoSpaceDE w:val="0"/>
        <w:autoSpaceDN w:val="0"/>
        <w:adjustRightInd w:val="0"/>
        <w:ind w:firstLine="708"/>
        <w:rPr>
          <w:rFonts w:eastAsia="GaramondC-Light"/>
          <w:color w:val="000000"/>
          <w:szCs w:val="24"/>
        </w:rPr>
      </w:pPr>
      <w:r w:rsidRPr="00B01492">
        <w:rPr>
          <w:rFonts w:eastAsia="GaramondC-Light"/>
          <w:color w:val="000000"/>
          <w:szCs w:val="24"/>
        </w:rPr>
        <w:t>Для профилактики и лечения условно-рефлекторной тошноты и рвоты, в первую очередь, важна оптимальная профилактика тошноты и рвоты в каждом цикле ХТ. Также, с учетом психогенного механизма, применяют бензодиазепины (например, лоразепам по 0,5-2 мг на ночь накануне и утром перед ХТ), и нефармакологические методы – психотерапия, гипноз, системная десенсибилизация.</w:t>
      </w:r>
    </w:p>
    <w:p w14:paraId="3B82E70C" w14:textId="4BFAB76A" w:rsidR="003C62C6" w:rsidRPr="007F5246" w:rsidRDefault="003C62C6" w:rsidP="003C62C6">
      <w:pPr>
        <w:pStyle w:val="Normal1"/>
        <w:tabs>
          <w:tab w:val="left" w:pos="0"/>
        </w:tabs>
        <w:spacing w:line="360" w:lineRule="auto"/>
        <w:jc w:val="center"/>
        <w:rPr>
          <w:rFonts w:cs="Times New Roman"/>
          <w:b/>
          <w:shd w:val="clear" w:color="auto" w:fill="FFFFFF"/>
        </w:rPr>
      </w:pPr>
      <w:r>
        <w:rPr>
          <w:rFonts w:cs="Times New Roman"/>
          <w:b/>
          <w:shd w:val="clear" w:color="auto" w:fill="FFFFFF"/>
        </w:rPr>
        <w:t xml:space="preserve">Таблица 4. </w:t>
      </w:r>
      <w:r w:rsidRPr="007F5246">
        <w:rPr>
          <w:rFonts w:cs="Times New Roman"/>
          <w:b/>
          <w:shd w:val="clear" w:color="auto" w:fill="FFFFFF"/>
        </w:rPr>
        <w:t xml:space="preserve">Эметогенный потенциал противоопухолевых </w:t>
      </w:r>
      <w:r w:rsidRPr="0046237C">
        <w:rPr>
          <w:rFonts w:cs="Times New Roman"/>
          <w:b/>
          <w:shd w:val="clear" w:color="auto" w:fill="FFFFFF"/>
        </w:rPr>
        <w:t>препаратов.</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4820"/>
        <w:gridCol w:w="2942"/>
      </w:tblGrid>
      <w:tr w:rsidR="003C62C6" w14:paraId="26B27F71" w14:textId="77777777" w:rsidTr="00F93ED8">
        <w:tc>
          <w:tcPr>
            <w:tcW w:w="1799" w:type="dxa"/>
          </w:tcPr>
          <w:p w14:paraId="27E68789" w14:textId="77777777" w:rsidR="003C62C6" w:rsidRPr="00DE20E4" w:rsidRDefault="003C62C6" w:rsidP="008372B8">
            <w:pPr>
              <w:pStyle w:val="Normal1"/>
              <w:shd w:val="clear" w:color="auto" w:fill="auto"/>
              <w:tabs>
                <w:tab w:val="left" w:pos="0"/>
              </w:tabs>
              <w:spacing w:line="360" w:lineRule="auto"/>
              <w:ind w:left="0" w:firstLine="0"/>
              <w:jc w:val="both"/>
              <w:rPr>
                <w:rFonts w:cs="Times New Roman"/>
                <w:b/>
                <w:sz w:val="22"/>
                <w:szCs w:val="22"/>
                <w:shd w:val="clear" w:color="auto" w:fill="FFFFFF"/>
              </w:rPr>
            </w:pPr>
            <w:r w:rsidRPr="00DE20E4">
              <w:rPr>
                <w:rFonts w:cs="Times New Roman"/>
                <w:b/>
                <w:sz w:val="22"/>
                <w:szCs w:val="22"/>
                <w:shd w:val="clear" w:color="auto" w:fill="FFFFFF"/>
              </w:rPr>
              <w:t xml:space="preserve">Уровень </w:t>
            </w:r>
            <w:r w:rsidRPr="00DE20E4">
              <w:rPr>
                <w:rFonts w:cs="Times New Roman"/>
                <w:b/>
                <w:sz w:val="22"/>
                <w:szCs w:val="22"/>
                <w:shd w:val="clear" w:color="auto" w:fill="FFFFFF"/>
              </w:rPr>
              <w:lastRenderedPageBreak/>
              <w:t>эметогенности</w:t>
            </w:r>
          </w:p>
        </w:tc>
        <w:tc>
          <w:tcPr>
            <w:tcW w:w="4820" w:type="dxa"/>
          </w:tcPr>
          <w:p w14:paraId="51EA53E2" w14:textId="77777777" w:rsidR="003C62C6" w:rsidRPr="00DE20E4" w:rsidRDefault="003C62C6" w:rsidP="008372B8">
            <w:pPr>
              <w:pStyle w:val="Normal1"/>
              <w:shd w:val="clear" w:color="auto" w:fill="auto"/>
              <w:tabs>
                <w:tab w:val="left" w:pos="0"/>
              </w:tabs>
              <w:spacing w:line="360" w:lineRule="auto"/>
              <w:ind w:left="0" w:firstLine="0"/>
              <w:jc w:val="both"/>
              <w:rPr>
                <w:rFonts w:cs="Times New Roman"/>
                <w:b/>
                <w:sz w:val="22"/>
                <w:szCs w:val="22"/>
                <w:shd w:val="clear" w:color="auto" w:fill="FFFFFF"/>
              </w:rPr>
            </w:pPr>
            <w:r w:rsidRPr="00DE20E4">
              <w:rPr>
                <w:rFonts w:cs="Times New Roman"/>
                <w:b/>
                <w:sz w:val="22"/>
                <w:szCs w:val="22"/>
                <w:shd w:val="clear" w:color="auto" w:fill="FFFFFF"/>
              </w:rPr>
              <w:lastRenderedPageBreak/>
              <w:t xml:space="preserve">Противоопухолевые препараты для </w:t>
            </w:r>
            <w:r w:rsidRPr="00DE20E4">
              <w:rPr>
                <w:rFonts w:cs="Times New Roman"/>
                <w:b/>
                <w:sz w:val="22"/>
                <w:szCs w:val="22"/>
                <w:shd w:val="clear" w:color="auto" w:fill="FFFFFF"/>
              </w:rPr>
              <w:lastRenderedPageBreak/>
              <w:t>внутривенного введения</w:t>
            </w:r>
          </w:p>
        </w:tc>
        <w:tc>
          <w:tcPr>
            <w:tcW w:w="2942" w:type="dxa"/>
          </w:tcPr>
          <w:p w14:paraId="25A0D906" w14:textId="77777777" w:rsidR="003C62C6" w:rsidRPr="00DE20E4" w:rsidRDefault="003C62C6" w:rsidP="008372B8">
            <w:pPr>
              <w:pStyle w:val="Normal1"/>
              <w:shd w:val="clear" w:color="auto" w:fill="auto"/>
              <w:tabs>
                <w:tab w:val="left" w:pos="0"/>
              </w:tabs>
              <w:spacing w:line="360" w:lineRule="auto"/>
              <w:ind w:left="0" w:firstLine="0"/>
              <w:jc w:val="both"/>
              <w:rPr>
                <w:rFonts w:cs="Times New Roman"/>
                <w:b/>
                <w:sz w:val="22"/>
                <w:szCs w:val="22"/>
                <w:shd w:val="clear" w:color="auto" w:fill="FFFFFF"/>
              </w:rPr>
            </w:pPr>
            <w:r w:rsidRPr="00DE20E4">
              <w:rPr>
                <w:rFonts w:cs="Times New Roman"/>
                <w:b/>
                <w:sz w:val="22"/>
                <w:szCs w:val="22"/>
                <w:shd w:val="clear" w:color="auto" w:fill="FFFFFF"/>
              </w:rPr>
              <w:lastRenderedPageBreak/>
              <w:t xml:space="preserve">Противоопухолевые </w:t>
            </w:r>
            <w:r w:rsidRPr="00DE20E4">
              <w:rPr>
                <w:rFonts w:cs="Times New Roman"/>
                <w:b/>
                <w:sz w:val="22"/>
                <w:szCs w:val="22"/>
                <w:shd w:val="clear" w:color="auto" w:fill="FFFFFF"/>
              </w:rPr>
              <w:lastRenderedPageBreak/>
              <w:t xml:space="preserve">препараты для перорального приема </w:t>
            </w:r>
          </w:p>
        </w:tc>
      </w:tr>
      <w:tr w:rsidR="003C62C6" w14:paraId="60452358" w14:textId="77777777" w:rsidTr="00F93ED8">
        <w:tc>
          <w:tcPr>
            <w:tcW w:w="1799" w:type="dxa"/>
          </w:tcPr>
          <w:p w14:paraId="28CFD7BC" w14:textId="77777777" w:rsidR="003C62C6" w:rsidRDefault="003C62C6" w:rsidP="008372B8">
            <w:pPr>
              <w:pStyle w:val="Normal1"/>
              <w:shd w:val="clear" w:color="auto" w:fill="auto"/>
              <w:tabs>
                <w:tab w:val="left" w:pos="0"/>
              </w:tabs>
              <w:spacing w:line="360" w:lineRule="auto"/>
              <w:ind w:left="0" w:firstLine="0"/>
              <w:jc w:val="both"/>
              <w:rPr>
                <w:sz w:val="22"/>
                <w:szCs w:val="22"/>
              </w:rPr>
            </w:pPr>
            <w:r w:rsidRPr="00DE20E4">
              <w:rPr>
                <w:sz w:val="22"/>
                <w:szCs w:val="22"/>
              </w:rPr>
              <w:lastRenderedPageBreak/>
              <w:t xml:space="preserve">Высокий </w:t>
            </w:r>
          </w:p>
          <w:p w14:paraId="48941E4A" w14:textId="77777777" w:rsidR="003C62C6" w:rsidRPr="00DE20E4" w:rsidRDefault="003C62C6" w:rsidP="008372B8">
            <w:pPr>
              <w:pStyle w:val="Normal1"/>
              <w:shd w:val="clear" w:color="auto" w:fill="auto"/>
              <w:tabs>
                <w:tab w:val="left" w:pos="0"/>
              </w:tabs>
              <w:spacing w:line="360" w:lineRule="auto"/>
              <w:ind w:left="0" w:firstLine="0"/>
              <w:jc w:val="both"/>
              <w:rPr>
                <w:rFonts w:cs="Times New Roman"/>
                <w:sz w:val="22"/>
                <w:szCs w:val="22"/>
                <w:shd w:val="clear" w:color="auto" w:fill="FFFFFF"/>
              </w:rPr>
            </w:pPr>
            <w:r w:rsidRPr="00DE20E4">
              <w:rPr>
                <w:sz w:val="22"/>
                <w:szCs w:val="22"/>
              </w:rPr>
              <w:t>(</w:t>
            </w:r>
            <w:r w:rsidRPr="00DE20E4">
              <w:rPr>
                <w:rFonts w:cs="Times New Roman"/>
                <w:sz w:val="22"/>
                <w:szCs w:val="22"/>
                <w:shd w:val="clear" w:color="auto" w:fill="FFFFFF"/>
              </w:rPr>
              <w:t>&gt;</w:t>
            </w:r>
            <w:r>
              <w:rPr>
                <w:sz w:val="22"/>
                <w:szCs w:val="22"/>
              </w:rPr>
              <w:t>90 %</w:t>
            </w:r>
            <w:r w:rsidRPr="00DE20E4">
              <w:rPr>
                <w:sz w:val="22"/>
                <w:szCs w:val="22"/>
              </w:rPr>
              <w:t>)</w:t>
            </w:r>
          </w:p>
        </w:tc>
        <w:tc>
          <w:tcPr>
            <w:tcW w:w="4820" w:type="dxa"/>
          </w:tcPr>
          <w:p w14:paraId="755AD24C" w14:textId="77777777" w:rsidR="003C62C6" w:rsidRPr="00DE20E4" w:rsidRDefault="003C62C6" w:rsidP="00CE6C1C">
            <w:pPr>
              <w:pStyle w:val="Normal1"/>
              <w:numPr>
                <w:ilvl w:val="0"/>
                <w:numId w:val="84"/>
              </w:numPr>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 xml:space="preserve">комбинация антрациклин / циклофосфамид </w:t>
            </w:r>
          </w:p>
          <w:p w14:paraId="3842B083" w14:textId="77777777" w:rsidR="003C62C6" w:rsidRPr="00DE20E4" w:rsidRDefault="003C62C6" w:rsidP="00CE6C1C">
            <w:pPr>
              <w:pStyle w:val="Normal1"/>
              <w:numPr>
                <w:ilvl w:val="0"/>
                <w:numId w:val="84"/>
              </w:numPr>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дакарбазин</w:t>
            </w:r>
          </w:p>
          <w:p w14:paraId="717A51A7" w14:textId="77777777" w:rsidR="003C62C6" w:rsidRPr="00DE20E4" w:rsidRDefault="003C62C6" w:rsidP="00CE6C1C">
            <w:pPr>
              <w:pStyle w:val="Normal1"/>
              <w:numPr>
                <w:ilvl w:val="0"/>
                <w:numId w:val="84"/>
              </w:numPr>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кармустин</w:t>
            </w:r>
          </w:p>
          <w:p w14:paraId="6EB6D1DA" w14:textId="3D6397F4" w:rsidR="003C62C6" w:rsidRPr="00DE20E4" w:rsidRDefault="003C62C6" w:rsidP="00CE6C1C">
            <w:pPr>
              <w:pStyle w:val="Normal1"/>
              <w:numPr>
                <w:ilvl w:val="0"/>
                <w:numId w:val="84"/>
              </w:numPr>
              <w:tabs>
                <w:tab w:val="left" w:pos="0"/>
              </w:tabs>
              <w:spacing w:line="360" w:lineRule="auto"/>
              <w:jc w:val="both"/>
              <w:rPr>
                <w:rFonts w:cs="Times New Roman"/>
                <w:sz w:val="22"/>
                <w:szCs w:val="22"/>
                <w:shd w:val="clear" w:color="auto" w:fill="FFFFFF"/>
              </w:rPr>
            </w:pPr>
            <w:r>
              <w:rPr>
                <w:rFonts w:cs="Times New Roman"/>
                <w:sz w:val="22"/>
                <w:szCs w:val="22"/>
                <w:shd w:val="clear" w:color="auto" w:fill="FFFFFF"/>
              </w:rPr>
              <w:t>алкеран</w:t>
            </w:r>
          </w:p>
          <w:p w14:paraId="769D7F12" w14:textId="77777777" w:rsidR="003C62C6" w:rsidRPr="00DE20E4" w:rsidRDefault="003C62C6" w:rsidP="00CE6C1C">
            <w:pPr>
              <w:pStyle w:val="Normal1"/>
              <w:numPr>
                <w:ilvl w:val="0"/>
                <w:numId w:val="84"/>
              </w:numPr>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циклофосфамид ≥ 1500 мг / м2</w:t>
            </w:r>
          </w:p>
          <w:p w14:paraId="1320BE84" w14:textId="77777777" w:rsidR="003C62C6" w:rsidRPr="00DE20E4" w:rsidRDefault="003C62C6" w:rsidP="00CE6C1C">
            <w:pPr>
              <w:pStyle w:val="Normal1"/>
              <w:numPr>
                <w:ilvl w:val="0"/>
                <w:numId w:val="84"/>
              </w:numPr>
              <w:shd w:val="clear" w:color="auto" w:fill="auto"/>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цисплатин</w:t>
            </w:r>
          </w:p>
        </w:tc>
        <w:tc>
          <w:tcPr>
            <w:tcW w:w="2942" w:type="dxa"/>
          </w:tcPr>
          <w:p w14:paraId="6A3993DC" w14:textId="77777777" w:rsidR="003C62C6" w:rsidRPr="00DE20E4" w:rsidRDefault="003C62C6" w:rsidP="00CE6C1C">
            <w:pPr>
              <w:pStyle w:val="Normal1"/>
              <w:numPr>
                <w:ilvl w:val="0"/>
                <w:numId w:val="84"/>
              </w:numPr>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гексаметилмеламин</w:t>
            </w:r>
          </w:p>
          <w:p w14:paraId="3DEA4AD2" w14:textId="77777777" w:rsidR="003C62C6" w:rsidRPr="00DE20E4" w:rsidRDefault="003C62C6" w:rsidP="00CE6C1C">
            <w:pPr>
              <w:pStyle w:val="Normal1"/>
              <w:numPr>
                <w:ilvl w:val="0"/>
                <w:numId w:val="84"/>
              </w:numPr>
              <w:shd w:val="clear" w:color="auto" w:fill="auto"/>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прокарбазин</w:t>
            </w:r>
          </w:p>
        </w:tc>
      </w:tr>
      <w:tr w:rsidR="003C62C6" w14:paraId="7690A9EE" w14:textId="77777777" w:rsidTr="00F93ED8">
        <w:tc>
          <w:tcPr>
            <w:tcW w:w="1799" w:type="dxa"/>
          </w:tcPr>
          <w:p w14:paraId="5769C4A1" w14:textId="77777777" w:rsidR="003C62C6" w:rsidRPr="00DE20E4" w:rsidRDefault="003C62C6" w:rsidP="008372B8">
            <w:pPr>
              <w:pStyle w:val="Normal1"/>
              <w:shd w:val="clear" w:color="auto" w:fill="auto"/>
              <w:tabs>
                <w:tab w:val="left" w:pos="0"/>
              </w:tabs>
              <w:spacing w:line="360" w:lineRule="auto"/>
              <w:ind w:left="0" w:firstLine="0"/>
              <w:jc w:val="both"/>
              <w:rPr>
                <w:rFonts w:cs="Times New Roman"/>
                <w:sz w:val="22"/>
                <w:szCs w:val="22"/>
                <w:shd w:val="clear" w:color="auto" w:fill="FFFFFF"/>
              </w:rPr>
            </w:pPr>
            <w:r w:rsidRPr="00DE20E4">
              <w:rPr>
                <w:sz w:val="22"/>
                <w:szCs w:val="22"/>
              </w:rPr>
              <w:t>Умеренный (30–90 %)</w:t>
            </w:r>
          </w:p>
        </w:tc>
        <w:tc>
          <w:tcPr>
            <w:tcW w:w="4820" w:type="dxa"/>
          </w:tcPr>
          <w:p w14:paraId="70B0B1FB" w14:textId="77777777" w:rsidR="003C62C6" w:rsidRPr="00DE20E4" w:rsidRDefault="003C62C6" w:rsidP="00CE6C1C">
            <w:pPr>
              <w:pStyle w:val="Normal1"/>
              <w:numPr>
                <w:ilvl w:val="0"/>
                <w:numId w:val="85"/>
              </w:numPr>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бендамустин</w:t>
            </w:r>
          </w:p>
          <w:p w14:paraId="45A8E883" w14:textId="77777777" w:rsidR="003C62C6" w:rsidRPr="00DE20E4" w:rsidRDefault="003C62C6" w:rsidP="00CE6C1C">
            <w:pPr>
              <w:pStyle w:val="Normal1"/>
              <w:numPr>
                <w:ilvl w:val="0"/>
                <w:numId w:val="85"/>
              </w:numPr>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бусульфан</w:t>
            </w:r>
          </w:p>
          <w:p w14:paraId="467C5456" w14:textId="77777777" w:rsidR="003C62C6" w:rsidRPr="00DE20E4" w:rsidRDefault="003C62C6" w:rsidP="00CE6C1C">
            <w:pPr>
              <w:pStyle w:val="Normal1"/>
              <w:numPr>
                <w:ilvl w:val="0"/>
                <w:numId w:val="85"/>
              </w:numPr>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доксорубицин</w:t>
            </w:r>
          </w:p>
          <w:p w14:paraId="5C2A980D" w14:textId="77777777" w:rsidR="003C62C6" w:rsidRPr="00DE20E4" w:rsidRDefault="003C62C6" w:rsidP="00CE6C1C">
            <w:pPr>
              <w:pStyle w:val="Normal1"/>
              <w:numPr>
                <w:ilvl w:val="0"/>
                <w:numId w:val="85"/>
              </w:numPr>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ифосфамид</w:t>
            </w:r>
          </w:p>
          <w:p w14:paraId="69181172" w14:textId="77777777" w:rsidR="003C62C6" w:rsidRPr="00DE20E4" w:rsidRDefault="003C62C6" w:rsidP="00CE6C1C">
            <w:pPr>
              <w:pStyle w:val="Normal1"/>
              <w:numPr>
                <w:ilvl w:val="0"/>
                <w:numId w:val="85"/>
              </w:numPr>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карбоплатин</w:t>
            </w:r>
          </w:p>
          <w:p w14:paraId="28D92BFE" w14:textId="77777777" w:rsidR="003C62C6" w:rsidRPr="00DE20E4" w:rsidRDefault="003C62C6" w:rsidP="00CE6C1C">
            <w:pPr>
              <w:pStyle w:val="Normal1"/>
              <w:numPr>
                <w:ilvl w:val="0"/>
                <w:numId w:val="85"/>
              </w:numPr>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циклофосфамид &lt;1500 мг / м2</w:t>
            </w:r>
          </w:p>
          <w:p w14:paraId="2E798837" w14:textId="77777777" w:rsidR="003C62C6" w:rsidRPr="00DE20E4" w:rsidRDefault="003C62C6" w:rsidP="00CE6C1C">
            <w:pPr>
              <w:pStyle w:val="Normal1"/>
              <w:numPr>
                <w:ilvl w:val="0"/>
                <w:numId w:val="85"/>
              </w:numPr>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цитарабин</w:t>
            </w:r>
            <w:r>
              <w:rPr>
                <w:rFonts w:cs="Times New Roman"/>
                <w:sz w:val="22"/>
                <w:szCs w:val="22"/>
                <w:shd w:val="clear" w:color="auto" w:fill="FFFFFF"/>
              </w:rPr>
              <w:t xml:space="preserve"> </w:t>
            </w:r>
            <w:r w:rsidRPr="00DE20E4">
              <w:rPr>
                <w:rFonts w:cs="Times New Roman"/>
                <w:sz w:val="22"/>
                <w:szCs w:val="22"/>
                <w:shd w:val="clear" w:color="auto" w:fill="FFFFFF"/>
              </w:rPr>
              <w:t>&gt;1000 мг / м2</w:t>
            </w:r>
          </w:p>
          <w:p w14:paraId="076B70C3" w14:textId="30C93D77" w:rsidR="003C62C6" w:rsidRPr="00DE20E4" w:rsidRDefault="003C62C6" w:rsidP="00CE6C1C">
            <w:pPr>
              <w:pStyle w:val="Normal1"/>
              <w:numPr>
                <w:ilvl w:val="0"/>
                <w:numId w:val="85"/>
              </w:numPr>
              <w:shd w:val="clear" w:color="auto" w:fill="auto"/>
              <w:tabs>
                <w:tab w:val="left" w:pos="0"/>
              </w:tabs>
              <w:spacing w:line="360" w:lineRule="auto"/>
              <w:jc w:val="both"/>
              <w:rPr>
                <w:rFonts w:cs="Times New Roman"/>
                <w:sz w:val="22"/>
                <w:szCs w:val="22"/>
                <w:shd w:val="clear" w:color="auto" w:fill="FFFFFF"/>
              </w:rPr>
            </w:pPr>
          </w:p>
        </w:tc>
        <w:tc>
          <w:tcPr>
            <w:tcW w:w="2942" w:type="dxa"/>
          </w:tcPr>
          <w:p w14:paraId="2D6E2BBD" w14:textId="77777777" w:rsidR="003C62C6" w:rsidRPr="00DE20E4" w:rsidRDefault="003C62C6" w:rsidP="00CE6C1C">
            <w:pPr>
              <w:pStyle w:val="Normal1"/>
              <w:numPr>
                <w:ilvl w:val="0"/>
                <w:numId w:val="85"/>
              </w:numPr>
              <w:shd w:val="clear" w:color="auto" w:fill="auto"/>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циклофосфамид</w:t>
            </w:r>
          </w:p>
        </w:tc>
      </w:tr>
      <w:tr w:rsidR="003C62C6" w14:paraId="786080E6" w14:textId="77777777" w:rsidTr="00F93ED8">
        <w:tc>
          <w:tcPr>
            <w:tcW w:w="1799" w:type="dxa"/>
          </w:tcPr>
          <w:p w14:paraId="26D3F91D" w14:textId="77777777" w:rsidR="003C62C6" w:rsidRDefault="003C62C6" w:rsidP="008372B8">
            <w:pPr>
              <w:pStyle w:val="Normal1"/>
              <w:shd w:val="clear" w:color="auto" w:fill="auto"/>
              <w:tabs>
                <w:tab w:val="left" w:pos="0"/>
              </w:tabs>
              <w:spacing w:line="360" w:lineRule="auto"/>
              <w:ind w:left="0" w:firstLine="0"/>
              <w:jc w:val="both"/>
              <w:rPr>
                <w:sz w:val="22"/>
                <w:szCs w:val="22"/>
              </w:rPr>
            </w:pPr>
            <w:r w:rsidRPr="00DE20E4">
              <w:rPr>
                <w:sz w:val="22"/>
                <w:szCs w:val="22"/>
              </w:rPr>
              <w:t xml:space="preserve">Низкий </w:t>
            </w:r>
          </w:p>
          <w:p w14:paraId="2D08855C" w14:textId="77777777" w:rsidR="003C62C6" w:rsidRPr="00DE20E4" w:rsidRDefault="003C62C6" w:rsidP="008372B8">
            <w:pPr>
              <w:pStyle w:val="Normal1"/>
              <w:shd w:val="clear" w:color="auto" w:fill="auto"/>
              <w:tabs>
                <w:tab w:val="left" w:pos="0"/>
              </w:tabs>
              <w:spacing w:line="360" w:lineRule="auto"/>
              <w:ind w:left="0" w:firstLine="0"/>
              <w:jc w:val="both"/>
              <w:rPr>
                <w:rFonts w:cs="Times New Roman"/>
                <w:sz w:val="22"/>
                <w:szCs w:val="22"/>
                <w:shd w:val="clear" w:color="auto" w:fill="FFFFFF"/>
              </w:rPr>
            </w:pPr>
            <w:r w:rsidRPr="00DE20E4">
              <w:rPr>
                <w:sz w:val="22"/>
                <w:szCs w:val="22"/>
              </w:rPr>
              <w:t>(10–30 %)</w:t>
            </w:r>
          </w:p>
        </w:tc>
        <w:tc>
          <w:tcPr>
            <w:tcW w:w="4820" w:type="dxa"/>
          </w:tcPr>
          <w:p w14:paraId="272EC15B" w14:textId="77777777" w:rsidR="003C62C6" w:rsidRPr="00DE20E4" w:rsidRDefault="003C62C6" w:rsidP="00CE6C1C">
            <w:pPr>
              <w:pStyle w:val="Normal1"/>
              <w:numPr>
                <w:ilvl w:val="0"/>
                <w:numId w:val="86"/>
              </w:numPr>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бортезомиб</w:t>
            </w:r>
          </w:p>
          <w:p w14:paraId="500C6EB7" w14:textId="77777777" w:rsidR="003C62C6" w:rsidRPr="00DE20E4" w:rsidRDefault="003C62C6" w:rsidP="00CE6C1C">
            <w:pPr>
              <w:pStyle w:val="Normal1"/>
              <w:numPr>
                <w:ilvl w:val="0"/>
                <w:numId w:val="86"/>
              </w:numPr>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доксорубицин пегилированный липосомальный</w:t>
            </w:r>
          </w:p>
          <w:p w14:paraId="4B5ECC74" w14:textId="77777777" w:rsidR="003C62C6" w:rsidRPr="00DE20E4" w:rsidRDefault="003C62C6" w:rsidP="00CE6C1C">
            <w:pPr>
              <w:pStyle w:val="Normal1"/>
              <w:numPr>
                <w:ilvl w:val="0"/>
                <w:numId w:val="86"/>
              </w:numPr>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карфилзомиб</w:t>
            </w:r>
          </w:p>
          <w:p w14:paraId="533E8439" w14:textId="77777777" w:rsidR="003C62C6" w:rsidRPr="00DE20E4" w:rsidRDefault="003C62C6" w:rsidP="00CE6C1C">
            <w:pPr>
              <w:pStyle w:val="Normal1"/>
              <w:numPr>
                <w:ilvl w:val="0"/>
                <w:numId w:val="86"/>
              </w:numPr>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метотрексат</w:t>
            </w:r>
          </w:p>
          <w:p w14:paraId="6DEADE8E" w14:textId="77777777" w:rsidR="003C62C6" w:rsidRPr="00DE20E4" w:rsidRDefault="003C62C6" w:rsidP="00CE6C1C">
            <w:pPr>
              <w:pStyle w:val="Normal1"/>
              <w:numPr>
                <w:ilvl w:val="0"/>
                <w:numId w:val="86"/>
              </w:numPr>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цитарабин ≤ 1000 мг / м2</w:t>
            </w:r>
          </w:p>
          <w:p w14:paraId="6668E1CC" w14:textId="77777777" w:rsidR="003C62C6" w:rsidRPr="00DE20E4" w:rsidRDefault="003C62C6" w:rsidP="00CE6C1C">
            <w:pPr>
              <w:pStyle w:val="Normal1"/>
              <w:numPr>
                <w:ilvl w:val="0"/>
                <w:numId w:val="86"/>
              </w:numPr>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элотузумаб</w:t>
            </w:r>
          </w:p>
          <w:p w14:paraId="257C13D8" w14:textId="77777777" w:rsidR="003C62C6" w:rsidRPr="00DE20E4" w:rsidRDefault="003C62C6" w:rsidP="00CE6C1C">
            <w:pPr>
              <w:pStyle w:val="Normal1"/>
              <w:numPr>
                <w:ilvl w:val="0"/>
                <w:numId w:val="86"/>
              </w:numPr>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этопозид</w:t>
            </w:r>
          </w:p>
          <w:p w14:paraId="2411F9FF" w14:textId="3347BF32" w:rsidR="003C62C6" w:rsidRPr="00DE20E4" w:rsidRDefault="003C62C6" w:rsidP="003C62C6">
            <w:pPr>
              <w:pStyle w:val="Normal1"/>
              <w:shd w:val="clear" w:color="auto" w:fill="auto"/>
              <w:tabs>
                <w:tab w:val="left" w:pos="0"/>
              </w:tabs>
              <w:spacing w:line="360" w:lineRule="auto"/>
              <w:ind w:left="720" w:firstLine="0"/>
              <w:jc w:val="both"/>
              <w:rPr>
                <w:rFonts w:cs="Times New Roman"/>
                <w:sz w:val="22"/>
                <w:szCs w:val="22"/>
                <w:shd w:val="clear" w:color="auto" w:fill="FFFFFF"/>
              </w:rPr>
            </w:pPr>
          </w:p>
        </w:tc>
        <w:tc>
          <w:tcPr>
            <w:tcW w:w="2942" w:type="dxa"/>
          </w:tcPr>
          <w:p w14:paraId="046096C6" w14:textId="77777777" w:rsidR="003C62C6" w:rsidRPr="00015EAB" w:rsidRDefault="003C62C6" w:rsidP="00CE6C1C">
            <w:pPr>
              <w:pStyle w:val="Normal1"/>
              <w:numPr>
                <w:ilvl w:val="0"/>
                <w:numId w:val="86"/>
              </w:numPr>
              <w:tabs>
                <w:tab w:val="left" w:pos="0"/>
              </w:tabs>
              <w:spacing w:line="360" w:lineRule="auto"/>
              <w:jc w:val="both"/>
              <w:rPr>
                <w:rFonts w:cs="Times New Roman"/>
                <w:sz w:val="22"/>
                <w:szCs w:val="22"/>
                <w:shd w:val="clear" w:color="auto" w:fill="FFFFFF"/>
              </w:rPr>
            </w:pPr>
            <w:r w:rsidRPr="00015EAB">
              <w:rPr>
                <w:rFonts w:cs="Times New Roman"/>
                <w:sz w:val="22"/>
                <w:szCs w:val="22"/>
                <w:shd w:val="clear" w:color="auto" w:fill="FFFFFF"/>
              </w:rPr>
              <w:t>иксазомиб</w:t>
            </w:r>
          </w:p>
          <w:p w14:paraId="4398E083" w14:textId="77777777" w:rsidR="003C62C6" w:rsidRPr="00015EAB" w:rsidRDefault="003C62C6" w:rsidP="00CE6C1C">
            <w:pPr>
              <w:pStyle w:val="Normal1"/>
              <w:numPr>
                <w:ilvl w:val="0"/>
                <w:numId w:val="86"/>
              </w:numPr>
              <w:tabs>
                <w:tab w:val="left" w:pos="0"/>
              </w:tabs>
              <w:spacing w:line="360" w:lineRule="auto"/>
              <w:jc w:val="both"/>
              <w:rPr>
                <w:rFonts w:cs="Times New Roman"/>
                <w:sz w:val="22"/>
                <w:szCs w:val="22"/>
                <w:shd w:val="clear" w:color="auto" w:fill="FFFFFF"/>
              </w:rPr>
            </w:pPr>
            <w:r w:rsidRPr="00015EAB">
              <w:rPr>
                <w:rFonts w:cs="Times New Roman"/>
                <w:sz w:val="22"/>
                <w:szCs w:val="22"/>
                <w:shd w:val="clear" w:color="auto" w:fill="FFFFFF"/>
              </w:rPr>
              <w:t>леналидомид</w:t>
            </w:r>
          </w:p>
          <w:p w14:paraId="4BB03F0A" w14:textId="77777777" w:rsidR="003C62C6" w:rsidRPr="00DE20E4" w:rsidRDefault="003C62C6" w:rsidP="00CE6C1C">
            <w:pPr>
              <w:pStyle w:val="Normal1"/>
              <w:numPr>
                <w:ilvl w:val="0"/>
                <w:numId w:val="86"/>
              </w:numPr>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флударабин</w:t>
            </w:r>
          </w:p>
          <w:p w14:paraId="1FB185A3" w14:textId="77777777" w:rsidR="003C62C6" w:rsidRPr="00DE20E4" w:rsidRDefault="003C62C6" w:rsidP="00CE6C1C">
            <w:pPr>
              <w:pStyle w:val="Normal1"/>
              <w:numPr>
                <w:ilvl w:val="0"/>
                <w:numId w:val="86"/>
              </w:numPr>
              <w:shd w:val="clear" w:color="auto" w:fill="auto"/>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 xml:space="preserve">этопозид </w:t>
            </w:r>
          </w:p>
        </w:tc>
      </w:tr>
      <w:tr w:rsidR="003C62C6" w14:paraId="6E2ADD83" w14:textId="77777777" w:rsidTr="00F93ED8">
        <w:tc>
          <w:tcPr>
            <w:tcW w:w="1799" w:type="dxa"/>
          </w:tcPr>
          <w:p w14:paraId="293DEAB9" w14:textId="77777777" w:rsidR="003C62C6" w:rsidRPr="00DE20E4" w:rsidRDefault="003C62C6" w:rsidP="008372B8">
            <w:pPr>
              <w:pStyle w:val="Normal1"/>
              <w:shd w:val="clear" w:color="auto" w:fill="auto"/>
              <w:tabs>
                <w:tab w:val="left" w:pos="0"/>
              </w:tabs>
              <w:spacing w:line="360" w:lineRule="auto"/>
              <w:ind w:left="0" w:firstLine="0"/>
              <w:jc w:val="both"/>
              <w:rPr>
                <w:rFonts w:cs="Times New Roman"/>
                <w:sz w:val="22"/>
                <w:szCs w:val="22"/>
                <w:shd w:val="clear" w:color="auto" w:fill="FFFFFF"/>
              </w:rPr>
            </w:pPr>
            <w:r w:rsidRPr="00DE20E4">
              <w:rPr>
                <w:sz w:val="22"/>
                <w:szCs w:val="22"/>
              </w:rPr>
              <w:t>Минимальный (&lt;10 %)</w:t>
            </w:r>
          </w:p>
        </w:tc>
        <w:tc>
          <w:tcPr>
            <w:tcW w:w="4820" w:type="dxa"/>
          </w:tcPr>
          <w:p w14:paraId="7C438238" w14:textId="77777777" w:rsidR="003C62C6" w:rsidRPr="00DE20E4" w:rsidRDefault="003C62C6" w:rsidP="00CE6C1C">
            <w:pPr>
              <w:pStyle w:val="Normal1"/>
              <w:numPr>
                <w:ilvl w:val="0"/>
                <w:numId w:val="87"/>
              </w:numPr>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даратумумаб</w:t>
            </w:r>
          </w:p>
          <w:p w14:paraId="0F058EB7" w14:textId="627EA725" w:rsidR="003C62C6" w:rsidRPr="00DE20E4" w:rsidRDefault="003C62C6" w:rsidP="003C62C6">
            <w:pPr>
              <w:pStyle w:val="Normal1"/>
              <w:shd w:val="clear" w:color="auto" w:fill="auto"/>
              <w:tabs>
                <w:tab w:val="left" w:pos="0"/>
              </w:tabs>
              <w:spacing w:line="360" w:lineRule="auto"/>
              <w:ind w:left="0" w:firstLine="0"/>
              <w:jc w:val="both"/>
              <w:rPr>
                <w:rFonts w:cs="Times New Roman"/>
                <w:sz w:val="22"/>
                <w:szCs w:val="22"/>
                <w:shd w:val="clear" w:color="auto" w:fill="FFFFFF"/>
              </w:rPr>
            </w:pPr>
          </w:p>
        </w:tc>
        <w:tc>
          <w:tcPr>
            <w:tcW w:w="2942" w:type="dxa"/>
          </w:tcPr>
          <w:p w14:paraId="6340B834" w14:textId="77777777" w:rsidR="003C62C6" w:rsidRPr="00DE20E4" w:rsidRDefault="003C62C6" w:rsidP="00CE6C1C">
            <w:pPr>
              <w:pStyle w:val="Normal1"/>
              <w:numPr>
                <w:ilvl w:val="0"/>
                <w:numId w:val="87"/>
              </w:numPr>
              <w:tabs>
                <w:tab w:val="left" w:pos="0"/>
              </w:tabs>
              <w:spacing w:line="360" w:lineRule="auto"/>
              <w:jc w:val="both"/>
              <w:rPr>
                <w:rFonts w:cs="Times New Roman"/>
                <w:sz w:val="22"/>
                <w:szCs w:val="22"/>
                <w:shd w:val="clear" w:color="auto" w:fill="FFFFFF"/>
              </w:rPr>
            </w:pPr>
            <w:r>
              <w:rPr>
                <w:rFonts w:cs="Times New Roman"/>
                <w:sz w:val="22"/>
                <w:szCs w:val="22"/>
                <w:shd w:val="clear" w:color="auto" w:fill="FFFFFF"/>
              </w:rPr>
              <w:t>б</w:t>
            </w:r>
            <w:r w:rsidRPr="00DE20E4">
              <w:rPr>
                <w:rFonts w:cs="Times New Roman"/>
                <w:sz w:val="22"/>
                <w:szCs w:val="22"/>
                <w:shd w:val="clear" w:color="auto" w:fill="FFFFFF"/>
              </w:rPr>
              <w:t>усульфан</w:t>
            </w:r>
          </w:p>
          <w:p w14:paraId="23663785" w14:textId="77777777" w:rsidR="003C62C6" w:rsidRPr="00DE20E4" w:rsidRDefault="003C62C6" w:rsidP="00CE6C1C">
            <w:pPr>
              <w:pStyle w:val="Normal1"/>
              <w:numPr>
                <w:ilvl w:val="0"/>
                <w:numId w:val="87"/>
              </w:numPr>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мелфалан</w:t>
            </w:r>
          </w:p>
          <w:p w14:paraId="236C9DF5" w14:textId="77777777" w:rsidR="003C62C6" w:rsidRPr="00DE20E4" w:rsidRDefault="003C62C6" w:rsidP="00CE6C1C">
            <w:pPr>
              <w:pStyle w:val="Normal1"/>
              <w:numPr>
                <w:ilvl w:val="0"/>
                <w:numId w:val="87"/>
              </w:numPr>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метотрексат</w:t>
            </w:r>
          </w:p>
          <w:p w14:paraId="3BD4CF8B" w14:textId="4D2E3269" w:rsidR="003C62C6" w:rsidRPr="003C62C6" w:rsidRDefault="003C62C6" w:rsidP="00CE6C1C">
            <w:pPr>
              <w:pStyle w:val="Normal1"/>
              <w:numPr>
                <w:ilvl w:val="0"/>
                <w:numId w:val="87"/>
              </w:numPr>
              <w:tabs>
                <w:tab w:val="left" w:pos="0"/>
              </w:tabs>
              <w:spacing w:line="360" w:lineRule="auto"/>
              <w:jc w:val="both"/>
              <w:rPr>
                <w:rFonts w:cs="Times New Roman"/>
                <w:sz w:val="22"/>
                <w:szCs w:val="22"/>
                <w:shd w:val="clear" w:color="auto" w:fill="FFFFFF"/>
              </w:rPr>
            </w:pPr>
            <w:r w:rsidRPr="00DE20E4">
              <w:rPr>
                <w:rFonts w:cs="Times New Roman"/>
                <w:sz w:val="22"/>
                <w:szCs w:val="22"/>
                <w:shd w:val="clear" w:color="auto" w:fill="FFFFFF"/>
              </w:rPr>
              <w:t>помалидомид</w:t>
            </w:r>
          </w:p>
        </w:tc>
      </w:tr>
    </w:tbl>
    <w:p w14:paraId="52FEDF0C" w14:textId="77777777" w:rsidR="003C62C6" w:rsidRPr="003C62C6" w:rsidRDefault="003C62C6" w:rsidP="003C62C6">
      <w:pPr>
        <w:pStyle w:val="a6"/>
        <w:tabs>
          <w:tab w:val="left" w:pos="0"/>
        </w:tabs>
        <w:ind w:left="360"/>
        <w:rPr>
          <w:b/>
          <w:szCs w:val="24"/>
        </w:rPr>
      </w:pPr>
      <w:r w:rsidRPr="003C62C6">
        <w:rPr>
          <w:b/>
          <w:szCs w:val="24"/>
        </w:rPr>
        <w:t>Список литературы</w:t>
      </w:r>
    </w:p>
    <w:p w14:paraId="16BFB7E3" w14:textId="77777777" w:rsidR="003C62C6" w:rsidRPr="0030741F" w:rsidRDefault="003C62C6" w:rsidP="00CE6C1C">
      <w:pPr>
        <w:pStyle w:val="a6"/>
        <w:numPr>
          <w:ilvl w:val="0"/>
          <w:numId w:val="73"/>
        </w:numPr>
        <w:tabs>
          <w:tab w:val="left" w:pos="0"/>
        </w:tabs>
        <w:spacing w:after="0"/>
        <w:ind w:left="0" w:firstLine="0"/>
        <w:rPr>
          <w:szCs w:val="24"/>
          <w:lang w:val="en-US"/>
        </w:rPr>
      </w:pPr>
      <w:r w:rsidRPr="0030741F">
        <w:rPr>
          <w:szCs w:val="24"/>
          <w:lang w:val="en-US"/>
        </w:rPr>
        <w:t>Navari</w:t>
      </w:r>
      <w:r w:rsidRPr="00C262B9">
        <w:rPr>
          <w:szCs w:val="24"/>
          <w:lang w:val="en-US"/>
        </w:rPr>
        <w:t xml:space="preserve"> </w:t>
      </w:r>
      <w:r w:rsidRPr="0030741F">
        <w:rPr>
          <w:szCs w:val="24"/>
          <w:lang w:val="en-US"/>
        </w:rPr>
        <w:t>RM</w:t>
      </w:r>
      <w:r w:rsidRPr="00C262B9">
        <w:rPr>
          <w:szCs w:val="24"/>
          <w:lang w:val="en-US"/>
        </w:rPr>
        <w:t xml:space="preserve"> </w:t>
      </w:r>
      <w:r w:rsidRPr="0030741F">
        <w:rPr>
          <w:szCs w:val="24"/>
          <w:lang w:val="en-US"/>
        </w:rPr>
        <w:t>and</w:t>
      </w:r>
      <w:r w:rsidRPr="00C262B9">
        <w:rPr>
          <w:szCs w:val="24"/>
          <w:lang w:val="en-US"/>
        </w:rPr>
        <w:t xml:space="preserve"> </w:t>
      </w:r>
      <w:r w:rsidRPr="0030741F">
        <w:rPr>
          <w:szCs w:val="24"/>
          <w:lang w:val="en-US"/>
        </w:rPr>
        <w:t>Aapro</w:t>
      </w:r>
      <w:r w:rsidRPr="00C262B9">
        <w:rPr>
          <w:szCs w:val="24"/>
          <w:lang w:val="en-US"/>
        </w:rPr>
        <w:t xml:space="preserve"> </w:t>
      </w:r>
      <w:r w:rsidRPr="0030741F">
        <w:rPr>
          <w:szCs w:val="24"/>
          <w:lang w:val="en-US"/>
        </w:rPr>
        <w:t>M</w:t>
      </w:r>
      <w:r w:rsidRPr="00C262B9">
        <w:rPr>
          <w:szCs w:val="24"/>
          <w:lang w:val="en-US"/>
        </w:rPr>
        <w:t xml:space="preserve">: </w:t>
      </w:r>
      <w:r w:rsidRPr="0030741F">
        <w:rPr>
          <w:szCs w:val="24"/>
          <w:lang w:val="en-US"/>
        </w:rPr>
        <w:t>Antiemetic</w:t>
      </w:r>
      <w:r w:rsidRPr="00C262B9">
        <w:rPr>
          <w:szCs w:val="24"/>
          <w:lang w:val="en-US"/>
        </w:rPr>
        <w:t xml:space="preserve"> </w:t>
      </w:r>
      <w:r w:rsidRPr="0030741F">
        <w:rPr>
          <w:szCs w:val="24"/>
          <w:lang w:val="en-US"/>
        </w:rPr>
        <w:t>prophylaxis</w:t>
      </w:r>
      <w:r w:rsidRPr="00C262B9">
        <w:rPr>
          <w:szCs w:val="24"/>
          <w:lang w:val="en-US"/>
        </w:rPr>
        <w:t xml:space="preserve"> </w:t>
      </w:r>
      <w:r w:rsidRPr="0030741F">
        <w:rPr>
          <w:szCs w:val="24"/>
          <w:lang w:val="en-US"/>
        </w:rPr>
        <w:t>for</w:t>
      </w:r>
      <w:r w:rsidRPr="00C262B9">
        <w:rPr>
          <w:szCs w:val="24"/>
          <w:lang w:val="en-US"/>
        </w:rPr>
        <w:t xml:space="preserve"> </w:t>
      </w:r>
      <w:r w:rsidRPr="0030741F">
        <w:rPr>
          <w:szCs w:val="24"/>
          <w:lang w:val="en-US"/>
        </w:rPr>
        <w:t>chemotherapy</w:t>
      </w:r>
      <w:r w:rsidRPr="00C262B9">
        <w:rPr>
          <w:szCs w:val="24"/>
          <w:lang w:val="en-US"/>
        </w:rPr>
        <w:t>-</w:t>
      </w:r>
      <w:r w:rsidRPr="0030741F">
        <w:rPr>
          <w:szCs w:val="24"/>
          <w:lang w:val="en-US"/>
        </w:rPr>
        <w:t>induced</w:t>
      </w:r>
      <w:r w:rsidRPr="00C262B9">
        <w:rPr>
          <w:szCs w:val="24"/>
          <w:lang w:val="en-US"/>
        </w:rPr>
        <w:t xml:space="preserve"> </w:t>
      </w:r>
      <w:r w:rsidRPr="0030741F">
        <w:rPr>
          <w:szCs w:val="24"/>
          <w:lang w:val="en-US"/>
        </w:rPr>
        <w:t>nausea</w:t>
      </w:r>
      <w:r w:rsidRPr="00C262B9">
        <w:rPr>
          <w:szCs w:val="24"/>
          <w:lang w:val="en-US"/>
        </w:rPr>
        <w:t xml:space="preserve"> </w:t>
      </w:r>
      <w:r w:rsidRPr="0030741F">
        <w:rPr>
          <w:szCs w:val="24"/>
          <w:lang w:val="en-US"/>
        </w:rPr>
        <w:t>and</w:t>
      </w:r>
      <w:r w:rsidRPr="00C262B9">
        <w:rPr>
          <w:szCs w:val="24"/>
          <w:lang w:val="en-US"/>
        </w:rPr>
        <w:t xml:space="preserve"> </w:t>
      </w:r>
      <w:r w:rsidRPr="0030741F">
        <w:rPr>
          <w:szCs w:val="24"/>
          <w:lang w:val="en-US"/>
        </w:rPr>
        <w:t>vomiting</w:t>
      </w:r>
      <w:r w:rsidRPr="00C262B9">
        <w:rPr>
          <w:szCs w:val="24"/>
          <w:lang w:val="en-US"/>
        </w:rPr>
        <w:t xml:space="preserve">. </w:t>
      </w:r>
      <w:r w:rsidRPr="0030741F">
        <w:rPr>
          <w:szCs w:val="24"/>
          <w:lang w:val="en-US"/>
        </w:rPr>
        <w:t>N</w:t>
      </w:r>
      <w:r w:rsidRPr="0030741F">
        <w:rPr>
          <w:szCs w:val="24"/>
        </w:rPr>
        <w:t xml:space="preserve"> </w:t>
      </w:r>
      <w:r w:rsidRPr="0030741F">
        <w:rPr>
          <w:szCs w:val="24"/>
          <w:lang w:val="en-US"/>
        </w:rPr>
        <w:t>Engl</w:t>
      </w:r>
      <w:r w:rsidRPr="0030741F">
        <w:rPr>
          <w:szCs w:val="24"/>
        </w:rPr>
        <w:t xml:space="preserve"> </w:t>
      </w:r>
      <w:r w:rsidRPr="0030741F">
        <w:rPr>
          <w:szCs w:val="24"/>
          <w:lang w:val="en-US"/>
        </w:rPr>
        <w:t>J</w:t>
      </w:r>
      <w:r w:rsidRPr="0030741F">
        <w:rPr>
          <w:szCs w:val="24"/>
        </w:rPr>
        <w:t xml:space="preserve"> </w:t>
      </w:r>
      <w:r w:rsidRPr="0030741F">
        <w:rPr>
          <w:szCs w:val="24"/>
          <w:lang w:val="en-US"/>
        </w:rPr>
        <w:t>Med</w:t>
      </w:r>
      <w:r w:rsidRPr="0030741F">
        <w:rPr>
          <w:szCs w:val="24"/>
        </w:rPr>
        <w:t xml:space="preserve"> 3</w:t>
      </w:r>
      <w:r w:rsidRPr="0030741F">
        <w:rPr>
          <w:szCs w:val="24"/>
          <w:lang w:val="en-US"/>
        </w:rPr>
        <w:t>74(14): 1356-1367, 2016</w:t>
      </w:r>
    </w:p>
    <w:p w14:paraId="53FE41DA" w14:textId="77777777" w:rsidR="003C62C6" w:rsidRPr="0030741F" w:rsidRDefault="003C62C6" w:rsidP="00CE6C1C">
      <w:pPr>
        <w:pStyle w:val="a6"/>
        <w:numPr>
          <w:ilvl w:val="0"/>
          <w:numId w:val="73"/>
        </w:numPr>
        <w:tabs>
          <w:tab w:val="left" w:pos="0"/>
        </w:tabs>
        <w:spacing w:after="0"/>
        <w:ind w:left="0" w:firstLine="0"/>
        <w:rPr>
          <w:szCs w:val="24"/>
          <w:lang w:val="en-US"/>
        </w:rPr>
      </w:pPr>
      <w:r w:rsidRPr="0030741F">
        <w:rPr>
          <w:szCs w:val="24"/>
          <w:lang w:val="en-US"/>
        </w:rPr>
        <w:t>DeVita VT Jr. and Chu E: A history of cancer chemotherapy. Cancer Res 68(21): 8643-8653, 2008.</w:t>
      </w:r>
    </w:p>
    <w:p w14:paraId="5C311F7C" w14:textId="77777777" w:rsidR="003C62C6" w:rsidRPr="0030741F" w:rsidRDefault="003C62C6" w:rsidP="00CE6C1C">
      <w:pPr>
        <w:pStyle w:val="a6"/>
        <w:numPr>
          <w:ilvl w:val="0"/>
          <w:numId w:val="73"/>
        </w:numPr>
        <w:tabs>
          <w:tab w:val="left" w:pos="0"/>
        </w:tabs>
        <w:spacing w:after="0"/>
        <w:ind w:left="0" w:firstLine="0"/>
        <w:rPr>
          <w:szCs w:val="24"/>
          <w:lang w:val="en-US"/>
        </w:rPr>
      </w:pPr>
      <w:r w:rsidRPr="0030741F">
        <w:rPr>
          <w:szCs w:val="24"/>
          <w:lang w:val="en-US"/>
        </w:rPr>
        <w:lastRenderedPageBreak/>
        <w:t>Hesketh PJ. Chemotherapy-induced nausea and vomiting. N Engl J Med 2008;358:</w:t>
      </w:r>
      <w:r w:rsidRPr="0030741F">
        <w:rPr>
          <w:szCs w:val="24"/>
        </w:rPr>
        <w:t xml:space="preserve"> </w:t>
      </w:r>
      <w:r w:rsidRPr="0030741F">
        <w:rPr>
          <w:szCs w:val="24"/>
          <w:lang w:val="en-US"/>
        </w:rPr>
        <w:t>2482–2494.</w:t>
      </w:r>
    </w:p>
    <w:p w14:paraId="6391C956" w14:textId="77777777" w:rsidR="003C62C6" w:rsidRPr="0030741F" w:rsidRDefault="003C62C6" w:rsidP="00CE6C1C">
      <w:pPr>
        <w:pStyle w:val="a6"/>
        <w:numPr>
          <w:ilvl w:val="0"/>
          <w:numId w:val="73"/>
        </w:numPr>
        <w:tabs>
          <w:tab w:val="left" w:pos="0"/>
        </w:tabs>
        <w:spacing w:after="0"/>
        <w:ind w:left="0" w:firstLine="0"/>
        <w:rPr>
          <w:szCs w:val="24"/>
          <w:lang w:val="en-US"/>
        </w:rPr>
      </w:pPr>
      <w:r w:rsidRPr="0030741F">
        <w:rPr>
          <w:szCs w:val="24"/>
          <w:lang w:val="en-US"/>
        </w:rPr>
        <w:t>Mitchelson F. Pharmacological agents affecting emesis. A review (Part I). Drugs 1992;43:295–315.</w:t>
      </w:r>
    </w:p>
    <w:p w14:paraId="6AE5DAA8" w14:textId="77777777" w:rsidR="003C62C6" w:rsidRPr="0030741F" w:rsidRDefault="003C62C6" w:rsidP="00CE6C1C">
      <w:pPr>
        <w:pStyle w:val="a6"/>
        <w:numPr>
          <w:ilvl w:val="0"/>
          <w:numId w:val="73"/>
        </w:numPr>
        <w:tabs>
          <w:tab w:val="left" w:pos="0"/>
        </w:tabs>
        <w:spacing w:after="0"/>
        <w:ind w:left="0" w:firstLine="0"/>
        <w:rPr>
          <w:szCs w:val="24"/>
          <w:lang w:val="en-US"/>
        </w:rPr>
      </w:pPr>
      <w:r w:rsidRPr="0030741F">
        <w:rPr>
          <w:szCs w:val="24"/>
          <w:lang w:val="en-US"/>
        </w:rPr>
        <w:t>Bountra C, Gale JD, Gardner CJ et al. Towards understanding the aetiology and pathophysiology of the emetic reflex: Novel approaches to antiemetic drugs. Oncology 1996;</w:t>
      </w:r>
      <w:r w:rsidRPr="009F7EB8">
        <w:rPr>
          <w:szCs w:val="24"/>
          <w:lang w:val="en-US"/>
        </w:rPr>
        <w:t xml:space="preserve"> </w:t>
      </w:r>
      <w:r w:rsidRPr="0030741F">
        <w:rPr>
          <w:szCs w:val="24"/>
          <w:lang w:val="en-US"/>
        </w:rPr>
        <w:t>53(suppl 1):102–109.</w:t>
      </w:r>
    </w:p>
    <w:p w14:paraId="0F0246E3" w14:textId="77777777" w:rsidR="003C62C6" w:rsidRPr="0030741F" w:rsidRDefault="003C62C6" w:rsidP="00CE6C1C">
      <w:pPr>
        <w:pStyle w:val="a6"/>
        <w:numPr>
          <w:ilvl w:val="0"/>
          <w:numId w:val="73"/>
        </w:numPr>
        <w:tabs>
          <w:tab w:val="left" w:pos="0"/>
        </w:tabs>
        <w:spacing w:after="0"/>
        <w:ind w:left="0" w:firstLine="0"/>
        <w:rPr>
          <w:szCs w:val="24"/>
          <w:lang w:val="en-US"/>
        </w:rPr>
      </w:pPr>
      <w:r w:rsidRPr="0030741F">
        <w:rPr>
          <w:szCs w:val="24"/>
          <w:lang w:val="en-US"/>
        </w:rPr>
        <w:t>Leslie RA. Neuroactive substances in the dorsal vagal complex of the medulla oblongata: Nucleus of the tractus solitarius, area postrema, and dorsal motor nucleus of the vagus. Neurochem Int 1985;7:191–211.</w:t>
      </w:r>
    </w:p>
    <w:p w14:paraId="65661C7F" w14:textId="7076479B" w:rsidR="003C62C6" w:rsidRPr="0030741F" w:rsidRDefault="003C62C6" w:rsidP="00CE6C1C">
      <w:pPr>
        <w:pStyle w:val="a6"/>
        <w:numPr>
          <w:ilvl w:val="0"/>
          <w:numId w:val="73"/>
        </w:numPr>
        <w:tabs>
          <w:tab w:val="left" w:pos="0"/>
        </w:tabs>
        <w:spacing w:after="0"/>
        <w:ind w:left="0" w:firstLine="0"/>
        <w:rPr>
          <w:szCs w:val="24"/>
          <w:lang w:val="en-US"/>
        </w:rPr>
      </w:pPr>
      <w:r w:rsidRPr="0030741F">
        <w:rPr>
          <w:szCs w:val="24"/>
          <w:lang w:val="en-US"/>
        </w:rPr>
        <w:t>National Comprehensive Cancer Network. NCCN Clinical Practice Guidelines in Oncology for An</w:t>
      </w:r>
      <w:r>
        <w:rPr>
          <w:szCs w:val="24"/>
          <w:lang w:val="en-US"/>
        </w:rPr>
        <w:t>tiemesis. Version 2.2017. 2017.</w:t>
      </w:r>
    </w:p>
    <w:p w14:paraId="19603085" w14:textId="77777777" w:rsidR="003C62C6" w:rsidRPr="0030741F" w:rsidRDefault="003C62C6" w:rsidP="00CE6C1C">
      <w:pPr>
        <w:pStyle w:val="a6"/>
        <w:numPr>
          <w:ilvl w:val="0"/>
          <w:numId w:val="73"/>
        </w:numPr>
        <w:tabs>
          <w:tab w:val="left" w:pos="0"/>
        </w:tabs>
        <w:spacing w:after="0"/>
        <w:ind w:left="0" w:firstLine="0"/>
        <w:rPr>
          <w:szCs w:val="24"/>
          <w:lang w:val="en-US"/>
        </w:rPr>
      </w:pPr>
      <w:r w:rsidRPr="0030741F">
        <w:rPr>
          <w:szCs w:val="24"/>
          <w:lang w:val="en-US"/>
        </w:rPr>
        <w:t xml:space="preserve"> Roila F, Hesketh PJ, Herrstedt J; Antiemetic Subcommitte of the Multinational Association of Supportive Care in Cancer. Prevention of chemotherapy- and radiotherapy-induced emesis: Results of the 2004 Perugia International Antiemetic Consensus Conference. Ann Oncol</w:t>
      </w:r>
      <w:r w:rsidRPr="0030741F">
        <w:rPr>
          <w:szCs w:val="24"/>
        </w:rPr>
        <w:t xml:space="preserve"> </w:t>
      </w:r>
      <w:r w:rsidRPr="0030741F">
        <w:rPr>
          <w:szCs w:val="24"/>
          <w:lang w:val="en-US"/>
        </w:rPr>
        <w:t>2006;17:20–28.</w:t>
      </w:r>
    </w:p>
    <w:p w14:paraId="1A3225E0" w14:textId="77777777" w:rsidR="003C62C6" w:rsidRPr="0030741F" w:rsidRDefault="003C62C6" w:rsidP="00CE6C1C">
      <w:pPr>
        <w:pStyle w:val="a6"/>
        <w:numPr>
          <w:ilvl w:val="0"/>
          <w:numId w:val="73"/>
        </w:numPr>
        <w:tabs>
          <w:tab w:val="left" w:pos="0"/>
        </w:tabs>
        <w:spacing w:after="0"/>
        <w:ind w:left="0" w:firstLine="0"/>
        <w:rPr>
          <w:szCs w:val="24"/>
          <w:lang w:val="en-US"/>
        </w:rPr>
      </w:pPr>
      <w:r w:rsidRPr="0030741F">
        <w:rPr>
          <w:szCs w:val="24"/>
          <w:lang w:val="en-US"/>
        </w:rPr>
        <w:t>Basch E, Prestrud AA, Hesketh PJ et al. Antiemetics: American Society of Clinical Oncology clinical practice guideline update. J</w:t>
      </w:r>
      <w:r w:rsidRPr="00C262B9">
        <w:rPr>
          <w:szCs w:val="24"/>
          <w:lang w:val="en-US"/>
        </w:rPr>
        <w:t xml:space="preserve"> </w:t>
      </w:r>
      <w:r w:rsidRPr="0030741F">
        <w:rPr>
          <w:szCs w:val="24"/>
          <w:lang w:val="en-US"/>
        </w:rPr>
        <w:t>Clin Oncol 2011;29:4189–4198.</w:t>
      </w:r>
    </w:p>
    <w:p w14:paraId="10E3C7C3" w14:textId="77777777" w:rsidR="003C62C6" w:rsidRPr="0030741F" w:rsidRDefault="003C62C6" w:rsidP="00CE6C1C">
      <w:pPr>
        <w:pStyle w:val="a6"/>
        <w:numPr>
          <w:ilvl w:val="0"/>
          <w:numId w:val="73"/>
        </w:numPr>
        <w:tabs>
          <w:tab w:val="left" w:pos="0"/>
        </w:tabs>
        <w:spacing w:after="0"/>
        <w:ind w:left="0" w:firstLine="0"/>
        <w:rPr>
          <w:szCs w:val="24"/>
          <w:lang w:val="en-US"/>
        </w:rPr>
      </w:pPr>
      <w:r w:rsidRPr="0030741F">
        <w:rPr>
          <w:szCs w:val="24"/>
          <w:lang w:val="en-US"/>
        </w:rPr>
        <w:t xml:space="preserve">Patel P, Leeder JS, Piquette-Miller M, Dupuis LL. Aprepitant and fosaprepitant drug interactions: a systematic review. Br J Clin Pharmacol. 2017;83(10):2148-2162. </w:t>
      </w:r>
    </w:p>
    <w:p w14:paraId="0D733EF6" w14:textId="77777777" w:rsidR="003C62C6" w:rsidRDefault="003C62C6" w:rsidP="00CE6C1C">
      <w:pPr>
        <w:pStyle w:val="a6"/>
        <w:numPr>
          <w:ilvl w:val="0"/>
          <w:numId w:val="73"/>
        </w:numPr>
        <w:tabs>
          <w:tab w:val="left" w:pos="0"/>
        </w:tabs>
        <w:spacing w:after="0"/>
        <w:ind w:left="0" w:firstLine="0"/>
        <w:rPr>
          <w:szCs w:val="24"/>
          <w:lang w:val="en-US"/>
        </w:rPr>
      </w:pPr>
      <w:r w:rsidRPr="0030741F">
        <w:rPr>
          <w:szCs w:val="24"/>
          <w:lang w:val="en-US"/>
        </w:rPr>
        <w:t xml:space="preserve">Razvi Y, Chan S, McFarlane T, et al. ASCO, NCCN, MASCC/ESMO: a comparison of antiemetic guidelines for the treatment of chemotherapy-induced nausea and vomiting in adult patients. Support Care Cancer. 2019;27(1):87-95. </w:t>
      </w:r>
    </w:p>
    <w:p w14:paraId="194322E9" w14:textId="77777777" w:rsidR="003C62C6" w:rsidRPr="0046237C" w:rsidRDefault="003C62C6" w:rsidP="00CE6C1C">
      <w:pPr>
        <w:pStyle w:val="a6"/>
        <w:widowControl w:val="0"/>
        <w:numPr>
          <w:ilvl w:val="0"/>
          <w:numId w:val="73"/>
        </w:numPr>
        <w:autoSpaceDE w:val="0"/>
        <w:autoSpaceDN w:val="0"/>
        <w:adjustRightInd w:val="0"/>
        <w:spacing w:after="0"/>
        <w:ind w:left="0" w:firstLine="0"/>
        <w:rPr>
          <w:noProof/>
          <w:szCs w:val="24"/>
        </w:rPr>
      </w:pPr>
      <w:r w:rsidRPr="0046237C">
        <w:rPr>
          <w:noProof/>
          <w:szCs w:val="24"/>
          <w:lang w:val="en-US"/>
        </w:rPr>
        <w:t xml:space="preserve">P. J. Hesketh </w:t>
      </w:r>
      <w:r w:rsidRPr="0046237C">
        <w:rPr>
          <w:i/>
          <w:iCs/>
          <w:noProof/>
          <w:szCs w:val="24"/>
          <w:lang w:val="en-US"/>
        </w:rPr>
        <w:t>et al.</w:t>
      </w:r>
      <w:r w:rsidRPr="0046237C">
        <w:rPr>
          <w:noProof/>
          <w:szCs w:val="24"/>
          <w:lang w:val="en-US"/>
        </w:rPr>
        <w:t xml:space="preserve">, “Antiemetics: American Society of Clinical Oncology clinical practice guideline update,” </w:t>
      </w:r>
      <w:r w:rsidRPr="0046237C">
        <w:rPr>
          <w:i/>
          <w:iCs/>
          <w:noProof/>
          <w:szCs w:val="24"/>
          <w:lang w:val="en-US"/>
        </w:rPr>
        <w:t>Journal of Clinical Oncology</w:t>
      </w:r>
      <w:r w:rsidRPr="0046237C">
        <w:rPr>
          <w:noProof/>
          <w:szCs w:val="24"/>
          <w:lang w:val="en-US"/>
        </w:rPr>
        <w:t xml:space="preserve">. </w:t>
      </w:r>
      <w:r w:rsidRPr="0046237C">
        <w:rPr>
          <w:noProof/>
          <w:szCs w:val="24"/>
        </w:rPr>
        <w:t>2017, doi: 10.1200/JCO.2017.74.4789.</w:t>
      </w:r>
    </w:p>
    <w:p w14:paraId="3F9EF952" w14:textId="7F47D5B5" w:rsidR="003C62C6" w:rsidRPr="0046237C" w:rsidRDefault="003C62C6" w:rsidP="00CE6C1C">
      <w:pPr>
        <w:pStyle w:val="a6"/>
        <w:widowControl w:val="0"/>
        <w:numPr>
          <w:ilvl w:val="0"/>
          <w:numId w:val="73"/>
        </w:numPr>
        <w:autoSpaceDE w:val="0"/>
        <w:autoSpaceDN w:val="0"/>
        <w:adjustRightInd w:val="0"/>
        <w:spacing w:after="0"/>
        <w:ind w:left="0" w:firstLine="0"/>
        <w:rPr>
          <w:noProof/>
        </w:rPr>
      </w:pPr>
      <w:r w:rsidRPr="0046237C">
        <w:rPr>
          <w:noProof/>
          <w:szCs w:val="24"/>
        </w:rPr>
        <w:t xml:space="preserve">Владимирова Л.Ю., Гладков О.А., Когония Л.М., Королева И.А., “Практические рекомендации по профилактике и лечению тошноты и рвоты у онкологических больных,” </w:t>
      </w:r>
      <w:r w:rsidRPr="0046237C">
        <w:rPr>
          <w:i/>
          <w:iCs/>
          <w:noProof/>
          <w:szCs w:val="24"/>
        </w:rPr>
        <w:t>RUSSCO</w:t>
      </w:r>
      <w:r w:rsidRPr="0046237C">
        <w:rPr>
          <w:noProof/>
          <w:szCs w:val="24"/>
        </w:rPr>
        <w:t>, vol. 8, pp. 503–504, 2018.</w:t>
      </w:r>
    </w:p>
    <w:p w14:paraId="74129207" w14:textId="04A5F960" w:rsidR="003C62C6" w:rsidRDefault="003C62C6">
      <w:pPr>
        <w:spacing w:before="0" w:after="0" w:line="240" w:lineRule="auto"/>
        <w:jc w:val="left"/>
      </w:pPr>
      <w:r>
        <w:br w:type="page"/>
      </w:r>
    </w:p>
    <w:p w14:paraId="6E5C9949" w14:textId="761DA709" w:rsidR="008372B8" w:rsidRDefault="003C62C6" w:rsidP="008372B8">
      <w:pPr>
        <w:pStyle w:val="1"/>
      </w:pPr>
      <w:bookmarkStart w:id="78" w:name="_Toc53140925"/>
      <w:r w:rsidRPr="005961D4">
        <w:lastRenderedPageBreak/>
        <w:t>Приложение Г</w:t>
      </w:r>
      <w:r>
        <w:t>5</w:t>
      </w:r>
      <w:r w:rsidRPr="003C62C6">
        <w:t xml:space="preserve">. </w:t>
      </w:r>
      <w:r w:rsidR="008372B8" w:rsidRPr="008372B8">
        <w:t>«Профилактик</w:t>
      </w:r>
      <w:r w:rsidR="008372B8">
        <w:t>а язвенной болезни желудка и 12-</w:t>
      </w:r>
      <w:r w:rsidR="008372B8" w:rsidRPr="008372B8">
        <w:t>перстной кишки на фоне терапии глюкокортикостероидами»</w:t>
      </w:r>
      <w:bookmarkEnd w:id="78"/>
    </w:p>
    <w:p w14:paraId="249BF586" w14:textId="77777777" w:rsidR="008372B8" w:rsidRPr="008372B8" w:rsidRDefault="008372B8" w:rsidP="008372B8">
      <w:pPr>
        <w:spacing w:before="0" w:after="0"/>
        <w:rPr>
          <w:b/>
        </w:rPr>
      </w:pPr>
      <w:r w:rsidRPr="008372B8">
        <w:rPr>
          <w:b/>
        </w:rPr>
        <w:t>Список сокращений</w:t>
      </w:r>
    </w:p>
    <w:p w14:paraId="0E26D080" w14:textId="77777777" w:rsidR="008372B8" w:rsidRDefault="008372B8" w:rsidP="008372B8">
      <w:pPr>
        <w:spacing w:before="0" w:after="0"/>
      </w:pPr>
      <w:r>
        <w:t>ГКС – глюкокортикостероиды</w:t>
      </w:r>
    </w:p>
    <w:p w14:paraId="02198889" w14:textId="77777777" w:rsidR="008372B8" w:rsidRDefault="008372B8" w:rsidP="008372B8">
      <w:pPr>
        <w:spacing w:before="0" w:after="0"/>
      </w:pPr>
      <w:r>
        <w:t>ЖКТ – желудочно-кишечный тракт</w:t>
      </w:r>
    </w:p>
    <w:p w14:paraId="28978E91" w14:textId="77777777" w:rsidR="008372B8" w:rsidRDefault="008372B8" w:rsidP="008372B8">
      <w:pPr>
        <w:spacing w:before="0" w:after="0"/>
      </w:pPr>
      <w:r>
        <w:t>ИПП - ингибиторы протоновой помпы</w:t>
      </w:r>
    </w:p>
    <w:p w14:paraId="59451D41" w14:textId="77777777" w:rsidR="008372B8" w:rsidRDefault="008372B8" w:rsidP="008372B8">
      <w:pPr>
        <w:spacing w:before="0" w:after="0"/>
      </w:pPr>
      <w:r>
        <w:t>1.</w:t>
      </w:r>
      <w:r>
        <w:tab/>
      </w:r>
      <w:r w:rsidRPr="008372B8">
        <w:rPr>
          <w:b/>
        </w:rPr>
        <w:t>Общие сведения</w:t>
      </w:r>
      <w:r>
        <w:t xml:space="preserve"> </w:t>
      </w:r>
    </w:p>
    <w:p w14:paraId="4B802985" w14:textId="1EBAEF8A" w:rsidR="008372B8" w:rsidRDefault="008372B8" w:rsidP="008372B8">
      <w:pPr>
        <w:spacing w:before="0" w:after="0"/>
        <w:ind w:firstLine="567"/>
      </w:pPr>
      <w:r>
        <w:t xml:space="preserve">В большинство протоколов противоопухолевого лечения множественной миеломы включены высокие дозы глюкокортикостероидов (ГКС). Язва желудка или двенадцатиперстной кишки является одним из серьёзных побочных эффектов терапии ГКС. Механизм ульцерогенного действия ГКС заключается в повышении секреции соляной кислоты в желудке, изменении качественного состава слизи, торможении регенерации поверхностного эпителия. При сочетанном применении ГКС с нестероидными противовоспалительными средствами и антикоагулянтами риск развития стероидных язв возрастает. В связи с ульцерогенностью, при использовании ГКС необходимо проводить антисекреторную терапию с целью профилактики стероидных язв. </w:t>
      </w:r>
    </w:p>
    <w:p w14:paraId="0EC5A42B" w14:textId="1D5B83CE" w:rsidR="008372B8" w:rsidRDefault="008372B8" w:rsidP="008372B8">
      <w:pPr>
        <w:spacing w:before="0" w:after="0"/>
      </w:pPr>
      <w:r>
        <w:t>2.</w:t>
      </w:r>
      <w:r>
        <w:tab/>
      </w:r>
      <w:r w:rsidRPr="008372B8">
        <w:rPr>
          <w:b/>
        </w:rPr>
        <w:t xml:space="preserve">Диагностика язвенной болезни желудка и 12-перстной кишки </w:t>
      </w:r>
    </w:p>
    <w:p w14:paraId="1B83450D" w14:textId="77B95E17" w:rsidR="008372B8" w:rsidRDefault="008372B8" w:rsidP="008372B8">
      <w:pPr>
        <w:spacing w:before="0" w:after="0"/>
        <w:ind w:firstLine="567"/>
      </w:pPr>
      <w:r>
        <w:t>Формирование язв ЖКТ может проявляться диспепсическими явлениями и абдоминальными болями, но нередко протекает и бессимптомно, манифестируя кровотечением или перфорацией. Для диагностики язвенного поражения ЖКТ применяются эндоскопические методы исследования: эзофагодуоденоскопия, при необходимости с биопсийным исследованием и тестом на наличие H. Pylori.</w:t>
      </w:r>
    </w:p>
    <w:p w14:paraId="5DDF5E9E" w14:textId="77777777" w:rsidR="008372B8" w:rsidRPr="008372B8" w:rsidRDefault="008372B8" w:rsidP="008372B8">
      <w:pPr>
        <w:spacing w:before="0" w:after="0"/>
        <w:rPr>
          <w:b/>
        </w:rPr>
      </w:pPr>
      <w:r>
        <w:t>3.</w:t>
      </w:r>
      <w:r>
        <w:tab/>
      </w:r>
      <w:r w:rsidRPr="008372B8">
        <w:rPr>
          <w:b/>
        </w:rPr>
        <w:t>Профилактика язвенной болезни желудка и 12-перстной кишки при применении ГКС</w:t>
      </w:r>
    </w:p>
    <w:p w14:paraId="5D3DAAEA" w14:textId="4DE15470" w:rsidR="008372B8" w:rsidRDefault="008372B8" w:rsidP="008372B8">
      <w:pPr>
        <w:spacing w:before="0" w:after="0"/>
      </w:pPr>
      <w:r>
        <w:tab/>
        <w:t xml:space="preserve">По результатам мета-анализа 300 работ (Burget и соавторы, 1990г.) язвы желудка и двенадцатиперстной кишки рубцуются практически во всех случаях, если рН внутрижелудочного содержимого поддерживается более 3 в течение суток на протяжении 18 часов. С учетом указанного правила в качестве противоязвенной терапии в настоящее время могут рассматриваться антациды, блокаторы Н2-гистаминовых рецепторов и ингибиторы протонной помпы (ИПП). Согласно одному из последних мета-анализов, при использовании ИПП или блокаторов Н2-гистаминовых рецепторов достоверно эффективнее достигается рубцевание язвенного дефекта, а также снижается риск повторного кровотечения. Лишь препараты этих двух групп позволяют достигать и </w:t>
      </w:r>
      <w:r>
        <w:lastRenderedPageBreak/>
        <w:t xml:space="preserve">поддерживать необходимую рН-среду желудка, при которой происходит заживление гастродуоденальных язв. </w:t>
      </w:r>
    </w:p>
    <w:p w14:paraId="21D2B2D8" w14:textId="77777777" w:rsidR="008372B8" w:rsidRDefault="008372B8" w:rsidP="008372B8">
      <w:pPr>
        <w:spacing w:before="0" w:after="0"/>
        <w:ind w:firstLine="709"/>
      </w:pPr>
      <w:r>
        <w:t>В настоящее время с антисекреторной целью для профилактики язвенной болезни желудка и двенадцатиперстной кишки, в том числе на фоне терапии глюкокортикостероидами, применяются два класса препаратов: ингибиторы протонной помпы и блокаторы Н2-гистаминовых рецепторов.</w:t>
      </w:r>
    </w:p>
    <w:p w14:paraId="2B23C829" w14:textId="77777777" w:rsidR="008372B8" w:rsidRPr="008372B8" w:rsidRDefault="008372B8" w:rsidP="008372B8">
      <w:pPr>
        <w:spacing w:before="0" w:after="0"/>
        <w:rPr>
          <w:b/>
        </w:rPr>
      </w:pPr>
      <w:r w:rsidRPr="008372B8">
        <w:rPr>
          <w:b/>
        </w:rPr>
        <w:t>3.1</w:t>
      </w:r>
      <w:r w:rsidRPr="008372B8">
        <w:rPr>
          <w:b/>
        </w:rPr>
        <w:tab/>
        <w:t>Ингибиторы протонной помпы (ИПП)</w:t>
      </w:r>
    </w:p>
    <w:p w14:paraId="16C28F82" w14:textId="77777777" w:rsidR="008372B8" w:rsidRDefault="008372B8" w:rsidP="008372B8">
      <w:pPr>
        <w:spacing w:before="0" w:after="0"/>
        <w:ind w:firstLine="709"/>
      </w:pPr>
      <w:r>
        <w:t xml:space="preserve">Ингибиторы протоновой помпы (ингибиторы протонового насоса, блокаторы протонного насоса, блокаторы Н+/К+-АТФазы, блокаторы водородной помпы) — антисекреторные лекарственные препараты, блокирующие Н+/К+-АТФазу обкладочных (париетальных) клеток слизистой оболочки желудка и уменьшающие секрецию соляной кислоты, путем проникновения в париетальные клетки слизистой оболочки желудка, концентрации в секреторных канальцах, и активации при кислом значении рН. При активации ИПП образуют прочные ковалентные связи с меркаптогруппами цистеиновых остатков Н+/К+-АТФазы, блокируя действие протонной помпы так, что она необратимо исключается из процесса секреции соляной кислоты. Влияние ИПП на последнюю стадию процесса образования соляной кислоты в желудке является дозозависимым и обеспечивает высокоэффективное ингибирование базальной и стимулированной секреции соляной кислоты независимо от фактора его вызывающего. В группу препаратов ИПП входят омепразол, лансопразол, пантопразол, рабепразол, зомепразол, применяемые во время проведения курсов специфической противоопухолевой терапии, включающей системные ГКС, в указанных в таблице 1 дозах. </w:t>
      </w:r>
    </w:p>
    <w:p w14:paraId="5B57E03D" w14:textId="77777777" w:rsidR="008372B8" w:rsidRDefault="008372B8" w:rsidP="008372B8">
      <w:pPr>
        <w:pStyle w:val="Normal1"/>
        <w:tabs>
          <w:tab w:val="left" w:pos="0"/>
        </w:tabs>
        <w:spacing w:line="360" w:lineRule="auto"/>
        <w:ind w:left="0" w:firstLine="0"/>
        <w:jc w:val="both"/>
        <w:rPr>
          <w:rFonts w:cs="Times New Roman"/>
          <w:b/>
        </w:rPr>
      </w:pPr>
      <w:r>
        <w:tab/>
      </w:r>
      <w:r w:rsidRPr="00C96416">
        <w:rPr>
          <w:rFonts w:cs="Times New Roman"/>
          <w:b/>
        </w:rPr>
        <w:t>Таблица 1 . Режим дозирования ИПП</w:t>
      </w:r>
      <w:r>
        <w:rPr>
          <w:rFonts w:cs="Times New Roman"/>
          <w:b/>
        </w:rPr>
        <w:t xml:space="preserve"> с целью профилактики язвенной болезни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344"/>
        <w:gridCol w:w="3713"/>
      </w:tblGrid>
      <w:tr w:rsidR="008372B8" w:rsidRPr="00C96416" w14:paraId="51DD3136" w14:textId="77777777" w:rsidTr="00FD15FE">
        <w:trPr>
          <w:jc w:val="center"/>
        </w:trPr>
        <w:tc>
          <w:tcPr>
            <w:tcW w:w="2220" w:type="dxa"/>
          </w:tcPr>
          <w:p w14:paraId="554263C5" w14:textId="77777777" w:rsidR="008372B8" w:rsidRPr="00C96416" w:rsidRDefault="008372B8" w:rsidP="008372B8">
            <w:pPr>
              <w:tabs>
                <w:tab w:val="left" w:pos="0"/>
              </w:tabs>
              <w:jc w:val="center"/>
              <w:rPr>
                <w:b/>
                <w:szCs w:val="24"/>
                <w:lang w:eastAsia="ru-RU"/>
              </w:rPr>
            </w:pPr>
            <w:r>
              <w:rPr>
                <w:b/>
                <w:szCs w:val="24"/>
                <w:lang w:eastAsia="ru-RU"/>
              </w:rPr>
              <w:t>Препарат</w:t>
            </w:r>
          </w:p>
        </w:tc>
        <w:tc>
          <w:tcPr>
            <w:tcW w:w="2344" w:type="dxa"/>
          </w:tcPr>
          <w:p w14:paraId="6EFA4DB6" w14:textId="77777777" w:rsidR="008372B8" w:rsidRPr="00C96416" w:rsidRDefault="008372B8" w:rsidP="008372B8">
            <w:pPr>
              <w:tabs>
                <w:tab w:val="left" w:pos="0"/>
              </w:tabs>
              <w:jc w:val="center"/>
              <w:rPr>
                <w:b/>
                <w:szCs w:val="24"/>
                <w:lang w:eastAsia="ru-RU"/>
              </w:rPr>
            </w:pPr>
            <w:r w:rsidRPr="00C96416">
              <w:rPr>
                <w:b/>
                <w:szCs w:val="24"/>
                <w:lang w:eastAsia="ru-RU"/>
              </w:rPr>
              <w:t xml:space="preserve">Суточная </w:t>
            </w:r>
            <w:r>
              <w:rPr>
                <w:b/>
                <w:szCs w:val="24"/>
                <w:lang w:eastAsia="ru-RU"/>
              </w:rPr>
              <w:t>д</w:t>
            </w:r>
            <w:r w:rsidRPr="00C96416">
              <w:rPr>
                <w:b/>
                <w:szCs w:val="24"/>
                <w:lang w:eastAsia="ru-RU"/>
              </w:rPr>
              <w:t>оза, мг</w:t>
            </w:r>
          </w:p>
        </w:tc>
        <w:tc>
          <w:tcPr>
            <w:tcW w:w="3713" w:type="dxa"/>
          </w:tcPr>
          <w:p w14:paraId="13843475" w14:textId="77777777" w:rsidR="008372B8" w:rsidRPr="00C96416" w:rsidRDefault="008372B8" w:rsidP="008372B8">
            <w:pPr>
              <w:tabs>
                <w:tab w:val="left" w:pos="0"/>
              </w:tabs>
              <w:jc w:val="center"/>
              <w:rPr>
                <w:b/>
                <w:szCs w:val="24"/>
                <w:lang w:eastAsia="ru-RU"/>
              </w:rPr>
            </w:pPr>
            <w:r>
              <w:rPr>
                <w:b/>
                <w:szCs w:val="24"/>
                <w:lang w:eastAsia="ru-RU"/>
              </w:rPr>
              <w:t>Способ применения и р</w:t>
            </w:r>
            <w:r w:rsidRPr="00C96416">
              <w:rPr>
                <w:b/>
                <w:szCs w:val="24"/>
                <w:lang w:eastAsia="ru-RU"/>
              </w:rPr>
              <w:t>ежим дозирования</w:t>
            </w:r>
          </w:p>
        </w:tc>
      </w:tr>
      <w:tr w:rsidR="008372B8" w:rsidRPr="00C96416" w14:paraId="0A72BB49" w14:textId="77777777" w:rsidTr="00FD15FE">
        <w:trPr>
          <w:jc w:val="center"/>
        </w:trPr>
        <w:tc>
          <w:tcPr>
            <w:tcW w:w="2220" w:type="dxa"/>
          </w:tcPr>
          <w:p w14:paraId="2DB5D41D" w14:textId="77777777" w:rsidR="008372B8" w:rsidRPr="00C96416" w:rsidRDefault="008372B8" w:rsidP="008372B8">
            <w:pPr>
              <w:tabs>
                <w:tab w:val="left" w:pos="0"/>
              </w:tabs>
              <w:rPr>
                <w:szCs w:val="24"/>
                <w:lang w:eastAsia="ru-RU"/>
              </w:rPr>
            </w:pPr>
            <w:r w:rsidRPr="00C96416">
              <w:rPr>
                <w:szCs w:val="24"/>
                <w:lang w:eastAsia="ru-RU"/>
              </w:rPr>
              <w:t>Омепразол</w:t>
            </w:r>
          </w:p>
        </w:tc>
        <w:tc>
          <w:tcPr>
            <w:tcW w:w="2344" w:type="dxa"/>
          </w:tcPr>
          <w:p w14:paraId="33971ACD" w14:textId="77777777" w:rsidR="008372B8" w:rsidRDefault="008372B8" w:rsidP="008372B8">
            <w:pPr>
              <w:tabs>
                <w:tab w:val="left" w:pos="0"/>
              </w:tabs>
              <w:jc w:val="center"/>
              <w:rPr>
                <w:szCs w:val="24"/>
                <w:lang w:eastAsia="ru-RU"/>
              </w:rPr>
            </w:pPr>
            <w:r w:rsidRPr="00C96416">
              <w:rPr>
                <w:szCs w:val="24"/>
                <w:lang w:eastAsia="ru-RU"/>
              </w:rPr>
              <w:t>20</w:t>
            </w:r>
          </w:p>
          <w:p w14:paraId="46EC0223" w14:textId="77777777" w:rsidR="008372B8" w:rsidRPr="00C96416" w:rsidRDefault="008372B8" w:rsidP="008372B8">
            <w:pPr>
              <w:tabs>
                <w:tab w:val="left" w:pos="0"/>
              </w:tabs>
              <w:jc w:val="center"/>
              <w:rPr>
                <w:szCs w:val="24"/>
                <w:lang w:eastAsia="ru-RU"/>
              </w:rPr>
            </w:pPr>
            <w:r>
              <w:rPr>
                <w:szCs w:val="24"/>
                <w:lang w:eastAsia="ru-RU"/>
              </w:rPr>
              <w:t>40</w:t>
            </w:r>
          </w:p>
        </w:tc>
        <w:tc>
          <w:tcPr>
            <w:tcW w:w="3713" w:type="dxa"/>
          </w:tcPr>
          <w:p w14:paraId="671AE67C" w14:textId="77777777" w:rsidR="008372B8" w:rsidRPr="00B56E4C" w:rsidRDefault="008372B8" w:rsidP="008372B8">
            <w:pPr>
              <w:tabs>
                <w:tab w:val="left" w:pos="0"/>
              </w:tabs>
              <w:rPr>
                <w:szCs w:val="24"/>
                <w:lang w:eastAsia="ru-RU"/>
              </w:rPr>
            </w:pPr>
            <w:r>
              <w:rPr>
                <w:szCs w:val="24"/>
                <w:lang w:eastAsia="ru-RU"/>
              </w:rPr>
              <w:t>Внутрь, 1 раз в сутки;</w:t>
            </w:r>
          </w:p>
          <w:p w14:paraId="0E0900DC" w14:textId="77777777" w:rsidR="008372B8" w:rsidRPr="00D221D8" w:rsidRDefault="008372B8" w:rsidP="008372B8">
            <w:pPr>
              <w:tabs>
                <w:tab w:val="left" w:pos="0"/>
              </w:tabs>
              <w:rPr>
                <w:szCs w:val="24"/>
                <w:lang w:eastAsia="ru-RU"/>
              </w:rPr>
            </w:pPr>
            <w:r>
              <w:rPr>
                <w:szCs w:val="24"/>
                <w:lang w:eastAsia="ru-RU"/>
              </w:rPr>
              <w:t xml:space="preserve"> в/в, 1 раз в сутки</w:t>
            </w:r>
          </w:p>
        </w:tc>
      </w:tr>
      <w:tr w:rsidR="008372B8" w:rsidRPr="00C96416" w14:paraId="77DD8111" w14:textId="77777777" w:rsidTr="00FD15FE">
        <w:trPr>
          <w:jc w:val="center"/>
        </w:trPr>
        <w:tc>
          <w:tcPr>
            <w:tcW w:w="2220" w:type="dxa"/>
          </w:tcPr>
          <w:p w14:paraId="6E879E4F" w14:textId="77777777" w:rsidR="008372B8" w:rsidRPr="00C96416" w:rsidRDefault="008372B8" w:rsidP="008372B8">
            <w:pPr>
              <w:tabs>
                <w:tab w:val="left" w:pos="0"/>
              </w:tabs>
              <w:rPr>
                <w:szCs w:val="24"/>
                <w:lang w:eastAsia="ru-RU"/>
              </w:rPr>
            </w:pPr>
            <w:r w:rsidRPr="00C96416">
              <w:rPr>
                <w:szCs w:val="24"/>
                <w:lang w:eastAsia="ru-RU"/>
              </w:rPr>
              <w:t>Лансопразол</w:t>
            </w:r>
          </w:p>
        </w:tc>
        <w:tc>
          <w:tcPr>
            <w:tcW w:w="2344" w:type="dxa"/>
          </w:tcPr>
          <w:p w14:paraId="63D11EC7" w14:textId="77777777" w:rsidR="008372B8" w:rsidRPr="00C96416" w:rsidRDefault="008372B8" w:rsidP="008372B8">
            <w:pPr>
              <w:tabs>
                <w:tab w:val="left" w:pos="0"/>
              </w:tabs>
              <w:jc w:val="center"/>
              <w:rPr>
                <w:szCs w:val="24"/>
                <w:lang w:eastAsia="ru-RU"/>
              </w:rPr>
            </w:pPr>
            <w:r w:rsidRPr="00C96416">
              <w:rPr>
                <w:szCs w:val="24"/>
                <w:lang w:eastAsia="ru-RU"/>
              </w:rPr>
              <w:t>30</w:t>
            </w:r>
          </w:p>
        </w:tc>
        <w:tc>
          <w:tcPr>
            <w:tcW w:w="3713" w:type="dxa"/>
          </w:tcPr>
          <w:p w14:paraId="6896AFA7" w14:textId="77777777" w:rsidR="008372B8" w:rsidRDefault="008372B8" w:rsidP="008372B8">
            <w:r w:rsidRPr="00826EC3">
              <w:rPr>
                <w:szCs w:val="24"/>
                <w:lang w:eastAsia="ru-RU"/>
              </w:rPr>
              <w:t>Внутрь, 1 раз в сутки</w:t>
            </w:r>
          </w:p>
        </w:tc>
      </w:tr>
      <w:tr w:rsidR="008372B8" w:rsidRPr="00C96416" w14:paraId="14D79983" w14:textId="77777777" w:rsidTr="00FD15FE">
        <w:trPr>
          <w:jc w:val="center"/>
        </w:trPr>
        <w:tc>
          <w:tcPr>
            <w:tcW w:w="2220" w:type="dxa"/>
          </w:tcPr>
          <w:p w14:paraId="07AD5C7F" w14:textId="77777777" w:rsidR="008372B8" w:rsidRPr="00C96416" w:rsidRDefault="008372B8" w:rsidP="008372B8">
            <w:pPr>
              <w:tabs>
                <w:tab w:val="left" w:pos="0"/>
              </w:tabs>
              <w:rPr>
                <w:szCs w:val="24"/>
                <w:lang w:eastAsia="ru-RU"/>
              </w:rPr>
            </w:pPr>
            <w:r>
              <w:rPr>
                <w:szCs w:val="24"/>
                <w:lang w:eastAsia="ru-RU"/>
              </w:rPr>
              <w:t>П</w:t>
            </w:r>
            <w:r w:rsidRPr="00C96416">
              <w:rPr>
                <w:szCs w:val="24"/>
                <w:lang w:eastAsia="ru-RU"/>
              </w:rPr>
              <w:t>антопразол</w:t>
            </w:r>
          </w:p>
        </w:tc>
        <w:tc>
          <w:tcPr>
            <w:tcW w:w="2344" w:type="dxa"/>
          </w:tcPr>
          <w:p w14:paraId="20C2163B" w14:textId="77777777" w:rsidR="008372B8" w:rsidRPr="00C96416" w:rsidRDefault="008372B8" w:rsidP="008372B8">
            <w:pPr>
              <w:tabs>
                <w:tab w:val="left" w:pos="0"/>
              </w:tabs>
              <w:jc w:val="center"/>
              <w:rPr>
                <w:szCs w:val="24"/>
                <w:lang w:eastAsia="ru-RU"/>
              </w:rPr>
            </w:pPr>
            <w:r w:rsidRPr="00C96416">
              <w:rPr>
                <w:szCs w:val="24"/>
                <w:lang w:eastAsia="ru-RU"/>
              </w:rPr>
              <w:t>40</w:t>
            </w:r>
          </w:p>
        </w:tc>
        <w:tc>
          <w:tcPr>
            <w:tcW w:w="3713" w:type="dxa"/>
          </w:tcPr>
          <w:p w14:paraId="50DBA1B6" w14:textId="77777777" w:rsidR="008372B8" w:rsidRDefault="008372B8" w:rsidP="008372B8">
            <w:r w:rsidRPr="00826EC3">
              <w:rPr>
                <w:szCs w:val="24"/>
                <w:lang w:eastAsia="ru-RU"/>
              </w:rPr>
              <w:t>Внутрь, 1 раз в сутки</w:t>
            </w:r>
          </w:p>
        </w:tc>
      </w:tr>
      <w:tr w:rsidR="008372B8" w:rsidRPr="00C96416" w14:paraId="44BB52BE" w14:textId="77777777" w:rsidTr="00FD15FE">
        <w:trPr>
          <w:jc w:val="center"/>
        </w:trPr>
        <w:tc>
          <w:tcPr>
            <w:tcW w:w="2220" w:type="dxa"/>
          </w:tcPr>
          <w:p w14:paraId="2E28FAA0" w14:textId="77777777" w:rsidR="008372B8" w:rsidRPr="00C96416" w:rsidRDefault="008372B8" w:rsidP="008372B8">
            <w:pPr>
              <w:tabs>
                <w:tab w:val="left" w:pos="0"/>
              </w:tabs>
              <w:rPr>
                <w:szCs w:val="24"/>
                <w:lang w:eastAsia="ru-RU"/>
              </w:rPr>
            </w:pPr>
            <w:r>
              <w:rPr>
                <w:szCs w:val="24"/>
              </w:rPr>
              <w:t>Р</w:t>
            </w:r>
            <w:r w:rsidRPr="00C96416">
              <w:rPr>
                <w:szCs w:val="24"/>
              </w:rPr>
              <w:t>абепразол</w:t>
            </w:r>
          </w:p>
        </w:tc>
        <w:tc>
          <w:tcPr>
            <w:tcW w:w="2344" w:type="dxa"/>
          </w:tcPr>
          <w:p w14:paraId="7523A344" w14:textId="77777777" w:rsidR="008372B8" w:rsidRPr="00C96416" w:rsidRDefault="008372B8" w:rsidP="008372B8">
            <w:pPr>
              <w:tabs>
                <w:tab w:val="left" w:pos="0"/>
              </w:tabs>
              <w:jc w:val="center"/>
              <w:rPr>
                <w:szCs w:val="24"/>
                <w:lang w:eastAsia="ru-RU"/>
              </w:rPr>
            </w:pPr>
            <w:r w:rsidRPr="00C96416">
              <w:rPr>
                <w:szCs w:val="24"/>
                <w:lang w:eastAsia="ru-RU"/>
              </w:rPr>
              <w:t>20</w:t>
            </w:r>
          </w:p>
        </w:tc>
        <w:tc>
          <w:tcPr>
            <w:tcW w:w="3713" w:type="dxa"/>
          </w:tcPr>
          <w:p w14:paraId="733B4B0E" w14:textId="77777777" w:rsidR="008372B8" w:rsidRDefault="008372B8" w:rsidP="008372B8">
            <w:r w:rsidRPr="00826EC3">
              <w:rPr>
                <w:szCs w:val="24"/>
                <w:lang w:eastAsia="ru-RU"/>
              </w:rPr>
              <w:t>Внутрь, 1 раз в сутки</w:t>
            </w:r>
          </w:p>
        </w:tc>
      </w:tr>
      <w:tr w:rsidR="008372B8" w:rsidRPr="00C96416" w14:paraId="54DB3802" w14:textId="77777777" w:rsidTr="00FD15FE">
        <w:trPr>
          <w:jc w:val="center"/>
        </w:trPr>
        <w:tc>
          <w:tcPr>
            <w:tcW w:w="2220" w:type="dxa"/>
          </w:tcPr>
          <w:p w14:paraId="61622A33" w14:textId="77777777" w:rsidR="008372B8" w:rsidRPr="00C96416" w:rsidRDefault="008372B8" w:rsidP="008372B8">
            <w:pPr>
              <w:tabs>
                <w:tab w:val="left" w:pos="0"/>
              </w:tabs>
              <w:rPr>
                <w:szCs w:val="24"/>
              </w:rPr>
            </w:pPr>
            <w:r>
              <w:rPr>
                <w:szCs w:val="24"/>
              </w:rPr>
              <w:lastRenderedPageBreak/>
              <w:t>Э</w:t>
            </w:r>
            <w:r w:rsidRPr="00C96416">
              <w:rPr>
                <w:szCs w:val="24"/>
              </w:rPr>
              <w:t>зомепразол</w:t>
            </w:r>
          </w:p>
        </w:tc>
        <w:tc>
          <w:tcPr>
            <w:tcW w:w="2344" w:type="dxa"/>
          </w:tcPr>
          <w:p w14:paraId="0DF9C4F1" w14:textId="77777777" w:rsidR="008372B8" w:rsidRPr="00C96416" w:rsidRDefault="008372B8" w:rsidP="008372B8">
            <w:pPr>
              <w:tabs>
                <w:tab w:val="left" w:pos="0"/>
              </w:tabs>
              <w:jc w:val="center"/>
              <w:rPr>
                <w:szCs w:val="24"/>
                <w:lang w:eastAsia="ru-RU"/>
              </w:rPr>
            </w:pPr>
            <w:r w:rsidRPr="00C96416">
              <w:rPr>
                <w:szCs w:val="24"/>
                <w:lang w:eastAsia="ru-RU"/>
              </w:rPr>
              <w:t>20</w:t>
            </w:r>
          </w:p>
        </w:tc>
        <w:tc>
          <w:tcPr>
            <w:tcW w:w="3713" w:type="dxa"/>
          </w:tcPr>
          <w:p w14:paraId="4204FFEE" w14:textId="77777777" w:rsidR="008372B8" w:rsidRDefault="008372B8" w:rsidP="008372B8">
            <w:r w:rsidRPr="00826EC3">
              <w:rPr>
                <w:szCs w:val="24"/>
                <w:lang w:eastAsia="ru-RU"/>
              </w:rPr>
              <w:t>Внутрь</w:t>
            </w:r>
            <w:r>
              <w:rPr>
                <w:szCs w:val="24"/>
                <w:lang w:eastAsia="ru-RU"/>
              </w:rPr>
              <w:t xml:space="preserve"> или в/в</w:t>
            </w:r>
            <w:r w:rsidRPr="00826EC3">
              <w:rPr>
                <w:szCs w:val="24"/>
                <w:lang w:eastAsia="ru-RU"/>
              </w:rPr>
              <w:t>, 1 раз в сутки</w:t>
            </w:r>
          </w:p>
        </w:tc>
      </w:tr>
    </w:tbl>
    <w:p w14:paraId="790089CD" w14:textId="77777777" w:rsidR="008372B8" w:rsidRDefault="008372B8" w:rsidP="008372B8">
      <w:pPr>
        <w:pStyle w:val="Normal1"/>
        <w:tabs>
          <w:tab w:val="left" w:pos="0"/>
        </w:tabs>
        <w:spacing w:line="360" w:lineRule="auto"/>
        <w:ind w:left="0" w:firstLine="0"/>
        <w:jc w:val="both"/>
        <w:rPr>
          <w:rFonts w:cs="Times New Roman"/>
        </w:rPr>
      </w:pPr>
    </w:p>
    <w:p w14:paraId="0540E11A" w14:textId="151A0553" w:rsidR="008372B8" w:rsidRDefault="008372B8" w:rsidP="008372B8">
      <w:pPr>
        <w:spacing w:before="0" w:after="0"/>
      </w:pPr>
      <w:r>
        <w:tab/>
        <w:t>Время суток и прием пищи не влияют на активность ИПП. Коррекции дозы при почечной недостаточности не требуется. При невозможности перорального приема ИПП вводятся внутривенно.</w:t>
      </w:r>
    </w:p>
    <w:p w14:paraId="25085014" w14:textId="77777777" w:rsidR="008372B8" w:rsidRPr="008372B8" w:rsidRDefault="008372B8" w:rsidP="008372B8">
      <w:pPr>
        <w:spacing w:before="0" w:after="0"/>
        <w:rPr>
          <w:b/>
        </w:rPr>
      </w:pPr>
      <w:r w:rsidRPr="008372B8">
        <w:rPr>
          <w:b/>
        </w:rPr>
        <w:t xml:space="preserve">3.2 Блокаторы Н2-гистаминовых рецепторов </w:t>
      </w:r>
    </w:p>
    <w:p w14:paraId="4AF4DA7E" w14:textId="77777777" w:rsidR="008372B8" w:rsidRDefault="008372B8" w:rsidP="008372B8">
      <w:pPr>
        <w:spacing w:before="0" w:after="0"/>
        <w:ind w:firstLine="709"/>
      </w:pPr>
      <w:r>
        <w:t xml:space="preserve">Секреторные реакции желудка при действии экзогенного или эндогенного гистамина реализуются через Н2-гистаминорецепторы. Блокаторы гистаминовых Н2-рецепторов являются конкурентными антагонистами гистамина и подавляют вызванную различными раздражителями секрецию соляной кислоты за счет вытеснения гистамина из связи с Н2-рецепторами париетальных клеток. Препараты этой группы поддерживают показатели внутрижелудочного рН &gt; 3 на протяжении суток. Применение Н2-блокаторов в течение 1-1,5 месяца приводит к рубцеванию язвенного дефекта у 70–80 % пациентов с дуоденальными язвами и у 55–60 % пациентов с язвами желудка. Тем не менее, после внедрения ИПП в клиническую практику в качестве базисной антисекреторной терапии, Н2-блокаторы применяются реже, главным образом при невозможности применения ИПП. </w:t>
      </w:r>
    </w:p>
    <w:p w14:paraId="2E6EFBB3" w14:textId="77777777" w:rsidR="008372B8" w:rsidRDefault="008372B8" w:rsidP="008372B8">
      <w:pPr>
        <w:spacing w:before="0" w:after="0"/>
        <w:ind w:firstLine="709"/>
      </w:pPr>
      <w:r>
        <w:t>В группу препаратов – блокаторов Н2-гистаминовых рецепторов входят ранитидин, фамотидин, применяемые во время проведения курсов противоопухолевой терапии, включающей системные ГКС, в указанных в таблице 2 дозах.</w:t>
      </w:r>
    </w:p>
    <w:p w14:paraId="01A14574" w14:textId="77777777" w:rsidR="008372B8" w:rsidRPr="00C96416" w:rsidRDefault="008372B8" w:rsidP="008372B8">
      <w:pPr>
        <w:tabs>
          <w:tab w:val="left" w:pos="0"/>
        </w:tabs>
        <w:ind w:firstLine="567"/>
        <w:rPr>
          <w:b/>
          <w:szCs w:val="24"/>
        </w:rPr>
      </w:pPr>
      <w:r w:rsidRPr="00C96416">
        <w:rPr>
          <w:b/>
          <w:szCs w:val="24"/>
        </w:rPr>
        <w:t xml:space="preserve">Таблица </w:t>
      </w:r>
      <w:r>
        <w:rPr>
          <w:b/>
          <w:szCs w:val="24"/>
        </w:rPr>
        <w:t>2</w:t>
      </w:r>
      <w:r w:rsidRPr="00C96416">
        <w:rPr>
          <w:b/>
          <w:szCs w:val="24"/>
        </w:rPr>
        <w:t xml:space="preserve"> . Режим дозирования </w:t>
      </w:r>
      <w:r>
        <w:rPr>
          <w:b/>
          <w:szCs w:val="24"/>
        </w:rPr>
        <w:t>б</w:t>
      </w:r>
      <w:r w:rsidRPr="00C96416">
        <w:rPr>
          <w:b/>
          <w:szCs w:val="24"/>
        </w:rPr>
        <w:t>локатор</w:t>
      </w:r>
      <w:r>
        <w:rPr>
          <w:b/>
          <w:szCs w:val="24"/>
        </w:rPr>
        <w:t>ов</w:t>
      </w:r>
      <w:r w:rsidRPr="00C96416">
        <w:rPr>
          <w:b/>
          <w:szCs w:val="24"/>
        </w:rPr>
        <w:t xml:space="preserve"> Н2-гистаминовых рецепторов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2268"/>
        <w:gridCol w:w="3358"/>
      </w:tblGrid>
      <w:tr w:rsidR="008372B8" w:rsidRPr="00C96416" w14:paraId="1096226C" w14:textId="77777777" w:rsidTr="00FD15FE">
        <w:trPr>
          <w:jc w:val="center"/>
        </w:trPr>
        <w:tc>
          <w:tcPr>
            <w:tcW w:w="1942" w:type="dxa"/>
          </w:tcPr>
          <w:p w14:paraId="22F2300F" w14:textId="77777777" w:rsidR="008372B8" w:rsidRPr="00C96416" w:rsidRDefault="008372B8" w:rsidP="008372B8">
            <w:pPr>
              <w:tabs>
                <w:tab w:val="left" w:pos="0"/>
              </w:tabs>
              <w:rPr>
                <w:b/>
                <w:szCs w:val="24"/>
                <w:lang w:eastAsia="ru-RU"/>
              </w:rPr>
            </w:pPr>
            <w:r w:rsidRPr="00C96416">
              <w:rPr>
                <w:b/>
                <w:szCs w:val="24"/>
                <w:lang w:eastAsia="ru-RU"/>
              </w:rPr>
              <w:t>Препараты</w:t>
            </w:r>
          </w:p>
        </w:tc>
        <w:tc>
          <w:tcPr>
            <w:tcW w:w="2268" w:type="dxa"/>
          </w:tcPr>
          <w:p w14:paraId="402A7CC7" w14:textId="77777777" w:rsidR="008372B8" w:rsidRPr="00C96416" w:rsidRDefault="008372B8" w:rsidP="008372B8">
            <w:pPr>
              <w:tabs>
                <w:tab w:val="left" w:pos="0"/>
              </w:tabs>
              <w:jc w:val="center"/>
              <w:rPr>
                <w:b/>
                <w:szCs w:val="24"/>
                <w:lang w:eastAsia="ru-RU"/>
              </w:rPr>
            </w:pPr>
            <w:r w:rsidRPr="00C96416">
              <w:rPr>
                <w:b/>
                <w:szCs w:val="24"/>
                <w:lang w:eastAsia="ru-RU"/>
              </w:rPr>
              <w:t xml:space="preserve">Суточная </w:t>
            </w:r>
            <w:r>
              <w:rPr>
                <w:b/>
                <w:szCs w:val="24"/>
                <w:lang w:eastAsia="ru-RU"/>
              </w:rPr>
              <w:t>д</w:t>
            </w:r>
            <w:r w:rsidRPr="00C96416">
              <w:rPr>
                <w:b/>
                <w:szCs w:val="24"/>
                <w:lang w:eastAsia="ru-RU"/>
              </w:rPr>
              <w:t>оза, мг</w:t>
            </w:r>
          </w:p>
        </w:tc>
        <w:tc>
          <w:tcPr>
            <w:tcW w:w="3358" w:type="dxa"/>
          </w:tcPr>
          <w:p w14:paraId="3901AEA8" w14:textId="77777777" w:rsidR="008372B8" w:rsidRPr="00C96416" w:rsidRDefault="008372B8" w:rsidP="008372B8">
            <w:pPr>
              <w:tabs>
                <w:tab w:val="left" w:pos="0"/>
              </w:tabs>
              <w:jc w:val="center"/>
              <w:rPr>
                <w:b/>
                <w:szCs w:val="24"/>
                <w:lang w:eastAsia="ru-RU"/>
              </w:rPr>
            </w:pPr>
            <w:r w:rsidRPr="00C96416">
              <w:rPr>
                <w:b/>
                <w:szCs w:val="24"/>
                <w:lang w:eastAsia="ru-RU"/>
              </w:rPr>
              <w:t>Режим дозирования</w:t>
            </w:r>
          </w:p>
        </w:tc>
      </w:tr>
      <w:tr w:rsidR="008372B8" w:rsidRPr="00C96416" w14:paraId="6D10C093" w14:textId="77777777" w:rsidTr="00FD15FE">
        <w:trPr>
          <w:jc w:val="center"/>
        </w:trPr>
        <w:tc>
          <w:tcPr>
            <w:tcW w:w="1942" w:type="dxa"/>
          </w:tcPr>
          <w:p w14:paraId="6AB35655" w14:textId="77777777" w:rsidR="008372B8" w:rsidRPr="00C96416" w:rsidRDefault="008372B8" w:rsidP="008372B8">
            <w:pPr>
              <w:tabs>
                <w:tab w:val="left" w:pos="0"/>
              </w:tabs>
              <w:rPr>
                <w:szCs w:val="24"/>
                <w:lang w:eastAsia="ru-RU"/>
              </w:rPr>
            </w:pPr>
            <w:r>
              <w:rPr>
                <w:szCs w:val="24"/>
                <w:lang w:eastAsia="ru-RU"/>
              </w:rPr>
              <w:t>Ранитидин</w:t>
            </w:r>
          </w:p>
        </w:tc>
        <w:tc>
          <w:tcPr>
            <w:tcW w:w="2268" w:type="dxa"/>
          </w:tcPr>
          <w:p w14:paraId="7D03F78E" w14:textId="77777777" w:rsidR="008372B8" w:rsidRPr="00C96416" w:rsidRDefault="008372B8" w:rsidP="008372B8">
            <w:pPr>
              <w:tabs>
                <w:tab w:val="left" w:pos="0"/>
              </w:tabs>
              <w:rPr>
                <w:szCs w:val="24"/>
                <w:lang w:eastAsia="ru-RU"/>
              </w:rPr>
            </w:pPr>
            <w:r>
              <w:rPr>
                <w:szCs w:val="24"/>
                <w:lang w:eastAsia="ru-RU"/>
              </w:rPr>
              <w:t>150</w:t>
            </w:r>
          </w:p>
        </w:tc>
        <w:tc>
          <w:tcPr>
            <w:tcW w:w="3358" w:type="dxa"/>
          </w:tcPr>
          <w:p w14:paraId="1C3D0C62" w14:textId="77777777" w:rsidR="008372B8" w:rsidRPr="00C96416" w:rsidRDefault="008372B8" w:rsidP="008372B8">
            <w:pPr>
              <w:tabs>
                <w:tab w:val="left" w:pos="0"/>
              </w:tabs>
              <w:rPr>
                <w:szCs w:val="24"/>
                <w:lang w:eastAsia="ru-RU"/>
              </w:rPr>
            </w:pPr>
            <w:r>
              <w:rPr>
                <w:szCs w:val="24"/>
                <w:lang w:eastAsia="ru-RU"/>
              </w:rPr>
              <w:t>Внутрь, 1 раз в сутки, на ночь</w:t>
            </w:r>
          </w:p>
        </w:tc>
      </w:tr>
      <w:tr w:rsidR="008372B8" w:rsidRPr="00C96416" w14:paraId="38F22D68" w14:textId="77777777" w:rsidTr="00FD15FE">
        <w:trPr>
          <w:jc w:val="center"/>
        </w:trPr>
        <w:tc>
          <w:tcPr>
            <w:tcW w:w="1942" w:type="dxa"/>
          </w:tcPr>
          <w:p w14:paraId="36B8B15A" w14:textId="77777777" w:rsidR="008372B8" w:rsidRPr="00C96416" w:rsidRDefault="008372B8" w:rsidP="008372B8">
            <w:pPr>
              <w:tabs>
                <w:tab w:val="left" w:pos="0"/>
              </w:tabs>
              <w:rPr>
                <w:szCs w:val="24"/>
                <w:lang w:eastAsia="ru-RU"/>
              </w:rPr>
            </w:pPr>
            <w:r>
              <w:rPr>
                <w:szCs w:val="24"/>
                <w:lang w:eastAsia="ru-RU"/>
              </w:rPr>
              <w:t>Фамотидин</w:t>
            </w:r>
          </w:p>
        </w:tc>
        <w:tc>
          <w:tcPr>
            <w:tcW w:w="2268" w:type="dxa"/>
          </w:tcPr>
          <w:p w14:paraId="66789D63" w14:textId="77777777" w:rsidR="008372B8" w:rsidRPr="00C96416" w:rsidRDefault="008372B8" w:rsidP="008372B8">
            <w:pPr>
              <w:tabs>
                <w:tab w:val="left" w:pos="0"/>
              </w:tabs>
              <w:rPr>
                <w:szCs w:val="24"/>
                <w:lang w:eastAsia="ru-RU"/>
              </w:rPr>
            </w:pPr>
            <w:r>
              <w:rPr>
                <w:szCs w:val="24"/>
                <w:lang w:eastAsia="ru-RU"/>
              </w:rPr>
              <w:t>2</w:t>
            </w:r>
            <w:r w:rsidRPr="00C96416">
              <w:rPr>
                <w:szCs w:val="24"/>
                <w:lang w:eastAsia="ru-RU"/>
              </w:rPr>
              <w:t xml:space="preserve">0 </w:t>
            </w:r>
          </w:p>
        </w:tc>
        <w:tc>
          <w:tcPr>
            <w:tcW w:w="3358" w:type="dxa"/>
          </w:tcPr>
          <w:p w14:paraId="3C3ADB0C" w14:textId="77777777" w:rsidR="008372B8" w:rsidRDefault="008372B8" w:rsidP="008372B8">
            <w:r w:rsidRPr="00826EC3">
              <w:rPr>
                <w:szCs w:val="24"/>
                <w:lang w:eastAsia="ru-RU"/>
              </w:rPr>
              <w:t>Внутрь, 1 раз в сутки</w:t>
            </w:r>
            <w:r>
              <w:rPr>
                <w:szCs w:val="24"/>
                <w:lang w:eastAsia="ru-RU"/>
              </w:rPr>
              <w:t>, на ночь</w:t>
            </w:r>
          </w:p>
        </w:tc>
      </w:tr>
    </w:tbl>
    <w:p w14:paraId="7E00F332" w14:textId="77777777" w:rsidR="008372B8" w:rsidRPr="008372B8" w:rsidRDefault="008372B8" w:rsidP="008372B8">
      <w:pPr>
        <w:spacing w:before="0" w:after="0"/>
        <w:rPr>
          <w:b/>
        </w:rPr>
      </w:pPr>
      <w:r w:rsidRPr="008372B8">
        <w:rPr>
          <w:b/>
        </w:rPr>
        <w:t>Список литературы</w:t>
      </w:r>
    </w:p>
    <w:p w14:paraId="057EB111" w14:textId="77777777" w:rsidR="008372B8" w:rsidRPr="008372B8" w:rsidRDefault="008372B8" w:rsidP="008372B8">
      <w:pPr>
        <w:spacing w:before="0" w:after="0"/>
        <w:rPr>
          <w:lang w:val="en-US"/>
        </w:rPr>
      </w:pPr>
      <w:r>
        <w:t>1.</w:t>
      </w:r>
      <w:r>
        <w:tab/>
        <w:t xml:space="preserve">Ивашкин В.Т., Маев И.В., Царьков П.В., Королев М.П., Андреев Д.Н., Баранская Е.К., Бурков С.Г., Деринов А.А., Ефетов С.К., Лапина Т.Л., Павлов П.В., Пирогов С.С., Ткачев А.В., Трухманов А.С., Федоров Е.Д., Шептулин А.А. 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w:t>
      </w:r>
      <w:r>
        <w:lastRenderedPageBreak/>
        <w:t>Российского эндоскопического общества). Российский</w:t>
      </w:r>
      <w:r w:rsidRPr="008372B8">
        <w:rPr>
          <w:lang w:val="en-US"/>
        </w:rPr>
        <w:t xml:space="preserve"> </w:t>
      </w:r>
      <w:r>
        <w:t>журнал</w:t>
      </w:r>
      <w:r w:rsidRPr="008372B8">
        <w:rPr>
          <w:lang w:val="en-US"/>
        </w:rPr>
        <w:t xml:space="preserve"> </w:t>
      </w:r>
      <w:r>
        <w:t>гастроэнтерологии</w:t>
      </w:r>
      <w:r w:rsidRPr="008372B8">
        <w:rPr>
          <w:lang w:val="en-US"/>
        </w:rPr>
        <w:t xml:space="preserve">, </w:t>
      </w:r>
      <w:r>
        <w:t>гепатологии</w:t>
      </w:r>
      <w:r w:rsidRPr="008372B8">
        <w:rPr>
          <w:lang w:val="en-US"/>
        </w:rPr>
        <w:t xml:space="preserve">, </w:t>
      </w:r>
      <w:r>
        <w:t>колопроктологии</w:t>
      </w:r>
      <w:r w:rsidRPr="008372B8">
        <w:rPr>
          <w:lang w:val="en-US"/>
        </w:rPr>
        <w:t xml:space="preserve">. 2020;30(1):49-70. </w:t>
      </w:r>
    </w:p>
    <w:p w14:paraId="685B7BDE" w14:textId="77777777" w:rsidR="008372B8" w:rsidRPr="008372B8" w:rsidRDefault="008372B8" w:rsidP="008372B8">
      <w:pPr>
        <w:spacing w:before="0" w:after="0"/>
        <w:rPr>
          <w:lang w:val="en-US"/>
        </w:rPr>
      </w:pPr>
      <w:r w:rsidRPr="008372B8">
        <w:rPr>
          <w:lang w:val="en-US"/>
        </w:rPr>
        <w:t>2.</w:t>
      </w:r>
      <w:r w:rsidRPr="008372B8">
        <w:rPr>
          <w:lang w:val="en-US"/>
        </w:rPr>
        <w:tab/>
        <w:t xml:space="preserve">Narum S, Westergren T, Klemp M. Corticosteroids and risk of gastrointestinal bleeding: a systematic review and meta-analysis. BMJ Open. 2014;4(5):e004587 </w:t>
      </w:r>
    </w:p>
    <w:p w14:paraId="18ABD150" w14:textId="77777777" w:rsidR="008372B8" w:rsidRPr="008372B8" w:rsidRDefault="008372B8" w:rsidP="008372B8">
      <w:pPr>
        <w:spacing w:before="0" w:after="0"/>
        <w:rPr>
          <w:lang w:val="en-US"/>
        </w:rPr>
      </w:pPr>
      <w:r w:rsidRPr="008372B8">
        <w:rPr>
          <w:lang w:val="en-US"/>
        </w:rPr>
        <w:t>3.</w:t>
      </w:r>
      <w:r w:rsidRPr="008372B8">
        <w:rPr>
          <w:lang w:val="en-US"/>
        </w:rPr>
        <w:tab/>
        <w:t>Conn HO, Poynard T. Corticosteroids and peptic ulcer: meta-analysis of adverse events during steroid therapy. J Intern Med 1994;236:619–32</w:t>
      </w:r>
    </w:p>
    <w:p w14:paraId="12899F7D" w14:textId="77777777" w:rsidR="008372B8" w:rsidRPr="008372B8" w:rsidRDefault="008372B8" w:rsidP="008372B8">
      <w:pPr>
        <w:spacing w:before="0" w:after="0"/>
        <w:rPr>
          <w:lang w:val="en-US"/>
        </w:rPr>
      </w:pPr>
      <w:r w:rsidRPr="008372B8">
        <w:rPr>
          <w:lang w:val="en-US"/>
        </w:rPr>
        <w:t>4.</w:t>
      </w:r>
      <w:r w:rsidRPr="008372B8">
        <w:rPr>
          <w:lang w:val="en-US"/>
        </w:rPr>
        <w:tab/>
        <w:t>Burget D.W., Chiverton K.D., Hunt R.H. Is there an optimal degree of acid supression for healing of duodenal ulcers? A model of the relationship between ulcer healing and acid suppression. Gastroenterology. 1990;99:345–51</w:t>
      </w:r>
    </w:p>
    <w:p w14:paraId="44B84571" w14:textId="77777777" w:rsidR="008372B8" w:rsidRPr="008372B8" w:rsidRDefault="008372B8" w:rsidP="008372B8">
      <w:pPr>
        <w:spacing w:before="0" w:after="0"/>
        <w:rPr>
          <w:lang w:val="en-US"/>
        </w:rPr>
      </w:pPr>
      <w:r w:rsidRPr="008372B8">
        <w:rPr>
          <w:lang w:val="en-US"/>
        </w:rPr>
        <w:t>5.</w:t>
      </w:r>
      <w:r w:rsidRPr="008372B8">
        <w:rPr>
          <w:lang w:val="en-US"/>
        </w:rPr>
        <w:tab/>
        <w:t>Scally B., Emberson J.R., Spata E., et al. Effects of gastroprotectant drugs for the prevention and treatment of peptic ulcer disease and its complications: a meta-analysis of randomized trials. Lancet Gastroenterol Hepatol. 2018;3(4):231–41.</w:t>
      </w:r>
    </w:p>
    <w:p w14:paraId="6C4CE161" w14:textId="77777777" w:rsidR="008372B8" w:rsidRPr="008372B8" w:rsidRDefault="008372B8" w:rsidP="008372B8">
      <w:pPr>
        <w:spacing w:before="0" w:after="0"/>
        <w:rPr>
          <w:lang w:val="en-US"/>
        </w:rPr>
      </w:pPr>
      <w:r w:rsidRPr="008372B8">
        <w:rPr>
          <w:lang w:val="en-US"/>
        </w:rPr>
        <w:t>6.</w:t>
      </w:r>
      <w:r w:rsidRPr="008372B8">
        <w:rPr>
          <w:lang w:val="en-US"/>
        </w:rPr>
        <w:tab/>
        <w:t>Poinard T., Lemaire M., Agostini H. Meta-analysis of randomized clinical trials comparing lansoprazole with ranitidine or famotidine in the treatment of acute duodenal ulcer. Eur J Gastroenterol Hepatol. 1995;7:661–5.</w:t>
      </w:r>
    </w:p>
    <w:p w14:paraId="5C6F4491" w14:textId="77777777" w:rsidR="008372B8" w:rsidRPr="00FD15FE" w:rsidRDefault="008372B8" w:rsidP="008372B8">
      <w:pPr>
        <w:spacing w:before="0" w:after="0"/>
        <w:rPr>
          <w:lang w:val="en-US"/>
        </w:rPr>
      </w:pPr>
      <w:r w:rsidRPr="008372B8">
        <w:rPr>
          <w:lang w:val="en-US"/>
        </w:rPr>
        <w:t>7.</w:t>
      </w:r>
      <w:r w:rsidRPr="008372B8">
        <w:rPr>
          <w:lang w:val="en-US"/>
        </w:rPr>
        <w:tab/>
        <w:t xml:space="preserve">Hu Z.H., Shi A.M., Hu D.M., Bao J.J. Efficacy of proton pump inhibitors for patients with duodenal ulcers: A pairwise and network meta-analysis of randomized controlled trial. </w:t>
      </w:r>
      <w:r w:rsidRPr="00FD15FE">
        <w:rPr>
          <w:lang w:val="en-US"/>
        </w:rPr>
        <w:t>Saudi J Gastroenterol. 2017;23(1):11–9.</w:t>
      </w:r>
    </w:p>
    <w:p w14:paraId="6A9DE958" w14:textId="33A651F5" w:rsidR="005961D4" w:rsidRDefault="008372B8" w:rsidP="008372B8">
      <w:pPr>
        <w:spacing w:before="0" w:after="0"/>
      </w:pPr>
      <w:r w:rsidRPr="008372B8">
        <w:rPr>
          <w:lang w:val="en-US"/>
        </w:rPr>
        <w:t>8.</w:t>
      </w:r>
      <w:r w:rsidRPr="008372B8">
        <w:rPr>
          <w:lang w:val="en-US"/>
        </w:rPr>
        <w:tab/>
        <w:t xml:space="preserve">Lanas A., Chan F.K.L. Peptic ulcer disease. </w:t>
      </w:r>
      <w:r>
        <w:t>Lancet. 2017;390(10094):613–24.</w:t>
      </w:r>
    </w:p>
    <w:p w14:paraId="13CA9C34" w14:textId="5ED72139" w:rsidR="003E0025" w:rsidRDefault="008372B8" w:rsidP="003E0025">
      <w:pPr>
        <w:pStyle w:val="msonormalmrcssattr"/>
        <w:shd w:val="clear" w:color="auto" w:fill="FFFFFF"/>
        <w:rPr>
          <w:rFonts w:ascii="Arial" w:hAnsi="Arial" w:cs="Arial"/>
          <w:color w:val="333333"/>
          <w:sz w:val="23"/>
          <w:szCs w:val="23"/>
        </w:rPr>
      </w:pPr>
      <w:r w:rsidRPr="00FD15FE">
        <w:br w:type="page"/>
      </w:r>
    </w:p>
    <w:p w14:paraId="5C412624" w14:textId="0F679E5D" w:rsidR="003E0025" w:rsidRPr="003E0025" w:rsidRDefault="003E0025" w:rsidP="003E0025">
      <w:pPr>
        <w:pStyle w:val="1"/>
      </w:pPr>
      <w:bookmarkStart w:id="79" w:name="_Toc44926641"/>
      <w:bookmarkStart w:id="80" w:name="_Toc53140926"/>
      <w:r w:rsidRPr="003E0025">
        <w:lastRenderedPageBreak/>
        <w:t>Приложение Г6. «Нутритивная терапия</w:t>
      </w:r>
      <w:bookmarkEnd w:id="79"/>
      <w:r w:rsidRPr="003E0025">
        <w:t>»</w:t>
      </w:r>
      <w:bookmarkEnd w:id="80"/>
    </w:p>
    <w:p w14:paraId="3B85F3AA" w14:textId="77777777" w:rsidR="003E0025" w:rsidRPr="003E0025" w:rsidRDefault="003E0025" w:rsidP="003E0025">
      <w:pPr>
        <w:spacing w:before="0" w:after="0"/>
        <w:ind w:firstLine="851"/>
        <w:rPr>
          <w:szCs w:val="24"/>
        </w:rPr>
      </w:pPr>
      <w:r w:rsidRPr="003E0025">
        <w:rPr>
          <w:szCs w:val="24"/>
        </w:rPr>
        <w:t>Высокодозная химиотерапия с последующей ауто-ТГСК, длительный период гранулоцитопении, инфекционные осложнения, продолжительный период нахождения в стационаре – основные причины, приводящие к снижению поступления питательных веществ в организм и как следствие общей слабости, снижению физической активности, значимому уменьшению массы тела.</w:t>
      </w:r>
    </w:p>
    <w:p w14:paraId="1CE1A70A" w14:textId="77777777" w:rsidR="003E0025" w:rsidRPr="003E0025" w:rsidRDefault="003E0025" w:rsidP="003E0025">
      <w:pPr>
        <w:spacing w:before="0" w:after="0"/>
        <w:ind w:firstLine="851"/>
        <w:rPr>
          <w:szCs w:val="24"/>
        </w:rPr>
      </w:pPr>
      <w:r w:rsidRPr="003E0025">
        <w:rPr>
          <w:szCs w:val="24"/>
        </w:rPr>
        <w:t xml:space="preserve">Недостаточным следует считать питание, при котором пациент не может сам обеспечить поступление более чем 60% от своих энергетических потребностей в течение 1–2 недель </w:t>
      </w:r>
      <w:r w:rsidRPr="003E0025">
        <w:rPr>
          <w:szCs w:val="24"/>
        </w:rPr>
        <w:fldChar w:fldCharType="begin" w:fldLock="1"/>
      </w:r>
      <w:r w:rsidRPr="003E0025">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А.Ж.;","non-dropping-particle":"","parse-names":false,"suffix":""}],"container-title":"RUSSCO","id":"ITEM-1","issued":{"date-parts":[["2017"]]},"note":"a","page":"524-532","title":"Практические рекомендации по нутритивной поддержке онкологических больных","type":"article-journal"},"uris":["http://www.mendeley.com/documents/?uuid=d1a841f7-cf41-3658-b869-ec5c58850b6d","http://www.mendeley.com/documents/?uuid=b7d0213d-9037-458b-9137-8ba92417f389","http://www.mendeley.com/documents/?uuid=09a52a75-b0e4-4371-af21-5958257d9c6b","http://www.mendeley.com/documents/?uuid=a93dd076-f883-470f-9078-09d5bea12d18","http://www.mendeley.com/documents/?uuid=260337e2-8643-4a98-b22a-51f427e64df0","http://www.mendeley.com/documents/?uuid=d8f4044a-9d39-4071-8266-cbd0ae05b0d9"]}],"mendeley":{"formattedCitation":"[2]","plainTextFormattedCitation":"[2]","previouslyFormattedCitation":"[11]"},"properties":{"noteIndex":0},"schema":"https://github.com/citation-style-language/schema/raw/master/csl-citation.json"}</w:instrText>
      </w:r>
      <w:r w:rsidRPr="003E0025">
        <w:rPr>
          <w:szCs w:val="24"/>
        </w:rPr>
        <w:fldChar w:fldCharType="separate"/>
      </w:r>
      <w:r w:rsidRPr="003E0025">
        <w:rPr>
          <w:noProof/>
          <w:szCs w:val="24"/>
        </w:rPr>
        <w:t>[2]</w:t>
      </w:r>
      <w:r w:rsidRPr="003E0025">
        <w:rPr>
          <w:szCs w:val="24"/>
        </w:rPr>
        <w:fldChar w:fldCharType="end"/>
      </w:r>
      <w:r w:rsidRPr="003E0025">
        <w:rPr>
          <w:szCs w:val="24"/>
        </w:rPr>
        <w:t xml:space="preserve"> </w:t>
      </w:r>
      <w:r w:rsidRPr="003E0025">
        <w:rPr>
          <w:szCs w:val="24"/>
        </w:rPr>
        <w:fldChar w:fldCharType="begin" w:fldLock="1"/>
      </w:r>
      <w:r w:rsidRPr="003E0025">
        <w:rPr>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555471fe-b9e3-303f-adcc-eecf69d63698","http://www.mendeley.com/documents/?uuid=ed2f4812-c506-484a-afb7-1bb5dae57ffb","http://www.mendeley.com/documents/?uuid=ddeb6586-712b-4c69-81e8-8e7e497e2d57","http://www.mendeley.com/documents/?uuid=99911acc-feb8-4597-a8e1-899d1f00b719","http://www.mendeley.com/documents/?uuid=dc45015e-2bbd-4e0a-8302-25dcb06c3c4c","http://www.mendeley.com/documents/?uuid=4a1cad31-99e3-4cf2-93ad-17d966d60db9"]}],"mendeley":{"formattedCitation":"[6]","plainTextFormattedCitation":"[6]","previouslyFormattedCitation":"[72]"},"properties":{"noteIndex":0},"schema":"https://github.com/citation-style-language/schema/raw/master/csl-citation.json"}</w:instrText>
      </w:r>
      <w:r w:rsidRPr="003E0025">
        <w:rPr>
          <w:szCs w:val="24"/>
        </w:rPr>
        <w:fldChar w:fldCharType="separate"/>
      </w:r>
      <w:r w:rsidRPr="003E0025">
        <w:rPr>
          <w:noProof/>
          <w:szCs w:val="24"/>
        </w:rPr>
        <w:t>[6]</w:t>
      </w:r>
      <w:r w:rsidRPr="003E0025">
        <w:rPr>
          <w:szCs w:val="24"/>
        </w:rPr>
        <w:fldChar w:fldCharType="end"/>
      </w:r>
      <w:r w:rsidRPr="003E0025">
        <w:rPr>
          <w:szCs w:val="24"/>
        </w:rPr>
        <w:t>.</w:t>
      </w:r>
    </w:p>
    <w:p w14:paraId="17D1E741" w14:textId="1AA4D4FA" w:rsidR="003E0025" w:rsidRPr="003E0025" w:rsidRDefault="003E0025" w:rsidP="003E0025">
      <w:pPr>
        <w:spacing w:before="0" w:after="0"/>
        <w:ind w:firstLine="851"/>
        <w:rPr>
          <w:szCs w:val="24"/>
        </w:rPr>
      </w:pPr>
      <w:r w:rsidRPr="003E0025">
        <w:rPr>
          <w:szCs w:val="24"/>
        </w:rPr>
        <w:t>По данным ESPEN от 46 до 88% больных онкологического профиля в процессе противоопухолевого лечения требуют дополнительной нутритивной поддержк</w:t>
      </w:r>
      <w:r w:rsidR="004C0C25">
        <w:rPr>
          <w:szCs w:val="24"/>
        </w:rPr>
        <w:t>и</w:t>
      </w:r>
      <w:r w:rsidRPr="003E0025">
        <w:rPr>
          <w:szCs w:val="24"/>
        </w:rPr>
        <w:t xml:space="preserve"> </w:t>
      </w:r>
      <w:r w:rsidRPr="003E0025">
        <w:rPr>
          <w:szCs w:val="24"/>
        </w:rPr>
        <w:fldChar w:fldCharType="begin" w:fldLock="1"/>
      </w:r>
      <w:r w:rsidRPr="003E0025">
        <w:rPr>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[6]","plainTextFormattedCitation":"[6]","previouslyFormattedCitation":"[72]"},"properties":{"noteIndex":0},"schema":"https://github.com/citation-style-language/schema/raw/master/csl-citation.json"}</w:instrText>
      </w:r>
      <w:r w:rsidRPr="003E0025">
        <w:rPr>
          <w:szCs w:val="24"/>
        </w:rPr>
        <w:fldChar w:fldCharType="separate"/>
      </w:r>
      <w:r w:rsidRPr="003E0025">
        <w:rPr>
          <w:noProof/>
          <w:szCs w:val="24"/>
        </w:rPr>
        <w:t>[6]</w:t>
      </w:r>
      <w:r w:rsidRPr="003E0025">
        <w:rPr>
          <w:szCs w:val="24"/>
        </w:rPr>
        <w:fldChar w:fldCharType="end"/>
      </w:r>
      <w:r w:rsidRPr="003E0025">
        <w:rPr>
          <w:szCs w:val="24"/>
        </w:rPr>
        <w:t xml:space="preserve"> </w:t>
      </w:r>
      <w:r w:rsidRPr="003E0025">
        <w:rPr>
          <w:szCs w:val="24"/>
        </w:rPr>
        <w:fldChar w:fldCharType="begin" w:fldLock="1"/>
      </w:r>
      <w:r w:rsidRPr="003E0025">
        <w:rPr>
          <w:szCs w:val="24"/>
        </w:rPr>
        <w:instrText>ADDIN CSL_CITATION {"citationItems":[{"id":"ITEM-1","itemData":{"author":[{"dropping-particle":"","family":"Бесова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А.И.","non-dropping-particle":"","parse-names":false,"suffix":""}],"id":"ITEM-1","issued":{"date-parts":[["2014"]]},"note":"a","title":"Клинические рекомендации по нутритивной поддержке при химиотерапии и/или лучевой терапии","type":"report"},"uris":["http://www.mendeley.com/documents/?uuid=fa470355-bcfd-3bef-a7a1-086215509c2d","http://www.mendeley.com/documents/?uuid=2da28a52-fa64-480f-9c45-312b59a7027b","http://www.mendeley.com/documents/?uuid=17acaf09-3d29-4b25-b43e-598e8835165d","http://www.mendeley.com/documents/?uuid=113bc17a-cb71-4ba2-afb9-083757d46c9b","http://www.mendeley.com/documents/?uuid=2db47854-c914-42bd-bd4d-a19b47e78e0d","http://www.mendeley.com/documents/?uuid=2475f28c-b7e0-408d-8d85-bd890e4862de"]}],"mendeley":{"formattedCitation":"[1]","plainTextFormattedCitation":"[1]","previouslyFormattedCitation":"[3]"},"properties":{"noteIndex":0},"schema":"https://github.com/citation-style-language/schema/raw/master/csl-citation.json"}</w:instrText>
      </w:r>
      <w:r w:rsidRPr="003E0025">
        <w:rPr>
          <w:szCs w:val="24"/>
        </w:rPr>
        <w:fldChar w:fldCharType="separate"/>
      </w:r>
      <w:r w:rsidRPr="003E0025">
        <w:rPr>
          <w:noProof/>
          <w:szCs w:val="24"/>
        </w:rPr>
        <w:t>[1]</w:t>
      </w:r>
      <w:r w:rsidRPr="003E0025">
        <w:rPr>
          <w:szCs w:val="24"/>
        </w:rPr>
        <w:fldChar w:fldCharType="end"/>
      </w:r>
      <w:r w:rsidRPr="003E0025">
        <w:rPr>
          <w:szCs w:val="24"/>
        </w:rPr>
        <w:t>.</w:t>
      </w:r>
    </w:p>
    <w:p w14:paraId="6AA15A10" w14:textId="77777777" w:rsidR="003E0025" w:rsidRPr="003E0025" w:rsidRDefault="003E0025" w:rsidP="003E0025">
      <w:pPr>
        <w:spacing w:before="0" w:after="0"/>
        <w:ind w:firstLine="851"/>
        <w:rPr>
          <w:szCs w:val="24"/>
        </w:rPr>
      </w:pPr>
      <w:r w:rsidRPr="003E0025">
        <w:rPr>
          <w:szCs w:val="24"/>
        </w:rPr>
        <w:t xml:space="preserve">Нутритивная поддержка – это способ обеспечения полноценного питания больных с использованием специальных средств, максимально сбалансированных в количественном и качественном соотношении. Нутритивная поддержка необходима не только для поддержания метаболических резервов организма, но и для повышения его устойчивости к проводимой терапии </w:t>
      </w:r>
      <w:r w:rsidRPr="003E0025">
        <w:rPr>
          <w:szCs w:val="24"/>
        </w:rPr>
        <w:fldChar w:fldCharType="begin" w:fldLock="1"/>
      </w:r>
      <w:r w:rsidRPr="003E0025">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А.Ж.;","non-dropping-particle":"","parse-names":false,"suffix":""}],"container-title":"RUSSCO","id":"ITEM-1","issued":{"date-parts":[["2017"]]},"note":"a","page":"524-532","title":"Практические рекомендации по нутритивной поддержке онкологических больных","type":"article-journal"},"uris":["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[2]","plainTextFormattedCitation":"[2]","previouslyFormattedCitation":"[11]"},"properties":{"noteIndex":0},"schema":"https://github.com/citation-style-language/schema/raw/master/csl-citation.json"}</w:instrText>
      </w:r>
      <w:r w:rsidRPr="003E0025">
        <w:rPr>
          <w:szCs w:val="24"/>
        </w:rPr>
        <w:fldChar w:fldCharType="separate"/>
      </w:r>
      <w:r w:rsidRPr="003E0025">
        <w:rPr>
          <w:noProof/>
          <w:szCs w:val="24"/>
        </w:rPr>
        <w:t>[2]</w:t>
      </w:r>
      <w:r w:rsidRPr="003E0025">
        <w:rPr>
          <w:szCs w:val="24"/>
        </w:rPr>
        <w:fldChar w:fldCharType="end"/>
      </w:r>
      <w:r w:rsidRPr="003E0025">
        <w:rPr>
          <w:szCs w:val="24"/>
        </w:rPr>
        <w:t xml:space="preserve"> </w:t>
      </w:r>
      <w:r w:rsidRPr="003E0025">
        <w:rPr>
          <w:szCs w:val="24"/>
        </w:rPr>
        <w:fldChar w:fldCharType="begin" w:fldLock="1"/>
      </w:r>
      <w:r w:rsidRPr="003E0025">
        <w:rPr>
          <w:szCs w:val="24"/>
        </w:rPr>
        <w:instrText>ADDIN CSL_CITATION {"citationItems":[{"id":"ITEM-1","itemData":{"DOI":"10.1016/j.clnu.2016.07.015","ISSN":"15321983","PMID":"27637832","abstract":"Cancers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Nutrition","id":"ITEM-1","issue":"1","issued":{"date-parts":[["2017","2"]]},"page":"11-48","publisher":"Churchill Livingstone","title":"ESPEN guidelines on nutrition in cancer patients","type":"article-journal","volume":"36"},"uris":["http://www.mendeley.com/documents/?uuid=2a76c704-6c26-3663-97b2-de4da274aff7","http://www.mendeley.com/documents/?uuid=b37f7a4f-c193-47c9-8d52-643880058eba","http://www.mendeley.com/documents/?uuid=e6d2b792-474d-4443-8733-96188600ddfb","http://www.mendeley.com/documents/?uuid=d3f8f4e1-d953-4d1a-aa5d-79416736ad5c","http://www.mendeley.com/documents/?uuid=e630a116-d7ec-4a1c-b664-044aef3e48b1","http://www.mendeley.com/documents/?uuid=36077b4c-f370-4a6b-b0e1-4b1e9c1d43b5"]}],"mendeley":{"formattedCitation":"[3]","plainTextFormattedCitation":"[3]","previouslyFormattedCitation":"[19]"},"properties":{"noteIndex":0},"schema":"https://github.com/citation-style-language/schema/raw/master/csl-citation.json"}</w:instrText>
      </w:r>
      <w:r w:rsidRPr="003E0025">
        <w:rPr>
          <w:szCs w:val="24"/>
        </w:rPr>
        <w:fldChar w:fldCharType="separate"/>
      </w:r>
      <w:r w:rsidRPr="003E0025">
        <w:rPr>
          <w:noProof/>
          <w:szCs w:val="24"/>
        </w:rPr>
        <w:t>[3]</w:t>
      </w:r>
      <w:r w:rsidRPr="003E0025">
        <w:rPr>
          <w:szCs w:val="24"/>
        </w:rPr>
        <w:fldChar w:fldCharType="end"/>
      </w:r>
      <w:r w:rsidRPr="003E0025">
        <w:rPr>
          <w:szCs w:val="24"/>
        </w:rPr>
        <w:t>.</w:t>
      </w:r>
    </w:p>
    <w:p w14:paraId="4B091385" w14:textId="77777777" w:rsidR="003E0025" w:rsidRPr="003E0025" w:rsidRDefault="003E0025" w:rsidP="003E0025">
      <w:pPr>
        <w:spacing w:before="0" w:after="0"/>
        <w:ind w:firstLine="851"/>
        <w:rPr>
          <w:szCs w:val="24"/>
        </w:rPr>
      </w:pPr>
      <w:r w:rsidRPr="003E0025">
        <w:rPr>
          <w:b/>
          <w:szCs w:val="24"/>
        </w:rPr>
        <w:t>Цели нутритивной поддержки</w:t>
      </w:r>
      <w:r w:rsidRPr="003E0025">
        <w:rPr>
          <w:szCs w:val="24"/>
        </w:rPr>
        <w:t xml:space="preserve"> </w:t>
      </w:r>
      <w:r w:rsidRPr="003E0025">
        <w:rPr>
          <w:szCs w:val="24"/>
        </w:rPr>
        <w:fldChar w:fldCharType="begin" w:fldLock="1"/>
      </w:r>
      <w:r w:rsidRPr="003E0025">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А.Ж.;","non-dropping-particle":"","parse-names":false,"suffix":""}],"container-title":"RUSSCO","id":"ITEM-1","issued":{"date-parts":[["2017"]]},"note":"a","page":"524-532","title":"Практические рекомендации по нутритивной поддержке онкологических больных","type":"article-journal"},"uris":["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[2]","plainTextFormattedCitation":"[2]","previouslyFormattedCitation":"[11]"},"properties":{"noteIndex":0},"schema":"https://github.com/citation-style-language/schema/raw/master/csl-citation.json"}</w:instrText>
      </w:r>
      <w:r w:rsidRPr="003E0025">
        <w:rPr>
          <w:szCs w:val="24"/>
        </w:rPr>
        <w:fldChar w:fldCharType="separate"/>
      </w:r>
      <w:r w:rsidRPr="003E0025">
        <w:rPr>
          <w:noProof/>
          <w:szCs w:val="24"/>
        </w:rPr>
        <w:t>[2]</w:t>
      </w:r>
      <w:r w:rsidRPr="003E0025">
        <w:rPr>
          <w:szCs w:val="24"/>
        </w:rPr>
        <w:fldChar w:fldCharType="end"/>
      </w:r>
      <w:r w:rsidRPr="003E0025">
        <w:rPr>
          <w:szCs w:val="24"/>
        </w:rPr>
        <w:t xml:space="preserve"> </w:t>
      </w:r>
      <w:r w:rsidRPr="003E0025">
        <w:rPr>
          <w:szCs w:val="24"/>
        </w:rPr>
        <w:fldChar w:fldCharType="begin" w:fldLock="1"/>
      </w:r>
      <w:r w:rsidRPr="003E0025">
        <w:rPr>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[6]","plainTextFormattedCitation":"[6]","previouslyFormattedCitation":"[72]"},"properties":{"noteIndex":0},"schema":"https://github.com/citation-style-language/schema/raw/master/csl-citation.json"}</w:instrText>
      </w:r>
      <w:r w:rsidRPr="003E0025">
        <w:rPr>
          <w:szCs w:val="24"/>
        </w:rPr>
        <w:fldChar w:fldCharType="separate"/>
      </w:r>
      <w:r w:rsidRPr="003E0025">
        <w:rPr>
          <w:noProof/>
          <w:szCs w:val="24"/>
        </w:rPr>
        <w:t>[6]</w:t>
      </w:r>
      <w:r w:rsidRPr="003E0025">
        <w:rPr>
          <w:szCs w:val="24"/>
        </w:rPr>
        <w:fldChar w:fldCharType="end"/>
      </w:r>
      <w:r w:rsidRPr="003E0025">
        <w:rPr>
          <w:szCs w:val="24"/>
        </w:rPr>
        <w:t xml:space="preserve">. </w:t>
      </w:r>
    </w:p>
    <w:p w14:paraId="363EAAE3" w14:textId="77777777" w:rsidR="003E0025" w:rsidRPr="003E0025" w:rsidRDefault="003E0025" w:rsidP="003E0025">
      <w:pPr>
        <w:spacing w:before="0" w:after="0"/>
        <w:ind w:firstLine="142"/>
        <w:rPr>
          <w:szCs w:val="24"/>
        </w:rPr>
      </w:pPr>
      <w:r w:rsidRPr="003E0025">
        <w:rPr>
          <w:szCs w:val="24"/>
        </w:rPr>
        <w:t>• Поддержание оптимальной массы тела.</w:t>
      </w:r>
    </w:p>
    <w:p w14:paraId="1D2E8A94" w14:textId="77777777" w:rsidR="003E0025" w:rsidRPr="003E0025" w:rsidRDefault="003E0025" w:rsidP="003E0025">
      <w:pPr>
        <w:spacing w:before="0" w:after="0"/>
        <w:ind w:firstLine="142"/>
        <w:rPr>
          <w:szCs w:val="24"/>
        </w:rPr>
      </w:pPr>
      <w:r w:rsidRPr="003E0025">
        <w:rPr>
          <w:szCs w:val="24"/>
        </w:rPr>
        <w:t>• Предотвращение или коррекция дефицита макро- и микронутриентов.</w:t>
      </w:r>
    </w:p>
    <w:p w14:paraId="1D870784" w14:textId="77777777" w:rsidR="003E0025" w:rsidRPr="003E0025" w:rsidRDefault="003E0025" w:rsidP="003E0025">
      <w:pPr>
        <w:spacing w:before="0" w:after="0"/>
        <w:ind w:firstLine="142"/>
        <w:rPr>
          <w:szCs w:val="24"/>
        </w:rPr>
      </w:pPr>
      <w:r w:rsidRPr="003E0025">
        <w:rPr>
          <w:szCs w:val="24"/>
        </w:rPr>
        <w:t>• Повышение переносимости высокодозной ХТ.</w:t>
      </w:r>
    </w:p>
    <w:p w14:paraId="60380BD2" w14:textId="77777777" w:rsidR="003E0025" w:rsidRPr="003E0025" w:rsidRDefault="003E0025" w:rsidP="003E0025">
      <w:pPr>
        <w:spacing w:before="0" w:after="0"/>
        <w:ind w:firstLine="142"/>
        <w:rPr>
          <w:szCs w:val="24"/>
        </w:rPr>
      </w:pPr>
      <w:r w:rsidRPr="003E0025">
        <w:rPr>
          <w:szCs w:val="24"/>
        </w:rPr>
        <w:t>• Снижение выраженности побочных эффектов ХТ.</w:t>
      </w:r>
    </w:p>
    <w:p w14:paraId="612A7252" w14:textId="77777777" w:rsidR="003E0025" w:rsidRPr="003E0025" w:rsidRDefault="003E0025" w:rsidP="003E0025">
      <w:pPr>
        <w:spacing w:before="0" w:after="0"/>
        <w:ind w:firstLine="142"/>
        <w:rPr>
          <w:szCs w:val="24"/>
        </w:rPr>
      </w:pPr>
      <w:r w:rsidRPr="003E0025">
        <w:rPr>
          <w:szCs w:val="24"/>
        </w:rPr>
        <w:t>• Повышение качества жизни.</w:t>
      </w:r>
    </w:p>
    <w:p w14:paraId="3470975F" w14:textId="77777777" w:rsidR="003E0025" w:rsidRPr="003E0025" w:rsidRDefault="003E0025" w:rsidP="003E0025">
      <w:pPr>
        <w:spacing w:before="0" w:after="0"/>
        <w:ind w:firstLine="851"/>
        <w:rPr>
          <w:b/>
          <w:szCs w:val="24"/>
        </w:rPr>
      </w:pPr>
      <w:r w:rsidRPr="003E0025">
        <w:rPr>
          <w:b/>
          <w:szCs w:val="24"/>
        </w:rPr>
        <w:t xml:space="preserve">Показания к нутритивной поддержке </w:t>
      </w:r>
    </w:p>
    <w:p w14:paraId="5E6BDA59" w14:textId="77777777" w:rsidR="003E0025" w:rsidRPr="003E0025" w:rsidRDefault="003E0025" w:rsidP="003E0025">
      <w:pPr>
        <w:spacing w:before="0" w:after="0"/>
        <w:ind w:firstLine="851"/>
        <w:rPr>
          <w:szCs w:val="24"/>
        </w:rPr>
      </w:pPr>
      <w:r w:rsidRPr="003E0025">
        <w:rPr>
          <w:szCs w:val="24"/>
        </w:rPr>
        <w:t>Скрининг недостаточности питания должен проводиться на протяжении всего периода лечения. Для диагностики степени недостаточности питания предложено много критериев, основными из которых являются:</w:t>
      </w:r>
    </w:p>
    <w:p w14:paraId="6AA46311" w14:textId="77777777" w:rsidR="003E0025" w:rsidRPr="003E0025" w:rsidRDefault="003E0025" w:rsidP="00CE6C1C">
      <w:pPr>
        <w:pStyle w:val="a6"/>
        <w:numPr>
          <w:ilvl w:val="0"/>
          <w:numId w:val="88"/>
        </w:numPr>
        <w:spacing w:before="0" w:after="0"/>
        <w:ind w:left="567" w:hanging="425"/>
        <w:rPr>
          <w:szCs w:val="24"/>
        </w:rPr>
      </w:pPr>
      <w:r w:rsidRPr="003E0025">
        <w:rPr>
          <w:szCs w:val="24"/>
        </w:rPr>
        <w:t>индекс массы тела &lt; 20 кг/м2;</w:t>
      </w:r>
    </w:p>
    <w:p w14:paraId="3F79821B" w14:textId="77777777" w:rsidR="003E0025" w:rsidRPr="003E0025" w:rsidRDefault="003E0025" w:rsidP="00CE6C1C">
      <w:pPr>
        <w:pStyle w:val="a6"/>
        <w:numPr>
          <w:ilvl w:val="0"/>
          <w:numId w:val="88"/>
        </w:numPr>
        <w:spacing w:before="0" w:after="0"/>
        <w:ind w:left="567" w:hanging="425"/>
        <w:rPr>
          <w:szCs w:val="24"/>
        </w:rPr>
      </w:pPr>
      <w:r w:rsidRPr="003E0025">
        <w:rPr>
          <w:szCs w:val="24"/>
        </w:rPr>
        <w:t>темп потери массы тела;</w:t>
      </w:r>
    </w:p>
    <w:p w14:paraId="3381141C" w14:textId="77777777" w:rsidR="003E0025" w:rsidRPr="003E0025" w:rsidRDefault="003E0025" w:rsidP="00CE6C1C">
      <w:pPr>
        <w:pStyle w:val="a6"/>
        <w:numPr>
          <w:ilvl w:val="0"/>
          <w:numId w:val="88"/>
        </w:numPr>
        <w:spacing w:before="0" w:after="0"/>
        <w:ind w:left="567" w:hanging="425"/>
        <w:rPr>
          <w:szCs w:val="24"/>
        </w:rPr>
      </w:pPr>
      <w:r w:rsidRPr="003E0025">
        <w:rPr>
          <w:szCs w:val="24"/>
        </w:rPr>
        <w:t>гипопротеинемия &lt; 60 г/л или гипоальбуминемия &lt; 30 г/л.;</w:t>
      </w:r>
    </w:p>
    <w:p w14:paraId="79ED48E4" w14:textId="77777777" w:rsidR="003E0025" w:rsidRPr="003E0025" w:rsidRDefault="003E0025" w:rsidP="00CE6C1C">
      <w:pPr>
        <w:pStyle w:val="a6"/>
        <w:numPr>
          <w:ilvl w:val="0"/>
          <w:numId w:val="88"/>
        </w:numPr>
        <w:spacing w:before="0" w:after="0"/>
        <w:ind w:left="567" w:hanging="425"/>
        <w:rPr>
          <w:szCs w:val="24"/>
        </w:rPr>
      </w:pPr>
      <w:r w:rsidRPr="003E0025">
        <w:rPr>
          <w:szCs w:val="24"/>
        </w:rPr>
        <w:t>невозможность адекватного энтерального питания;</w:t>
      </w:r>
    </w:p>
    <w:p w14:paraId="1F12410D" w14:textId="77777777" w:rsidR="003E0025" w:rsidRPr="003E0025" w:rsidRDefault="003E0025" w:rsidP="00CE6C1C">
      <w:pPr>
        <w:pStyle w:val="a6"/>
        <w:numPr>
          <w:ilvl w:val="0"/>
          <w:numId w:val="88"/>
        </w:numPr>
        <w:spacing w:before="0" w:after="0"/>
        <w:ind w:left="567" w:hanging="425"/>
        <w:rPr>
          <w:szCs w:val="24"/>
        </w:rPr>
      </w:pPr>
      <w:r w:rsidRPr="003E0025">
        <w:rPr>
          <w:szCs w:val="24"/>
        </w:rPr>
        <w:t xml:space="preserve">побочные проявления высокодозной химиотерапии: </w:t>
      </w:r>
    </w:p>
    <w:p w14:paraId="1A564AB2" w14:textId="77777777" w:rsidR="003E0025" w:rsidRPr="003E0025" w:rsidRDefault="003E0025" w:rsidP="00CE6C1C">
      <w:pPr>
        <w:pStyle w:val="a6"/>
        <w:numPr>
          <w:ilvl w:val="0"/>
          <w:numId w:val="88"/>
        </w:numPr>
        <w:spacing w:before="0" w:after="0"/>
        <w:ind w:left="567" w:hanging="425"/>
        <w:rPr>
          <w:szCs w:val="24"/>
        </w:rPr>
      </w:pPr>
      <w:r w:rsidRPr="003E0025">
        <w:rPr>
          <w:szCs w:val="24"/>
        </w:rPr>
        <w:t>тошнота,</w:t>
      </w:r>
    </w:p>
    <w:p w14:paraId="7B7C4043" w14:textId="77777777" w:rsidR="003E0025" w:rsidRPr="003E0025" w:rsidRDefault="003E0025" w:rsidP="00CE6C1C">
      <w:pPr>
        <w:pStyle w:val="a6"/>
        <w:numPr>
          <w:ilvl w:val="0"/>
          <w:numId w:val="88"/>
        </w:numPr>
        <w:spacing w:before="0" w:after="0"/>
        <w:ind w:left="567" w:hanging="425"/>
        <w:rPr>
          <w:szCs w:val="24"/>
        </w:rPr>
      </w:pPr>
      <w:r w:rsidRPr="003E0025">
        <w:rPr>
          <w:szCs w:val="24"/>
        </w:rPr>
        <w:t xml:space="preserve">рвота, </w:t>
      </w:r>
    </w:p>
    <w:p w14:paraId="68BA53FB" w14:textId="77777777" w:rsidR="003E0025" w:rsidRPr="003E0025" w:rsidRDefault="003E0025" w:rsidP="00CE6C1C">
      <w:pPr>
        <w:pStyle w:val="a6"/>
        <w:numPr>
          <w:ilvl w:val="0"/>
          <w:numId w:val="88"/>
        </w:numPr>
        <w:spacing w:before="0" w:after="0"/>
        <w:ind w:left="567" w:hanging="425"/>
        <w:rPr>
          <w:szCs w:val="24"/>
        </w:rPr>
      </w:pPr>
      <w:r w:rsidRPr="003E0025">
        <w:rPr>
          <w:szCs w:val="24"/>
        </w:rPr>
        <w:lastRenderedPageBreak/>
        <w:t xml:space="preserve">потеря аппетита, </w:t>
      </w:r>
    </w:p>
    <w:p w14:paraId="4F34B7F2" w14:textId="77777777" w:rsidR="003E0025" w:rsidRPr="003E0025" w:rsidRDefault="003E0025" w:rsidP="00CE6C1C">
      <w:pPr>
        <w:pStyle w:val="a6"/>
        <w:numPr>
          <w:ilvl w:val="0"/>
          <w:numId w:val="88"/>
        </w:numPr>
        <w:spacing w:before="0" w:after="0"/>
        <w:ind w:left="567" w:hanging="425"/>
        <w:rPr>
          <w:szCs w:val="24"/>
        </w:rPr>
      </w:pPr>
      <w:r w:rsidRPr="003E0025">
        <w:rPr>
          <w:szCs w:val="24"/>
        </w:rPr>
        <w:t xml:space="preserve">дисфагия, </w:t>
      </w:r>
    </w:p>
    <w:p w14:paraId="3481B11B" w14:textId="77777777" w:rsidR="003E0025" w:rsidRPr="003E0025" w:rsidRDefault="003E0025" w:rsidP="00CE6C1C">
      <w:pPr>
        <w:pStyle w:val="a6"/>
        <w:numPr>
          <w:ilvl w:val="0"/>
          <w:numId w:val="88"/>
        </w:numPr>
        <w:spacing w:before="0" w:after="0"/>
        <w:ind w:left="567" w:hanging="425"/>
        <w:rPr>
          <w:szCs w:val="24"/>
        </w:rPr>
      </w:pPr>
      <w:r w:rsidRPr="003E0025">
        <w:rPr>
          <w:szCs w:val="24"/>
        </w:rPr>
        <w:t>мукозиты различной степени тяжести,</w:t>
      </w:r>
    </w:p>
    <w:p w14:paraId="6E742BC0" w14:textId="77777777" w:rsidR="003E0025" w:rsidRPr="003E0025" w:rsidRDefault="003E0025" w:rsidP="00CE6C1C">
      <w:pPr>
        <w:pStyle w:val="a6"/>
        <w:numPr>
          <w:ilvl w:val="0"/>
          <w:numId w:val="88"/>
        </w:numPr>
        <w:spacing w:before="0" w:after="0"/>
        <w:ind w:left="567" w:hanging="425"/>
        <w:rPr>
          <w:szCs w:val="24"/>
        </w:rPr>
      </w:pPr>
      <w:r w:rsidRPr="003E0025">
        <w:rPr>
          <w:szCs w:val="24"/>
        </w:rPr>
        <w:t xml:space="preserve">нарушения вкуса и обоняния, </w:t>
      </w:r>
    </w:p>
    <w:p w14:paraId="79BF67DF" w14:textId="77777777" w:rsidR="003E0025" w:rsidRPr="003E0025" w:rsidRDefault="003E0025" w:rsidP="00CE6C1C">
      <w:pPr>
        <w:pStyle w:val="a6"/>
        <w:numPr>
          <w:ilvl w:val="0"/>
          <w:numId w:val="88"/>
        </w:numPr>
        <w:spacing w:before="0" w:after="0"/>
        <w:ind w:left="567" w:hanging="425"/>
        <w:rPr>
          <w:szCs w:val="24"/>
        </w:rPr>
      </w:pPr>
      <w:r w:rsidRPr="003E0025">
        <w:rPr>
          <w:szCs w:val="24"/>
        </w:rPr>
        <w:t>некротическая энтеропатия средней и тяжелой степени.</w:t>
      </w:r>
    </w:p>
    <w:p w14:paraId="3F00D145" w14:textId="77777777" w:rsidR="003E0025" w:rsidRPr="003E0025" w:rsidRDefault="003E0025" w:rsidP="003E0025">
      <w:pPr>
        <w:spacing w:before="0" w:after="0"/>
        <w:ind w:firstLine="851"/>
        <w:rPr>
          <w:szCs w:val="24"/>
        </w:rPr>
      </w:pPr>
      <w:r w:rsidRPr="003E0025">
        <w:rPr>
          <w:szCs w:val="24"/>
        </w:rPr>
        <w:t xml:space="preserve">Своевременное выявление пациентов из группы нутритивного риска позволяет защитить пациента от прогрессирующей потери массы тела и развития рефрактерной кахексии. Для первичного скрининга можно использовать хорошо зарекомендовавшие себя шкалы, такие как NRS-2002, ИНР (индекс нарушения питания по Buzby G.P.), бальную шкалу А.Б.В.Г. (ESMO, 2008), индекс массы тела по Кетле и другие </w:t>
      </w:r>
      <w:r w:rsidRPr="003E0025">
        <w:rPr>
          <w:szCs w:val="24"/>
        </w:rPr>
        <w:fldChar w:fldCharType="begin" w:fldLock="1"/>
      </w:r>
      <w:r w:rsidRPr="003E0025">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А.Ж.;","non-dropping-particle":"","parse-names":false,"suffix":""}],"container-title":"RUSSCO","id":"ITEM-1","issued":{"date-parts":[["2017"]]},"note":"a","page":"524-532","title":"Практические рекомендации по нутритивной поддержке онкологических больных","type":"article-journal"},"uris":["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[2]","plainTextFormattedCitation":"[2]","previouslyFormattedCitation":"[11]"},"properties":{"noteIndex":0},"schema":"https://github.com/citation-style-language/schema/raw/master/csl-citation.json"}</w:instrText>
      </w:r>
      <w:r w:rsidRPr="003E0025">
        <w:rPr>
          <w:szCs w:val="24"/>
        </w:rPr>
        <w:fldChar w:fldCharType="separate"/>
      </w:r>
      <w:r w:rsidRPr="003E0025">
        <w:rPr>
          <w:noProof/>
          <w:szCs w:val="24"/>
        </w:rPr>
        <w:t>[2]</w:t>
      </w:r>
      <w:r w:rsidRPr="003E0025">
        <w:rPr>
          <w:szCs w:val="24"/>
        </w:rPr>
        <w:fldChar w:fldCharType="end"/>
      </w:r>
      <w:r w:rsidRPr="003E0025">
        <w:rPr>
          <w:szCs w:val="24"/>
        </w:rPr>
        <w:t xml:space="preserve"> </w:t>
      </w:r>
      <w:r w:rsidRPr="003E0025">
        <w:rPr>
          <w:szCs w:val="24"/>
        </w:rPr>
        <w:fldChar w:fldCharType="begin" w:fldLock="1"/>
      </w:r>
      <w:r w:rsidRPr="003E0025">
        <w:rPr>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[6]","plainTextFormattedCitation":"[6]","previouslyFormattedCitation":"[72]"},"properties":{"noteIndex":0},"schema":"https://github.com/citation-style-language/schema/raw/master/csl-citation.json"}</w:instrText>
      </w:r>
      <w:r w:rsidRPr="003E0025">
        <w:rPr>
          <w:szCs w:val="24"/>
        </w:rPr>
        <w:fldChar w:fldCharType="separate"/>
      </w:r>
      <w:r w:rsidRPr="003E0025">
        <w:rPr>
          <w:noProof/>
          <w:szCs w:val="24"/>
        </w:rPr>
        <w:t>[6]</w:t>
      </w:r>
      <w:r w:rsidRPr="003E0025">
        <w:rPr>
          <w:szCs w:val="24"/>
        </w:rPr>
        <w:fldChar w:fldCharType="end"/>
      </w:r>
      <w:r w:rsidRPr="003E0025">
        <w:rPr>
          <w:szCs w:val="24"/>
        </w:rPr>
        <w:t xml:space="preserve"> </w:t>
      </w:r>
      <w:r w:rsidRPr="003E0025">
        <w:rPr>
          <w:szCs w:val="24"/>
        </w:rPr>
        <w:fldChar w:fldCharType="begin" w:fldLock="1"/>
      </w:r>
      <w:r w:rsidRPr="003E0025">
        <w:rPr>
          <w:szCs w:val="24"/>
        </w:rPr>
        <w:instrText>ADDIN CSL_CITATION {"citationItems":[{"id":"ITEM-1","itemData":{"author":[{"dropping-particle":"","family":"Бесова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А.И.","non-dropping-particle":"","parse-names":false,"suffix":""}],"id":"ITEM-1","issued":{"date-parts":[["2014"]]},"note":"a","title":"Клинические рекомендации по нутритивной поддержке при химиотерапии и/или лучевой терапии","type":"report"},"uris":["http://www.mendeley.com/documents/?uuid=2475f28c-b7e0-408d-8d85-bd890e4862de","http://www.mendeley.com/documents/?uuid=2db47854-c914-42bd-bd4d-a19b47e78e0d","http://www.mendeley.com/documents/?uuid=113bc17a-cb71-4ba2-afb9-083757d46c9b","http://www.mendeley.com/documents/?uuid=17acaf09-3d29-4b25-b43e-598e8835165d","http://www.mendeley.com/documents/?uuid=2da28a52-fa64-480f-9c45-312b59a7027b","http://www.mendeley.com/documents/?uuid=fa470355-bcfd-3bef-a7a1-086215509c2d"]}],"mendeley":{"formattedCitation":"[1]","plainTextFormattedCitation":"[1]","previouslyFormattedCitation":"[3]"},"properties":{"noteIndex":0},"schema":"https://github.com/citation-style-language/schema/raw/master/csl-citation.json"}</w:instrText>
      </w:r>
      <w:r w:rsidRPr="003E0025">
        <w:rPr>
          <w:szCs w:val="24"/>
        </w:rPr>
        <w:fldChar w:fldCharType="separate"/>
      </w:r>
      <w:r w:rsidRPr="003E0025">
        <w:rPr>
          <w:noProof/>
          <w:szCs w:val="24"/>
        </w:rPr>
        <w:t>[1]</w:t>
      </w:r>
      <w:r w:rsidRPr="003E0025">
        <w:rPr>
          <w:szCs w:val="24"/>
        </w:rPr>
        <w:fldChar w:fldCharType="end"/>
      </w:r>
      <w:r w:rsidRPr="003E0025">
        <w:rPr>
          <w:szCs w:val="24"/>
        </w:rPr>
        <w:t xml:space="preserve">. </w:t>
      </w:r>
    </w:p>
    <w:p w14:paraId="1D691644" w14:textId="77777777" w:rsidR="003E0025" w:rsidRPr="003E0025" w:rsidRDefault="003E0025" w:rsidP="003E0025">
      <w:pPr>
        <w:spacing w:before="0" w:after="0"/>
        <w:ind w:firstLine="851"/>
        <w:rPr>
          <w:szCs w:val="24"/>
        </w:rPr>
      </w:pPr>
      <w:r w:rsidRPr="003E0025">
        <w:rPr>
          <w:szCs w:val="24"/>
        </w:rPr>
        <w:t xml:space="preserve">В том случае, если проведение энтерального питания невозможно или неэффективно, необходимо назначать парентеральное питание </w:t>
      </w:r>
      <w:r w:rsidRPr="003E0025">
        <w:rPr>
          <w:szCs w:val="24"/>
        </w:rPr>
        <w:fldChar w:fldCharType="begin" w:fldLock="1"/>
      </w:r>
      <w:r w:rsidRPr="003E0025">
        <w:rPr>
          <w:szCs w:val="24"/>
        </w:rPr>
        <w:instrText>ADDIN CSL_CITATION {"citationItems":[{"id":"ITEM-1","itemData":{"DOI":"10.20960/nh.1361","ISSN":"0212-1611","abstract":"Introducción: La malnutrición es un problema médico frecuente de los pacientes oncológicos que impacta de forma negativa en la calidad de vida. Objetivo: analizar y dar respuesta a diferentes cuestiones a la hora de afrontar el manejo nutricional de un paciente oncológico en la práctica clínica. Métodos: Un grupo multidisciplinar de expertos en Oncología Médica, Farmacia y Nutrición elaboró una lista de temas relacionados con el estado nutricional del paciente oncológico, que fueron agrupados en tres bloques: soporte nutricional; nutrición parenteral (NP) y NP domiciliaria (NPD) en el paciente oncológico. Se realizó una revisión de la literatura que incluyó artículos publicados en español, inglés y francés hasta abril de 2017. El documento se estructuró como un cuestionario con aquellas preguntas que, según el criterio del panel, podrían generar mayor controversia o duda. Resultados: De las 17 cuestiones abordadas, 9 versaron sobre el soporte nutricional; 5 relacionadas con la NP y 3 trataron sobre la NPD. Dentro de las recomendaciones del panel destacar que, en el paciente oncológico, la NP está indicada principalmente cuando no es posible el uso del tubo digestivo y/o la alimentación oral y/o la nutrición enteral no es suficiente o posible. Además, el objetivo de la NPD es mejorar o mantener, el estado de nutrición de un paciente en el ámbito domiciliario. Conclusiones: Esta revisión constituye una herramienta para oncólogos y especialistas responsables del manejo nutricional del paciente con cáncer.","author":[{"dropping-particle":"","family":"Camblor-Álvarez","given":"Miguel","non-dropping-particle":"","parse-names":false,"suffix":""},{"dropping-particle":"","family":"Ocón-Bretón","given":"María Julia","non-dropping-particle":"","parse-names":false,"suffix":""},{"dropping-particle":"","family":"Luengo-Pérez","given":"Luis Miguel","non-dropping-particle":"","parse-names":false,"suffix":""},{"dropping-particle":"","family":"Viruzuela","given":"Juan Antonio","non-dropping-particle":"","parse-names":false,"suffix":""},{"dropping-particle":"","family":"Sendrós-Maroño","given":"María José","non-dropping-particle":"","parse-names":false,"suffix":""},{"dropping-particle":"","family":"Cervera-Peris","given":"Mercedes","non-dropping-particle":"","parse-names":false,"suffix":""},{"dropping-particle":"","family":"Grande","given":"Enrique","non-dropping-particle":"","parse-names":false,"suffix":""},{"dropping-particle":"","family":"Álvarez-Hernández","given":"Julia","non-dropping-particle":"","parse-names":false,"suffix":""},{"dropping-particle":"","family":"Jiménez-Fonseca","given":"Paula","non-dropping-particle":"","parse-names":false,"suffix":""}],"container-title":"Nutrición Hospitalaria","id":"ITEM-1","issue":"1","issued":{"date-parts":[["2018","1"]]},"publisher":"ARAN Ediciones","title":"Soporte nutricional y nutrición parenteral en el paciente oncológico: informe de consenso de un grupo de expertos","type":"article-journal","volume":"35"},"uris":["http://www.mendeley.com/documents/?uuid=2ba4ee95-2957-35dd-a5da-6ddc4066a510","http://www.mendeley.com/documents/?uuid=5fd60395-903b-4161-9de5-593401276b22","http://www.mendeley.com/documents/?uuid=77af6aa2-54a9-4922-85a6-2ba2782c1d0d","http://www.mendeley.com/documents/?uuid=15f2deaa-96e5-4d61-b18b-9ea61e38867f","http://www.mendeley.com/documents/?uuid=bb38c52a-b9be-49b0-b569-e7226cad9509","http://www.mendeley.com/documents/?uuid=cfbf8252-0ba3-48e8-9511-8226f1fa6b44"]}],"mendeley":{"formattedCitation":"[5]","plainTextFormattedCitation":"[5]","previouslyFormattedCitation":"[27]"},"properties":{"noteIndex":0},"schema":"https://github.com/citation-style-language/schema/raw/master/csl-citation.json"}</w:instrText>
      </w:r>
      <w:r w:rsidRPr="003E0025">
        <w:rPr>
          <w:szCs w:val="24"/>
        </w:rPr>
        <w:fldChar w:fldCharType="separate"/>
      </w:r>
      <w:r w:rsidRPr="003E0025">
        <w:rPr>
          <w:noProof/>
          <w:szCs w:val="24"/>
        </w:rPr>
        <w:t>[5]</w:t>
      </w:r>
      <w:r w:rsidRPr="003E0025">
        <w:rPr>
          <w:szCs w:val="24"/>
        </w:rPr>
        <w:fldChar w:fldCharType="end"/>
      </w:r>
      <w:r w:rsidRPr="003E0025">
        <w:rPr>
          <w:szCs w:val="24"/>
        </w:rPr>
        <w:t xml:space="preserve">. Доставка белка должна быть не менее 1 г/кг/сут, однако при возможности нужно стремиться к 1,5 г/кг/сут. </w:t>
      </w:r>
    </w:p>
    <w:p w14:paraId="6387EC24" w14:textId="77777777" w:rsidR="003E0025" w:rsidRPr="003E0025" w:rsidRDefault="003E0025" w:rsidP="003E0025">
      <w:pPr>
        <w:spacing w:before="0" w:after="0"/>
        <w:ind w:firstLine="851"/>
        <w:rPr>
          <w:szCs w:val="24"/>
        </w:rPr>
      </w:pPr>
      <w:r w:rsidRPr="003E0025">
        <w:rPr>
          <w:szCs w:val="24"/>
        </w:rPr>
        <w:t xml:space="preserve">У больных с сопутствующей хронической почечной недостаточностью белковое обеспечение не должно превышать 1–1,2 г/кг/сут. Энергетическое обеспечение больного с онкологическим заболеванием следует поддерживать на уровне 25–30 ккал/кг/сут </w:t>
      </w:r>
      <w:r w:rsidRPr="003E0025">
        <w:rPr>
          <w:szCs w:val="24"/>
        </w:rPr>
        <w:fldChar w:fldCharType="begin" w:fldLock="1"/>
      </w:r>
      <w:r w:rsidRPr="003E0025">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А.Ж.;","non-dropping-particle":"","parse-names":false,"suffix":""}],"container-title":"RUSSCO","id":"ITEM-1","issued":{"date-parts":[["2017"]]},"note":"a","page":"524-532","title":"Практические рекомендации по нутритивной поддержке онкологических больных","type":"article-journal"},"uris":["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[2]","plainTextFormattedCitation":"[2]","previouslyFormattedCitation":"[11]"},"properties":{"noteIndex":0},"schema":"https://github.com/citation-style-language/schema/raw/master/csl-citation.json"}</w:instrText>
      </w:r>
      <w:r w:rsidRPr="003E0025">
        <w:rPr>
          <w:szCs w:val="24"/>
        </w:rPr>
        <w:fldChar w:fldCharType="separate"/>
      </w:r>
      <w:r w:rsidRPr="003E0025">
        <w:rPr>
          <w:noProof/>
          <w:szCs w:val="24"/>
        </w:rPr>
        <w:t>[2]</w:t>
      </w:r>
      <w:r w:rsidRPr="003E0025">
        <w:rPr>
          <w:szCs w:val="24"/>
        </w:rPr>
        <w:fldChar w:fldCharType="end"/>
      </w:r>
      <w:r w:rsidRPr="003E0025">
        <w:rPr>
          <w:szCs w:val="24"/>
        </w:rPr>
        <w:t xml:space="preserve"> </w:t>
      </w:r>
      <w:r w:rsidRPr="003E0025">
        <w:rPr>
          <w:szCs w:val="24"/>
        </w:rPr>
        <w:fldChar w:fldCharType="begin" w:fldLock="1"/>
      </w:r>
      <w:r w:rsidRPr="003E0025">
        <w:rPr>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[6]","plainTextFormattedCitation":"[6]","previouslyFormattedCitation":"[72]"},"properties":{"noteIndex":0},"schema":"https://github.com/citation-style-language/schema/raw/master/csl-citation.json"}</w:instrText>
      </w:r>
      <w:r w:rsidRPr="003E0025">
        <w:rPr>
          <w:szCs w:val="24"/>
        </w:rPr>
        <w:fldChar w:fldCharType="separate"/>
      </w:r>
      <w:r w:rsidRPr="003E0025">
        <w:rPr>
          <w:noProof/>
          <w:szCs w:val="24"/>
        </w:rPr>
        <w:t>[6]</w:t>
      </w:r>
      <w:r w:rsidRPr="003E0025">
        <w:rPr>
          <w:szCs w:val="24"/>
        </w:rPr>
        <w:fldChar w:fldCharType="end"/>
      </w:r>
      <w:r w:rsidRPr="003E0025">
        <w:rPr>
          <w:szCs w:val="24"/>
        </w:rPr>
        <w:t>.</w:t>
      </w:r>
    </w:p>
    <w:p w14:paraId="707B1F2E" w14:textId="77777777" w:rsidR="003E0025" w:rsidRPr="003E0025" w:rsidRDefault="003E0025" w:rsidP="003E0025">
      <w:pPr>
        <w:spacing w:before="0" w:after="0"/>
        <w:ind w:firstLine="851"/>
        <w:rPr>
          <w:szCs w:val="24"/>
        </w:rPr>
      </w:pPr>
      <w:r w:rsidRPr="003E0025">
        <w:rPr>
          <w:b/>
          <w:szCs w:val="24"/>
        </w:rPr>
        <w:t>Виды нутритивной поддержки</w:t>
      </w:r>
      <w:r w:rsidRPr="003E0025">
        <w:rPr>
          <w:szCs w:val="24"/>
        </w:rPr>
        <w:t xml:space="preserve"> </w:t>
      </w:r>
      <w:r w:rsidRPr="003E0025">
        <w:rPr>
          <w:szCs w:val="24"/>
        </w:rPr>
        <w:fldChar w:fldCharType="begin" w:fldLock="1"/>
      </w:r>
      <w:r w:rsidRPr="003E0025">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А.Ж.;","non-dropping-particle":"","parse-names":false,"suffix":""}],"container-title":"RUSSCO","id":"ITEM-1","issued":{"date-parts":[["2017"]]},"note":"a","page":"524-532","title":"Практические рекомендации по нутритивной поддержке онкологических больных","type":"article-journal"},"uris":["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[2]","plainTextFormattedCitation":"[2]","previouslyFormattedCitation":"[11]"},"properties":{"noteIndex":0},"schema":"https://github.com/citation-style-language/schema/raw/master/csl-citation.json"}</w:instrText>
      </w:r>
      <w:r w:rsidRPr="003E0025">
        <w:rPr>
          <w:szCs w:val="24"/>
        </w:rPr>
        <w:fldChar w:fldCharType="separate"/>
      </w:r>
      <w:r w:rsidRPr="003E0025">
        <w:rPr>
          <w:noProof/>
          <w:szCs w:val="24"/>
        </w:rPr>
        <w:t>[2]</w:t>
      </w:r>
      <w:r w:rsidRPr="003E0025">
        <w:rPr>
          <w:szCs w:val="24"/>
        </w:rPr>
        <w:fldChar w:fldCharType="end"/>
      </w:r>
      <w:r w:rsidRPr="003E0025">
        <w:rPr>
          <w:szCs w:val="24"/>
        </w:rPr>
        <w:t xml:space="preserve"> </w:t>
      </w:r>
      <w:r w:rsidRPr="003E0025">
        <w:rPr>
          <w:szCs w:val="24"/>
        </w:rPr>
        <w:fldChar w:fldCharType="begin" w:fldLock="1"/>
      </w:r>
      <w:r w:rsidRPr="003E0025">
        <w:rPr>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[6]","plainTextFormattedCitation":"[6]","previouslyFormattedCitation":"[72]"},"properties":{"noteIndex":0},"schema":"https://github.com/citation-style-language/schema/raw/master/csl-citation.json"}</w:instrText>
      </w:r>
      <w:r w:rsidRPr="003E0025">
        <w:rPr>
          <w:szCs w:val="24"/>
        </w:rPr>
        <w:fldChar w:fldCharType="separate"/>
      </w:r>
      <w:r w:rsidRPr="003E0025">
        <w:rPr>
          <w:noProof/>
          <w:szCs w:val="24"/>
        </w:rPr>
        <w:t>[6]</w:t>
      </w:r>
      <w:r w:rsidRPr="003E0025">
        <w:rPr>
          <w:szCs w:val="24"/>
        </w:rPr>
        <w:fldChar w:fldCharType="end"/>
      </w:r>
      <w:r w:rsidRPr="003E0025">
        <w:rPr>
          <w:szCs w:val="24"/>
        </w:rPr>
        <w:t xml:space="preserve"> </w:t>
      </w:r>
      <w:r w:rsidRPr="003E0025">
        <w:rPr>
          <w:szCs w:val="24"/>
        </w:rPr>
        <w:fldChar w:fldCharType="begin" w:fldLock="1"/>
      </w:r>
      <w:r w:rsidRPr="003E0025">
        <w:rPr>
          <w:szCs w:val="24"/>
        </w:rPr>
        <w:instrText>ADDIN CSL_CITATION {"citationItems":[{"id":"ITEM-1","itemData":{"DOI":"10.1016/j.clnu.2016.07.015","ISSN":"15321983","PMID":"27637832","abstract":"Cancers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Nutrition","id":"ITEM-1","issue":"1","issued":{"date-parts":[["2017","2"]]},"page":"11-48","publisher":"Churchill Livingstone","title":"ESPEN guidelines on nutrition in cancer patients","type":"article-journal","volume":"36"},"uris":["http://www.mendeley.com/documents/?uuid=36077b4c-f370-4a6b-b0e1-4b1e9c1d43b5","http://www.mendeley.com/documents/?uuid=e630a116-d7ec-4a1c-b664-044aef3e48b1","http://www.mendeley.com/documents/?uuid=d3f8f4e1-d953-4d1a-aa5d-79416736ad5c","http://www.mendeley.com/documents/?uuid=e6d2b792-474d-4443-8733-96188600ddfb","http://www.mendeley.com/documents/?uuid=b37f7a4f-c193-47c9-8d52-643880058eba","http://www.mendeley.com/documents/?uuid=2a76c704-6c26-3663-97b2-de4da274aff7"]}],"mendeley":{"formattedCitation":"[3]","plainTextFormattedCitation":"[3]","previouslyFormattedCitation":"[19]"},"properties":{"noteIndex":0},"schema":"https://github.com/citation-style-language/schema/raw/master/csl-citation.json"}</w:instrText>
      </w:r>
      <w:r w:rsidRPr="003E0025">
        <w:rPr>
          <w:szCs w:val="24"/>
        </w:rPr>
        <w:fldChar w:fldCharType="separate"/>
      </w:r>
      <w:r w:rsidRPr="003E0025">
        <w:rPr>
          <w:noProof/>
          <w:szCs w:val="24"/>
        </w:rPr>
        <w:t>[3]</w:t>
      </w:r>
      <w:r w:rsidRPr="003E0025">
        <w:rPr>
          <w:szCs w:val="24"/>
        </w:rPr>
        <w:fldChar w:fldCharType="end"/>
      </w:r>
    </w:p>
    <w:p w14:paraId="3E681C73" w14:textId="77777777" w:rsidR="003E0025" w:rsidRPr="003E0025" w:rsidRDefault="003E0025" w:rsidP="003E0025">
      <w:pPr>
        <w:spacing w:before="0" w:after="0"/>
        <w:ind w:firstLine="851"/>
        <w:rPr>
          <w:szCs w:val="24"/>
        </w:rPr>
      </w:pPr>
      <w:r w:rsidRPr="003E0025">
        <w:rPr>
          <w:szCs w:val="24"/>
        </w:rPr>
        <w:t xml:space="preserve">Выделяют три вида нутритивной поддержки: </w:t>
      </w:r>
    </w:p>
    <w:p w14:paraId="3B184178" w14:textId="77777777" w:rsidR="003E0025" w:rsidRPr="003E0025" w:rsidRDefault="003E0025" w:rsidP="003E0025">
      <w:pPr>
        <w:spacing w:before="0" w:after="0"/>
        <w:ind w:firstLine="567"/>
        <w:rPr>
          <w:szCs w:val="24"/>
        </w:rPr>
      </w:pPr>
      <w:r w:rsidRPr="003E0025">
        <w:rPr>
          <w:szCs w:val="24"/>
        </w:rPr>
        <w:t xml:space="preserve">• дополнение к пероральному питанию (сипинг) – пероральный прием лечебного (специализированного) питания маленькими глотками; </w:t>
      </w:r>
    </w:p>
    <w:p w14:paraId="2C945C55" w14:textId="77777777" w:rsidR="003E0025" w:rsidRPr="003E0025" w:rsidRDefault="003E0025" w:rsidP="003E0025">
      <w:pPr>
        <w:spacing w:before="0" w:after="0"/>
        <w:ind w:firstLine="567"/>
        <w:rPr>
          <w:szCs w:val="24"/>
        </w:rPr>
      </w:pPr>
      <w:r w:rsidRPr="003E0025">
        <w:rPr>
          <w:szCs w:val="24"/>
        </w:rPr>
        <w:t xml:space="preserve">• энтеральное питание – возможно через назогастральный/назоинтестинальный зонд или через стому (чрескожную, эндоскопическую, лапароскопическую, лапаротомную); </w:t>
      </w:r>
    </w:p>
    <w:p w14:paraId="52A6E425" w14:textId="77777777" w:rsidR="003E0025" w:rsidRPr="003E0025" w:rsidRDefault="003E0025" w:rsidP="003E0025">
      <w:pPr>
        <w:spacing w:before="0" w:after="0"/>
        <w:ind w:firstLine="567"/>
        <w:rPr>
          <w:szCs w:val="24"/>
        </w:rPr>
      </w:pPr>
      <w:r w:rsidRPr="003E0025">
        <w:rPr>
          <w:szCs w:val="24"/>
        </w:rPr>
        <w:t xml:space="preserve">• парентеральное питание. </w:t>
      </w:r>
    </w:p>
    <w:p w14:paraId="678B5347" w14:textId="77777777" w:rsidR="003E0025" w:rsidRPr="003E0025" w:rsidRDefault="003E0025" w:rsidP="003E0025">
      <w:pPr>
        <w:spacing w:before="0" w:after="0"/>
        <w:ind w:firstLine="851"/>
        <w:rPr>
          <w:szCs w:val="24"/>
        </w:rPr>
      </w:pPr>
      <w:r w:rsidRPr="003E0025">
        <w:rPr>
          <w:szCs w:val="24"/>
        </w:rPr>
        <w:t>Энтеральное питание является предпочтительным способом нутритивной поддержки за счет его физиологичности, способности поддерживать функцию кишечника, уменьшать гиперметаболический ответ на повреждение, уменьшать транслокацию бактерий и токсинов из кишечника.</w:t>
      </w:r>
    </w:p>
    <w:p w14:paraId="6706C3F3" w14:textId="77777777" w:rsidR="003E0025" w:rsidRPr="003E0025" w:rsidRDefault="003E0025" w:rsidP="003E0025">
      <w:pPr>
        <w:spacing w:before="0" w:after="0"/>
        <w:ind w:firstLine="851"/>
        <w:rPr>
          <w:szCs w:val="24"/>
        </w:rPr>
      </w:pPr>
      <w:r w:rsidRPr="003E0025">
        <w:rPr>
          <w:szCs w:val="24"/>
        </w:rPr>
        <w:t>Энтеральное питание может проводиться при наличии хотя бы частичной функции ЖКТ. Отсутствие выслушиваемой перистальтики не является противопоказанием для энтерального питания.</w:t>
      </w:r>
    </w:p>
    <w:p w14:paraId="09983678" w14:textId="77777777" w:rsidR="003E0025" w:rsidRPr="003E0025" w:rsidRDefault="003E0025" w:rsidP="003E0025">
      <w:pPr>
        <w:spacing w:before="0" w:after="0"/>
        <w:ind w:firstLine="851"/>
        <w:rPr>
          <w:szCs w:val="24"/>
        </w:rPr>
      </w:pPr>
      <w:r w:rsidRPr="003E0025">
        <w:rPr>
          <w:szCs w:val="24"/>
        </w:rPr>
        <w:t xml:space="preserve">Классификация смесей для энтерального питания </w:t>
      </w:r>
      <w:r w:rsidRPr="003E0025">
        <w:rPr>
          <w:szCs w:val="24"/>
        </w:rPr>
        <w:fldChar w:fldCharType="begin" w:fldLock="1"/>
      </w:r>
      <w:r w:rsidRPr="003E0025">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А.Ж.;","non-dropping-particle":"","parse-names":false,"suffix":""}],"container-title":"RUSSCO","id":"ITEM-1","issued":{"date-parts":[["2017"]]},"note":"a","page":"524-532","title":"Практические рекомендации по нутритивной поддержке онкологических больных","type":"article-journal"},"uris":["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[2]","plainTextFormattedCitation":"[2]","previouslyFormattedCitation":"[11]"},"properties":{"noteIndex":0},"schema":"https://github.com/citation-style-language/schema/raw/master/csl-citation.json"}</w:instrText>
      </w:r>
      <w:r w:rsidRPr="003E0025">
        <w:rPr>
          <w:szCs w:val="24"/>
        </w:rPr>
        <w:fldChar w:fldCharType="separate"/>
      </w:r>
      <w:r w:rsidRPr="003E0025">
        <w:rPr>
          <w:noProof/>
          <w:szCs w:val="24"/>
        </w:rPr>
        <w:t>[2]</w:t>
      </w:r>
      <w:r w:rsidRPr="003E0025">
        <w:rPr>
          <w:szCs w:val="24"/>
        </w:rPr>
        <w:fldChar w:fldCharType="end"/>
      </w:r>
    </w:p>
    <w:p w14:paraId="2F6E505E" w14:textId="77777777" w:rsidR="003E0025" w:rsidRPr="003E0025" w:rsidRDefault="003E0025" w:rsidP="003E0025">
      <w:pPr>
        <w:spacing w:before="0" w:after="0"/>
        <w:ind w:firstLine="567"/>
        <w:rPr>
          <w:szCs w:val="24"/>
        </w:rPr>
      </w:pPr>
      <w:r w:rsidRPr="003E0025">
        <w:rPr>
          <w:szCs w:val="24"/>
        </w:rPr>
        <w:t xml:space="preserve">• полимерные: состоят из неизмененных белков, жиров и углеводов; </w:t>
      </w:r>
    </w:p>
    <w:p w14:paraId="360DF786" w14:textId="77777777" w:rsidR="003E0025" w:rsidRPr="003E0025" w:rsidRDefault="003E0025" w:rsidP="003E0025">
      <w:pPr>
        <w:spacing w:before="0" w:after="0"/>
        <w:ind w:firstLine="567"/>
        <w:rPr>
          <w:szCs w:val="24"/>
        </w:rPr>
      </w:pPr>
      <w:r w:rsidRPr="003E0025">
        <w:rPr>
          <w:szCs w:val="24"/>
        </w:rPr>
        <w:t xml:space="preserve">• олигомерные (полуэлементные): состоят из расщепленных белков и простых углеводов и содержат масла среднецепочечных триглицеридов; </w:t>
      </w:r>
    </w:p>
    <w:p w14:paraId="50DD8D32" w14:textId="77777777" w:rsidR="003E0025" w:rsidRPr="003E0025" w:rsidRDefault="003E0025" w:rsidP="003E0025">
      <w:pPr>
        <w:spacing w:before="0" w:after="0"/>
        <w:ind w:firstLine="567"/>
        <w:rPr>
          <w:szCs w:val="24"/>
        </w:rPr>
      </w:pPr>
      <w:r w:rsidRPr="003E0025">
        <w:rPr>
          <w:szCs w:val="24"/>
        </w:rPr>
        <w:lastRenderedPageBreak/>
        <w:t xml:space="preserve">• смеси для определенных состояний, изготовленные с учетом потребностей конкретного пациента, страдающего тем или иным заболеванием (сахарный диабет, заболевания почек, печени, легких). </w:t>
      </w:r>
    </w:p>
    <w:p w14:paraId="5E7E95DF" w14:textId="77777777" w:rsidR="003E0025" w:rsidRPr="003E0025" w:rsidRDefault="003E0025" w:rsidP="003E0025">
      <w:pPr>
        <w:spacing w:before="0" w:after="0"/>
        <w:ind w:firstLine="851"/>
        <w:rPr>
          <w:szCs w:val="24"/>
        </w:rPr>
      </w:pPr>
      <w:r w:rsidRPr="003E0025">
        <w:rPr>
          <w:szCs w:val="24"/>
        </w:rPr>
        <w:t xml:space="preserve">Противопоказания к энтеральному питанию </w:t>
      </w:r>
      <w:r w:rsidRPr="003E0025">
        <w:rPr>
          <w:szCs w:val="24"/>
        </w:rPr>
        <w:fldChar w:fldCharType="begin" w:fldLock="1"/>
      </w:r>
      <w:r w:rsidRPr="003E0025">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А.Ж.;","non-dropping-particle":"","parse-names":false,"suffix":""}],"container-title":"RUSSCO","id":"ITEM-1","issued":{"date-parts":[["2017"]]},"note":"a","page":"524-532","title":"Практические рекомендации по нутритивной поддержке онкологических больных","type":"article-journal"},"uris":["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[2]","plainTextFormattedCitation":"[2]","previouslyFormattedCitation":"[11]"},"properties":{"noteIndex":0},"schema":"https://github.com/citation-style-language/schema/raw/master/csl-citation.json"}</w:instrText>
      </w:r>
      <w:r w:rsidRPr="003E0025">
        <w:rPr>
          <w:szCs w:val="24"/>
        </w:rPr>
        <w:fldChar w:fldCharType="separate"/>
      </w:r>
      <w:r w:rsidRPr="003E0025">
        <w:rPr>
          <w:noProof/>
          <w:szCs w:val="24"/>
        </w:rPr>
        <w:t>[2]</w:t>
      </w:r>
      <w:r w:rsidRPr="003E0025">
        <w:rPr>
          <w:szCs w:val="24"/>
        </w:rPr>
        <w:fldChar w:fldCharType="end"/>
      </w:r>
      <w:r w:rsidRPr="003E0025">
        <w:rPr>
          <w:szCs w:val="24"/>
        </w:rPr>
        <w:t xml:space="preserve"> </w:t>
      </w:r>
      <w:r w:rsidRPr="003E0025">
        <w:rPr>
          <w:szCs w:val="24"/>
        </w:rPr>
        <w:fldChar w:fldCharType="begin" w:fldLock="1"/>
      </w:r>
      <w:r w:rsidRPr="003E0025">
        <w:rPr>
          <w:szCs w:val="24"/>
        </w:rPr>
        <w:instrText>ADDIN CSL_CITATION {"citationItems":[{"id":"ITEM-1","itemData":{"author":[{"dropping-particle":"","family":"Бесова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А.И.","non-dropping-particle":"","parse-names":false,"suffix":""}],"id":"ITEM-1","issued":{"date-parts":[["2014"]]},"note":"a","title":"Клинические рекомендации по нутритивной поддержке при химиотерапии и/или лучевой терапии","type":"report"},"uris":["http://www.mendeley.com/documents/?uuid=2475f28c-b7e0-408d-8d85-bd890e4862de","http://www.mendeley.com/documents/?uuid=2db47854-c914-42bd-bd4d-a19b47e78e0d","http://www.mendeley.com/documents/?uuid=113bc17a-cb71-4ba2-afb9-083757d46c9b","http://www.mendeley.com/documents/?uuid=17acaf09-3d29-4b25-b43e-598e8835165d","http://www.mendeley.com/documents/?uuid=2da28a52-fa64-480f-9c45-312b59a7027b","http://www.mendeley.com/documents/?uuid=fa470355-bcfd-3bef-a7a1-086215509c2d"]}],"mendeley":{"formattedCitation":"[1]","plainTextFormattedCitation":"[1]","previouslyFormattedCitation":"[3]"},"properties":{"noteIndex":0},"schema":"https://github.com/citation-style-language/schema/raw/master/csl-citation.json"}</w:instrText>
      </w:r>
      <w:r w:rsidRPr="003E0025">
        <w:rPr>
          <w:szCs w:val="24"/>
        </w:rPr>
        <w:fldChar w:fldCharType="separate"/>
      </w:r>
      <w:r w:rsidRPr="003E0025">
        <w:rPr>
          <w:noProof/>
          <w:szCs w:val="24"/>
        </w:rPr>
        <w:t>[1]</w:t>
      </w:r>
      <w:r w:rsidRPr="003E0025">
        <w:rPr>
          <w:szCs w:val="24"/>
        </w:rPr>
        <w:fldChar w:fldCharType="end"/>
      </w:r>
    </w:p>
    <w:p w14:paraId="39487CA1" w14:textId="77777777" w:rsidR="003E0025" w:rsidRPr="003E0025" w:rsidRDefault="003E0025" w:rsidP="003E0025">
      <w:pPr>
        <w:spacing w:before="0" w:after="0"/>
        <w:ind w:firstLine="567"/>
        <w:rPr>
          <w:szCs w:val="24"/>
        </w:rPr>
      </w:pPr>
      <w:r w:rsidRPr="003E0025">
        <w:rPr>
          <w:szCs w:val="24"/>
        </w:rPr>
        <w:t xml:space="preserve">• механическая кишечная непроходимость; </w:t>
      </w:r>
    </w:p>
    <w:p w14:paraId="2CE2068E" w14:textId="77777777" w:rsidR="003E0025" w:rsidRPr="003E0025" w:rsidRDefault="003E0025" w:rsidP="003E0025">
      <w:pPr>
        <w:spacing w:before="0" w:after="0"/>
        <w:ind w:firstLine="567"/>
        <w:rPr>
          <w:szCs w:val="24"/>
        </w:rPr>
      </w:pPr>
      <w:r w:rsidRPr="003E0025">
        <w:rPr>
          <w:szCs w:val="24"/>
        </w:rPr>
        <w:t xml:space="preserve">• выраженная тошнота и рвота, не купирующаяся антиэметической терапией; </w:t>
      </w:r>
    </w:p>
    <w:p w14:paraId="762235CC" w14:textId="77777777" w:rsidR="003E0025" w:rsidRPr="003E0025" w:rsidRDefault="003E0025" w:rsidP="003E0025">
      <w:pPr>
        <w:spacing w:before="0" w:after="0"/>
        <w:ind w:firstLine="567"/>
        <w:rPr>
          <w:szCs w:val="24"/>
        </w:rPr>
      </w:pPr>
      <w:r w:rsidRPr="003E0025">
        <w:rPr>
          <w:szCs w:val="24"/>
        </w:rPr>
        <w:t xml:space="preserve">• гипоксия (раО2 70 мм рт. ст.). </w:t>
      </w:r>
    </w:p>
    <w:p w14:paraId="1976C680" w14:textId="77777777" w:rsidR="003E0025" w:rsidRPr="003E0025" w:rsidRDefault="003E0025" w:rsidP="003E0025">
      <w:pPr>
        <w:spacing w:before="0" w:after="0"/>
        <w:jc w:val="center"/>
        <w:rPr>
          <w:b/>
          <w:szCs w:val="24"/>
        </w:rPr>
      </w:pPr>
      <w:r w:rsidRPr="003E0025">
        <w:rPr>
          <w:b/>
          <w:szCs w:val="24"/>
        </w:rPr>
        <w:t>Парентеральное питание</w:t>
      </w:r>
    </w:p>
    <w:p w14:paraId="7CA9EBD8" w14:textId="77777777" w:rsidR="003E0025" w:rsidRPr="003E0025" w:rsidRDefault="003E0025" w:rsidP="003E0025">
      <w:pPr>
        <w:spacing w:before="0" w:after="0"/>
        <w:ind w:firstLine="851"/>
        <w:rPr>
          <w:szCs w:val="24"/>
        </w:rPr>
      </w:pPr>
      <w:r w:rsidRPr="003E0025">
        <w:rPr>
          <w:szCs w:val="24"/>
        </w:rPr>
        <w:t xml:space="preserve">Показанием к парентеральному питанию является невозможность адекватного энтерального питания более 3 суток </w:t>
      </w:r>
      <w:r w:rsidRPr="003E0025">
        <w:rPr>
          <w:szCs w:val="24"/>
        </w:rPr>
        <w:fldChar w:fldCharType="begin" w:fldLock="1"/>
      </w:r>
      <w:r w:rsidRPr="003E0025">
        <w:rPr>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[6]","plainTextFormattedCitation":"[6]","previouslyFormattedCitation":"[72]"},"properties":{"noteIndex":0},"schema":"https://github.com/citation-style-language/schema/raw/master/csl-citation.json"}</w:instrText>
      </w:r>
      <w:r w:rsidRPr="003E0025">
        <w:rPr>
          <w:szCs w:val="24"/>
        </w:rPr>
        <w:fldChar w:fldCharType="separate"/>
      </w:r>
      <w:r w:rsidRPr="003E0025">
        <w:rPr>
          <w:noProof/>
          <w:szCs w:val="24"/>
        </w:rPr>
        <w:t>[6]</w:t>
      </w:r>
      <w:r w:rsidRPr="003E0025">
        <w:rPr>
          <w:szCs w:val="24"/>
        </w:rPr>
        <w:fldChar w:fldCharType="end"/>
      </w:r>
      <w:r w:rsidRPr="003E0025">
        <w:rPr>
          <w:szCs w:val="24"/>
        </w:rPr>
        <w:t>. В зависимости от продолжительности парентеральное питание подразделяется на:</w:t>
      </w:r>
    </w:p>
    <w:p w14:paraId="1DC9CB63" w14:textId="77777777" w:rsidR="003E0025" w:rsidRPr="003E0025" w:rsidRDefault="003E0025" w:rsidP="003E0025">
      <w:pPr>
        <w:spacing w:before="0" w:after="0"/>
        <w:ind w:firstLine="567"/>
        <w:rPr>
          <w:szCs w:val="24"/>
        </w:rPr>
      </w:pPr>
      <w:r w:rsidRPr="003E0025">
        <w:rPr>
          <w:szCs w:val="24"/>
        </w:rPr>
        <w:t>• краткосрочное ПП (10–15 суток):</w:t>
      </w:r>
    </w:p>
    <w:p w14:paraId="618C497D" w14:textId="77777777" w:rsidR="003E0025" w:rsidRPr="003E0025" w:rsidRDefault="003E0025" w:rsidP="003E0025">
      <w:pPr>
        <w:spacing w:before="0" w:after="0"/>
        <w:ind w:firstLine="567"/>
        <w:rPr>
          <w:szCs w:val="24"/>
        </w:rPr>
      </w:pPr>
      <w:r w:rsidRPr="003E0025">
        <w:rPr>
          <w:szCs w:val="24"/>
        </w:rPr>
        <w:t>– острый и тяжелый мукозит, илеус, некупируемая рвота;</w:t>
      </w:r>
    </w:p>
    <w:p w14:paraId="5DEC26E9" w14:textId="77777777" w:rsidR="003E0025" w:rsidRPr="003E0025" w:rsidRDefault="003E0025" w:rsidP="003E0025">
      <w:pPr>
        <w:spacing w:before="0" w:after="0"/>
        <w:ind w:firstLine="567"/>
        <w:rPr>
          <w:szCs w:val="24"/>
        </w:rPr>
      </w:pPr>
      <w:r w:rsidRPr="003E0025">
        <w:rPr>
          <w:szCs w:val="24"/>
        </w:rPr>
        <w:t>• длительное (более 30 суток):</w:t>
      </w:r>
    </w:p>
    <w:p w14:paraId="479DA511" w14:textId="77777777" w:rsidR="003E0025" w:rsidRPr="003E0025" w:rsidRDefault="003E0025" w:rsidP="003E0025">
      <w:pPr>
        <w:spacing w:before="0" w:after="0"/>
        <w:ind w:firstLine="567"/>
        <w:rPr>
          <w:szCs w:val="24"/>
        </w:rPr>
      </w:pPr>
      <w:r w:rsidRPr="003E0025">
        <w:rPr>
          <w:szCs w:val="24"/>
        </w:rPr>
        <w:t>– тяжелая мальабсорбция;</w:t>
      </w:r>
    </w:p>
    <w:p w14:paraId="05D250A6" w14:textId="77777777" w:rsidR="003E0025" w:rsidRPr="003E0025" w:rsidRDefault="003E0025" w:rsidP="003E0025">
      <w:pPr>
        <w:spacing w:before="0" w:after="0"/>
        <w:ind w:firstLine="567"/>
        <w:rPr>
          <w:szCs w:val="24"/>
        </w:rPr>
      </w:pPr>
      <w:r w:rsidRPr="003E0025">
        <w:rPr>
          <w:szCs w:val="24"/>
        </w:rPr>
        <w:t>– подострый или хронический энтерит;</w:t>
      </w:r>
    </w:p>
    <w:p w14:paraId="706CB11D" w14:textId="77777777" w:rsidR="003E0025" w:rsidRPr="003E0025" w:rsidRDefault="003E0025" w:rsidP="003E0025">
      <w:pPr>
        <w:spacing w:before="0" w:after="0"/>
        <w:ind w:firstLine="567"/>
        <w:rPr>
          <w:szCs w:val="24"/>
        </w:rPr>
      </w:pPr>
      <w:r w:rsidRPr="003E0025">
        <w:rPr>
          <w:szCs w:val="24"/>
        </w:rPr>
        <w:t xml:space="preserve">– тяжелая энтеропатия </w:t>
      </w:r>
      <w:r w:rsidRPr="003E0025">
        <w:rPr>
          <w:szCs w:val="24"/>
        </w:rPr>
        <w:fldChar w:fldCharType="begin" w:fldLock="1"/>
      </w:r>
      <w:r w:rsidRPr="003E0025">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А.Ж.;","non-dropping-particle":"","parse-names":false,"suffix":""}],"container-title":"RUSSCO","id":"ITEM-1","issued":{"date-parts":[["2017"]]},"note":"a","page":"524-532","title":"Практические рекомендации по нутритивной поддержке онкологических больных","type":"article-journal"},"uris":["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[2]","plainTextFormattedCitation":"[2]","previouslyFormattedCitation":"[11]"},"properties":{"noteIndex":0},"schema":"https://github.com/citation-style-language/schema/raw/master/csl-citation.json"}</w:instrText>
      </w:r>
      <w:r w:rsidRPr="003E0025">
        <w:rPr>
          <w:szCs w:val="24"/>
        </w:rPr>
        <w:fldChar w:fldCharType="separate"/>
      </w:r>
      <w:r w:rsidRPr="003E0025">
        <w:rPr>
          <w:noProof/>
          <w:szCs w:val="24"/>
        </w:rPr>
        <w:t>[2]</w:t>
      </w:r>
      <w:r w:rsidRPr="003E0025">
        <w:rPr>
          <w:szCs w:val="24"/>
        </w:rPr>
        <w:fldChar w:fldCharType="end"/>
      </w:r>
      <w:r w:rsidRPr="003E0025">
        <w:rPr>
          <w:szCs w:val="24"/>
        </w:rPr>
        <w:t xml:space="preserve"> </w:t>
      </w:r>
      <w:r w:rsidRPr="003E0025">
        <w:rPr>
          <w:szCs w:val="24"/>
        </w:rPr>
        <w:fldChar w:fldCharType="begin" w:fldLock="1"/>
      </w:r>
      <w:r w:rsidRPr="003E0025">
        <w:rPr>
          <w:szCs w:val="24"/>
        </w:rPr>
        <w:instrText>ADDIN CSL_CITATION {"citationItems":[{"id":"ITEM-1","itemData":{"DOI":"10.1001/jama.2019.4410","ISSN":"15383598","PMID":"31162570","author":[{"dropping-particle":"","family":"Baiu","given":"Ioana","non-dropping-particle":"","parse-names":false,"suffix":""},{"dropping-particle":"","family":"Spain","given":"David A.","non-dropping-particle":"","parse-names":false,"suffix":""}],"container-title":"JAMA - Journal of the American Medical Association","id":"ITEM-1","issue":"21","issued":{"date-parts":[["2019","6"]]},"page":"2142","publisher":"American Medical Association","title":"Parenteral Nutrition","type":"article","volume":"321"},"uris":["http://www.mendeley.com/documents/?uuid=319ff49c-9a97-32da-a348-b9d79eca400b","http://www.mendeley.com/documents/?uuid=03649143-9c16-417d-8fce-a095e89ff015","http://www.mendeley.com/documents/?uuid=8d92b52e-0af0-435c-9547-6d9170d6c9cc","http://www.mendeley.com/documents/?uuid=49bd1d62-adbc-4b20-8d75-34e8045f6cca","http://www.mendeley.com/documents/?uuid=f45d6235-29b7-40a1-9ebd-0275ed3b5ca7","http://www.mendeley.com/documents/?uuid=34664a84-1020-4ffd-981d-6f9624985d2e"]}],"mendeley":{"formattedCitation":"[4]","plainTextFormattedCitation":"[4]","previouslyFormattedCitation":"[21]"},"properties":{"noteIndex":0},"schema":"https://github.com/citation-style-language/schema/raw/master/csl-citation.json"}</w:instrText>
      </w:r>
      <w:r w:rsidRPr="003E0025">
        <w:rPr>
          <w:szCs w:val="24"/>
        </w:rPr>
        <w:fldChar w:fldCharType="separate"/>
      </w:r>
      <w:r w:rsidRPr="003E0025">
        <w:rPr>
          <w:noProof/>
          <w:szCs w:val="24"/>
        </w:rPr>
        <w:t>[4]</w:t>
      </w:r>
      <w:r w:rsidRPr="003E0025">
        <w:rPr>
          <w:szCs w:val="24"/>
        </w:rPr>
        <w:fldChar w:fldCharType="end"/>
      </w:r>
      <w:r w:rsidRPr="003E0025">
        <w:rPr>
          <w:szCs w:val="24"/>
        </w:rPr>
        <w:t>.</w:t>
      </w:r>
    </w:p>
    <w:p w14:paraId="14D3AA50" w14:textId="422F7250" w:rsidR="003E0025" w:rsidRPr="003E0025" w:rsidRDefault="003E0025" w:rsidP="003E0025">
      <w:pPr>
        <w:spacing w:before="0" w:after="0"/>
        <w:ind w:firstLine="851"/>
        <w:rPr>
          <w:szCs w:val="24"/>
        </w:rPr>
      </w:pPr>
      <w:r w:rsidRPr="003E0025">
        <w:rPr>
          <w:szCs w:val="24"/>
        </w:rPr>
        <w:t xml:space="preserve">Необходимые организму нутриенты вводятся </w:t>
      </w:r>
      <w:r w:rsidR="00F93ED8">
        <w:rPr>
          <w:szCs w:val="24"/>
        </w:rPr>
        <w:t>внутривенно</w:t>
      </w:r>
      <w:r w:rsidRPr="003E0025">
        <w:rPr>
          <w:szCs w:val="24"/>
        </w:rPr>
        <w:t xml:space="preserve">. Основными составляющими парентерального питания являются: </w:t>
      </w:r>
    </w:p>
    <w:p w14:paraId="17396D72" w14:textId="77777777" w:rsidR="003E0025" w:rsidRPr="003E0025" w:rsidRDefault="003E0025" w:rsidP="003E0025">
      <w:pPr>
        <w:spacing w:before="0" w:after="0"/>
        <w:ind w:firstLine="567"/>
        <w:rPr>
          <w:szCs w:val="24"/>
        </w:rPr>
      </w:pPr>
      <w:r w:rsidRPr="003E0025">
        <w:rPr>
          <w:szCs w:val="24"/>
        </w:rPr>
        <w:t xml:space="preserve">• источники энергии: 10–20% растворы углеводов, жировые эмульсии; </w:t>
      </w:r>
    </w:p>
    <w:p w14:paraId="1128729A" w14:textId="77777777" w:rsidR="003E0025" w:rsidRPr="003E0025" w:rsidRDefault="003E0025" w:rsidP="003E0025">
      <w:pPr>
        <w:spacing w:before="0" w:after="0"/>
        <w:ind w:firstLine="567"/>
        <w:rPr>
          <w:szCs w:val="24"/>
        </w:rPr>
      </w:pPr>
      <w:r w:rsidRPr="003E0025">
        <w:rPr>
          <w:szCs w:val="24"/>
        </w:rPr>
        <w:t xml:space="preserve">• источники пластического материала: растворы кристаллических аминокислот; </w:t>
      </w:r>
    </w:p>
    <w:p w14:paraId="57C13CA9" w14:textId="77777777" w:rsidR="003E0025" w:rsidRPr="003E0025" w:rsidRDefault="003E0025" w:rsidP="003E0025">
      <w:pPr>
        <w:spacing w:before="0" w:after="0"/>
        <w:ind w:firstLine="567"/>
        <w:rPr>
          <w:szCs w:val="24"/>
        </w:rPr>
      </w:pPr>
      <w:r w:rsidRPr="003E0025">
        <w:rPr>
          <w:szCs w:val="24"/>
        </w:rPr>
        <w:t xml:space="preserve">• поливитаминные комплексы для парентерального введения: – препараты водорастворимых витаминов; – препараты жирорастворимых витаминов; – препараты водо- и жирорастворимых витаминов; – комплексы микроэлементов для парентерального введения </w:t>
      </w:r>
      <w:r w:rsidRPr="003E0025">
        <w:rPr>
          <w:szCs w:val="24"/>
        </w:rPr>
        <w:fldChar w:fldCharType="begin" w:fldLock="1"/>
      </w:r>
      <w:r w:rsidRPr="003E0025">
        <w:rPr>
          <w:szCs w:val="24"/>
        </w:rPr>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[6]","plainTextFormattedCitation":"[6]","previouslyFormattedCitation":"[72]"},"properties":{"noteIndex":0},"schema":"https://github.com/citation-style-language/schema/raw/master/csl-citation.json"}</w:instrText>
      </w:r>
      <w:r w:rsidRPr="003E0025">
        <w:rPr>
          <w:szCs w:val="24"/>
        </w:rPr>
        <w:fldChar w:fldCharType="separate"/>
      </w:r>
      <w:r w:rsidRPr="003E0025">
        <w:rPr>
          <w:noProof/>
          <w:szCs w:val="24"/>
        </w:rPr>
        <w:t>[6]</w:t>
      </w:r>
      <w:r w:rsidRPr="003E0025">
        <w:rPr>
          <w:szCs w:val="24"/>
        </w:rPr>
        <w:fldChar w:fldCharType="end"/>
      </w:r>
      <w:r w:rsidRPr="003E0025">
        <w:rPr>
          <w:szCs w:val="24"/>
        </w:rPr>
        <w:t xml:space="preserve">. </w:t>
      </w:r>
    </w:p>
    <w:p w14:paraId="2B40FA82" w14:textId="77777777" w:rsidR="003E0025" w:rsidRPr="003E0025" w:rsidRDefault="003E0025" w:rsidP="003E0025">
      <w:pPr>
        <w:spacing w:before="0" w:after="0"/>
        <w:ind w:firstLine="851"/>
        <w:rPr>
          <w:szCs w:val="24"/>
        </w:rPr>
      </w:pPr>
      <w:r w:rsidRPr="003E0025">
        <w:rPr>
          <w:szCs w:val="24"/>
        </w:rPr>
        <w:t xml:space="preserve">Системы парентерального питания </w:t>
      </w:r>
      <w:r w:rsidRPr="003E0025">
        <w:rPr>
          <w:szCs w:val="24"/>
        </w:rPr>
        <w:fldChar w:fldCharType="begin" w:fldLock="1"/>
      </w:r>
      <w:r w:rsidRPr="003E0025">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А.Ж.;","non-dropping-particle":"","parse-names":false,"suffix":""}],"container-title":"RUSSCO","id":"ITEM-1","issued":{"date-parts":[["2017"]]},"note":"a","page":"524-532","title":"Практические рекомендации по нутритивной поддержке онкологических больных","type":"article-journal"},"uris":["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[2]","plainTextFormattedCitation":"[2]","previouslyFormattedCitation":"[11]"},"properties":{"noteIndex":0},"schema":"https://github.com/citation-style-language/schema/raw/master/csl-citation.json"}</w:instrText>
      </w:r>
      <w:r w:rsidRPr="003E0025">
        <w:rPr>
          <w:szCs w:val="24"/>
        </w:rPr>
        <w:fldChar w:fldCharType="separate"/>
      </w:r>
      <w:r w:rsidRPr="003E0025">
        <w:rPr>
          <w:noProof/>
          <w:szCs w:val="24"/>
        </w:rPr>
        <w:t>[2]</w:t>
      </w:r>
      <w:r w:rsidRPr="003E0025">
        <w:rPr>
          <w:szCs w:val="24"/>
        </w:rPr>
        <w:fldChar w:fldCharType="end"/>
      </w:r>
      <w:r w:rsidRPr="003E0025">
        <w:rPr>
          <w:szCs w:val="24"/>
        </w:rPr>
        <w:t xml:space="preserve"> </w:t>
      </w:r>
      <w:r w:rsidRPr="003E0025">
        <w:rPr>
          <w:szCs w:val="24"/>
        </w:rPr>
        <w:fldChar w:fldCharType="begin" w:fldLock="1"/>
      </w:r>
      <w:r w:rsidRPr="003E0025">
        <w:rPr>
          <w:szCs w:val="24"/>
        </w:rPr>
        <w:instrText>ADDIN CSL_CITATION {"citationItems":[{"id":"ITEM-1","itemData":{"DOI":"10.1016/j.clnu.2016.07.015","ISSN":"15321983","PMID":"27637832","abstract":"Cancers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Nutrition","id":"ITEM-1","issue":"1","issued":{"date-parts":[["2017","2"]]},"page":"11-48","publisher":"Churchill Livingstone","title":"ESPEN guidelines on nutrition in cancer patients","type":"article-journal","volume":"36"},"uris":["http://www.mendeley.com/documents/?uuid=36077b4c-f370-4a6b-b0e1-4b1e9c1d43b5","http://www.mendeley.com/documents/?uuid=e630a116-d7ec-4a1c-b664-044aef3e48b1","http://www.mendeley.com/documents/?uuid=d3f8f4e1-d953-4d1a-aa5d-79416736ad5c","http://www.mendeley.com/documents/?uuid=e6d2b792-474d-4443-8733-96188600ddfb","http://www.mendeley.com/documents/?uuid=b37f7a4f-c193-47c9-8d52-643880058eba","http://www.mendeley.com/documents/?uuid=2a76c704-6c26-3663-97b2-de4da274aff7"]}],"mendeley":{"formattedCitation":"[3]","plainTextFormattedCitation":"[3]","previouslyFormattedCitation":"[19]"},"properties":{"noteIndex":0},"schema":"https://github.com/citation-style-language/schema/raw/master/csl-citation.json"}</w:instrText>
      </w:r>
      <w:r w:rsidRPr="003E0025">
        <w:rPr>
          <w:szCs w:val="24"/>
        </w:rPr>
        <w:fldChar w:fldCharType="separate"/>
      </w:r>
      <w:r w:rsidRPr="003E0025">
        <w:rPr>
          <w:noProof/>
          <w:szCs w:val="24"/>
        </w:rPr>
        <w:t>[3]</w:t>
      </w:r>
      <w:r w:rsidRPr="003E0025">
        <w:rPr>
          <w:szCs w:val="24"/>
        </w:rPr>
        <w:fldChar w:fldCharType="end"/>
      </w:r>
    </w:p>
    <w:p w14:paraId="76D72244" w14:textId="77777777" w:rsidR="003E0025" w:rsidRPr="003E0025" w:rsidRDefault="003E0025" w:rsidP="003E0025">
      <w:pPr>
        <w:spacing w:before="0" w:after="0"/>
        <w:ind w:firstLine="851"/>
        <w:rPr>
          <w:szCs w:val="24"/>
        </w:rPr>
      </w:pPr>
      <w:r w:rsidRPr="003E0025">
        <w:rPr>
          <w:szCs w:val="24"/>
        </w:rPr>
        <w:t xml:space="preserve">• «модульная» – использование флаконов с аминокислотами, глюкозой, жировыми эмульсиями; (главным недостатком данного метода является различная скорость введения препаратов); </w:t>
      </w:r>
    </w:p>
    <w:p w14:paraId="364A9120" w14:textId="77777777" w:rsidR="003E0025" w:rsidRPr="003E0025" w:rsidRDefault="003E0025" w:rsidP="003E0025">
      <w:pPr>
        <w:spacing w:before="0" w:after="0"/>
        <w:ind w:firstLine="851"/>
        <w:rPr>
          <w:szCs w:val="24"/>
        </w:rPr>
      </w:pPr>
      <w:r w:rsidRPr="003E0025">
        <w:rPr>
          <w:szCs w:val="24"/>
        </w:rPr>
        <w:t xml:space="preserve">• система «все в одном» предполагает использование двух- и трехкомпонентных контейнеров с подобранным необходимым количеством и метаболически верным соотношением аминокислот, глюкозы, липидов и электролитов. </w:t>
      </w:r>
    </w:p>
    <w:p w14:paraId="65AE4D38" w14:textId="77777777" w:rsidR="003E0025" w:rsidRPr="003E0025" w:rsidRDefault="003E0025" w:rsidP="003E0025">
      <w:pPr>
        <w:spacing w:before="0" w:after="0"/>
        <w:ind w:firstLine="851"/>
        <w:rPr>
          <w:szCs w:val="24"/>
        </w:rPr>
      </w:pPr>
      <w:r w:rsidRPr="003E0025">
        <w:rPr>
          <w:szCs w:val="24"/>
        </w:rPr>
        <w:t xml:space="preserve">Противопоказания к парентеральному питанию </w:t>
      </w:r>
      <w:r w:rsidRPr="003E0025">
        <w:rPr>
          <w:szCs w:val="24"/>
        </w:rPr>
        <w:fldChar w:fldCharType="begin" w:fldLock="1"/>
      </w:r>
      <w:r w:rsidRPr="003E0025">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А.Ж.;","non-dropping-particle":"","parse-names":false,"suffix":""}],"container-title":"RUSSCO","id":"ITEM-1","issued":{"date-parts":[["2017"]]},"note":"a","page":"524-532","title":"Практические рекомендации по нутритивной поддержке онкологических больных","type":"article-journal"},"uris":["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[2]","plainTextFormattedCitation":"[2]","previouslyFormattedCitation":"[11]"},"properties":{"noteIndex":0},"schema":"https://github.com/citation-style-language/schema/raw/master/csl-citation.json"}</w:instrText>
      </w:r>
      <w:r w:rsidRPr="003E0025">
        <w:rPr>
          <w:szCs w:val="24"/>
        </w:rPr>
        <w:fldChar w:fldCharType="separate"/>
      </w:r>
      <w:r w:rsidRPr="003E0025">
        <w:rPr>
          <w:noProof/>
          <w:szCs w:val="24"/>
        </w:rPr>
        <w:t>[2]</w:t>
      </w:r>
      <w:r w:rsidRPr="003E0025">
        <w:rPr>
          <w:szCs w:val="24"/>
        </w:rPr>
        <w:fldChar w:fldCharType="end"/>
      </w:r>
      <w:r w:rsidRPr="003E0025">
        <w:rPr>
          <w:szCs w:val="24"/>
        </w:rPr>
        <w:t xml:space="preserve"> </w:t>
      </w:r>
      <w:r w:rsidRPr="003E0025">
        <w:rPr>
          <w:szCs w:val="24"/>
        </w:rPr>
        <w:fldChar w:fldCharType="begin" w:fldLock="1"/>
      </w:r>
      <w:r w:rsidRPr="003E0025">
        <w:rPr>
          <w:szCs w:val="24"/>
        </w:rPr>
        <w:instrText>ADDIN CSL_CITATION {"citationItems":[{"id":"ITEM-1","itemData":{"DOI":"10.1016/j.clnu.2016.07.015","ISSN":"15321983","PMID":"27637832","abstract":"Cancers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Nutrition","id":"ITEM-1","issue":"1","issued":{"date-parts":[["2017","2"]]},"page":"11-48","publisher":"Churchill Livingstone","title":"ESPEN guidelines on nutrition in cancer patients","type":"article-journal","volume":"36"},"uris":["http://www.mendeley.com/documents/?uuid=36077b4c-f370-4a6b-b0e1-4b1e9c1d43b5","http://www.mendeley.com/documents/?uuid=e630a116-d7ec-4a1c-b664-044aef3e48b1","http://www.mendeley.com/documents/?uuid=d3f8f4e1-d953-4d1a-aa5d-79416736ad5c","http://www.mendeley.com/documents/?uuid=e6d2b792-474d-4443-8733-96188600ddfb","http://www.mendeley.com/documents/?uuid=b37f7a4f-c193-47c9-8d52-643880058eba","http://www.mendeley.com/documents/?uuid=2a76c704-6c26-3663-97b2-de4da274aff7"]}],"mendeley":{"formattedCitation":"[3]","plainTextFormattedCitation":"[3]","previouslyFormattedCitation":"[19]"},"properties":{"noteIndex":0},"schema":"https://github.com/citation-style-language/schema/raw/master/csl-citation.json"}</w:instrText>
      </w:r>
      <w:r w:rsidRPr="003E0025">
        <w:rPr>
          <w:szCs w:val="24"/>
        </w:rPr>
        <w:fldChar w:fldCharType="separate"/>
      </w:r>
      <w:r w:rsidRPr="003E0025">
        <w:rPr>
          <w:noProof/>
          <w:szCs w:val="24"/>
        </w:rPr>
        <w:t>[3]</w:t>
      </w:r>
      <w:r w:rsidRPr="003E0025">
        <w:rPr>
          <w:szCs w:val="24"/>
        </w:rPr>
        <w:fldChar w:fldCharType="end"/>
      </w:r>
    </w:p>
    <w:p w14:paraId="6AD539F4" w14:textId="77777777" w:rsidR="003E0025" w:rsidRPr="003E0025" w:rsidRDefault="003E0025" w:rsidP="003E0025">
      <w:pPr>
        <w:spacing w:before="0" w:after="0"/>
        <w:ind w:firstLine="851"/>
        <w:rPr>
          <w:szCs w:val="24"/>
        </w:rPr>
      </w:pPr>
      <w:r w:rsidRPr="003E0025">
        <w:rPr>
          <w:szCs w:val="24"/>
        </w:rPr>
        <w:t>• возможность энтерального питания;</w:t>
      </w:r>
    </w:p>
    <w:p w14:paraId="111D32F7" w14:textId="77777777" w:rsidR="003E0025" w:rsidRPr="003E0025" w:rsidRDefault="003E0025" w:rsidP="003E0025">
      <w:pPr>
        <w:spacing w:before="0" w:after="0"/>
        <w:ind w:firstLine="851"/>
        <w:rPr>
          <w:szCs w:val="24"/>
        </w:rPr>
      </w:pPr>
      <w:r w:rsidRPr="003E0025">
        <w:rPr>
          <w:szCs w:val="24"/>
        </w:rPr>
        <w:lastRenderedPageBreak/>
        <w:t xml:space="preserve">• невозможность обеспечения адекватного сосудистого доступа; </w:t>
      </w:r>
    </w:p>
    <w:p w14:paraId="2838E1CF" w14:textId="77777777" w:rsidR="003E0025" w:rsidRPr="003E0025" w:rsidRDefault="003E0025" w:rsidP="003E0025">
      <w:pPr>
        <w:spacing w:before="0" w:after="0"/>
        <w:ind w:firstLine="851"/>
        <w:rPr>
          <w:szCs w:val="24"/>
        </w:rPr>
      </w:pPr>
      <w:r w:rsidRPr="003E0025">
        <w:rPr>
          <w:szCs w:val="24"/>
        </w:rPr>
        <w:t xml:space="preserve">• отсутствие признаков белково-энергетической недостаточности; </w:t>
      </w:r>
    </w:p>
    <w:p w14:paraId="293B7EE5" w14:textId="77777777" w:rsidR="003E0025" w:rsidRPr="003E0025" w:rsidRDefault="003E0025" w:rsidP="003E0025">
      <w:pPr>
        <w:spacing w:before="0" w:after="0"/>
        <w:ind w:firstLine="851"/>
        <w:rPr>
          <w:szCs w:val="24"/>
        </w:rPr>
      </w:pPr>
      <w:r w:rsidRPr="003E0025">
        <w:rPr>
          <w:szCs w:val="24"/>
        </w:rPr>
        <w:t xml:space="preserve">• гипоксия (раО2 70 мм рт. ст., сывороточный лактат &gt; 3 ммоль/л); </w:t>
      </w:r>
    </w:p>
    <w:p w14:paraId="6A7FCF9C" w14:textId="77777777" w:rsidR="003E0025" w:rsidRPr="003E0025" w:rsidRDefault="003E0025" w:rsidP="003E0025">
      <w:pPr>
        <w:spacing w:before="0" w:after="0"/>
        <w:ind w:firstLine="851"/>
        <w:rPr>
          <w:szCs w:val="24"/>
        </w:rPr>
      </w:pPr>
      <w:r w:rsidRPr="003E0025">
        <w:rPr>
          <w:szCs w:val="24"/>
        </w:rPr>
        <w:t xml:space="preserve">• анурия или гипергидратация без диализа. </w:t>
      </w:r>
    </w:p>
    <w:p w14:paraId="444C8B42" w14:textId="77777777" w:rsidR="003E0025" w:rsidRPr="003E0025" w:rsidRDefault="003E0025" w:rsidP="003E0025">
      <w:pPr>
        <w:spacing w:before="0" w:after="0"/>
        <w:ind w:firstLine="851"/>
        <w:rPr>
          <w:szCs w:val="24"/>
        </w:rPr>
      </w:pPr>
      <w:r w:rsidRPr="003E0025">
        <w:rPr>
          <w:szCs w:val="24"/>
        </w:rPr>
        <w:t xml:space="preserve">Смешанное питание </w:t>
      </w:r>
      <w:r w:rsidRPr="003E0025">
        <w:rPr>
          <w:szCs w:val="24"/>
        </w:rPr>
        <w:fldChar w:fldCharType="begin" w:fldLock="1"/>
      </w:r>
      <w:r w:rsidRPr="003E0025">
        <w:rPr>
          <w:szCs w:val="24"/>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А.Ж.;","non-dropping-particle":"","parse-names":false,"suffix":""}],"container-title":"RUSSCO","id":"ITEM-1","issued":{"date-parts":[["2017"]]},"note":"a","page":"524-532","title":"Практические рекомендации по нутритивной поддержке онкологических больных","type":"article-journal"},"uris":["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[2]","plainTextFormattedCitation":"[2]","previouslyFormattedCitation":"[11]"},"properties":{"noteIndex":0},"schema":"https://github.com/citation-style-language/schema/raw/master/csl-citation.json"}</w:instrText>
      </w:r>
      <w:r w:rsidRPr="003E0025">
        <w:rPr>
          <w:szCs w:val="24"/>
        </w:rPr>
        <w:fldChar w:fldCharType="separate"/>
      </w:r>
      <w:r w:rsidRPr="003E0025">
        <w:rPr>
          <w:noProof/>
          <w:szCs w:val="24"/>
        </w:rPr>
        <w:t>[2]</w:t>
      </w:r>
      <w:r w:rsidRPr="003E0025">
        <w:rPr>
          <w:szCs w:val="24"/>
        </w:rPr>
        <w:fldChar w:fldCharType="end"/>
      </w:r>
      <w:r w:rsidRPr="003E0025">
        <w:rPr>
          <w:szCs w:val="24"/>
        </w:rPr>
        <w:t xml:space="preserve"> </w:t>
      </w:r>
      <w:r w:rsidRPr="003E0025">
        <w:rPr>
          <w:szCs w:val="24"/>
        </w:rPr>
        <w:fldChar w:fldCharType="begin" w:fldLock="1"/>
      </w:r>
      <w:r w:rsidRPr="003E0025">
        <w:rPr>
          <w:szCs w:val="24"/>
        </w:rPr>
        <w:instrText>ADDIN CSL_CITATION {"citationItems":[{"id":"ITEM-1","itemData":{"author":[{"dropping-particle":"","family":"Бесова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А.И.","non-dropping-particle":"","parse-names":false,"suffix":""}],"id":"ITEM-1","issued":{"date-parts":[["2014"]]},"note":"a","title":"Клинические рекомендации по нутритивной поддержке при химиотерапии и/или лучевой терапии","type":"report"},"uris":["http://www.mendeley.com/documents/?uuid=2475f28c-b7e0-408d-8d85-bd890e4862de","http://www.mendeley.com/documents/?uuid=2db47854-c914-42bd-bd4d-a19b47e78e0d","http://www.mendeley.com/documents/?uuid=113bc17a-cb71-4ba2-afb9-083757d46c9b","http://www.mendeley.com/documents/?uuid=17acaf09-3d29-4b25-b43e-598e8835165d","http://www.mendeley.com/documents/?uuid=2da28a52-fa64-480f-9c45-312b59a7027b","http://www.mendeley.com/documents/?uuid=fa470355-bcfd-3bef-a7a1-086215509c2d"]}],"mendeley":{"formattedCitation":"[1]","plainTextFormattedCitation":"[1]","previouslyFormattedCitation":"[3]"},"properties":{"noteIndex":0},"schema":"https://github.com/citation-style-language/schema/raw/master/csl-citation.json"}</w:instrText>
      </w:r>
      <w:r w:rsidRPr="003E0025">
        <w:rPr>
          <w:szCs w:val="24"/>
        </w:rPr>
        <w:fldChar w:fldCharType="separate"/>
      </w:r>
      <w:r w:rsidRPr="003E0025">
        <w:rPr>
          <w:noProof/>
          <w:szCs w:val="24"/>
        </w:rPr>
        <w:t>[1]</w:t>
      </w:r>
      <w:r w:rsidRPr="003E0025">
        <w:rPr>
          <w:szCs w:val="24"/>
        </w:rPr>
        <w:fldChar w:fldCharType="end"/>
      </w:r>
    </w:p>
    <w:p w14:paraId="478738EB" w14:textId="77777777" w:rsidR="003E0025" w:rsidRPr="003E0025" w:rsidRDefault="003E0025" w:rsidP="003E0025">
      <w:pPr>
        <w:spacing w:before="0" w:after="0"/>
        <w:ind w:firstLine="851"/>
        <w:rPr>
          <w:szCs w:val="24"/>
        </w:rPr>
      </w:pPr>
      <w:r w:rsidRPr="003E0025">
        <w:rPr>
          <w:szCs w:val="24"/>
        </w:rPr>
        <w:t xml:space="preserve">Энтеральное и парентеральное питание может назначаться пациентам одновременно при недостаточной эффективности одного из этих методов (не позволяющем обеспечить более 60% от потребности в энергии). </w:t>
      </w:r>
    </w:p>
    <w:p w14:paraId="299F7653" w14:textId="77777777" w:rsidR="003E0025" w:rsidRPr="003E0025" w:rsidRDefault="003E0025" w:rsidP="003E0025">
      <w:pPr>
        <w:spacing w:before="0" w:after="0"/>
        <w:ind w:firstLine="851"/>
        <w:rPr>
          <w:szCs w:val="24"/>
        </w:rPr>
      </w:pPr>
      <w:r w:rsidRPr="003E0025">
        <w:rPr>
          <w:szCs w:val="24"/>
        </w:rPr>
        <w:t xml:space="preserve">Мониторинг эффективности нутритивной поддержки </w:t>
      </w:r>
    </w:p>
    <w:p w14:paraId="658B17A8" w14:textId="77777777" w:rsidR="003E0025" w:rsidRPr="003E0025" w:rsidRDefault="003E0025" w:rsidP="003E0025">
      <w:pPr>
        <w:spacing w:before="0" w:after="0"/>
        <w:ind w:firstLine="851"/>
        <w:rPr>
          <w:szCs w:val="24"/>
        </w:rPr>
      </w:pPr>
      <w:r w:rsidRPr="003E0025">
        <w:rPr>
          <w:szCs w:val="24"/>
        </w:rPr>
        <w:t>Частота исследования данных показателей может изменяться в зависимости от конкретной клинической ситуации.</w:t>
      </w:r>
    </w:p>
    <w:p w14:paraId="24176924" w14:textId="77777777" w:rsidR="003E0025" w:rsidRPr="003E0025" w:rsidRDefault="003E0025" w:rsidP="003E0025">
      <w:pPr>
        <w:spacing w:before="0" w:after="0"/>
        <w:ind w:firstLine="851"/>
        <w:rPr>
          <w:szCs w:val="24"/>
        </w:rPr>
      </w:pPr>
      <w:r w:rsidRPr="003E0025">
        <w:rPr>
          <w:szCs w:val="24"/>
        </w:rPr>
        <w:t>• Общий белок сыворотки крови 1 раз в 5–7 дней.</w:t>
      </w:r>
    </w:p>
    <w:p w14:paraId="31294D24" w14:textId="77777777" w:rsidR="003E0025" w:rsidRPr="003E0025" w:rsidRDefault="003E0025" w:rsidP="003E0025">
      <w:pPr>
        <w:spacing w:before="0" w:after="0"/>
        <w:ind w:firstLine="851"/>
        <w:rPr>
          <w:szCs w:val="24"/>
        </w:rPr>
      </w:pPr>
      <w:r w:rsidRPr="003E0025">
        <w:rPr>
          <w:szCs w:val="24"/>
        </w:rPr>
        <w:t>• Альбумин сыворотки крови 1 раз в 5–7 дней.</w:t>
      </w:r>
    </w:p>
    <w:p w14:paraId="1881275C" w14:textId="77777777" w:rsidR="003E0025" w:rsidRPr="003E0025" w:rsidRDefault="003E0025" w:rsidP="003E0025">
      <w:pPr>
        <w:spacing w:before="0" w:after="0"/>
        <w:ind w:firstLine="851"/>
        <w:rPr>
          <w:szCs w:val="24"/>
        </w:rPr>
      </w:pPr>
      <w:r w:rsidRPr="003E0025">
        <w:rPr>
          <w:szCs w:val="24"/>
        </w:rPr>
        <w:t>• Гемоглобин 1 раз в 5–7 дней.</w:t>
      </w:r>
    </w:p>
    <w:p w14:paraId="2DCFC0A0" w14:textId="77777777" w:rsidR="003E0025" w:rsidRPr="003E0025" w:rsidRDefault="003E0025" w:rsidP="003E0025">
      <w:pPr>
        <w:spacing w:before="0" w:after="0"/>
        <w:ind w:firstLine="851"/>
        <w:rPr>
          <w:szCs w:val="24"/>
        </w:rPr>
      </w:pPr>
      <w:r w:rsidRPr="003E0025">
        <w:rPr>
          <w:szCs w:val="24"/>
        </w:rPr>
        <w:t>• Лимфоциты периферической крови 1 раз в 5–7 дней.</w:t>
      </w:r>
    </w:p>
    <w:p w14:paraId="161D898D" w14:textId="77777777" w:rsidR="003E0025" w:rsidRDefault="003E0025" w:rsidP="003E0025">
      <w:pPr>
        <w:spacing w:before="0" w:after="0"/>
        <w:ind w:firstLine="851"/>
        <w:rPr>
          <w:szCs w:val="24"/>
        </w:rPr>
      </w:pPr>
      <w:r w:rsidRPr="003E0025">
        <w:rPr>
          <w:szCs w:val="24"/>
        </w:rPr>
        <w:t>• Масса тела и ИМТ тела 1 раз в 7–10 дней.</w:t>
      </w:r>
    </w:p>
    <w:p w14:paraId="3B032764" w14:textId="3A981038" w:rsidR="003E0025" w:rsidRPr="003E0025" w:rsidRDefault="003E0025" w:rsidP="003E0025">
      <w:pPr>
        <w:spacing w:before="0" w:after="0"/>
        <w:rPr>
          <w:b/>
        </w:rPr>
      </w:pPr>
      <w:r w:rsidRPr="008372B8">
        <w:rPr>
          <w:b/>
        </w:rPr>
        <w:t>Список л</w:t>
      </w:r>
      <w:r>
        <w:rPr>
          <w:b/>
        </w:rPr>
        <w:t>итературы</w:t>
      </w:r>
    </w:p>
    <w:p w14:paraId="0632AE62" w14:textId="77777777" w:rsidR="003E0025" w:rsidRPr="003E0025" w:rsidRDefault="003E0025" w:rsidP="003E0025">
      <w:pPr>
        <w:widowControl w:val="0"/>
        <w:autoSpaceDE w:val="0"/>
        <w:autoSpaceDN w:val="0"/>
        <w:adjustRightInd w:val="0"/>
        <w:rPr>
          <w:noProof/>
          <w:szCs w:val="24"/>
        </w:rPr>
      </w:pPr>
      <w:r w:rsidRPr="003E0025">
        <w:rPr>
          <w:szCs w:val="24"/>
        </w:rPr>
        <w:fldChar w:fldCharType="begin" w:fldLock="1"/>
      </w:r>
      <w:r w:rsidRPr="003E0025">
        <w:rPr>
          <w:szCs w:val="24"/>
        </w:rPr>
        <w:instrText xml:space="preserve">ADDIN Mendeley Bibliography CSL_BIBLIOGRAPHY </w:instrText>
      </w:r>
      <w:r w:rsidRPr="003E0025">
        <w:rPr>
          <w:szCs w:val="24"/>
        </w:rPr>
        <w:fldChar w:fldCharType="separate"/>
      </w:r>
      <w:r w:rsidRPr="003E0025">
        <w:rPr>
          <w:noProof/>
          <w:szCs w:val="24"/>
        </w:rPr>
        <w:t>1. Бесова Н.С., Борисова Т.Н., Ларионова В.Б., Лейдерман И.Н., Обухова О.А., Попова Т.С., Салтанов А.И., Сельчук В.Ю., Снеговой А.В., Ткачев С.И., Тюляндин С.А. Ш.А.И.Клинические рекомендации по нутритивной поддержке при химиотерапии и/или лучевой терапии / Ш. А. И. Бесова Н.С., Борисова Т.Н., Ларионова В.Б., Лейдерман И.Н., Обухова О.А., Попова Т.С., Салтанов А.И., Сельчук В.Ю., Снеговой А.В., Ткачев С.И., Тюляндин С.А. – , 2014.</w:t>
      </w:r>
    </w:p>
    <w:p w14:paraId="61589601" w14:textId="77777777" w:rsidR="003E0025" w:rsidRPr="003E0025" w:rsidRDefault="003E0025" w:rsidP="003E0025">
      <w:pPr>
        <w:widowControl w:val="0"/>
        <w:autoSpaceDE w:val="0"/>
        <w:autoSpaceDN w:val="0"/>
        <w:adjustRightInd w:val="0"/>
        <w:rPr>
          <w:noProof/>
          <w:szCs w:val="24"/>
        </w:rPr>
      </w:pPr>
      <w:r w:rsidRPr="003E0025">
        <w:rPr>
          <w:noProof/>
          <w:szCs w:val="24"/>
        </w:rPr>
        <w:t>2. Сытов А.В., Лейдерман И.Н., Ломидзе С.В., Нехаев И.В. Х.А.Ж.. Практические рекомендации по нутритивной поддержке онкологических больных / Х. А. Ж. . Сытов А.В., Лейдерман И.Н., Ломидзе С.В., Нехаев И.В. // RUSSCO – 2017. – 524–532с.</w:t>
      </w:r>
    </w:p>
    <w:p w14:paraId="1E7F8B3E" w14:textId="77777777" w:rsidR="003E0025" w:rsidRPr="003E0025" w:rsidRDefault="003E0025" w:rsidP="003E0025">
      <w:pPr>
        <w:widowControl w:val="0"/>
        <w:autoSpaceDE w:val="0"/>
        <w:autoSpaceDN w:val="0"/>
        <w:adjustRightInd w:val="0"/>
        <w:rPr>
          <w:noProof/>
          <w:szCs w:val="24"/>
          <w:lang w:val="en-US"/>
        </w:rPr>
      </w:pPr>
      <w:r w:rsidRPr="003E0025">
        <w:rPr>
          <w:noProof/>
          <w:szCs w:val="24"/>
          <w:lang w:val="en-US"/>
        </w:rPr>
        <w:t xml:space="preserve">3. Arends J. ESPEN guidelines on nutrition in cancer patients / J. Arends, P. Bachmann, V. Baracos, N. Barthelemy, H. Bertz, F. Bozzetti, K. Fearon, E. Hütterer, E. Isenring, S. Kaasa, Z. Krznaric, B. Laird, M. Larsson, A. Laviano, S. Mühlebach, M. Muscaritoli, L. Oldervoll, P. Ravasco, T. Solheim, F. Strasser, M. de van der Schueren, J. C. Preiser // Clin. Nutr. – 2017. – </w:t>
      </w:r>
      <w:r w:rsidRPr="003E0025">
        <w:rPr>
          <w:noProof/>
          <w:szCs w:val="24"/>
        </w:rPr>
        <w:t>Т</w:t>
      </w:r>
      <w:r w:rsidRPr="003E0025">
        <w:rPr>
          <w:noProof/>
          <w:szCs w:val="24"/>
          <w:lang w:val="en-US"/>
        </w:rPr>
        <w:t>. 36 – № 1 – 11–48</w:t>
      </w:r>
      <w:r w:rsidRPr="003E0025">
        <w:rPr>
          <w:noProof/>
          <w:szCs w:val="24"/>
        </w:rPr>
        <w:t>с</w:t>
      </w:r>
      <w:r w:rsidRPr="003E0025">
        <w:rPr>
          <w:noProof/>
          <w:szCs w:val="24"/>
          <w:lang w:val="en-US"/>
        </w:rPr>
        <w:t>.</w:t>
      </w:r>
    </w:p>
    <w:p w14:paraId="1E0D8C10" w14:textId="77777777" w:rsidR="003E0025" w:rsidRPr="003E0025" w:rsidRDefault="003E0025" w:rsidP="003E0025">
      <w:pPr>
        <w:widowControl w:val="0"/>
        <w:autoSpaceDE w:val="0"/>
        <w:autoSpaceDN w:val="0"/>
        <w:adjustRightInd w:val="0"/>
        <w:rPr>
          <w:noProof/>
          <w:szCs w:val="24"/>
          <w:lang w:val="en-US"/>
        </w:rPr>
      </w:pPr>
      <w:r w:rsidRPr="003E0025">
        <w:rPr>
          <w:noProof/>
          <w:szCs w:val="24"/>
          <w:lang w:val="en-US"/>
        </w:rPr>
        <w:t xml:space="preserve">4. Baiu I. Parenteral Nutrition // JAMA - J. Am. Med. Assoc. – 2019. – </w:t>
      </w:r>
      <w:r w:rsidRPr="003E0025">
        <w:rPr>
          <w:noProof/>
          <w:szCs w:val="24"/>
        </w:rPr>
        <w:t>Т</w:t>
      </w:r>
      <w:r w:rsidRPr="003E0025">
        <w:rPr>
          <w:noProof/>
          <w:szCs w:val="24"/>
          <w:lang w:val="en-US"/>
        </w:rPr>
        <w:t>. 321. – № 21. – 2142</w:t>
      </w:r>
      <w:r w:rsidRPr="003E0025">
        <w:rPr>
          <w:noProof/>
          <w:szCs w:val="24"/>
        </w:rPr>
        <w:t>с</w:t>
      </w:r>
      <w:r w:rsidRPr="003E0025">
        <w:rPr>
          <w:noProof/>
          <w:szCs w:val="24"/>
          <w:lang w:val="en-US"/>
        </w:rPr>
        <w:t>.</w:t>
      </w:r>
    </w:p>
    <w:p w14:paraId="08C300AE" w14:textId="77777777" w:rsidR="003E0025" w:rsidRPr="003E0025" w:rsidRDefault="003E0025" w:rsidP="003E0025">
      <w:pPr>
        <w:widowControl w:val="0"/>
        <w:autoSpaceDE w:val="0"/>
        <w:autoSpaceDN w:val="0"/>
        <w:adjustRightInd w:val="0"/>
        <w:rPr>
          <w:noProof/>
          <w:szCs w:val="24"/>
          <w:lang w:val="en-US"/>
        </w:rPr>
      </w:pPr>
      <w:r w:rsidRPr="003E0025">
        <w:rPr>
          <w:noProof/>
          <w:szCs w:val="24"/>
          <w:lang w:val="en-US"/>
        </w:rPr>
        <w:lastRenderedPageBreak/>
        <w:t xml:space="preserve">5. Camblor-Álvarez M. Soporte nutricional y nutrición parenteral en el paciente oncológico: informe de consenso de un grupo de expertos / M. Camblor-Álvarez, M. J. Ocón-Bretón, L. M. Luengo-Pérez, J. A. Viruzuela, M. J. Sendrós-Maroño, M. Cervera-Peris, E. Grande, J. Álvarez-Hernández, P. Jiménez-Fonseca // Nutr. Hosp. – 2018. – </w:t>
      </w:r>
      <w:r w:rsidRPr="003E0025">
        <w:rPr>
          <w:noProof/>
          <w:szCs w:val="24"/>
        </w:rPr>
        <w:t>Т</w:t>
      </w:r>
      <w:r w:rsidRPr="003E0025">
        <w:rPr>
          <w:noProof/>
          <w:szCs w:val="24"/>
          <w:lang w:val="en-US"/>
        </w:rPr>
        <w:t>. 35 – № 1.</w:t>
      </w:r>
    </w:p>
    <w:p w14:paraId="3BFDD5E6" w14:textId="77777777" w:rsidR="003E0025" w:rsidRPr="003E0025" w:rsidRDefault="003E0025" w:rsidP="003E0025">
      <w:pPr>
        <w:widowControl w:val="0"/>
        <w:autoSpaceDE w:val="0"/>
        <w:autoSpaceDN w:val="0"/>
        <w:adjustRightInd w:val="0"/>
        <w:rPr>
          <w:noProof/>
          <w:szCs w:val="24"/>
        </w:rPr>
      </w:pPr>
      <w:r w:rsidRPr="003E0025">
        <w:rPr>
          <w:noProof/>
          <w:szCs w:val="24"/>
          <w:lang w:val="en-US"/>
        </w:rPr>
        <w:t xml:space="preserve">6. Virizuela J.A. Nutritional support and parenteral nutrition in cancer patients: an expert consensus report / J. A. Virizuela, M. Camblor-Álvarez, L. M. Luengo-Pérez, E. Grande, J. Álvarez-Hernández, M. J. Sendrós-Madroño, P. Jiménez-Fonseca, M. Cervera-Peris, M. J. Ocón-Bretón // Clin. </w:t>
      </w:r>
      <w:r w:rsidRPr="003E0025">
        <w:rPr>
          <w:noProof/>
          <w:szCs w:val="24"/>
        </w:rPr>
        <w:t>Transl. Oncol. – 2018. – Т. 20 – № 5 – 619–629с.</w:t>
      </w:r>
    </w:p>
    <w:p w14:paraId="6C933E2F" w14:textId="4C114FAB" w:rsidR="003E0025" w:rsidRDefault="003E0025" w:rsidP="00FD15FE">
      <w:pPr>
        <w:spacing w:before="0" w:after="0"/>
        <w:rPr>
          <w:szCs w:val="24"/>
        </w:rPr>
      </w:pPr>
      <w:r w:rsidRPr="003E0025">
        <w:rPr>
          <w:szCs w:val="24"/>
        </w:rPr>
        <w:fldChar w:fldCharType="end"/>
      </w:r>
      <w:r>
        <w:rPr>
          <w:szCs w:val="24"/>
        </w:rPr>
        <w:br w:type="page"/>
      </w:r>
    </w:p>
    <w:p w14:paraId="5994A178" w14:textId="65D461DD" w:rsidR="003E0025" w:rsidRPr="003E0025" w:rsidRDefault="003E0025" w:rsidP="003E0025">
      <w:pPr>
        <w:pStyle w:val="1"/>
      </w:pPr>
      <w:bookmarkStart w:id="81" w:name="_Toc53140927"/>
      <w:r w:rsidRPr="003E0025">
        <w:lastRenderedPageBreak/>
        <w:t>Приложение Г</w:t>
      </w:r>
      <w:r>
        <w:t xml:space="preserve">7. </w:t>
      </w:r>
      <w:r w:rsidRPr="003E0025">
        <w:t>«Профилактика, диагностика и лечение геморрагических осложнений при множественной миеломе»</w:t>
      </w:r>
      <w:bookmarkEnd w:id="81"/>
    </w:p>
    <w:p w14:paraId="1466CE88" w14:textId="77777777" w:rsidR="003E0025" w:rsidRPr="006B7A7D" w:rsidRDefault="003E0025" w:rsidP="003E0025">
      <w:pPr>
        <w:pStyle w:val="a6"/>
        <w:ind w:left="360"/>
        <w:rPr>
          <w:rFonts w:eastAsia="Times New Roman"/>
          <w:b/>
          <w:i/>
          <w:szCs w:val="24"/>
          <w:lang w:eastAsia="ru-RU"/>
        </w:rPr>
      </w:pPr>
      <w:r w:rsidRPr="006B7A7D">
        <w:rPr>
          <w:rFonts w:eastAsia="Times New Roman"/>
          <w:b/>
          <w:i/>
          <w:szCs w:val="24"/>
          <w:lang w:eastAsia="ru-RU"/>
        </w:rPr>
        <w:t>Список сокращений</w:t>
      </w:r>
    </w:p>
    <w:p w14:paraId="470E028F" w14:textId="77777777" w:rsidR="003E0025" w:rsidRPr="006B7A7D" w:rsidRDefault="003E0025" w:rsidP="003E0025">
      <w:pPr>
        <w:pStyle w:val="a6"/>
        <w:ind w:left="360"/>
        <w:rPr>
          <w:szCs w:val="24"/>
        </w:rPr>
      </w:pPr>
      <w:r>
        <w:rPr>
          <w:szCs w:val="24"/>
        </w:rPr>
        <w:t xml:space="preserve">АЧТВ – </w:t>
      </w:r>
      <w:r w:rsidRPr="006B7A7D">
        <w:rPr>
          <w:szCs w:val="24"/>
        </w:rPr>
        <w:t xml:space="preserve">активированное частичное тромбопластиновое время </w:t>
      </w:r>
    </w:p>
    <w:p w14:paraId="7F8508E7" w14:textId="77777777" w:rsidR="003E0025" w:rsidRPr="006B7A7D" w:rsidRDefault="003E0025" w:rsidP="003E0025">
      <w:pPr>
        <w:pStyle w:val="a6"/>
        <w:ind w:left="360"/>
        <w:rPr>
          <w:szCs w:val="24"/>
        </w:rPr>
      </w:pPr>
      <w:r>
        <w:rPr>
          <w:szCs w:val="24"/>
        </w:rPr>
        <w:t xml:space="preserve">АВК – </w:t>
      </w:r>
      <w:r w:rsidRPr="006B7A7D">
        <w:rPr>
          <w:szCs w:val="24"/>
        </w:rPr>
        <w:t xml:space="preserve">антагонисты витамина К </w:t>
      </w:r>
    </w:p>
    <w:p w14:paraId="5B6C6229" w14:textId="77777777" w:rsidR="003E0025" w:rsidRPr="006B7A7D" w:rsidRDefault="003E0025" w:rsidP="003E0025">
      <w:pPr>
        <w:pStyle w:val="a6"/>
        <w:ind w:left="360"/>
        <w:rPr>
          <w:szCs w:val="24"/>
        </w:rPr>
      </w:pPr>
      <w:r>
        <w:rPr>
          <w:szCs w:val="24"/>
        </w:rPr>
        <w:t xml:space="preserve">АТ </w:t>
      </w:r>
      <w:r>
        <w:rPr>
          <w:szCs w:val="24"/>
          <w:lang w:val="en-US"/>
        </w:rPr>
        <w:t>III</w:t>
      </w:r>
      <w:r>
        <w:rPr>
          <w:szCs w:val="24"/>
        </w:rPr>
        <w:t xml:space="preserve"> – </w:t>
      </w:r>
      <w:r w:rsidRPr="006B7A7D">
        <w:rPr>
          <w:szCs w:val="24"/>
        </w:rPr>
        <w:t xml:space="preserve">антитромбин </w:t>
      </w:r>
      <w:r w:rsidRPr="006B7A7D">
        <w:rPr>
          <w:szCs w:val="24"/>
          <w:lang w:val="en-US"/>
        </w:rPr>
        <w:t>III</w:t>
      </w:r>
    </w:p>
    <w:p w14:paraId="7B5A1953" w14:textId="77777777" w:rsidR="003E0025" w:rsidRPr="006B7A7D" w:rsidRDefault="003E0025" w:rsidP="003E0025">
      <w:pPr>
        <w:pStyle w:val="a6"/>
        <w:ind w:left="360"/>
        <w:rPr>
          <w:szCs w:val="24"/>
        </w:rPr>
      </w:pPr>
      <w:r>
        <w:rPr>
          <w:szCs w:val="24"/>
        </w:rPr>
        <w:t xml:space="preserve">ДВС-синдром – </w:t>
      </w:r>
      <w:r w:rsidRPr="006B7A7D">
        <w:rPr>
          <w:szCs w:val="24"/>
        </w:rPr>
        <w:t>синдром диссеминированного свертывания крови</w:t>
      </w:r>
    </w:p>
    <w:p w14:paraId="4A8A7B04" w14:textId="77777777" w:rsidR="003E0025" w:rsidRPr="006B7A7D" w:rsidRDefault="003E0025" w:rsidP="003E0025">
      <w:pPr>
        <w:pStyle w:val="a6"/>
        <w:ind w:left="360"/>
        <w:rPr>
          <w:szCs w:val="24"/>
        </w:rPr>
      </w:pPr>
      <w:r>
        <w:rPr>
          <w:szCs w:val="24"/>
        </w:rPr>
        <w:t xml:space="preserve">ЖКК – </w:t>
      </w:r>
      <w:r w:rsidRPr="006B7A7D">
        <w:rPr>
          <w:szCs w:val="24"/>
        </w:rPr>
        <w:t xml:space="preserve">желудочно-кишечное кровотечение </w:t>
      </w:r>
    </w:p>
    <w:p w14:paraId="74FE3B48" w14:textId="77777777" w:rsidR="003E0025" w:rsidRDefault="003E0025" w:rsidP="003E0025">
      <w:pPr>
        <w:pStyle w:val="a6"/>
        <w:ind w:left="360"/>
        <w:rPr>
          <w:szCs w:val="24"/>
        </w:rPr>
      </w:pPr>
      <w:r>
        <w:rPr>
          <w:szCs w:val="24"/>
        </w:rPr>
        <w:t xml:space="preserve">КТ – </w:t>
      </w:r>
      <w:r w:rsidRPr="006B7A7D">
        <w:rPr>
          <w:szCs w:val="24"/>
        </w:rPr>
        <w:t xml:space="preserve">компьютерная томография </w:t>
      </w:r>
    </w:p>
    <w:p w14:paraId="088B025A" w14:textId="77777777" w:rsidR="003E0025" w:rsidRPr="006B7A7D" w:rsidRDefault="003E0025" w:rsidP="003E0025">
      <w:pPr>
        <w:pStyle w:val="a6"/>
        <w:ind w:left="360"/>
        <w:rPr>
          <w:szCs w:val="24"/>
        </w:rPr>
      </w:pPr>
      <w:r>
        <w:rPr>
          <w:szCs w:val="24"/>
        </w:rPr>
        <w:t xml:space="preserve">МРТ – </w:t>
      </w:r>
      <w:r w:rsidRPr="006B7A7D">
        <w:rPr>
          <w:szCs w:val="24"/>
        </w:rPr>
        <w:t xml:space="preserve">магнитно-резонансная томография </w:t>
      </w:r>
    </w:p>
    <w:p w14:paraId="2978159E" w14:textId="77777777" w:rsidR="003E0025" w:rsidRPr="006B7A7D" w:rsidRDefault="003E0025" w:rsidP="003E0025">
      <w:pPr>
        <w:pStyle w:val="a6"/>
        <w:ind w:left="360"/>
        <w:rPr>
          <w:szCs w:val="24"/>
        </w:rPr>
      </w:pPr>
      <w:r>
        <w:rPr>
          <w:szCs w:val="24"/>
        </w:rPr>
        <w:t xml:space="preserve">НФГ – </w:t>
      </w:r>
      <w:r w:rsidRPr="006B7A7D">
        <w:rPr>
          <w:szCs w:val="24"/>
        </w:rPr>
        <w:t xml:space="preserve">нефракционированный гепарин </w:t>
      </w:r>
    </w:p>
    <w:p w14:paraId="7EE20BD6" w14:textId="77777777" w:rsidR="003E0025" w:rsidRDefault="003E0025" w:rsidP="003E0025">
      <w:pPr>
        <w:pStyle w:val="a6"/>
        <w:ind w:left="360"/>
        <w:rPr>
          <w:szCs w:val="24"/>
        </w:rPr>
      </w:pPr>
      <w:r>
        <w:rPr>
          <w:szCs w:val="24"/>
        </w:rPr>
        <w:t xml:space="preserve">НМГ – </w:t>
      </w:r>
      <w:r w:rsidRPr="006B7A7D">
        <w:rPr>
          <w:szCs w:val="24"/>
        </w:rPr>
        <w:t xml:space="preserve">низкомолекулярные гепарины </w:t>
      </w:r>
    </w:p>
    <w:p w14:paraId="40ED0ED9" w14:textId="77777777" w:rsidR="003E0025" w:rsidRPr="006B7A7D" w:rsidRDefault="003E0025" w:rsidP="003E0025">
      <w:pPr>
        <w:pStyle w:val="a6"/>
        <w:ind w:left="360"/>
        <w:rPr>
          <w:szCs w:val="24"/>
        </w:rPr>
      </w:pPr>
      <w:r>
        <w:rPr>
          <w:szCs w:val="24"/>
        </w:rPr>
        <w:t>ПОАК – прямые оральные антикоагулянты</w:t>
      </w:r>
    </w:p>
    <w:p w14:paraId="615F6948" w14:textId="77777777" w:rsidR="003E0025" w:rsidRPr="006B7A7D" w:rsidRDefault="003E0025" w:rsidP="003E0025">
      <w:pPr>
        <w:pStyle w:val="a6"/>
        <w:ind w:left="360"/>
        <w:rPr>
          <w:szCs w:val="24"/>
        </w:rPr>
      </w:pPr>
      <w:r w:rsidRPr="00265211">
        <w:rPr>
          <w:szCs w:val="24"/>
        </w:rPr>
        <w:t xml:space="preserve">ПЭТ </w:t>
      </w:r>
      <w:r>
        <w:rPr>
          <w:szCs w:val="24"/>
        </w:rPr>
        <w:t xml:space="preserve">– </w:t>
      </w:r>
      <w:r w:rsidRPr="006B7A7D">
        <w:rPr>
          <w:szCs w:val="24"/>
        </w:rPr>
        <w:t>поз</w:t>
      </w:r>
      <w:r>
        <w:rPr>
          <w:szCs w:val="24"/>
        </w:rPr>
        <w:t xml:space="preserve">итронно-эмиссионная томография </w:t>
      </w:r>
      <w:r w:rsidRPr="006B7A7D">
        <w:rPr>
          <w:szCs w:val="24"/>
        </w:rPr>
        <w:t xml:space="preserve"> </w:t>
      </w:r>
    </w:p>
    <w:p w14:paraId="2456CFD1" w14:textId="77777777" w:rsidR="003E0025" w:rsidRPr="006B7A7D" w:rsidRDefault="003E0025" w:rsidP="003E0025">
      <w:pPr>
        <w:pStyle w:val="a6"/>
        <w:ind w:left="360"/>
        <w:rPr>
          <w:szCs w:val="24"/>
        </w:rPr>
      </w:pPr>
      <w:r>
        <w:rPr>
          <w:szCs w:val="24"/>
        </w:rPr>
        <w:t xml:space="preserve">СЗП – </w:t>
      </w:r>
      <w:r w:rsidRPr="006B7A7D">
        <w:rPr>
          <w:szCs w:val="24"/>
        </w:rPr>
        <w:t xml:space="preserve">свежезамороженная плазма </w:t>
      </w:r>
    </w:p>
    <w:p w14:paraId="14A54424" w14:textId="77777777" w:rsidR="003E0025" w:rsidRPr="006B7A7D" w:rsidRDefault="003E0025" w:rsidP="003E0025">
      <w:pPr>
        <w:pStyle w:val="a6"/>
        <w:ind w:left="360"/>
        <w:rPr>
          <w:szCs w:val="24"/>
        </w:rPr>
      </w:pPr>
      <w:r w:rsidRPr="00265211">
        <w:rPr>
          <w:szCs w:val="24"/>
        </w:rPr>
        <w:t>УЗИ</w:t>
      </w:r>
      <w:r>
        <w:rPr>
          <w:szCs w:val="24"/>
        </w:rPr>
        <w:t xml:space="preserve"> – </w:t>
      </w:r>
      <w:r w:rsidRPr="006B7A7D">
        <w:rPr>
          <w:szCs w:val="24"/>
        </w:rPr>
        <w:t xml:space="preserve">ультразвуковое исследование </w:t>
      </w:r>
    </w:p>
    <w:p w14:paraId="18998E76" w14:textId="77777777" w:rsidR="003E0025" w:rsidRPr="006B7A7D" w:rsidRDefault="003E0025" w:rsidP="003E0025">
      <w:pPr>
        <w:pStyle w:val="a6"/>
        <w:ind w:left="360"/>
        <w:rPr>
          <w:szCs w:val="24"/>
        </w:rPr>
      </w:pPr>
      <w:r w:rsidRPr="00265211">
        <w:rPr>
          <w:szCs w:val="24"/>
        </w:rPr>
        <w:t xml:space="preserve">ХТ </w:t>
      </w:r>
      <w:r>
        <w:rPr>
          <w:szCs w:val="24"/>
        </w:rPr>
        <w:t xml:space="preserve">– </w:t>
      </w:r>
      <w:r w:rsidRPr="006B7A7D">
        <w:rPr>
          <w:szCs w:val="24"/>
        </w:rPr>
        <w:t xml:space="preserve">химиотерапия </w:t>
      </w:r>
    </w:p>
    <w:p w14:paraId="55FB1590" w14:textId="77777777" w:rsidR="003E0025" w:rsidRPr="006B7A7D" w:rsidRDefault="003E0025" w:rsidP="003E0025">
      <w:pPr>
        <w:pStyle w:val="a6"/>
        <w:ind w:left="360"/>
        <w:rPr>
          <w:szCs w:val="24"/>
        </w:rPr>
      </w:pPr>
      <w:r>
        <w:rPr>
          <w:szCs w:val="24"/>
        </w:rPr>
        <w:t>ХБП</w:t>
      </w:r>
      <w:r w:rsidRPr="00C731E3">
        <w:rPr>
          <w:szCs w:val="24"/>
        </w:rPr>
        <w:t xml:space="preserve"> </w:t>
      </w:r>
      <w:r>
        <w:rPr>
          <w:szCs w:val="24"/>
        </w:rPr>
        <w:t xml:space="preserve">– </w:t>
      </w:r>
      <w:r w:rsidRPr="006B7A7D">
        <w:rPr>
          <w:szCs w:val="24"/>
        </w:rPr>
        <w:t xml:space="preserve">хроническая болезнь почек </w:t>
      </w:r>
    </w:p>
    <w:p w14:paraId="1C772735" w14:textId="77777777" w:rsidR="003E0025" w:rsidRPr="006B7A7D" w:rsidRDefault="003E0025" w:rsidP="003E0025">
      <w:pPr>
        <w:pStyle w:val="a6"/>
        <w:ind w:left="360"/>
        <w:rPr>
          <w:szCs w:val="24"/>
        </w:rPr>
      </w:pPr>
      <w:r>
        <w:rPr>
          <w:szCs w:val="24"/>
        </w:rPr>
        <w:t xml:space="preserve">ЦНС – </w:t>
      </w:r>
      <w:r w:rsidRPr="006B7A7D">
        <w:rPr>
          <w:szCs w:val="24"/>
        </w:rPr>
        <w:t xml:space="preserve">центральная нервная система </w:t>
      </w:r>
    </w:p>
    <w:p w14:paraId="2227D354" w14:textId="77777777" w:rsidR="003E0025" w:rsidRPr="006B7A7D" w:rsidRDefault="003E0025" w:rsidP="003E0025">
      <w:pPr>
        <w:pStyle w:val="a6"/>
        <w:ind w:left="360"/>
        <w:rPr>
          <w:szCs w:val="24"/>
        </w:rPr>
      </w:pPr>
      <w:r>
        <w:rPr>
          <w:szCs w:val="24"/>
        </w:rPr>
        <w:t xml:space="preserve">ЭФГДС – </w:t>
      </w:r>
      <w:r w:rsidRPr="006B7A7D">
        <w:rPr>
          <w:szCs w:val="24"/>
        </w:rPr>
        <w:t>эзофагогастродуоденоскопия</w:t>
      </w:r>
    </w:p>
    <w:p w14:paraId="34AE6C10" w14:textId="77777777" w:rsidR="003E0025" w:rsidRPr="00B81EE6" w:rsidRDefault="003E0025" w:rsidP="003E0025">
      <w:pPr>
        <w:ind w:firstLine="567"/>
        <w:rPr>
          <w:rFonts w:eastAsia="Times New Roman"/>
          <w:b/>
          <w:szCs w:val="24"/>
          <w:lang w:eastAsia="ru-RU"/>
        </w:rPr>
      </w:pPr>
      <w:r w:rsidRPr="00B81EE6">
        <w:rPr>
          <w:rFonts w:eastAsia="Times New Roman"/>
          <w:b/>
          <w:szCs w:val="24"/>
          <w:lang w:eastAsia="ru-RU"/>
        </w:rPr>
        <w:t>1. Общие сведения о геморрагических нарушениях.</w:t>
      </w:r>
    </w:p>
    <w:p w14:paraId="227464F3" w14:textId="75F33F7B" w:rsidR="003E0025" w:rsidRDefault="003E0025" w:rsidP="003E0025">
      <w:pPr>
        <w:ind w:firstLine="567"/>
        <w:rPr>
          <w:rFonts w:eastAsia="Times New Roman"/>
          <w:szCs w:val="24"/>
          <w:lang w:eastAsia="ru-RU"/>
        </w:rPr>
      </w:pPr>
      <w:r w:rsidRPr="00C731E3">
        <w:rPr>
          <w:rFonts w:eastAsia="Times New Roman"/>
          <w:szCs w:val="24"/>
          <w:lang w:eastAsia="ru-RU"/>
        </w:rPr>
        <w:t xml:space="preserve">Геморрагические </w:t>
      </w:r>
      <w:r>
        <w:rPr>
          <w:rFonts w:eastAsia="Times New Roman"/>
          <w:szCs w:val="24"/>
          <w:lang w:eastAsia="ru-RU"/>
        </w:rPr>
        <w:t>проявления</w:t>
      </w:r>
      <w:r w:rsidRPr="00C731E3">
        <w:rPr>
          <w:rFonts w:eastAsia="Times New Roman"/>
          <w:szCs w:val="24"/>
          <w:lang w:eastAsia="ru-RU"/>
        </w:rPr>
        <w:t xml:space="preserve"> </w:t>
      </w:r>
      <w:r>
        <w:rPr>
          <w:rFonts w:eastAsia="Times New Roman"/>
          <w:szCs w:val="24"/>
          <w:lang w:eastAsia="ru-RU"/>
        </w:rPr>
        <w:t xml:space="preserve">у гематологических пациентов отличаются многообразием и могут быть </w:t>
      </w:r>
      <w:r w:rsidRPr="00B81EE6">
        <w:rPr>
          <w:rFonts w:eastAsia="Times New Roman"/>
          <w:szCs w:val="24"/>
          <w:lang w:eastAsia="ru-RU"/>
        </w:rPr>
        <w:t xml:space="preserve">обусловлены как самим заболеванием, так и его осложнениями, </w:t>
      </w:r>
      <w:r>
        <w:rPr>
          <w:rFonts w:eastAsia="Times New Roman"/>
          <w:szCs w:val="24"/>
          <w:lang w:eastAsia="ru-RU"/>
        </w:rPr>
        <w:t>в том числе вследствие</w:t>
      </w:r>
      <w:r w:rsidRPr="00B81EE6">
        <w:rPr>
          <w:rFonts w:eastAsia="Times New Roman"/>
          <w:szCs w:val="24"/>
          <w:lang w:eastAsia="ru-RU"/>
        </w:rPr>
        <w:t xml:space="preserve"> проведения </w:t>
      </w:r>
      <w:r>
        <w:rPr>
          <w:rFonts w:eastAsia="Times New Roman"/>
          <w:szCs w:val="24"/>
          <w:lang w:eastAsia="ru-RU"/>
        </w:rPr>
        <w:t xml:space="preserve">специфической терапии, а также появиться в результате проводимой антитромботической терапии. </w:t>
      </w:r>
      <w:r w:rsidRPr="00C731E3">
        <w:rPr>
          <w:rFonts w:eastAsia="Times New Roman"/>
          <w:szCs w:val="24"/>
          <w:lang w:eastAsia="ru-RU"/>
        </w:rPr>
        <w:t xml:space="preserve">Геморрагические </w:t>
      </w:r>
      <w:r>
        <w:rPr>
          <w:rFonts w:eastAsia="Times New Roman"/>
          <w:szCs w:val="24"/>
          <w:lang w:eastAsia="ru-RU"/>
        </w:rPr>
        <w:t xml:space="preserve">проявления могут встречаться на любом этапе диагностики и лечения у пациентов с любым гематологическим заболеванием. </w:t>
      </w:r>
      <w:r w:rsidRPr="0096696C">
        <w:rPr>
          <w:rFonts w:eastAsia="Times New Roman"/>
          <w:szCs w:val="24"/>
          <w:lang w:eastAsia="ru-RU"/>
        </w:rPr>
        <w:t xml:space="preserve">Для предотвращения </w:t>
      </w:r>
      <w:r>
        <w:rPr>
          <w:rFonts w:eastAsia="Times New Roman"/>
          <w:szCs w:val="24"/>
          <w:lang w:eastAsia="ru-RU"/>
        </w:rPr>
        <w:t>геморрагических нарушений</w:t>
      </w:r>
      <w:r w:rsidRPr="0096696C">
        <w:rPr>
          <w:rFonts w:eastAsia="Times New Roman"/>
          <w:szCs w:val="24"/>
          <w:lang w:eastAsia="ru-RU"/>
        </w:rPr>
        <w:t xml:space="preserve"> требуется </w:t>
      </w:r>
      <w:r>
        <w:rPr>
          <w:rFonts w:eastAsia="Times New Roman"/>
          <w:szCs w:val="24"/>
          <w:lang w:eastAsia="ru-RU"/>
        </w:rPr>
        <w:t xml:space="preserve">динамический лабораторный контроль </w:t>
      </w:r>
      <w:r w:rsidRPr="0096696C">
        <w:rPr>
          <w:rFonts w:eastAsia="Times New Roman"/>
          <w:szCs w:val="24"/>
          <w:lang w:eastAsia="ru-RU"/>
        </w:rPr>
        <w:t xml:space="preserve">за показателями </w:t>
      </w:r>
      <w:r>
        <w:rPr>
          <w:rFonts w:eastAsia="Times New Roman"/>
          <w:szCs w:val="24"/>
          <w:lang w:eastAsia="ru-RU"/>
        </w:rPr>
        <w:t xml:space="preserve">периферической </w:t>
      </w:r>
      <w:r w:rsidRPr="0096696C">
        <w:rPr>
          <w:rFonts w:eastAsia="Times New Roman"/>
          <w:szCs w:val="24"/>
          <w:lang w:eastAsia="ru-RU"/>
        </w:rPr>
        <w:t>крови и коагулограммы.</w:t>
      </w:r>
      <w:r w:rsidRPr="00D61164">
        <w:rPr>
          <w:rFonts w:eastAsia="Times New Roman"/>
          <w:szCs w:val="24"/>
          <w:lang w:eastAsia="ru-RU"/>
        </w:rPr>
        <w:t xml:space="preserve"> </w:t>
      </w:r>
      <w:r w:rsidRPr="00C731E3">
        <w:rPr>
          <w:rFonts w:eastAsia="Times New Roman"/>
          <w:szCs w:val="24"/>
          <w:lang w:eastAsia="ru-RU"/>
        </w:rPr>
        <w:t xml:space="preserve">Если появляются ранние признаки геморрагического синдрома или лабораторные </w:t>
      </w:r>
      <w:r>
        <w:rPr>
          <w:rFonts w:eastAsia="Times New Roman"/>
          <w:szCs w:val="24"/>
          <w:lang w:eastAsia="ru-RU"/>
        </w:rPr>
        <w:t>параметры</w:t>
      </w:r>
      <w:r w:rsidRPr="00C731E3">
        <w:rPr>
          <w:rFonts w:eastAsia="Times New Roman"/>
          <w:szCs w:val="24"/>
          <w:lang w:eastAsia="ru-RU"/>
        </w:rPr>
        <w:t xml:space="preserve"> указывают на выраженную гипокоагуляцию, </w:t>
      </w:r>
      <w:r>
        <w:rPr>
          <w:rFonts w:eastAsia="Times New Roman"/>
          <w:szCs w:val="24"/>
          <w:lang w:eastAsia="ru-RU"/>
        </w:rPr>
        <w:t>необходимо решить вопрос о прекращении антикоагулянтной терапии в случае ее проведения или снижении доз препаратов.</w:t>
      </w:r>
    </w:p>
    <w:p w14:paraId="66518E86" w14:textId="77777777" w:rsidR="003E0025" w:rsidRPr="00161BD9" w:rsidRDefault="003E0025" w:rsidP="003E0025">
      <w:pPr>
        <w:ind w:firstLine="567"/>
        <w:rPr>
          <w:rFonts w:eastAsia="Times New Roman"/>
          <w:b/>
          <w:szCs w:val="24"/>
          <w:lang w:eastAsia="ru-RU"/>
        </w:rPr>
      </w:pPr>
      <w:r w:rsidRPr="00161BD9">
        <w:rPr>
          <w:rFonts w:eastAsia="Times New Roman"/>
          <w:b/>
          <w:szCs w:val="24"/>
          <w:lang w:eastAsia="ru-RU"/>
        </w:rPr>
        <w:lastRenderedPageBreak/>
        <w:t>2. Клинические проявления.</w:t>
      </w:r>
    </w:p>
    <w:p w14:paraId="61D5991F" w14:textId="77777777" w:rsidR="003E0025" w:rsidRDefault="003E0025" w:rsidP="003E0025">
      <w:pPr>
        <w:pStyle w:val="a6"/>
        <w:ind w:left="0" w:firstLine="720"/>
        <w:rPr>
          <w:rFonts w:eastAsia="Times New Roman"/>
          <w:szCs w:val="24"/>
          <w:lang w:eastAsia="ru-RU"/>
        </w:rPr>
      </w:pPr>
      <w:r>
        <w:rPr>
          <w:rFonts w:eastAsia="Times New Roman"/>
          <w:szCs w:val="24"/>
          <w:lang w:eastAsia="ru-RU"/>
        </w:rPr>
        <w:t>Геморрагический синдром</w:t>
      </w:r>
      <w:r w:rsidRPr="0096696C">
        <w:rPr>
          <w:rFonts w:eastAsia="Times New Roman"/>
          <w:szCs w:val="24"/>
          <w:lang w:eastAsia="ru-RU"/>
        </w:rPr>
        <w:t xml:space="preserve"> </w:t>
      </w:r>
      <w:r>
        <w:rPr>
          <w:rFonts w:eastAsia="Times New Roman"/>
          <w:szCs w:val="24"/>
          <w:lang w:eastAsia="ru-RU"/>
        </w:rPr>
        <w:t xml:space="preserve">может </w:t>
      </w:r>
      <w:r w:rsidRPr="0096696C">
        <w:rPr>
          <w:rFonts w:eastAsia="Times New Roman"/>
          <w:szCs w:val="24"/>
          <w:lang w:eastAsia="ru-RU"/>
        </w:rPr>
        <w:t>проявля</w:t>
      </w:r>
      <w:r>
        <w:rPr>
          <w:rFonts w:eastAsia="Times New Roman"/>
          <w:szCs w:val="24"/>
          <w:lang w:eastAsia="ru-RU"/>
        </w:rPr>
        <w:t>ть</w:t>
      </w:r>
      <w:r w:rsidRPr="0096696C">
        <w:rPr>
          <w:rFonts w:eastAsia="Times New Roman"/>
          <w:szCs w:val="24"/>
          <w:lang w:eastAsia="ru-RU"/>
        </w:rPr>
        <w:t>ся в виде экхимозов и петехиальных высыпаний; носовых, десневых,</w:t>
      </w:r>
      <w:r>
        <w:rPr>
          <w:rFonts w:eastAsia="Times New Roman"/>
          <w:szCs w:val="24"/>
          <w:lang w:eastAsia="ru-RU"/>
        </w:rPr>
        <w:t xml:space="preserve"> луночковых,</w:t>
      </w:r>
      <w:r w:rsidRPr="0096696C">
        <w:rPr>
          <w:rFonts w:eastAsia="Times New Roman"/>
          <w:szCs w:val="24"/>
          <w:lang w:eastAsia="ru-RU"/>
        </w:rPr>
        <w:t xml:space="preserve"> геморроидальных, маточных и желудочно-кишечных кровотечений</w:t>
      </w:r>
      <w:r>
        <w:rPr>
          <w:rFonts w:eastAsia="Times New Roman"/>
          <w:szCs w:val="24"/>
          <w:lang w:eastAsia="ru-RU"/>
        </w:rPr>
        <w:t xml:space="preserve"> (ЖКК)</w:t>
      </w:r>
      <w:r w:rsidRPr="0096696C">
        <w:rPr>
          <w:rFonts w:eastAsia="Times New Roman"/>
          <w:szCs w:val="24"/>
          <w:lang w:eastAsia="ru-RU"/>
        </w:rPr>
        <w:t xml:space="preserve">; </w:t>
      </w:r>
      <w:r>
        <w:rPr>
          <w:rFonts w:eastAsia="Times New Roman"/>
          <w:szCs w:val="24"/>
          <w:lang w:eastAsia="ru-RU"/>
        </w:rPr>
        <w:t xml:space="preserve">гематурии или </w:t>
      </w:r>
      <w:r w:rsidRPr="0096696C">
        <w:rPr>
          <w:rFonts w:eastAsia="Times New Roman"/>
          <w:szCs w:val="24"/>
          <w:lang w:eastAsia="ru-RU"/>
        </w:rPr>
        <w:t xml:space="preserve">геморрагического цистита; </w:t>
      </w:r>
      <w:r>
        <w:rPr>
          <w:rFonts w:eastAsia="Times New Roman"/>
          <w:szCs w:val="24"/>
          <w:lang w:eastAsia="ru-RU"/>
        </w:rPr>
        <w:t xml:space="preserve">кровоизлияний в орбиту; </w:t>
      </w:r>
      <w:r w:rsidRPr="0096696C">
        <w:rPr>
          <w:rFonts w:eastAsia="Times New Roman"/>
          <w:szCs w:val="24"/>
          <w:lang w:eastAsia="ru-RU"/>
        </w:rPr>
        <w:t xml:space="preserve">внутримозговых гематом и </w:t>
      </w:r>
      <w:r>
        <w:rPr>
          <w:rFonts w:eastAsia="Times New Roman"/>
          <w:szCs w:val="24"/>
          <w:lang w:eastAsia="ru-RU"/>
        </w:rPr>
        <w:t>кровоизлияний в центральную нервную систему (ЦНС), забрюшинных гематом, гемартрозов, гематом мягких тканей и межмышечных гематом</w:t>
      </w:r>
      <w:r w:rsidRPr="0096696C">
        <w:rPr>
          <w:rFonts w:eastAsia="Times New Roman"/>
          <w:szCs w:val="24"/>
          <w:lang w:eastAsia="ru-RU"/>
        </w:rPr>
        <w:t xml:space="preserve">. </w:t>
      </w:r>
      <w:r>
        <w:rPr>
          <w:rFonts w:eastAsia="Times New Roman"/>
          <w:szCs w:val="24"/>
          <w:lang w:eastAsia="ru-RU"/>
        </w:rPr>
        <w:t xml:space="preserve">Геморрагический синдром может быть спонтанным или посттравматическим/провокационным (после травм, инвазивных вмешательств и др.). </w:t>
      </w:r>
      <w:r w:rsidRPr="0096696C">
        <w:rPr>
          <w:rFonts w:eastAsia="Times New Roman"/>
          <w:szCs w:val="24"/>
          <w:lang w:eastAsia="ru-RU"/>
        </w:rPr>
        <w:t xml:space="preserve">С целью ранней диагностики геморрагических осложнений необходимо ежедневно осматривать кожные покровы и слизистые больного, </w:t>
      </w:r>
      <w:r>
        <w:rPr>
          <w:rFonts w:eastAsia="Times New Roman"/>
          <w:szCs w:val="24"/>
          <w:lang w:eastAsia="ru-RU"/>
        </w:rPr>
        <w:t>активно выяснять, имею</w:t>
      </w:r>
      <w:r w:rsidRPr="0096696C">
        <w:rPr>
          <w:rFonts w:eastAsia="Times New Roman"/>
          <w:szCs w:val="24"/>
          <w:lang w:eastAsia="ru-RU"/>
        </w:rPr>
        <w:t>тся ли какие-либо проявления геморрагического синдрома.</w:t>
      </w:r>
    </w:p>
    <w:p w14:paraId="372E8A3C" w14:textId="77777777" w:rsidR="003E0025" w:rsidRPr="00161BD9" w:rsidRDefault="003E0025" w:rsidP="00CE6C1C">
      <w:pPr>
        <w:pStyle w:val="a6"/>
        <w:numPr>
          <w:ilvl w:val="0"/>
          <w:numId w:val="91"/>
        </w:numPr>
        <w:tabs>
          <w:tab w:val="left" w:pos="851"/>
        </w:tabs>
        <w:spacing w:before="0" w:after="200"/>
        <w:rPr>
          <w:rFonts w:eastAsia="Times New Roman"/>
          <w:b/>
          <w:szCs w:val="24"/>
          <w:lang w:eastAsia="ru-RU"/>
        </w:rPr>
      </w:pPr>
      <w:r w:rsidRPr="00161BD9">
        <w:rPr>
          <w:rFonts w:eastAsia="Times New Roman"/>
          <w:b/>
          <w:szCs w:val="24"/>
          <w:lang w:eastAsia="ru-RU"/>
        </w:rPr>
        <w:t>Лабораторная диагностика.</w:t>
      </w:r>
    </w:p>
    <w:p w14:paraId="0F79E1F6" w14:textId="77777777" w:rsidR="003E0025" w:rsidRDefault="003E0025" w:rsidP="003E0025">
      <w:pPr>
        <w:spacing w:after="0"/>
        <w:ind w:firstLine="709"/>
        <w:rPr>
          <w:szCs w:val="24"/>
        </w:rPr>
      </w:pPr>
      <w:r>
        <w:rPr>
          <w:szCs w:val="24"/>
        </w:rPr>
        <w:t>Для определения конкретного нарушения, вследствие которого появились геморрагические проявления</w:t>
      </w:r>
      <w:r w:rsidRPr="006E084C">
        <w:rPr>
          <w:szCs w:val="24"/>
        </w:rPr>
        <w:t>,</w:t>
      </w:r>
      <w:r>
        <w:rPr>
          <w:szCs w:val="24"/>
        </w:rPr>
        <w:t xml:space="preserve"> помимо тщательного сбора анамнеза и жалоб, а также оценки проводимой специфической терапии, в том числе химиотерапии (ХТ</w:t>
      </w:r>
      <w:r w:rsidRPr="006E084C">
        <w:rPr>
          <w:szCs w:val="24"/>
        </w:rPr>
        <w:t>),</w:t>
      </w:r>
      <w:r>
        <w:rPr>
          <w:szCs w:val="24"/>
        </w:rPr>
        <w:t xml:space="preserve">  </w:t>
      </w:r>
      <w:r w:rsidRPr="004308D7">
        <w:rPr>
          <w:szCs w:val="24"/>
        </w:rPr>
        <w:t>обязательно проведение поэтапного лабораторного исследования.</w:t>
      </w:r>
      <w:r>
        <w:rPr>
          <w:szCs w:val="24"/>
        </w:rPr>
        <w:t xml:space="preserve"> </w:t>
      </w:r>
    </w:p>
    <w:p w14:paraId="51DE5CC1" w14:textId="77777777" w:rsidR="003E0025" w:rsidRPr="009F1473" w:rsidRDefault="003E0025" w:rsidP="003E0025">
      <w:pPr>
        <w:spacing w:after="0"/>
        <w:ind w:firstLine="709"/>
        <w:rPr>
          <w:szCs w:val="24"/>
        </w:rPr>
      </w:pPr>
      <w:r w:rsidRPr="009F1473">
        <w:rPr>
          <w:szCs w:val="24"/>
        </w:rPr>
        <w:t xml:space="preserve">Необходимо проведение следующих исследований: </w:t>
      </w:r>
    </w:p>
    <w:p w14:paraId="5A992F67" w14:textId="77777777" w:rsidR="003E0025" w:rsidRPr="007F5229" w:rsidRDefault="003E0025" w:rsidP="003E0025">
      <w:pPr>
        <w:spacing w:after="0"/>
        <w:ind w:firstLine="709"/>
        <w:rPr>
          <w:szCs w:val="24"/>
        </w:rPr>
      </w:pPr>
      <w:r>
        <w:t>1)</w:t>
      </w:r>
      <w:r w:rsidRPr="00227F8D">
        <w:t xml:space="preserve"> </w:t>
      </w:r>
      <w:r>
        <w:rPr>
          <w:szCs w:val="24"/>
        </w:rPr>
        <w:t>И</w:t>
      </w:r>
      <w:r w:rsidRPr="009336FC">
        <w:rPr>
          <w:szCs w:val="24"/>
        </w:rPr>
        <w:t xml:space="preserve">сследование периферической крови с подсчетом количества эритроцитов, гемоглобина и гематокрита, тромбоцитов (с подсчетом </w:t>
      </w:r>
      <w:r>
        <w:rPr>
          <w:szCs w:val="24"/>
        </w:rPr>
        <w:t xml:space="preserve">в мазке </w:t>
      </w:r>
      <w:r w:rsidRPr="009336FC">
        <w:rPr>
          <w:szCs w:val="24"/>
        </w:rPr>
        <w:t xml:space="preserve">по Фонио), лейкоцитов, лейкоцитарной формулы – </w:t>
      </w:r>
      <w:r>
        <w:rPr>
          <w:szCs w:val="24"/>
        </w:rPr>
        <w:t xml:space="preserve">обязательно </w:t>
      </w:r>
      <w:r w:rsidRPr="009336FC">
        <w:rPr>
          <w:szCs w:val="24"/>
        </w:rPr>
        <w:t xml:space="preserve">при диагностике, далее </w:t>
      </w:r>
      <w:r>
        <w:rPr>
          <w:szCs w:val="24"/>
        </w:rPr>
        <w:t xml:space="preserve">- </w:t>
      </w:r>
      <w:r w:rsidRPr="009336FC">
        <w:rPr>
          <w:szCs w:val="24"/>
        </w:rPr>
        <w:t xml:space="preserve">по показаниям с целью оценки динамики гематологических показателей и для контроля эффективности  </w:t>
      </w:r>
      <w:r>
        <w:rPr>
          <w:szCs w:val="24"/>
        </w:rPr>
        <w:t>лечения</w:t>
      </w:r>
      <w:r>
        <w:t xml:space="preserve">. </w:t>
      </w:r>
      <w:r w:rsidRPr="007F5229">
        <w:rPr>
          <w:szCs w:val="24"/>
        </w:rPr>
        <w:t>При снижении количества тромбоцитов ≤ 20х10</w:t>
      </w:r>
      <w:r w:rsidRPr="007F5229">
        <w:rPr>
          <w:szCs w:val="24"/>
          <w:vertAlign w:val="superscript"/>
        </w:rPr>
        <w:t>9</w:t>
      </w:r>
      <w:r w:rsidRPr="007F5229">
        <w:rPr>
          <w:szCs w:val="24"/>
        </w:rPr>
        <w:t xml:space="preserve"> мкл</w:t>
      </w:r>
      <w:r>
        <w:rPr>
          <w:szCs w:val="24"/>
        </w:rPr>
        <w:t xml:space="preserve"> геморрагические осложнения высоковероятны. Однако</w:t>
      </w:r>
      <w:r w:rsidRPr="006E084C">
        <w:rPr>
          <w:szCs w:val="24"/>
        </w:rPr>
        <w:t xml:space="preserve"> </w:t>
      </w:r>
      <w:r>
        <w:rPr>
          <w:szCs w:val="24"/>
        </w:rPr>
        <w:t>не всегда тяжесть геморрагических проявлений прямо коррелирует со степенью тромбоцитопении.</w:t>
      </w:r>
    </w:p>
    <w:p w14:paraId="41BC73B6" w14:textId="77777777" w:rsidR="003E0025" w:rsidRPr="00227F8D" w:rsidRDefault="003E0025" w:rsidP="003E0025">
      <w:pPr>
        <w:ind w:firstLine="567"/>
        <w:rPr>
          <w:szCs w:val="24"/>
        </w:rPr>
      </w:pPr>
      <w:r>
        <w:rPr>
          <w:szCs w:val="24"/>
        </w:rPr>
        <w:t>2) К</w:t>
      </w:r>
      <w:r w:rsidRPr="00227F8D">
        <w:rPr>
          <w:szCs w:val="24"/>
        </w:rPr>
        <w:t>оагулограмма с определением следующих показателей</w:t>
      </w:r>
      <w:r>
        <w:rPr>
          <w:szCs w:val="24"/>
        </w:rPr>
        <w:t>:</w:t>
      </w:r>
    </w:p>
    <w:p w14:paraId="75AFD92B" w14:textId="77777777" w:rsidR="003E0025" w:rsidRPr="00227F8D" w:rsidRDefault="003E0025" w:rsidP="00CE6C1C">
      <w:pPr>
        <w:pStyle w:val="a6"/>
        <w:widowControl w:val="0"/>
        <w:numPr>
          <w:ilvl w:val="0"/>
          <w:numId w:val="89"/>
        </w:numPr>
        <w:autoSpaceDE w:val="0"/>
        <w:autoSpaceDN w:val="0"/>
        <w:adjustRightInd w:val="0"/>
        <w:spacing w:before="0" w:after="0"/>
        <w:ind w:left="567" w:hanging="567"/>
        <w:rPr>
          <w:szCs w:val="24"/>
        </w:rPr>
      </w:pPr>
      <w:r w:rsidRPr="00227F8D">
        <w:rPr>
          <w:szCs w:val="24"/>
        </w:rPr>
        <w:t>активированное частичное тромбопластиновое время (АЧТВ);</w:t>
      </w:r>
    </w:p>
    <w:p w14:paraId="762B2E78" w14:textId="77777777" w:rsidR="003E0025" w:rsidRPr="00227F8D" w:rsidRDefault="003E0025" w:rsidP="00CE6C1C">
      <w:pPr>
        <w:pStyle w:val="a6"/>
        <w:widowControl w:val="0"/>
        <w:numPr>
          <w:ilvl w:val="0"/>
          <w:numId w:val="89"/>
        </w:numPr>
        <w:autoSpaceDE w:val="0"/>
        <w:autoSpaceDN w:val="0"/>
        <w:adjustRightInd w:val="0"/>
        <w:spacing w:before="0" w:after="0"/>
        <w:ind w:left="567" w:hanging="567"/>
        <w:rPr>
          <w:szCs w:val="24"/>
        </w:rPr>
      </w:pPr>
      <w:r w:rsidRPr="00227F8D">
        <w:rPr>
          <w:szCs w:val="24"/>
        </w:rPr>
        <w:t>тромбиновое время</w:t>
      </w:r>
      <w:r>
        <w:rPr>
          <w:szCs w:val="24"/>
        </w:rPr>
        <w:t xml:space="preserve"> (ТВ)</w:t>
      </w:r>
      <w:r w:rsidRPr="00227F8D">
        <w:rPr>
          <w:szCs w:val="24"/>
        </w:rPr>
        <w:t>;</w:t>
      </w:r>
    </w:p>
    <w:p w14:paraId="71A2A85A" w14:textId="77777777" w:rsidR="003E0025" w:rsidRPr="00227F8D" w:rsidRDefault="003E0025" w:rsidP="00CE6C1C">
      <w:pPr>
        <w:pStyle w:val="a6"/>
        <w:widowControl w:val="0"/>
        <w:numPr>
          <w:ilvl w:val="0"/>
          <w:numId w:val="89"/>
        </w:numPr>
        <w:autoSpaceDE w:val="0"/>
        <w:autoSpaceDN w:val="0"/>
        <w:adjustRightInd w:val="0"/>
        <w:spacing w:before="0" w:after="0"/>
        <w:ind w:left="567" w:hanging="567"/>
        <w:rPr>
          <w:szCs w:val="24"/>
        </w:rPr>
      </w:pPr>
      <w:r>
        <w:rPr>
          <w:szCs w:val="24"/>
        </w:rPr>
        <w:t>протромбин по Квику</w:t>
      </w:r>
      <w:r w:rsidRPr="00227F8D">
        <w:rPr>
          <w:szCs w:val="24"/>
        </w:rPr>
        <w:t xml:space="preserve"> </w:t>
      </w:r>
      <w:r>
        <w:rPr>
          <w:szCs w:val="24"/>
        </w:rPr>
        <w:t>(международное нормализованное отношение - МНО</w:t>
      </w:r>
      <w:r w:rsidRPr="00227F8D">
        <w:rPr>
          <w:szCs w:val="24"/>
        </w:rPr>
        <w:t>);</w:t>
      </w:r>
    </w:p>
    <w:p w14:paraId="08218128" w14:textId="77777777" w:rsidR="003E0025" w:rsidRDefault="003E0025" w:rsidP="00CE6C1C">
      <w:pPr>
        <w:pStyle w:val="a6"/>
        <w:widowControl w:val="0"/>
        <w:numPr>
          <w:ilvl w:val="0"/>
          <w:numId w:val="89"/>
        </w:numPr>
        <w:autoSpaceDE w:val="0"/>
        <w:autoSpaceDN w:val="0"/>
        <w:adjustRightInd w:val="0"/>
        <w:spacing w:before="0" w:after="0"/>
        <w:ind w:left="567" w:hanging="567"/>
        <w:rPr>
          <w:szCs w:val="24"/>
        </w:rPr>
      </w:pPr>
      <w:r w:rsidRPr="00227F8D">
        <w:rPr>
          <w:szCs w:val="24"/>
        </w:rPr>
        <w:t>плазменная концентрация фибриногена;</w:t>
      </w:r>
    </w:p>
    <w:p w14:paraId="086483C5" w14:textId="77777777" w:rsidR="003E0025" w:rsidRPr="004C0C25" w:rsidRDefault="003E0025" w:rsidP="00CE6C1C">
      <w:pPr>
        <w:pStyle w:val="a6"/>
        <w:widowControl w:val="0"/>
        <w:numPr>
          <w:ilvl w:val="0"/>
          <w:numId w:val="89"/>
        </w:numPr>
        <w:autoSpaceDE w:val="0"/>
        <w:autoSpaceDN w:val="0"/>
        <w:adjustRightInd w:val="0"/>
        <w:spacing w:before="0" w:after="0"/>
        <w:ind w:left="567" w:hanging="567"/>
        <w:rPr>
          <w:szCs w:val="24"/>
        </w:rPr>
      </w:pPr>
      <w:r>
        <w:rPr>
          <w:szCs w:val="24"/>
        </w:rPr>
        <w:t>активность фактора Виллебранда (</w:t>
      </w:r>
      <w:r>
        <w:rPr>
          <w:szCs w:val="24"/>
          <w:lang w:val="en-US"/>
        </w:rPr>
        <w:t>vWF</w:t>
      </w:r>
      <w:r>
        <w:rPr>
          <w:szCs w:val="24"/>
        </w:rPr>
        <w:t xml:space="preserve">) и антигена  </w:t>
      </w:r>
      <w:r>
        <w:rPr>
          <w:szCs w:val="24"/>
          <w:lang w:val="en-US"/>
        </w:rPr>
        <w:t>vWF</w:t>
      </w:r>
      <w:r w:rsidRPr="00C800B3">
        <w:rPr>
          <w:szCs w:val="24"/>
        </w:rPr>
        <w:t xml:space="preserve"> (</w:t>
      </w:r>
      <w:r>
        <w:rPr>
          <w:szCs w:val="24"/>
          <w:lang w:val="en-US"/>
        </w:rPr>
        <w:t>ag</w:t>
      </w:r>
      <w:r w:rsidRPr="004C0C25">
        <w:rPr>
          <w:szCs w:val="24"/>
        </w:rPr>
        <w:t>-</w:t>
      </w:r>
      <w:r w:rsidRPr="004C0C25">
        <w:rPr>
          <w:szCs w:val="24"/>
          <w:lang w:val="en-US"/>
        </w:rPr>
        <w:t>vWF</w:t>
      </w:r>
      <w:r w:rsidRPr="004C0C25">
        <w:rPr>
          <w:szCs w:val="24"/>
        </w:rPr>
        <w:t>) – по показаниям;</w:t>
      </w:r>
    </w:p>
    <w:p w14:paraId="131FE4CD" w14:textId="77777777" w:rsidR="003E0025" w:rsidRPr="004C0C25" w:rsidRDefault="003E0025" w:rsidP="00CE6C1C">
      <w:pPr>
        <w:pStyle w:val="a6"/>
        <w:widowControl w:val="0"/>
        <w:numPr>
          <w:ilvl w:val="0"/>
          <w:numId w:val="89"/>
        </w:numPr>
        <w:autoSpaceDE w:val="0"/>
        <w:autoSpaceDN w:val="0"/>
        <w:adjustRightInd w:val="0"/>
        <w:spacing w:before="0" w:after="0"/>
        <w:ind w:left="567" w:hanging="567"/>
        <w:rPr>
          <w:szCs w:val="24"/>
        </w:rPr>
      </w:pPr>
      <w:r w:rsidRPr="004C0C25">
        <w:rPr>
          <w:szCs w:val="24"/>
        </w:rPr>
        <w:t xml:space="preserve">плазменная концентрация антитромбина III (АТ </w:t>
      </w:r>
      <w:r w:rsidRPr="004C0C25">
        <w:rPr>
          <w:szCs w:val="24"/>
          <w:lang w:val="en-US"/>
        </w:rPr>
        <w:t>III</w:t>
      </w:r>
      <w:r w:rsidRPr="004C0C25">
        <w:rPr>
          <w:szCs w:val="24"/>
        </w:rPr>
        <w:t>) – по показаниям;</w:t>
      </w:r>
    </w:p>
    <w:p w14:paraId="499943D8" w14:textId="77777777" w:rsidR="003E0025" w:rsidRPr="004C0C25" w:rsidRDefault="003E0025" w:rsidP="00CE6C1C">
      <w:pPr>
        <w:pStyle w:val="a6"/>
        <w:widowControl w:val="0"/>
        <w:numPr>
          <w:ilvl w:val="0"/>
          <w:numId w:val="89"/>
        </w:numPr>
        <w:autoSpaceDE w:val="0"/>
        <w:autoSpaceDN w:val="0"/>
        <w:adjustRightInd w:val="0"/>
        <w:spacing w:before="0" w:after="0"/>
        <w:ind w:left="567" w:hanging="567"/>
        <w:rPr>
          <w:szCs w:val="24"/>
        </w:rPr>
      </w:pPr>
      <w:r w:rsidRPr="004C0C25">
        <w:rPr>
          <w:szCs w:val="24"/>
        </w:rPr>
        <w:t xml:space="preserve">агрегация тромбоцитов, индуцированная АДФ, адреналином, ристомицином, </w:t>
      </w:r>
      <w:r w:rsidRPr="004C0C25">
        <w:rPr>
          <w:szCs w:val="24"/>
        </w:rPr>
        <w:lastRenderedPageBreak/>
        <w:t>коллагеном, арахидоновой кислотой – по показаниям;</w:t>
      </w:r>
    </w:p>
    <w:p w14:paraId="17CC983A" w14:textId="77777777" w:rsidR="003E0025" w:rsidRPr="004C0C25" w:rsidRDefault="003E0025" w:rsidP="00CE6C1C">
      <w:pPr>
        <w:pStyle w:val="a6"/>
        <w:widowControl w:val="0"/>
        <w:numPr>
          <w:ilvl w:val="0"/>
          <w:numId w:val="89"/>
        </w:numPr>
        <w:autoSpaceDE w:val="0"/>
        <w:autoSpaceDN w:val="0"/>
        <w:adjustRightInd w:val="0"/>
        <w:spacing w:before="0" w:after="0"/>
        <w:ind w:left="567" w:hanging="567"/>
        <w:rPr>
          <w:szCs w:val="24"/>
        </w:rPr>
      </w:pPr>
      <w:r w:rsidRPr="004C0C25">
        <w:rPr>
          <w:szCs w:val="24"/>
        </w:rPr>
        <w:t xml:space="preserve">активность факторов свертывания крови </w:t>
      </w:r>
      <w:r w:rsidRPr="004C0C25">
        <w:rPr>
          <w:szCs w:val="24"/>
          <w:lang w:val="en-US"/>
        </w:rPr>
        <w:t>II</w:t>
      </w:r>
      <w:r w:rsidRPr="004C0C25">
        <w:rPr>
          <w:szCs w:val="24"/>
        </w:rPr>
        <w:t xml:space="preserve">, </w:t>
      </w:r>
      <w:r w:rsidRPr="004C0C25">
        <w:rPr>
          <w:szCs w:val="24"/>
          <w:lang w:val="en-US"/>
        </w:rPr>
        <w:t>V</w:t>
      </w:r>
      <w:r w:rsidRPr="004C0C25">
        <w:rPr>
          <w:szCs w:val="24"/>
        </w:rPr>
        <w:t xml:space="preserve">, </w:t>
      </w:r>
      <w:r w:rsidRPr="004C0C25">
        <w:rPr>
          <w:szCs w:val="24"/>
          <w:lang w:val="en-US"/>
        </w:rPr>
        <w:t>VII</w:t>
      </w:r>
      <w:r w:rsidRPr="004C0C25">
        <w:rPr>
          <w:szCs w:val="24"/>
        </w:rPr>
        <w:t xml:space="preserve">, </w:t>
      </w:r>
      <w:r w:rsidRPr="004C0C25">
        <w:rPr>
          <w:szCs w:val="24"/>
          <w:lang w:val="en-US"/>
        </w:rPr>
        <w:t>VIII</w:t>
      </w:r>
      <w:r w:rsidRPr="004C0C25">
        <w:rPr>
          <w:szCs w:val="24"/>
        </w:rPr>
        <w:t xml:space="preserve">, </w:t>
      </w:r>
      <w:r w:rsidRPr="004C0C25">
        <w:rPr>
          <w:szCs w:val="24"/>
          <w:lang w:val="en-US"/>
        </w:rPr>
        <w:t>IX</w:t>
      </w:r>
      <w:r w:rsidRPr="004C0C25">
        <w:rPr>
          <w:szCs w:val="24"/>
        </w:rPr>
        <w:t xml:space="preserve">, </w:t>
      </w:r>
      <w:r w:rsidRPr="004C0C25">
        <w:rPr>
          <w:szCs w:val="24"/>
          <w:lang w:val="en-US"/>
        </w:rPr>
        <w:t>X</w:t>
      </w:r>
      <w:r w:rsidRPr="004C0C25">
        <w:rPr>
          <w:szCs w:val="24"/>
        </w:rPr>
        <w:t xml:space="preserve">, </w:t>
      </w:r>
      <w:r w:rsidRPr="004C0C25">
        <w:rPr>
          <w:szCs w:val="24"/>
          <w:lang w:val="en-US"/>
        </w:rPr>
        <w:t>XI</w:t>
      </w:r>
      <w:r w:rsidRPr="004C0C25">
        <w:rPr>
          <w:szCs w:val="24"/>
        </w:rPr>
        <w:t xml:space="preserve">, </w:t>
      </w:r>
      <w:r w:rsidRPr="004C0C25">
        <w:rPr>
          <w:szCs w:val="24"/>
          <w:lang w:val="en-US"/>
        </w:rPr>
        <w:t>XII</w:t>
      </w:r>
      <w:r w:rsidRPr="004C0C25">
        <w:rPr>
          <w:szCs w:val="24"/>
        </w:rPr>
        <w:t xml:space="preserve">, </w:t>
      </w:r>
      <w:r w:rsidRPr="004C0C25">
        <w:rPr>
          <w:szCs w:val="24"/>
          <w:lang w:val="en-US"/>
        </w:rPr>
        <w:t>XIII</w:t>
      </w:r>
      <w:r w:rsidRPr="004C0C25">
        <w:rPr>
          <w:szCs w:val="24"/>
        </w:rPr>
        <w:t xml:space="preserve"> – по показаниям;</w:t>
      </w:r>
    </w:p>
    <w:p w14:paraId="1EF8ABFC" w14:textId="77777777" w:rsidR="003E0025" w:rsidRPr="004C0C25" w:rsidRDefault="003E0025" w:rsidP="00CE6C1C">
      <w:pPr>
        <w:pStyle w:val="a6"/>
        <w:widowControl w:val="0"/>
        <w:numPr>
          <w:ilvl w:val="0"/>
          <w:numId w:val="89"/>
        </w:numPr>
        <w:autoSpaceDE w:val="0"/>
        <w:autoSpaceDN w:val="0"/>
        <w:adjustRightInd w:val="0"/>
        <w:spacing w:before="0" w:after="0"/>
        <w:ind w:left="567" w:hanging="567"/>
        <w:rPr>
          <w:szCs w:val="24"/>
        </w:rPr>
      </w:pPr>
      <w:r w:rsidRPr="004C0C25">
        <w:rPr>
          <w:szCs w:val="24"/>
        </w:rPr>
        <w:t>XIIa-зависимый фибринолиз.</w:t>
      </w:r>
    </w:p>
    <w:p w14:paraId="44EA9DE4" w14:textId="505C5B02" w:rsidR="003E0025" w:rsidRPr="006B7A7D" w:rsidRDefault="003E0025" w:rsidP="003E0025">
      <w:pPr>
        <w:widowControl w:val="0"/>
        <w:autoSpaceDE w:val="0"/>
        <w:autoSpaceDN w:val="0"/>
        <w:adjustRightInd w:val="0"/>
        <w:spacing w:after="0"/>
        <w:ind w:firstLine="567"/>
        <w:rPr>
          <w:szCs w:val="24"/>
        </w:rPr>
      </w:pPr>
      <w:r w:rsidRPr="00227F8D">
        <w:rPr>
          <w:szCs w:val="24"/>
        </w:rPr>
        <w:t>Для исследования показателей гемостаза забор крови производят строго натощак, с помощью вакуумных пробирок. Забор крови из катетеров запрещен. Кровь набирают в пробирки, содержащие 3,2% цитрат натрия в соотношении 1:9. Исследование</w:t>
      </w:r>
      <w:r>
        <w:rPr>
          <w:szCs w:val="24"/>
        </w:rPr>
        <w:t xml:space="preserve"> должно </w:t>
      </w:r>
      <w:r w:rsidRPr="00227F8D">
        <w:rPr>
          <w:szCs w:val="24"/>
        </w:rPr>
        <w:t>проводит</w:t>
      </w:r>
      <w:r>
        <w:rPr>
          <w:szCs w:val="24"/>
        </w:rPr>
        <w:t>ь</w:t>
      </w:r>
      <w:r w:rsidRPr="00227F8D">
        <w:rPr>
          <w:szCs w:val="24"/>
        </w:rPr>
        <w:t xml:space="preserve">ся </w:t>
      </w:r>
      <w:r w:rsidRPr="006E084C">
        <w:rPr>
          <w:szCs w:val="24"/>
        </w:rPr>
        <w:t>не позднее</w:t>
      </w:r>
      <w:r>
        <w:rPr>
          <w:szCs w:val="24"/>
        </w:rPr>
        <w:t xml:space="preserve"> 2-х часов после забора крови. </w:t>
      </w:r>
      <w:r w:rsidRPr="00227F8D">
        <w:rPr>
          <w:szCs w:val="24"/>
        </w:rPr>
        <w:t>Достоверность результатов агрегабельности тромбоцитов можно оценить только при содержании в крови тромбоцитов ≥</w:t>
      </w:r>
      <w:r w:rsidRPr="00C15B82">
        <w:rPr>
          <w:szCs w:val="24"/>
        </w:rPr>
        <w:t xml:space="preserve"> </w:t>
      </w:r>
      <w:r w:rsidRPr="00227F8D">
        <w:rPr>
          <w:szCs w:val="24"/>
        </w:rPr>
        <w:t>100</w:t>
      </w:r>
      <w:r>
        <w:rPr>
          <w:szCs w:val="24"/>
        </w:rPr>
        <w:t>х10</w:t>
      </w:r>
      <w:r>
        <w:rPr>
          <w:szCs w:val="24"/>
          <w:vertAlign w:val="superscript"/>
        </w:rPr>
        <w:t>9</w:t>
      </w:r>
      <w:r>
        <w:rPr>
          <w:szCs w:val="24"/>
        </w:rPr>
        <w:t>/л</w:t>
      </w:r>
      <w:r w:rsidRPr="00227F8D">
        <w:rPr>
          <w:szCs w:val="24"/>
        </w:rPr>
        <w:t>.</w:t>
      </w:r>
    </w:p>
    <w:p w14:paraId="79D2EF38" w14:textId="77777777" w:rsidR="003E0025" w:rsidRPr="000E3106" w:rsidRDefault="003E0025" w:rsidP="003E0025">
      <w:pPr>
        <w:autoSpaceDE w:val="0"/>
        <w:autoSpaceDN w:val="0"/>
        <w:adjustRightInd w:val="0"/>
        <w:spacing w:after="0"/>
        <w:ind w:firstLine="709"/>
        <w:rPr>
          <w:szCs w:val="24"/>
        </w:rPr>
      </w:pPr>
      <w:r w:rsidRPr="00A44C0D">
        <w:rPr>
          <w:b/>
          <w:szCs w:val="24"/>
        </w:rPr>
        <w:t>4.</w:t>
      </w:r>
      <w:r w:rsidRPr="000E3106">
        <w:rPr>
          <w:rStyle w:val="ac"/>
          <w:rFonts w:eastAsia="Times New Roman"/>
          <w:szCs w:val="24"/>
        </w:rPr>
        <w:t xml:space="preserve"> Инструментальная диагностика. </w:t>
      </w:r>
    </w:p>
    <w:p w14:paraId="2C30330E" w14:textId="77777777" w:rsidR="003E0025" w:rsidRPr="000E3106" w:rsidRDefault="003E0025" w:rsidP="003E0025">
      <w:pPr>
        <w:pStyle w:val="af4"/>
        <w:spacing w:line="360" w:lineRule="auto"/>
        <w:ind w:firstLine="708"/>
        <w:contextualSpacing/>
        <w:rPr>
          <w:sz w:val="24"/>
          <w:szCs w:val="24"/>
        </w:rPr>
      </w:pPr>
      <w:r w:rsidRPr="000E3106">
        <w:rPr>
          <w:sz w:val="24"/>
          <w:szCs w:val="24"/>
        </w:rPr>
        <w:t xml:space="preserve">Рекомендуется всем пациентам с геморрагическими проявлениями на любом этапе обследования и лечения, наблюдения пациента и позволяет визуализировать кровотечения/кровоизлияния различных локализаций, а также </w:t>
      </w:r>
      <w:r>
        <w:rPr>
          <w:sz w:val="24"/>
          <w:szCs w:val="24"/>
        </w:rPr>
        <w:t>позволяет мониторировать проводимую терапию</w:t>
      </w:r>
      <w:r w:rsidRPr="000E3106">
        <w:rPr>
          <w:sz w:val="24"/>
          <w:szCs w:val="24"/>
        </w:rPr>
        <w:t xml:space="preserve"> геморрагического синдрома.</w:t>
      </w:r>
    </w:p>
    <w:p w14:paraId="50235D9A" w14:textId="6E401632" w:rsidR="003E0025" w:rsidRPr="000E3106" w:rsidRDefault="003E0025" w:rsidP="003E0025">
      <w:pPr>
        <w:pStyle w:val="af4"/>
        <w:spacing w:line="360" w:lineRule="auto"/>
        <w:ind w:firstLine="708"/>
        <w:contextualSpacing/>
        <w:rPr>
          <w:sz w:val="24"/>
          <w:szCs w:val="24"/>
        </w:rPr>
      </w:pPr>
      <w:r w:rsidRPr="000E3106">
        <w:rPr>
          <w:sz w:val="24"/>
          <w:szCs w:val="24"/>
        </w:rPr>
        <w:t>По показаниям проводится: эзофагогастродуоденоскопия</w:t>
      </w:r>
      <w:r>
        <w:rPr>
          <w:sz w:val="24"/>
          <w:szCs w:val="24"/>
        </w:rPr>
        <w:t xml:space="preserve"> </w:t>
      </w:r>
      <w:r w:rsidRPr="006E084C">
        <w:rPr>
          <w:iCs/>
          <w:sz w:val="24"/>
          <w:szCs w:val="24"/>
        </w:rPr>
        <w:t>(ЭГДС)</w:t>
      </w:r>
      <w:r w:rsidRPr="006E084C">
        <w:rPr>
          <w:sz w:val="24"/>
          <w:szCs w:val="24"/>
        </w:rPr>
        <w:t>;</w:t>
      </w:r>
      <w:r w:rsidR="001C0EE0">
        <w:rPr>
          <w:sz w:val="24"/>
          <w:szCs w:val="24"/>
        </w:rPr>
        <w:t xml:space="preserve"> </w:t>
      </w:r>
      <w:r>
        <w:rPr>
          <w:sz w:val="24"/>
          <w:szCs w:val="24"/>
        </w:rPr>
        <w:t>колоноскопия; бронхоскопия; видеокапсульная эндоскопия;</w:t>
      </w:r>
      <w:r w:rsidRPr="000E3106">
        <w:rPr>
          <w:sz w:val="24"/>
          <w:szCs w:val="24"/>
        </w:rPr>
        <w:t xml:space="preserve"> </w:t>
      </w:r>
      <w:r>
        <w:rPr>
          <w:sz w:val="24"/>
          <w:szCs w:val="24"/>
        </w:rPr>
        <w:t>ультразвуковое исследование (</w:t>
      </w:r>
      <w:r w:rsidRPr="000E3106">
        <w:rPr>
          <w:sz w:val="24"/>
          <w:szCs w:val="24"/>
        </w:rPr>
        <w:t>УЗИ</w:t>
      </w:r>
      <w:r>
        <w:rPr>
          <w:sz w:val="24"/>
          <w:szCs w:val="24"/>
        </w:rPr>
        <w:t>)</w:t>
      </w:r>
      <w:r w:rsidRPr="000E3106">
        <w:rPr>
          <w:sz w:val="24"/>
          <w:szCs w:val="24"/>
        </w:rPr>
        <w:t xml:space="preserve"> </w:t>
      </w:r>
      <w:r>
        <w:rPr>
          <w:sz w:val="24"/>
          <w:szCs w:val="24"/>
        </w:rPr>
        <w:t xml:space="preserve">органов брюшной полости, мочевыводящих путей, </w:t>
      </w:r>
      <w:r w:rsidRPr="000E3106">
        <w:rPr>
          <w:sz w:val="24"/>
          <w:szCs w:val="24"/>
        </w:rPr>
        <w:t xml:space="preserve">забрюшинного пространства, </w:t>
      </w:r>
      <w:r>
        <w:rPr>
          <w:sz w:val="24"/>
          <w:szCs w:val="24"/>
        </w:rPr>
        <w:t xml:space="preserve">органов </w:t>
      </w:r>
      <w:r w:rsidRPr="000E3106">
        <w:rPr>
          <w:sz w:val="24"/>
          <w:szCs w:val="24"/>
        </w:rPr>
        <w:t xml:space="preserve">малого таза, суставов </w:t>
      </w:r>
      <w:r>
        <w:rPr>
          <w:sz w:val="24"/>
          <w:szCs w:val="24"/>
        </w:rPr>
        <w:t>(</w:t>
      </w:r>
      <w:r w:rsidRPr="000E3106">
        <w:rPr>
          <w:sz w:val="24"/>
          <w:szCs w:val="24"/>
        </w:rPr>
        <w:t>при наличии гемартрозов</w:t>
      </w:r>
      <w:r>
        <w:rPr>
          <w:sz w:val="24"/>
          <w:szCs w:val="24"/>
        </w:rPr>
        <w:t>);</w:t>
      </w:r>
      <w:r w:rsidRPr="000E3106">
        <w:rPr>
          <w:sz w:val="24"/>
          <w:szCs w:val="24"/>
        </w:rPr>
        <w:t xml:space="preserve"> </w:t>
      </w:r>
      <w:r>
        <w:rPr>
          <w:sz w:val="24"/>
          <w:szCs w:val="24"/>
        </w:rPr>
        <w:t xml:space="preserve">рентгенологическое исследование органов грудной клетки, суставов; компьютерная томография (КТ) </w:t>
      </w:r>
      <w:r w:rsidRPr="000E3106">
        <w:rPr>
          <w:sz w:val="24"/>
          <w:szCs w:val="24"/>
        </w:rPr>
        <w:t>органов грудной клетки, головного мозга</w:t>
      </w:r>
      <w:r>
        <w:rPr>
          <w:sz w:val="24"/>
          <w:szCs w:val="24"/>
        </w:rPr>
        <w:t>, брюшной полости; магнитно-резонансная томография (МРТ) органов грудной клетки, головного мозга, органов брюшной полости и забрюшинного пространства, суставов, мягких тканей.</w:t>
      </w:r>
    </w:p>
    <w:p w14:paraId="77CABBA7" w14:textId="77777777" w:rsidR="003E0025" w:rsidRPr="00C7304C" w:rsidRDefault="003E0025" w:rsidP="00CE6C1C">
      <w:pPr>
        <w:pStyle w:val="a6"/>
        <w:numPr>
          <w:ilvl w:val="0"/>
          <w:numId w:val="90"/>
        </w:numPr>
        <w:spacing w:before="0" w:after="200"/>
        <w:rPr>
          <w:rFonts w:eastAsia="Times New Roman"/>
          <w:b/>
          <w:szCs w:val="24"/>
          <w:lang w:eastAsia="ru-RU"/>
        </w:rPr>
      </w:pPr>
      <w:r>
        <w:rPr>
          <w:rFonts w:eastAsia="Times New Roman"/>
          <w:b/>
          <w:szCs w:val="24"/>
          <w:lang w:eastAsia="ru-RU"/>
        </w:rPr>
        <w:t>Медикаментозная терапия</w:t>
      </w:r>
      <w:r w:rsidRPr="00C7304C">
        <w:rPr>
          <w:rFonts w:eastAsia="Times New Roman"/>
          <w:b/>
          <w:szCs w:val="24"/>
          <w:lang w:eastAsia="ru-RU"/>
        </w:rPr>
        <w:t>.</w:t>
      </w:r>
    </w:p>
    <w:p w14:paraId="378DE649" w14:textId="77777777" w:rsidR="003E0025" w:rsidRPr="005600F6" w:rsidRDefault="003E0025" w:rsidP="003E0025">
      <w:pPr>
        <w:ind w:firstLine="567"/>
        <w:rPr>
          <w:rFonts w:eastAsia="Times New Roman"/>
          <w:szCs w:val="24"/>
          <w:u w:val="single"/>
          <w:lang w:eastAsia="ru-RU"/>
        </w:rPr>
      </w:pPr>
      <w:r w:rsidRPr="005600F6">
        <w:rPr>
          <w:rFonts w:eastAsia="Times New Roman"/>
          <w:szCs w:val="24"/>
          <w:u w:val="single"/>
          <w:lang w:eastAsia="ru-RU"/>
        </w:rPr>
        <w:t>5.1. Геморрагические осложнения при проведении антикоагулянтной терапии</w:t>
      </w:r>
    </w:p>
    <w:p w14:paraId="59C858A8" w14:textId="77777777" w:rsidR="003E0025" w:rsidRPr="00C731E3" w:rsidRDefault="003E0025" w:rsidP="001C0EE0">
      <w:pPr>
        <w:spacing w:before="0" w:after="0"/>
        <w:ind w:firstLine="567"/>
        <w:rPr>
          <w:rFonts w:eastAsia="Times New Roman"/>
          <w:szCs w:val="24"/>
          <w:lang w:eastAsia="ru-RU"/>
        </w:rPr>
      </w:pPr>
      <w:r w:rsidRPr="00C731E3">
        <w:rPr>
          <w:rFonts w:eastAsia="Times New Roman"/>
          <w:szCs w:val="24"/>
          <w:lang w:eastAsia="ru-RU"/>
        </w:rPr>
        <w:t xml:space="preserve">Тяжелые </w:t>
      </w:r>
      <w:r w:rsidRPr="005600F6">
        <w:rPr>
          <w:rFonts w:eastAsia="Times New Roman"/>
          <w:szCs w:val="24"/>
          <w:lang w:eastAsia="ru-RU"/>
        </w:rPr>
        <w:t xml:space="preserve">геморрагические осложнения при проведении антикоагулянтной терапии </w:t>
      </w:r>
      <w:r w:rsidRPr="00C731E3">
        <w:rPr>
          <w:rFonts w:eastAsia="Times New Roman"/>
          <w:szCs w:val="24"/>
          <w:lang w:eastAsia="ru-RU"/>
        </w:rPr>
        <w:t>диктуют необходимость применения антидотов. При передозировке гепаринов в качестве антидота используют протамина сульфат: 1 мг его нейтрализует 80</w:t>
      </w:r>
      <w:r w:rsidRPr="00C731E3">
        <w:rPr>
          <w:i/>
          <w:szCs w:val="24"/>
        </w:rPr>
        <w:t>—</w:t>
      </w:r>
      <w:r>
        <w:rPr>
          <w:rFonts w:eastAsia="Times New Roman"/>
          <w:szCs w:val="24"/>
          <w:lang w:eastAsia="ru-RU"/>
        </w:rPr>
        <w:t>120 Е</w:t>
      </w:r>
      <w:r w:rsidRPr="00C731E3">
        <w:rPr>
          <w:rFonts w:eastAsia="Times New Roman"/>
          <w:szCs w:val="24"/>
          <w:lang w:eastAsia="ru-RU"/>
        </w:rPr>
        <w:t>д гепарина в крови. Действие препарата после в/в введения наступает мгновенно и продолжается в течение 2 ч. После в/в введения образуется комплекс протамин</w:t>
      </w:r>
      <w:r w:rsidRPr="00C731E3">
        <w:rPr>
          <w:i/>
          <w:szCs w:val="24"/>
        </w:rPr>
        <w:t>—</w:t>
      </w:r>
      <w:r w:rsidRPr="00C731E3">
        <w:rPr>
          <w:rFonts w:eastAsia="Times New Roman"/>
          <w:szCs w:val="24"/>
          <w:lang w:eastAsia="ru-RU"/>
        </w:rPr>
        <w:t xml:space="preserve">гепарин, который может разрушаться с высвобождением гепарина. При передозировке может снижаться свертываемость крови, поскольку сам протамина сульфат проявляет антикоагулянтную </w:t>
      </w:r>
      <w:r w:rsidRPr="00C731E3">
        <w:rPr>
          <w:rFonts w:eastAsia="Times New Roman"/>
          <w:szCs w:val="24"/>
          <w:lang w:eastAsia="ru-RU"/>
        </w:rPr>
        <w:lastRenderedPageBreak/>
        <w:t>активность. Если НФГ вводился в/в капельно, необходимо прекратить его инфузию и ввести 25</w:t>
      </w:r>
      <w:r w:rsidRPr="00C731E3">
        <w:rPr>
          <w:i/>
          <w:szCs w:val="24"/>
        </w:rPr>
        <w:t>—</w:t>
      </w:r>
      <w:r w:rsidRPr="00C731E3">
        <w:rPr>
          <w:rFonts w:eastAsia="Times New Roman"/>
          <w:szCs w:val="24"/>
          <w:lang w:eastAsia="ru-RU"/>
        </w:rPr>
        <w:t>30 мг протамина сульфата.</w:t>
      </w:r>
    </w:p>
    <w:p w14:paraId="75FE1293" w14:textId="77777777" w:rsidR="003E0025" w:rsidRDefault="003E0025" w:rsidP="001C0EE0">
      <w:pPr>
        <w:spacing w:before="0" w:after="0"/>
        <w:ind w:firstLine="567"/>
        <w:rPr>
          <w:rFonts w:eastAsia="Times New Roman"/>
          <w:szCs w:val="24"/>
          <w:lang w:eastAsia="ru-RU"/>
        </w:rPr>
      </w:pPr>
      <w:r w:rsidRPr="00C731E3">
        <w:rPr>
          <w:rFonts w:eastAsia="Times New Roman"/>
          <w:szCs w:val="24"/>
          <w:lang w:eastAsia="ru-RU"/>
        </w:rPr>
        <w:t>При передозировке варфарина и значительном увеличении МНО (больше 3,5</w:t>
      </w:r>
      <w:r w:rsidRPr="00C731E3">
        <w:rPr>
          <w:i/>
          <w:szCs w:val="24"/>
        </w:rPr>
        <w:t>—</w:t>
      </w:r>
      <w:r w:rsidRPr="00C731E3">
        <w:rPr>
          <w:rFonts w:eastAsia="Times New Roman"/>
          <w:szCs w:val="24"/>
          <w:lang w:eastAsia="ru-RU"/>
        </w:rPr>
        <w:t>4) без геморрагических проявлений корректируют дозу варфарина. Назначают препараты витамина К</w:t>
      </w:r>
      <w:r w:rsidRPr="00C731E3">
        <w:rPr>
          <w:rFonts w:eastAsia="Times New Roman"/>
          <w:szCs w:val="24"/>
          <w:vertAlign w:val="subscript"/>
          <w:lang w:eastAsia="ru-RU"/>
        </w:rPr>
        <w:t>1</w:t>
      </w:r>
      <w:r w:rsidRPr="00C731E3">
        <w:rPr>
          <w:rFonts w:eastAsia="Times New Roman"/>
          <w:szCs w:val="24"/>
          <w:lang w:eastAsia="ru-RU"/>
        </w:rPr>
        <w:t>.</w:t>
      </w:r>
      <w:r>
        <w:rPr>
          <w:rFonts w:eastAsia="Times New Roman"/>
          <w:szCs w:val="24"/>
          <w:lang w:eastAsia="ru-RU"/>
        </w:rPr>
        <w:t xml:space="preserve"> </w:t>
      </w:r>
      <w:r w:rsidRPr="00C731E3">
        <w:rPr>
          <w:rFonts w:eastAsia="Times New Roman"/>
          <w:szCs w:val="24"/>
          <w:lang w:eastAsia="ru-RU"/>
        </w:rPr>
        <w:t>Для купирования геморрагического синдрома при передозировке варфарина используют концентрат</w:t>
      </w:r>
      <w:r>
        <w:rPr>
          <w:rFonts w:eastAsia="Times New Roman"/>
          <w:szCs w:val="24"/>
          <w:lang w:eastAsia="ru-RU"/>
        </w:rPr>
        <w:t>ы</w:t>
      </w:r>
      <w:r w:rsidRPr="00C731E3">
        <w:rPr>
          <w:rFonts w:eastAsia="Times New Roman"/>
          <w:szCs w:val="24"/>
          <w:lang w:eastAsia="ru-RU"/>
        </w:rPr>
        <w:t xml:space="preserve"> факторов </w:t>
      </w:r>
      <w:r>
        <w:rPr>
          <w:rFonts w:eastAsia="Times New Roman"/>
          <w:szCs w:val="24"/>
          <w:lang w:eastAsia="ru-RU"/>
        </w:rPr>
        <w:t xml:space="preserve">протромбинового комплекса (концентрат </w:t>
      </w:r>
      <w:r>
        <w:rPr>
          <w:rFonts w:eastAsia="Times New Roman"/>
          <w:szCs w:val="24"/>
          <w:lang w:val="en-US" w:eastAsia="ru-RU"/>
        </w:rPr>
        <w:t>II</w:t>
      </w:r>
      <w:r w:rsidRPr="00084FAC">
        <w:rPr>
          <w:rFonts w:eastAsia="Times New Roman"/>
          <w:szCs w:val="24"/>
          <w:lang w:eastAsia="ru-RU"/>
        </w:rPr>
        <w:t>+</w:t>
      </w:r>
      <w:r>
        <w:rPr>
          <w:rFonts w:eastAsia="Times New Roman"/>
          <w:szCs w:val="24"/>
          <w:lang w:val="en-US" w:eastAsia="ru-RU"/>
        </w:rPr>
        <w:t>IX</w:t>
      </w:r>
      <w:r w:rsidRPr="00084FAC">
        <w:rPr>
          <w:rFonts w:eastAsia="Times New Roman"/>
          <w:szCs w:val="24"/>
          <w:lang w:eastAsia="ru-RU"/>
        </w:rPr>
        <w:t>+</w:t>
      </w:r>
      <w:r>
        <w:rPr>
          <w:rFonts w:eastAsia="Times New Roman"/>
          <w:szCs w:val="24"/>
          <w:lang w:val="en-US" w:eastAsia="ru-RU"/>
        </w:rPr>
        <w:t>X</w:t>
      </w:r>
      <w:r>
        <w:rPr>
          <w:rFonts w:eastAsia="Times New Roman"/>
          <w:szCs w:val="24"/>
          <w:lang w:eastAsia="ru-RU"/>
        </w:rPr>
        <w:t xml:space="preserve"> или концентрат </w:t>
      </w:r>
      <w:r>
        <w:rPr>
          <w:rFonts w:eastAsia="Times New Roman"/>
          <w:szCs w:val="24"/>
          <w:lang w:val="en-US" w:eastAsia="ru-RU"/>
        </w:rPr>
        <w:t>II</w:t>
      </w:r>
      <w:r w:rsidRPr="00084FAC">
        <w:rPr>
          <w:rFonts w:eastAsia="Times New Roman"/>
          <w:szCs w:val="24"/>
          <w:lang w:eastAsia="ru-RU"/>
        </w:rPr>
        <w:t>+</w:t>
      </w:r>
      <w:r>
        <w:rPr>
          <w:rFonts w:eastAsia="Times New Roman"/>
          <w:szCs w:val="24"/>
          <w:lang w:val="en-US" w:eastAsia="ru-RU"/>
        </w:rPr>
        <w:t>VIIa</w:t>
      </w:r>
      <w:r w:rsidRPr="00084FAC">
        <w:rPr>
          <w:rFonts w:eastAsia="Times New Roman"/>
          <w:szCs w:val="24"/>
          <w:lang w:eastAsia="ru-RU"/>
        </w:rPr>
        <w:t>+</w:t>
      </w:r>
      <w:r>
        <w:rPr>
          <w:rFonts w:eastAsia="Times New Roman"/>
          <w:szCs w:val="24"/>
          <w:lang w:val="en-US" w:eastAsia="ru-RU"/>
        </w:rPr>
        <w:t>IX</w:t>
      </w:r>
      <w:r w:rsidRPr="00084FAC">
        <w:rPr>
          <w:rFonts w:eastAsia="Times New Roman"/>
          <w:szCs w:val="24"/>
          <w:lang w:eastAsia="ru-RU"/>
        </w:rPr>
        <w:t>+</w:t>
      </w:r>
      <w:r>
        <w:rPr>
          <w:rFonts w:eastAsia="Times New Roman"/>
          <w:szCs w:val="24"/>
          <w:lang w:val="en-US" w:eastAsia="ru-RU"/>
        </w:rPr>
        <w:t>X</w:t>
      </w:r>
      <w:r w:rsidRPr="00084FAC">
        <w:rPr>
          <w:rFonts w:eastAsia="Times New Roman"/>
          <w:szCs w:val="24"/>
          <w:lang w:eastAsia="ru-RU"/>
        </w:rPr>
        <w:t>)</w:t>
      </w:r>
      <w:r>
        <w:rPr>
          <w:rFonts w:eastAsia="Times New Roman"/>
          <w:szCs w:val="24"/>
          <w:lang w:eastAsia="ru-RU"/>
        </w:rPr>
        <w:t>, которые</w:t>
      </w:r>
      <w:r w:rsidRPr="00C731E3">
        <w:rPr>
          <w:rFonts w:eastAsia="Times New Roman"/>
          <w:szCs w:val="24"/>
          <w:lang w:eastAsia="ru-RU"/>
        </w:rPr>
        <w:t xml:space="preserve"> вводят в/в в дозе </w:t>
      </w:r>
      <w:r>
        <w:rPr>
          <w:rFonts w:eastAsia="Times New Roman"/>
          <w:szCs w:val="24"/>
          <w:lang w:eastAsia="ru-RU"/>
        </w:rPr>
        <w:t>20-50 МЕ/кг массы тела пациента</w:t>
      </w:r>
      <w:r w:rsidRPr="00C731E3">
        <w:rPr>
          <w:rFonts w:eastAsia="Times New Roman"/>
          <w:szCs w:val="24"/>
          <w:lang w:eastAsia="ru-RU"/>
        </w:rPr>
        <w:t xml:space="preserve">. Альтернативой введения </w:t>
      </w:r>
      <w:r>
        <w:rPr>
          <w:rFonts w:eastAsia="Times New Roman"/>
          <w:szCs w:val="24"/>
          <w:lang w:eastAsia="ru-RU"/>
        </w:rPr>
        <w:t>концентратов факторов протромбинового комплекса</w:t>
      </w:r>
      <w:r w:rsidRPr="00C731E3">
        <w:rPr>
          <w:rFonts w:eastAsia="Times New Roman"/>
          <w:szCs w:val="24"/>
          <w:lang w:eastAsia="ru-RU"/>
        </w:rPr>
        <w:t xml:space="preserve"> является </w:t>
      </w:r>
      <w:r>
        <w:rPr>
          <w:rFonts w:eastAsia="Times New Roman"/>
          <w:szCs w:val="24"/>
          <w:lang w:eastAsia="ru-RU"/>
        </w:rPr>
        <w:t>свежезамороженная плазма (</w:t>
      </w:r>
      <w:r w:rsidRPr="00C731E3">
        <w:rPr>
          <w:rFonts w:eastAsia="Times New Roman"/>
          <w:szCs w:val="24"/>
          <w:lang w:eastAsia="ru-RU"/>
        </w:rPr>
        <w:t>СЗП</w:t>
      </w:r>
      <w:r>
        <w:rPr>
          <w:rFonts w:eastAsia="Times New Roman"/>
          <w:szCs w:val="24"/>
          <w:lang w:eastAsia="ru-RU"/>
        </w:rPr>
        <w:t>)</w:t>
      </w:r>
      <w:r w:rsidRPr="00C731E3">
        <w:rPr>
          <w:rFonts w:eastAsia="Times New Roman"/>
          <w:szCs w:val="24"/>
          <w:lang w:eastAsia="ru-RU"/>
        </w:rPr>
        <w:t xml:space="preserve"> в дозе 20</w:t>
      </w:r>
      <w:r w:rsidRPr="00C731E3">
        <w:rPr>
          <w:i/>
          <w:szCs w:val="24"/>
        </w:rPr>
        <w:t>—</w:t>
      </w:r>
      <w:r w:rsidRPr="00C731E3">
        <w:rPr>
          <w:rFonts w:eastAsia="Times New Roman"/>
          <w:szCs w:val="24"/>
          <w:lang w:eastAsia="ru-RU"/>
        </w:rPr>
        <w:t>25 мл</w:t>
      </w:r>
      <w:r>
        <w:rPr>
          <w:rFonts w:eastAsia="Times New Roman"/>
          <w:szCs w:val="24"/>
          <w:lang w:eastAsia="ru-RU"/>
        </w:rPr>
        <w:t>/</w:t>
      </w:r>
      <w:r w:rsidRPr="00C731E3">
        <w:rPr>
          <w:rFonts w:eastAsia="Times New Roman"/>
          <w:szCs w:val="24"/>
          <w:lang w:eastAsia="ru-RU"/>
        </w:rPr>
        <w:t>кг массы тела. При тяжелых кровотечениях СЗП можно вводить в дозе 30</w:t>
      </w:r>
      <w:r w:rsidRPr="00C731E3">
        <w:rPr>
          <w:i/>
          <w:szCs w:val="24"/>
        </w:rPr>
        <w:t>—</w:t>
      </w:r>
      <w:r w:rsidRPr="00C731E3">
        <w:rPr>
          <w:rFonts w:eastAsia="Times New Roman"/>
          <w:szCs w:val="24"/>
          <w:lang w:eastAsia="ru-RU"/>
        </w:rPr>
        <w:t xml:space="preserve">45 мл на кг массы тела. </w:t>
      </w:r>
      <w:r>
        <w:rPr>
          <w:rFonts w:eastAsia="Times New Roman"/>
          <w:szCs w:val="24"/>
          <w:lang w:eastAsia="ru-RU"/>
        </w:rPr>
        <w:t>Для купирования геморрагического синдрома в некоторых случаях и</w:t>
      </w:r>
      <w:r w:rsidRPr="00C731E3">
        <w:rPr>
          <w:rFonts w:eastAsia="Times New Roman"/>
          <w:szCs w:val="24"/>
          <w:lang w:eastAsia="ru-RU"/>
        </w:rPr>
        <w:t>спользуют также и эптаког альфа (активированный).</w:t>
      </w:r>
    </w:p>
    <w:p w14:paraId="2F1B80AC" w14:textId="77777777" w:rsidR="003E0025" w:rsidRDefault="003E0025" w:rsidP="001C0EE0">
      <w:pPr>
        <w:spacing w:before="0" w:after="0"/>
        <w:ind w:firstLine="567"/>
        <w:rPr>
          <w:rFonts w:eastAsia="Times New Roman"/>
          <w:szCs w:val="24"/>
          <w:lang w:eastAsia="ru-RU"/>
        </w:rPr>
      </w:pPr>
      <w:r>
        <w:rPr>
          <w:rFonts w:eastAsia="Times New Roman"/>
          <w:szCs w:val="24"/>
          <w:lang w:eastAsia="ru-RU"/>
        </w:rPr>
        <w:t xml:space="preserve">При передозировке прямых ингибиторов фактора свертывания крови </w:t>
      </w:r>
      <w:r>
        <w:rPr>
          <w:rFonts w:eastAsia="Times New Roman"/>
          <w:szCs w:val="24"/>
          <w:lang w:val="en-US" w:eastAsia="ru-RU"/>
        </w:rPr>
        <w:t>Xa</w:t>
      </w:r>
      <w:r>
        <w:rPr>
          <w:rFonts w:eastAsia="Times New Roman"/>
          <w:szCs w:val="24"/>
          <w:lang w:eastAsia="ru-RU"/>
        </w:rPr>
        <w:t xml:space="preserve"> (ривароксабан, апиксабан) используется андексанет альфа: 400 мг болюсно с продолжением в/в инфузии со скоростью 4 мг/мин в течение 2-х часов.</w:t>
      </w:r>
    </w:p>
    <w:p w14:paraId="4D241648" w14:textId="77777777" w:rsidR="003E0025" w:rsidRDefault="003E0025" w:rsidP="001C0EE0">
      <w:pPr>
        <w:spacing w:before="0" w:after="0"/>
        <w:ind w:firstLine="567"/>
        <w:rPr>
          <w:rFonts w:eastAsia="Times New Roman"/>
          <w:szCs w:val="24"/>
          <w:lang w:eastAsia="ru-RU"/>
        </w:rPr>
      </w:pPr>
      <w:r>
        <w:rPr>
          <w:rFonts w:eastAsia="Times New Roman"/>
          <w:szCs w:val="24"/>
          <w:lang w:eastAsia="ru-RU"/>
        </w:rPr>
        <w:t xml:space="preserve">Антидот дабигатрана этексилата – </w:t>
      </w:r>
      <w:r w:rsidRPr="009F787D">
        <w:rPr>
          <w:rFonts w:eastAsia="Times New Roman"/>
          <w:szCs w:val="24"/>
          <w:lang w:eastAsia="ru-RU"/>
        </w:rPr>
        <w:t>идаруцизумаб</w:t>
      </w:r>
      <w:r>
        <w:rPr>
          <w:rFonts w:eastAsia="Times New Roman"/>
          <w:szCs w:val="24"/>
          <w:lang w:eastAsia="ru-RU"/>
        </w:rPr>
        <w:t>: вводится по 2,5 мг в/в дважды с интервалом в 15 мин.</w:t>
      </w:r>
    </w:p>
    <w:p w14:paraId="7C77B327" w14:textId="77777777" w:rsidR="003E0025" w:rsidRPr="00C731E3" w:rsidRDefault="003E0025" w:rsidP="001C0EE0">
      <w:pPr>
        <w:spacing w:before="0" w:after="0"/>
        <w:ind w:firstLine="567"/>
        <w:rPr>
          <w:rFonts w:eastAsia="Times New Roman"/>
          <w:szCs w:val="24"/>
          <w:lang w:eastAsia="ru-RU"/>
        </w:rPr>
      </w:pPr>
      <w:r>
        <w:rPr>
          <w:rFonts w:eastAsia="Times New Roman"/>
          <w:szCs w:val="24"/>
          <w:lang w:eastAsia="ru-RU"/>
        </w:rPr>
        <w:t xml:space="preserve">Разработан универсальный антидот для всех ПОАК и гепаринов – </w:t>
      </w:r>
      <w:r w:rsidRPr="009F787D">
        <w:rPr>
          <w:rFonts w:eastAsia="Times New Roman"/>
          <w:szCs w:val="24"/>
          <w:lang w:eastAsia="ru-RU"/>
        </w:rPr>
        <w:t>цирапарантаг</w:t>
      </w:r>
      <w:r>
        <w:rPr>
          <w:rFonts w:eastAsia="Times New Roman"/>
          <w:szCs w:val="24"/>
          <w:lang w:eastAsia="ru-RU"/>
        </w:rPr>
        <w:t xml:space="preserve"> – вводится однократно 100,0 мг в/в.</w:t>
      </w:r>
    </w:p>
    <w:p w14:paraId="1720C7B2" w14:textId="77777777" w:rsidR="003E0025" w:rsidRDefault="003E0025" w:rsidP="001C0EE0">
      <w:pPr>
        <w:spacing w:before="0" w:after="0"/>
        <w:ind w:firstLine="567"/>
        <w:rPr>
          <w:rFonts w:eastAsia="Times New Roman"/>
          <w:szCs w:val="24"/>
          <w:lang w:eastAsia="ru-RU"/>
        </w:rPr>
      </w:pPr>
      <w:r w:rsidRPr="00C731E3">
        <w:rPr>
          <w:rFonts w:eastAsia="Times New Roman"/>
          <w:szCs w:val="24"/>
          <w:lang w:eastAsia="ru-RU"/>
        </w:rPr>
        <w:t xml:space="preserve">Решение о возможности применения или возобновления медикаментозной профилактики тромботических нарушений при цитостатической терапии должно приниматься на основании оценки соотношения ожидаемой пользы и возможного риска </w:t>
      </w:r>
      <w:r>
        <w:rPr>
          <w:rFonts w:eastAsia="Times New Roman"/>
          <w:szCs w:val="24"/>
          <w:lang w:eastAsia="ru-RU"/>
        </w:rPr>
        <w:t>у каждого конкретного больного.</w:t>
      </w:r>
    </w:p>
    <w:p w14:paraId="5F99BA20" w14:textId="0B0EC8E9" w:rsidR="003E0025" w:rsidRPr="001C0EE0" w:rsidRDefault="001C0EE0" w:rsidP="001C0EE0">
      <w:pPr>
        <w:spacing w:before="0" w:after="0"/>
        <w:ind w:firstLine="567"/>
        <w:rPr>
          <w:rFonts w:eastAsia="Times New Roman"/>
          <w:szCs w:val="24"/>
          <w:lang w:eastAsia="ru-RU"/>
        </w:rPr>
      </w:pPr>
      <w:r w:rsidRPr="001C0EE0">
        <w:rPr>
          <w:rFonts w:eastAsia="Times New Roman"/>
          <w:szCs w:val="24"/>
          <w:lang w:eastAsia="ru-RU"/>
        </w:rPr>
        <w:t xml:space="preserve">5.2 </w:t>
      </w:r>
      <w:r w:rsidR="003E0025" w:rsidRPr="001C0EE0">
        <w:rPr>
          <w:rFonts w:eastAsia="Times New Roman"/>
          <w:szCs w:val="24"/>
          <w:lang w:eastAsia="ru-RU"/>
        </w:rPr>
        <w:t>Геморрагический синдром у пациентов с гематологическими заболеваниями в экстренных ситуациях</w:t>
      </w:r>
    </w:p>
    <w:p w14:paraId="27863BE3" w14:textId="77777777" w:rsidR="003E0025" w:rsidRDefault="003E0025" w:rsidP="001C0EE0">
      <w:pPr>
        <w:spacing w:before="0" w:after="0"/>
        <w:ind w:firstLine="567"/>
        <w:rPr>
          <w:rFonts w:eastAsia="Times New Roman"/>
          <w:szCs w:val="24"/>
          <w:lang w:eastAsia="ru-RU"/>
        </w:rPr>
      </w:pPr>
      <w:r>
        <w:rPr>
          <w:rFonts w:eastAsia="Times New Roman"/>
          <w:szCs w:val="24"/>
          <w:lang w:eastAsia="ru-RU"/>
        </w:rPr>
        <w:t>В случае развития геморрагического синдрома у пациентов с гематологическими заболеваниями в экстренных ситуациях используются по показаниям:</w:t>
      </w:r>
    </w:p>
    <w:p w14:paraId="1ECC1DA8" w14:textId="5C658CD2" w:rsidR="003E0025" w:rsidRDefault="003E0025" w:rsidP="001C0EE0">
      <w:pPr>
        <w:spacing w:before="0" w:after="0"/>
        <w:rPr>
          <w:rFonts w:eastAsia="Times New Roman"/>
          <w:szCs w:val="24"/>
          <w:lang w:eastAsia="ru-RU"/>
        </w:rPr>
      </w:pPr>
      <w:r>
        <w:rPr>
          <w:rFonts w:eastAsia="Times New Roman"/>
          <w:szCs w:val="24"/>
          <w:lang w:eastAsia="ru-RU"/>
        </w:rPr>
        <w:tab/>
      </w:r>
      <w:r w:rsidR="001C0EE0">
        <w:rPr>
          <w:rFonts w:eastAsia="Times New Roman"/>
          <w:szCs w:val="24"/>
          <w:lang w:eastAsia="ru-RU"/>
        </w:rPr>
        <w:t>1</w:t>
      </w:r>
      <w:r>
        <w:rPr>
          <w:rFonts w:eastAsia="Times New Roman"/>
          <w:szCs w:val="24"/>
          <w:lang w:eastAsia="ru-RU"/>
        </w:rPr>
        <w:t>) Трансфузии компонентов крови (дозы и режимы введения зависят от ситуации):</w:t>
      </w:r>
    </w:p>
    <w:p w14:paraId="179A6BFB" w14:textId="77777777" w:rsidR="003E0025" w:rsidRDefault="003E0025" w:rsidP="001C0EE0">
      <w:pPr>
        <w:spacing w:before="0" w:after="0"/>
        <w:rPr>
          <w:rFonts w:eastAsia="Times New Roman"/>
          <w:szCs w:val="24"/>
          <w:lang w:eastAsia="ru-RU"/>
        </w:rPr>
      </w:pPr>
      <w:r>
        <w:rPr>
          <w:rFonts w:eastAsia="Times New Roman"/>
          <w:szCs w:val="24"/>
          <w:lang w:eastAsia="ru-RU"/>
        </w:rPr>
        <w:tab/>
        <w:t>- СЗП;</w:t>
      </w:r>
    </w:p>
    <w:p w14:paraId="1A2D4DA2" w14:textId="77777777" w:rsidR="003E0025" w:rsidRDefault="003E0025" w:rsidP="001C0EE0">
      <w:pPr>
        <w:spacing w:before="0" w:after="0"/>
        <w:rPr>
          <w:rFonts w:eastAsia="Times New Roman"/>
          <w:szCs w:val="24"/>
          <w:lang w:eastAsia="ru-RU"/>
        </w:rPr>
      </w:pPr>
      <w:r>
        <w:rPr>
          <w:rFonts w:eastAsia="Times New Roman"/>
          <w:szCs w:val="24"/>
          <w:lang w:eastAsia="ru-RU"/>
        </w:rPr>
        <w:tab/>
        <w:t>- криопреципитат;</w:t>
      </w:r>
    </w:p>
    <w:p w14:paraId="57080456" w14:textId="77777777" w:rsidR="003E0025" w:rsidRDefault="003E0025" w:rsidP="001C0EE0">
      <w:pPr>
        <w:spacing w:before="0" w:after="0"/>
        <w:rPr>
          <w:rFonts w:eastAsia="Times New Roman"/>
          <w:szCs w:val="24"/>
          <w:lang w:eastAsia="ru-RU"/>
        </w:rPr>
      </w:pPr>
      <w:r>
        <w:rPr>
          <w:rFonts w:eastAsia="Times New Roman"/>
          <w:szCs w:val="24"/>
          <w:lang w:eastAsia="ru-RU"/>
        </w:rPr>
        <w:tab/>
        <w:t>- концентрат нативной плазмы;</w:t>
      </w:r>
    </w:p>
    <w:p w14:paraId="699B31D4" w14:textId="77777777" w:rsidR="003E0025" w:rsidRDefault="003E0025" w:rsidP="001C0EE0">
      <w:pPr>
        <w:spacing w:before="0" w:after="0"/>
        <w:rPr>
          <w:rFonts w:eastAsia="Times New Roman"/>
          <w:szCs w:val="24"/>
          <w:lang w:eastAsia="ru-RU"/>
        </w:rPr>
      </w:pPr>
      <w:r>
        <w:rPr>
          <w:rFonts w:eastAsia="Times New Roman"/>
          <w:szCs w:val="24"/>
          <w:lang w:eastAsia="ru-RU"/>
        </w:rPr>
        <w:tab/>
        <w:t>- тромбоконцентрат.</w:t>
      </w:r>
    </w:p>
    <w:p w14:paraId="4BDE9AE4" w14:textId="098AB5D7" w:rsidR="003E0025" w:rsidRPr="00A070A3" w:rsidRDefault="001C0EE0" w:rsidP="001C0EE0">
      <w:pPr>
        <w:spacing w:before="0" w:after="0"/>
        <w:ind w:firstLine="567"/>
        <w:rPr>
          <w:rFonts w:eastAsia="Times New Roman"/>
          <w:szCs w:val="24"/>
          <w:lang w:eastAsia="ru-RU"/>
        </w:rPr>
      </w:pPr>
      <w:r>
        <w:rPr>
          <w:rFonts w:eastAsia="Times New Roman"/>
          <w:szCs w:val="24"/>
          <w:lang w:eastAsia="ru-RU"/>
        </w:rPr>
        <w:lastRenderedPageBreak/>
        <w:t>2</w:t>
      </w:r>
      <w:r w:rsidR="003E0025">
        <w:rPr>
          <w:rFonts w:eastAsia="Times New Roman"/>
          <w:szCs w:val="24"/>
          <w:lang w:eastAsia="ru-RU"/>
        </w:rPr>
        <w:t xml:space="preserve">) Антифибринолитические препараты: транексамовая кислота по 750 мг х 2-3 раза в сут </w:t>
      </w:r>
      <w:r w:rsidR="003E0025">
        <w:rPr>
          <w:rFonts w:eastAsia="Times New Roman"/>
          <w:szCs w:val="24"/>
          <w:lang w:val="en-US" w:eastAsia="ru-RU"/>
        </w:rPr>
        <w:t>per</w:t>
      </w:r>
      <w:r w:rsidR="003E0025" w:rsidRPr="00A070A3">
        <w:rPr>
          <w:rFonts w:eastAsia="Times New Roman"/>
          <w:szCs w:val="24"/>
          <w:lang w:eastAsia="ru-RU"/>
        </w:rPr>
        <w:t xml:space="preserve"> </w:t>
      </w:r>
      <w:r w:rsidR="003E0025">
        <w:rPr>
          <w:rFonts w:eastAsia="Times New Roman"/>
          <w:szCs w:val="24"/>
          <w:lang w:val="en-US" w:eastAsia="ru-RU"/>
        </w:rPr>
        <w:t>os</w:t>
      </w:r>
      <w:r w:rsidR="003E0025">
        <w:rPr>
          <w:rFonts w:eastAsia="Times New Roman"/>
          <w:szCs w:val="24"/>
          <w:lang w:eastAsia="ru-RU"/>
        </w:rPr>
        <w:t xml:space="preserve"> или 10-15 мг/кг массы тела пациента в/в каждые 8 часов до купирования кровотечения.</w:t>
      </w:r>
    </w:p>
    <w:p w14:paraId="4A8BB413" w14:textId="77777777" w:rsidR="003E0025" w:rsidRPr="00212350" w:rsidRDefault="003E0025" w:rsidP="001C0EE0">
      <w:pPr>
        <w:pStyle w:val="a4"/>
        <w:spacing w:before="0" w:beforeAutospacing="0" w:after="0" w:afterAutospacing="0" w:line="360" w:lineRule="auto"/>
        <w:jc w:val="both"/>
        <w:rPr>
          <w:rFonts w:eastAsia="Calibri"/>
          <w:b/>
          <w:i/>
        </w:rPr>
      </w:pPr>
      <w:r w:rsidRPr="00212350">
        <w:rPr>
          <w:b/>
          <w:i/>
        </w:rPr>
        <w:t>Список ли</w:t>
      </w:r>
      <w:r>
        <w:rPr>
          <w:rFonts w:eastAsia="Calibri"/>
          <w:b/>
          <w:i/>
        </w:rPr>
        <w:t>тературы</w:t>
      </w:r>
    </w:p>
    <w:p w14:paraId="6C8808CD" w14:textId="296EB580" w:rsidR="003E0025" w:rsidRPr="007A2960" w:rsidRDefault="003E0025" w:rsidP="001C0EE0">
      <w:pPr>
        <w:pStyle w:val="aff3"/>
        <w:spacing w:after="0" w:line="360" w:lineRule="auto"/>
        <w:ind w:left="567" w:hanging="567"/>
        <w:jc w:val="both"/>
        <w:rPr>
          <w:i w:val="0"/>
          <w:shd w:val="clear" w:color="auto" w:fill="FFFFFF"/>
          <w:lang w:val="ru-RU"/>
        </w:rPr>
      </w:pPr>
      <w:r w:rsidRPr="007A2960">
        <w:rPr>
          <w:i w:val="0"/>
          <w:lang w:val="ru-RU"/>
        </w:rPr>
        <w:t xml:space="preserve">1. Савченко В. Г. </w:t>
      </w:r>
      <w:r>
        <w:rPr>
          <w:i w:val="0"/>
          <w:lang w:val="ru-RU"/>
        </w:rPr>
        <w:t xml:space="preserve">и </w:t>
      </w:r>
      <w:r w:rsidRPr="007A2960">
        <w:rPr>
          <w:i w:val="0"/>
          <w:lang w:val="ru-RU"/>
        </w:rPr>
        <w:t xml:space="preserve">соавт. </w:t>
      </w:r>
      <w:r w:rsidRPr="007A2960">
        <w:rPr>
          <w:i w:val="0"/>
          <w:shd w:val="clear" w:color="auto" w:fill="FFFFFF"/>
          <w:lang w:val="ru-RU"/>
        </w:rPr>
        <w:t>Алгоритмы диагностики и протоколы лечения заболеваний системы крови. Том</w:t>
      </w:r>
      <w:r w:rsidRPr="007A2960">
        <w:rPr>
          <w:i w:val="0"/>
          <w:shd w:val="clear" w:color="auto" w:fill="FFFFFF"/>
        </w:rPr>
        <w:t> </w:t>
      </w:r>
      <w:r w:rsidRPr="007A2960">
        <w:rPr>
          <w:i w:val="0"/>
          <w:shd w:val="clear" w:color="auto" w:fill="FFFFFF"/>
          <w:lang w:val="ru-RU"/>
        </w:rPr>
        <w:t>1,</w:t>
      </w:r>
      <w:r w:rsidRPr="007A2960">
        <w:rPr>
          <w:i w:val="0"/>
          <w:shd w:val="clear" w:color="auto" w:fill="FFFFFF"/>
        </w:rPr>
        <w:t> </w:t>
      </w:r>
      <w:r w:rsidRPr="007A2960">
        <w:rPr>
          <w:i w:val="0"/>
          <w:shd w:val="clear" w:color="auto" w:fill="FFFFFF"/>
          <w:lang w:val="ru-RU"/>
        </w:rPr>
        <w:t>2. Издательский дом "Практика", Москва, 2018.</w:t>
      </w:r>
    </w:p>
    <w:p w14:paraId="39C6A0C0" w14:textId="1735B26A" w:rsidR="003E0025" w:rsidRPr="007A2960" w:rsidRDefault="003E0025" w:rsidP="001C0EE0">
      <w:pPr>
        <w:pStyle w:val="aff3"/>
        <w:spacing w:after="0" w:line="360" w:lineRule="auto"/>
        <w:ind w:left="567" w:hanging="567"/>
        <w:jc w:val="both"/>
        <w:rPr>
          <w:i w:val="0"/>
          <w:lang w:val="ru-RU"/>
        </w:rPr>
      </w:pPr>
      <w:r w:rsidRPr="007A2960">
        <w:rPr>
          <w:i w:val="0"/>
          <w:shd w:val="clear" w:color="auto" w:fill="FFFFFF"/>
          <w:lang w:val="ru-RU"/>
        </w:rPr>
        <w:t xml:space="preserve">2. </w:t>
      </w:r>
      <w:r w:rsidRPr="007A2960">
        <w:rPr>
          <w:i w:val="0"/>
          <w:lang w:val="ru-RU"/>
        </w:rPr>
        <w:t>Воробьев А. И. Руководство по гематологии в трех томах. Том</w:t>
      </w:r>
      <w:r w:rsidRPr="007A2960">
        <w:rPr>
          <w:i w:val="0"/>
        </w:rPr>
        <w:t> </w:t>
      </w:r>
      <w:r w:rsidRPr="007A2960">
        <w:rPr>
          <w:i w:val="0"/>
          <w:lang w:val="ru-RU"/>
        </w:rPr>
        <w:t>1-3.</w:t>
      </w:r>
      <w:r w:rsidRPr="007A2960">
        <w:rPr>
          <w:i w:val="0"/>
        </w:rPr>
        <w:t> </w:t>
      </w:r>
      <w:r w:rsidRPr="007A2960">
        <w:rPr>
          <w:i w:val="0"/>
          <w:lang w:val="ru-RU"/>
        </w:rPr>
        <w:t>— М.: Ньюдиамед,  2005.</w:t>
      </w:r>
    </w:p>
    <w:p w14:paraId="1411BE65" w14:textId="77777777" w:rsidR="003E0025" w:rsidRPr="008922C4" w:rsidRDefault="003E0025" w:rsidP="001C0EE0">
      <w:pPr>
        <w:pStyle w:val="aff3"/>
        <w:spacing w:after="0" w:line="360" w:lineRule="auto"/>
        <w:ind w:left="567" w:hanging="567"/>
        <w:jc w:val="both"/>
        <w:rPr>
          <w:i w:val="0"/>
        </w:rPr>
      </w:pPr>
      <w:r w:rsidRPr="007A2960">
        <w:rPr>
          <w:i w:val="0"/>
          <w:lang w:val="de-DE"/>
        </w:rPr>
        <w:t>2</w:t>
      </w:r>
      <w:r w:rsidRPr="007A2960">
        <w:rPr>
          <w:i w:val="0"/>
          <w:lang w:val="ru-RU"/>
        </w:rPr>
        <w:t>.</w:t>
      </w:r>
      <w:r w:rsidRPr="007A2960">
        <w:rPr>
          <w:i w:val="0"/>
          <w:lang w:val="ru-RU"/>
        </w:rPr>
        <w:tab/>
        <w:t xml:space="preserve">Пантелеев М. А, Васильев С. А., Синауридзе Е. И. и др. Практическая коагулология. — М.: Практическая медицина, 2011. </w:t>
      </w:r>
      <w:r w:rsidRPr="008922C4">
        <w:rPr>
          <w:i w:val="0"/>
        </w:rPr>
        <w:t>192 </w:t>
      </w:r>
      <w:r w:rsidRPr="007A2960">
        <w:rPr>
          <w:i w:val="0"/>
          <w:lang w:val="ru-RU"/>
        </w:rPr>
        <w:t>с</w:t>
      </w:r>
      <w:r w:rsidRPr="008922C4">
        <w:rPr>
          <w:i w:val="0"/>
        </w:rPr>
        <w:t xml:space="preserve">. </w:t>
      </w:r>
    </w:p>
    <w:p w14:paraId="07C1D79A" w14:textId="209B6493" w:rsidR="003E0025" w:rsidRDefault="003E0025" w:rsidP="001C0EE0">
      <w:pPr>
        <w:pStyle w:val="aff3"/>
        <w:spacing w:after="0" w:line="360" w:lineRule="auto"/>
        <w:ind w:left="567" w:hanging="567"/>
        <w:jc w:val="both"/>
        <w:rPr>
          <w:i w:val="0"/>
          <w:lang w:val="ru-RU"/>
        </w:rPr>
      </w:pPr>
      <w:r w:rsidRPr="00212350">
        <w:rPr>
          <w:i w:val="0"/>
        </w:rPr>
        <w:t xml:space="preserve">3. Anna Falanga. Management of Thrombohemorrhagic Syndromes (THS) in Hematologic Malignancies. </w:t>
      </w:r>
      <w:r w:rsidRPr="00FD15FE">
        <w:rPr>
          <w:i w:val="0"/>
          <w:bdr w:val="none" w:sz="0" w:space="0" w:color="auto" w:frame="1"/>
        </w:rPr>
        <w:t>Hematology</w:t>
      </w:r>
      <w:r w:rsidRPr="00212350">
        <w:rPr>
          <w:i w:val="0"/>
        </w:rPr>
        <w:t> </w:t>
      </w:r>
      <w:r w:rsidRPr="00212350">
        <w:rPr>
          <w:i w:val="0"/>
          <w:lang w:val="ru-RU"/>
        </w:rPr>
        <w:t>2007(1):165-71.</w:t>
      </w:r>
      <w:r>
        <w:rPr>
          <w:i w:val="0"/>
          <w:lang w:val="ru-RU"/>
        </w:rPr>
        <w:t xml:space="preserve"> </w:t>
      </w:r>
    </w:p>
    <w:p w14:paraId="3278D72F" w14:textId="77777777" w:rsidR="003E0025" w:rsidRPr="006B7A7D" w:rsidRDefault="003E0025" w:rsidP="001C0EE0">
      <w:pPr>
        <w:pStyle w:val="aff3"/>
        <w:spacing w:after="0" w:line="360" w:lineRule="auto"/>
        <w:ind w:left="567" w:hanging="567"/>
        <w:jc w:val="both"/>
        <w:rPr>
          <w:lang w:val="ru-RU"/>
        </w:rPr>
      </w:pPr>
      <w:r w:rsidRPr="00212350">
        <w:rPr>
          <w:i w:val="0"/>
          <w:lang w:val="ru-RU"/>
        </w:rPr>
        <w:t xml:space="preserve">4. Зозуля Н.И. Диагностика и лечение ингибиторной формы гемофилии: Автореф. дис…д-ра мед. наук. </w:t>
      </w:r>
      <w:r w:rsidRPr="00375AB9">
        <w:rPr>
          <w:i w:val="0"/>
          <w:lang w:val="ru-RU"/>
        </w:rPr>
        <w:t>М., 2010</w:t>
      </w:r>
      <w:r w:rsidRPr="006B7A7D">
        <w:rPr>
          <w:lang w:val="ru-RU"/>
        </w:rPr>
        <w:t>.</w:t>
      </w:r>
    </w:p>
    <w:p w14:paraId="60E3EE4E" w14:textId="77777777" w:rsidR="003E0025" w:rsidRDefault="003E0025" w:rsidP="001C0EE0">
      <w:pPr>
        <w:pStyle w:val="a4"/>
        <w:spacing w:before="0" w:beforeAutospacing="0" w:after="0" w:afterAutospacing="0" w:line="360" w:lineRule="auto"/>
        <w:jc w:val="both"/>
        <w:rPr>
          <w:lang w:val="en-US"/>
        </w:rPr>
      </w:pPr>
      <w:r w:rsidRPr="006B7A7D">
        <w:t xml:space="preserve">5. </w:t>
      </w:r>
      <w:r w:rsidRPr="007A2960">
        <w:t>Момот</w:t>
      </w:r>
      <w:r w:rsidRPr="006B7A7D">
        <w:t xml:space="preserve"> </w:t>
      </w:r>
      <w:r w:rsidRPr="007A2960">
        <w:t>А</w:t>
      </w:r>
      <w:r w:rsidRPr="006B7A7D">
        <w:t>.</w:t>
      </w:r>
      <w:r w:rsidRPr="007A2960">
        <w:t>П</w:t>
      </w:r>
      <w:r w:rsidRPr="006B7A7D">
        <w:t xml:space="preserve">. </w:t>
      </w:r>
      <w:r w:rsidRPr="007A2960">
        <w:t>Принципы</w:t>
      </w:r>
      <w:r w:rsidRPr="006B7A7D">
        <w:t xml:space="preserve"> </w:t>
      </w:r>
      <w:r w:rsidRPr="007A2960">
        <w:t>и</w:t>
      </w:r>
      <w:r w:rsidRPr="006B7A7D">
        <w:t xml:space="preserve"> </w:t>
      </w:r>
      <w:r w:rsidRPr="007A2960">
        <w:t>алгоритмы</w:t>
      </w:r>
      <w:r w:rsidRPr="006B7A7D">
        <w:t xml:space="preserve"> </w:t>
      </w:r>
      <w:r w:rsidRPr="007A2960">
        <w:t>клинико</w:t>
      </w:r>
      <w:r w:rsidRPr="006B7A7D">
        <w:t>-</w:t>
      </w:r>
      <w:r w:rsidRPr="007A2960">
        <w:t>лабораторной</w:t>
      </w:r>
      <w:r w:rsidRPr="006B7A7D">
        <w:t xml:space="preserve"> </w:t>
      </w:r>
      <w:r w:rsidRPr="007A2960">
        <w:t>диагностики</w:t>
      </w:r>
      <w:r w:rsidRPr="006B7A7D">
        <w:t xml:space="preserve">. </w:t>
      </w:r>
      <w:r w:rsidRPr="007A2960">
        <w:t>СПб</w:t>
      </w:r>
      <w:r>
        <w:rPr>
          <w:lang w:val="en-US"/>
        </w:rPr>
        <w:t>. 2006.</w:t>
      </w:r>
    </w:p>
    <w:p w14:paraId="233A0413" w14:textId="77777777" w:rsidR="003E0025" w:rsidRDefault="003E0025" w:rsidP="001C0EE0">
      <w:pPr>
        <w:pStyle w:val="a4"/>
        <w:spacing w:before="0" w:beforeAutospacing="0" w:after="0" w:afterAutospacing="0" w:line="360" w:lineRule="auto"/>
        <w:jc w:val="both"/>
        <w:rPr>
          <w:rFonts w:eastAsiaTheme="minorHAnsi"/>
          <w:shd w:val="clear" w:color="auto" w:fill="FFFFFF"/>
          <w:lang w:val="en-US"/>
        </w:rPr>
      </w:pPr>
      <w:r>
        <w:rPr>
          <w:lang w:val="en-US"/>
        </w:rPr>
        <w:t xml:space="preserve">6. </w:t>
      </w:r>
      <w:r w:rsidRPr="007A2960">
        <w:rPr>
          <w:rFonts w:eastAsiaTheme="minorHAnsi"/>
          <w:shd w:val="clear" w:color="auto" w:fill="FFFFFF"/>
          <w:lang w:val="en-US"/>
        </w:rPr>
        <w:t>J. Mahlangu et al. Emicizumab Prophylaxis in Patients Who Have Hemophilia A</w:t>
      </w:r>
      <w:r w:rsidRPr="007A2960">
        <w:rPr>
          <w:rFonts w:eastAsiaTheme="minorHAnsi"/>
          <w:lang w:val="en-US"/>
        </w:rPr>
        <w:br/>
      </w:r>
      <w:r w:rsidRPr="007A2960">
        <w:rPr>
          <w:rFonts w:eastAsiaTheme="minorHAnsi"/>
          <w:shd w:val="clear" w:color="auto" w:fill="FFFFFF"/>
          <w:lang w:val="en-US"/>
        </w:rPr>
        <w:t>without Inhibitors // N Engl J Med 2018; 379: 811-22.</w:t>
      </w:r>
    </w:p>
    <w:p w14:paraId="03BB094C" w14:textId="77777777" w:rsidR="003E0025" w:rsidRDefault="003E0025" w:rsidP="001C0EE0">
      <w:pPr>
        <w:pStyle w:val="a4"/>
        <w:spacing w:before="0" w:beforeAutospacing="0" w:after="0" w:afterAutospacing="0" w:line="360" w:lineRule="auto"/>
        <w:jc w:val="both"/>
        <w:rPr>
          <w:shd w:val="clear" w:color="auto" w:fill="FFFFFF"/>
          <w:lang w:val="en-US"/>
        </w:rPr>
      </w:pPr>
      <w:r>
        <w:rPr>
          <w:rFonts w:eastAsiaTheme="minorHAnsi"/>
          <w:shd w:val="clear" w:color="auto" w:fill="FFFFFF"/>
          <w:lang w:val="en-US"/>
        </w:rPr>
        <w:t xml:space="preserve">7. </w:t>
      </w:r>
      <w:r w:rsidRPr="007A2960">
        <w:rPr>
          <w:shd w:val="clear" w:color="auto" w:fill="FFFFFF"/>
          <w:lang w:val="en-US"/>
        </w:rPr>
        <w:t>Ch. Nakar, A. Shapiro Hemophilia A with inhibitor: Immune tolerance induction (ITI) in the mirror of time. Transfusion</w:t>
      </w:r>
      <w:r w:rsidRPr="007A2960">
        <w:rPr>
          <w:rFonts w:eastAsiaTheme="minorHAnsi"/>
          <w:shd w:val="clear" w:color="auto" w:fill="FFFFFF"/>
          <w:lang w:val="en-US"/>
        </w:rPr>
        <w:t xml:space="preserve"> </w:t>
      </w:r>
      <w:r w:rsidRPr="007A2960">
        <w:rPr>
          <w:shd w:val="clear" w:color="auto" w:fill="FFFFFF"/>
          <w:lang w:val="en-US"/>
        </w:rPr>
        <w:t>and</w:t>
      </w:r>
      <w:r w:rsidRPr="007A2960">
        <w:rPr>
          <w:rFonts w:eastAsiaTheme="minorHAnsi"/>
          <w:shd w:val="clear" w:color="auto" w:fill="FFFFFF"/>
          <w:lang w:val="en-US"/>
        </w:rPr>
        <w:t xml:space="preserve"> </w:t>
      </w:r>
      <w:r w:rsidRPr="007A2960">
        <w:rPr>
          <w:shd w:val="clear" w:color="auto" w:fill="FFFFFF"/>
          <w:lang w:val="en-US"/>
        </w:rPr>
        <w:t>Apheresis</w:t>
      </w:r>
      <w:r w:rsidRPr="006B7A7D">
        <w:rPr>
          <w:rFonts w:eastAsiaTheme="minorHAnsi"/>
          <w:shd w:val="clear" w:color="auto" w:fill="FFFFFF"/>
          <w:lang w:val="en-US"/>
        </w:rPr>
        <w:t xml:space="preserve"> </w:t>
      </w:r>
      <w:r w:rsidRPr="007A2960">
        <w:rPr>
          <w:shd w:val="clear" w:color="auto" w:fill="FFFFFF"/>
          <w:lang w:val="en-US"/>
        </w:rPr>
        <w:t>Science</w:t>
      </w:r>
      <w:r w:rsidRPr="006B7A7D">
        <w:rPr>
          <w:rFonts w:eastAsiaTheme="minorHAnsi"/>
          <w:shd w:val="clear" w:color="auto" w:fill="FFFFFF"/>
          <w:lang w:val="en-US"/>
        </w:rPr>
        <w:t>.</w:t>
      </w:r>
      <w:r w:rsidRPr="007A2960">
        <w:rPr>
          <w:shd w:val="clear" w:color="auto" w:fill="FFFFFF"/>
          <w:lang w:val="en-US"/>
        </w:rPr>
        <w:t xml:space="preserve"> 2019;</w:t>
      </w:r>
      <w:r w:rsidRPr="006B7A7D">
        <w:rPr>
          <w:rFonts w:eastAsiaTheme="minorHAnsi"/>
          <w:shd w:val="clear" w:color="auto" w:fill="FFFFFF"/>
          <w:lang w:val="en-US"/>
        </w:rPr>
        <w:t xml:space="preserve"> 5</w:t>
      </w:r>
      <w:r w:rsidRPr="007A2960">
        <w:rPr>
          <w:shd w:val="clear" w:color="auto" w:fill="FFFFFF"/>
          <w:lang w:val="en-US"/>
        </w:rPr>
        <w:t>8 (5): 578-89.</w:t>
      </w:r>
    </w:p>
    <w:p w14:paraId="39606B85" w14:textId="77777777" w:rsidR="003E0025" w:rsidRDefault="003E0025" w:rsidP="001C0EE0">
      <w:pPr>
        <w:pStyle w:val="a4"/>
        <w:spacing w:before="0" w:beforeAutospacing="0" w:after="0" w:afterAutospacing="0" w:line="360" w:lineRule="auto"/>
        <w:jc w:val="both"/>
        <w:rPr>
          <w:lang w:val="en-US"/>
        </w:rPr>
      </w:pPr>
      <w:r>
        <w:rPr>
          <w:shd w:val="clear" w:color="auto" w:fill="FFFFFF"/>
          <w:lang w:val="en-US"/>
        </w:rPr>
        <w:t xml:space="preserve">8. </w:t>
      </w:r>
      <w:r w:rsidRPr="007A2960">
        <w:rPr>
          <w:lang w:val="en-US"/>
        </w:rPr>
        <w:t>C.P.M. Hayward. Yow I investigate for bleeding disordes. J. Lab Hem. 2018. 40(Suppl.1):6-14.</w:t>
      </w:r>
    </w:p>
    <w:p w14:paraId="4309AF06" w14:textId="004323E1" w:rsidR="003E0025" w:rsidRDefault="003E0025" w:rsidP="001C0EE0">
      <w:pPr>
        <w:pStyle w:val="a4"/>
        <w:spacing w:before="0" w:beforeAutospacing="0" w:after="0" w:afterAutospacing="0" w:line="360" w:lineRule="auto"/>
        <w:jc w:val="both"/>
        <w:rPr>
          <w:rStyle w:val="cit"/>
          <w:lang w:val="en-US"/>
        </w:rPr>
      </w:pPr>
      <w:r>
        <w:rPr>
          <w:lang w:val="en-US"/>
        </w:rPr>
        <w:t xml:space="preserve">9. </w:t>
      </w:r>
      <w:r w:rsidRPr="001C0EE0">
        <w:rPr>
          <w:rFonts w:eastAsia="ＭＳ 明朝 (Основной т・"/>
          <w:lang w:val="en-US"/>
        </w:rPr>
        <w:t>Oana Roxana Scripcă</w:t>
      </w:r>
      <w:r w:rsidRPr="007A2960">
        <w:rPr>
          <w:lang w:val="en-US"/>
        </w:rPr>
        <w:t>, </w:t>
      </w:r>
      <w:r w:rsidRPr="001C0EE0">
        <w:rPr>
          <w:rFonts w:eastAsia="ＭＳ 明朝 (Основной т・"/>
          <w:lang w:val="en-US"/>
        </w:rPr>
        <w:t>Cristina Pădurariu</w:t>
      </w:r>
      <w:r w:rsidRPr="007A2960">
        <w:rPr>
          <w:lang w:val="en-US"/>
        </w:rPr>
        <w:t>, </w:t>
      </w:r>
      <w:r w:rsidRPr="001C0EE0">
        <w:rPr>
          <w:rFonts w:eastAsia="ＭＳ 明朝 (Основной т・"/>
          <w:lang w:val="en-US"/>
        </w:rPr>
        <w:t>Neacșu Gheorghe Boricean</w:t>
      </w:r>
      <w:r w:rsidRPr="007A2960">
        <w:rPr>
          <w:lang w:val="en-US"/>
        </w:rPr>
        <w:t>,</w:t>
      </w:r>
      <w:r w:rsidRPr="00B53585">
        <w:rPr>
          <w:vertAlign w:val="superscript"/>
          <w:lang w:val="en-US"/>
        </w:rPr>
        <w:t xml:space="preserve"> </w:t>
      </w:r>
      <w:r w:rsidRPr="007A2960">
        <w:rPr>
          <w:lang w:val="en-US"/>
        </w:rPr>
        <w:t>and </w:t>
      </w:r>
      <w:r w:rsidRPr="001C0EE0">
        <w:rPr>
          <w:rFonts w:eastAsia="ＭＳ 明朝 (Основной т・"/>
          <w:lang w:val="en-US"/>
        </w:rPr>
        <w:t>Loredana Botoș</w:t>
      </w:r>
      <w:r w:rsidRPr="007A2960">
        <w:rPr>
          <w:lang w:val="en-US"/>
        </w:rPr>
        <w:t xml:space="preserve">. Leukemic retinophaty, the first manifestation in a case of acute myelogenous leukemia. </w:t>
      </w:r>
      <w:r w:rsidRPr="001C0EE0">
        <w:rPr>
          <w:rFonts w:eastAsia="ＭＳ 明朝 (Основной т・"/>
          <w:lang w:val="en-US"/>
        </w:rPr>
        <w:t>Rom J Ophthalmol</w:t>
      </w:r>
      <w:r w:rsidRPr="007A2960">
        <w:rPr>
          <w:rStyle w:val="cit"/>
          <w:lang w:val="en-US"/>
        </w:rPr>
        <w:t>. 2018; 62(1):72–77.</w:t>
      </w:r>
    </w:p>
    <w:p w14:paraId="658C4D9F" w14:textId="414D4A8F" w:rsidR="003E0025" w:rsidRDefault="003E0025" w:rsidP="001C0EE0">
      <w:pPr>
        <w:pStyle w:val="a4"/>
        <w:spacing w:before="0" w:beforeAutospacing="0" w:after="0" w:afterAutospacing="0" w:line="360" w:lineRule="auto"/>
        <w:jc w:val="both"/>
        <w:rPr>
          <w:shd w:val="clear" w:color="auto" w:fill="FFFFFF"/>
          <w:lang w:val="en-US"/>
        </w:rPr>
      </w:pPr>
      <w:r>
        <w:rPr>
          <w:rStyle w:val="cit"/>
          <w:lang w:val="en-US"/>
        </w:rPr>
        <w:t xml:space="preserve">10. </w:t>
      </w:r>
      <w:r w:rsidRPr="001C0EE0">
        <w:rPr>
          <w:rFonts w:eastAsia="ＭＳ 明朝 (Основной т・"/>
          <w:bdr w:val="none" w:sz="0" w:space="0" w:color="auto" w:frame="1"/>
          <w:lang w:val="en-US"/>
        </w:rPr>
        <w:t>F. W. Gunz</w:t>
      </w:r>
      <w:r w:rsidRPr="007A2960">
        <w:rPr>
          <w:lang w:val="en-US"/>
        </w:rPr>
        <w:t xml:space="preserve">. Hemorrhagic Thrombocythemia: A Critical Review. </w:t>
      </w:r>
      <w:r w:rsidRPr="007A2960">
        <w:rPr>
          <w:shd w:val="clear" w:color="auto" w:fill="FFFFFF"/>
          <w:lang w:val="en-US"/>
        </w:rPr>
        <w:t>Blood. 1960;15:706</w:t>
      </w:r>
    </w:p>
    <w:p w14:paraId="528AC1CD" w14:textId="5FDE0AE6" w:rsidR="003E0025" w:rsidRPr="00FD15FE" w:rsidRDefault="003E0025" w:rsidP="001C0EE0">
      <w:pPr>
        <w:pStyle w:val="a4"/>
        <w:spacing w:before="0" w:beforeAutospacing="0" w:after="0" w:afterAutospacing="0" w:line="360" w:lineRule="auto"/>
        <w:jc w:val="both"/>
        <w:rPr>
          <w:shd w:val="clear" w:color="auto" w:fill="FFFFFF"/>
          <w:lang w:val="en-US"/>
        </w:rPr>
      </w:pPr>
      <w:r>
        <w:rPr>
          <w:shd w:val="clear" w:color="auto" w:fill="FFFFFF"/>
          <w:lang w:val="en-US"/>
        </w:rPr>
        <w:t>11</w:t>
      </w:r>
      <w:r w:rsidRPr="007A2960">
        <w:rPr>
          <w:shd w:val="clear" w:color="auto" w:fill="FFFFFF"/>
          <w:lang w:val="en-US"/>
        </w:rPr>
        <w:t xml:space="preserve">. </w:t>
      </w:r>
      <w:r w:rsidRPr="001C0EE0">
        <w:rPr>
          <w:rFonts w:eastAsia="ＭＳ 明朝 (Основной т・"/>
          <w:bdr w:val="none" w:sz="0" w:space="0" w:color="auto" w:frame="1"/>
          <w:lang w:val="en-US"/>
        </w:rPr>
        <w:t>Cindy Neunert</w:t>
      </w:r>
      <w:r w:rsidRPr="007A2960">
        <w:rPr>
          <w:rStyle w:val="al-author-delim"/>
          <w:bdr w:val="none" w:sz="0" w:space="0" w:color="auto" w:frame="1"/>
          <w:lang w:val="en-US"/>
        </w:rPr>
        <w:t xml:space="preserve">, </w:t>
      </w:r>
      <w:r w:rsidRPr="001C0EE0">
        <w:rPr>
          <w:rFonts w:eastAsia="ＭＳ 明朝 (Основной т・"/>
          <w:bdr w:val="none" w:sz="0" w:space="0" w:color="auto" w:frame="1"/>
          <w:lang w:val="en-US"/>
        </w:rPr>
        <w:t>Deirdra R. Terrell</w:t>
      </w:r>
      <w:r w:rsidRPr="007A2960">
        <w:rPr>
          <w:rStyle w:val="al-author-delim"/>
          <w:bdr w:val="none" w:sz="0" w:space="0" w:color="auto" w:frame="1"/>
          <w:lang w:val="en-US"/>
        </w:rPr>
        <w:t xml:space="preserve">, </w:t>
      </w:r>
      <w:r w:rsidRPr="001C0EE0">
        <w:rPr>
          <w:rFonts w:eastAsia="ＭＳ 明朝 (Основной т・"/>
          <w:bdr w:val="none" w:sz="0" w:space="0" w:color="auto" w:frame="1"/>
          <w:lang w:val="en-US"/>
        </w:rPr>
        <w:t>Donald M. Arnold</w:t>
      </w:r>
      <w:r w:rsidRPr="007A2960">
        <w:rPr>
          <w:rStyle w:val="al-author-delim"/>
          <w:bdr w:val="none" w:sz="0" w:space="0" w:color="auto" w:frame="1"/>
          <w:lang w:val="en-US"/>
        </w:rPr>
        <w:t xml:space="preserve">, </w:t>
      </w:r>
      <w:r w:rsidRPr="001C0EE0">
        <w:rPr>
          <w:rFonts w:eastAsia="ＭＳ 明朝 (Основной т・"/>
          <w:bdr w:val="none" w:sz="0" w:space="0" w:color="auto" w:frame="1"/>
          <w:lang w:val="en-US"/>
        </w:rPr>
        <w:t>George Buchanan</w:t>
      </w:r>
      <w:r w:rsidRPr="007A2960">
        <w:rPr>
          <w:rStyle w:val="al-author-delim"/>
          <w:bdr w:val="none" w:sz="0" w:space="0" w:color="auto" w:frame="1"/>
          <w:lang w:val="en-US"/>
        </w:rPr>
        <w:t xml:space="preserve">, </w:t>
      </w:r>
      <w:r w:rsidRPr="001C0EE0">
        <w:rPr>
          <w:rFonts w:eastAsia="ＭＳ 明朝 (Основной т・"/>
          <w:bdr w:val="none" w:sz="0" w:space="0" w:color="auto" w:frame="1"/>
          <w:lang w:val="en-US"/>
        </w:rPr>
        <w:t>Douglas B. Cines</w:t>
      </w:r>
      <w:r w:rsidRPr="007A2960">
        <w:rPr>
          <w:rStyle w:val="al-author-delim"/>
          <w:bdr w:val="none" w:sz="0" w:space="0" w:color="auto" w:frame="1"/>
          <w:lang w:val="en-US"/>
        </w:rPr>
        <w:t xml:space="preserve">, </w:t>
      </w:r>
      <w:r w:rsidRPr="001C0EE0">
        <w:rPr>
          <w:rFonts w:eastAsia="ＭＳ 明朝 (Основной т・"/>
          <w:bdr w:val="none" w:sz="0" w:space="0" w:color="auto" w:frame="1"/>
          <w:lang w:val="en-US"/>
        </w:rPr>
        <w:t>Nichola Cooper</w:t>
      </w:r>
      <w:r w:rsidRPr="007A2960">
        <w:rPr>
          <w:rStyle w:val="al-author-delim"/>
          <w:bdr w:val="none" w:sz="0" w:space="0" w:color="auto" w:frame="1"/>
          <w:lang w:val="en-US"/>
        </w:rPr>
        <w:t xml:space="preserve">, </w:t>
      </w:r>
      <w:r w:rsidRPr="001C0EE0">
        <w:rPr>
          <w:rFonts w:eastAsia="ＭＳ 明朝 (Основной т・"/>
          <w:bdr w:val="none" w:sz="0" w:space="0" w:color="auto" w:frame="1"/>
          <w:lang w:val="en-US"/>
        </w:rPr>
        <w:t>Adam Cuker</w:t>
      </w:r>
      <w:r w:rsidRPr="007A2960">
        <w:rPr>
          <w:rStyle w:val="al-author-delim"/>
          <w:bdr w:val="none" w:sz="0" w:space="0" w:color="auto" w:frame="1"/>
          <w:lang w:val="en-US"/>
        </w:rPr>
        <w:t xml:space="preserve">, </w:t>
      </w:r>
      <w:r w:rsidRPr="001C0EE0">
        <w:rPr>
          <w:rFonts w:eastAsia="ＭＳ 明朝 (Основной т・"/>
          <w:bdr w:val="none" w:sz="0" w:space="0" w:color="auto" w:frame="1"/>
          <w:lang w:val="en-US"/>
        </w:rPr>
        <w:t>Jenny M. Despotovic</w:t>
      </w:r>
      <w:r w:rsidRPr="007A2960">
        <w:rPr>
          <w:rStyle w:val="al-author-delim"/>
          <w:bdr w:val="none" w:sz="0" w:space="0" w:color="auto" w:frame="1"/>
          <w:lang w:val="en-US"/>
        </w:rPr>
        <w:t xml:space="preserve">, </w:t>
      </w:r>
      <w:r w:rsidRPr="001C0EE0">
        <w:rPr>
          <w:rFonts w:eastAsia="ＭＳ 明朝 (Основной т・"/>
          <w:bdr w:val="none" w:sz="0" w:space="0" w:color="auto" w:frame="1"/>
          <w:lang w:val="en-US"/>
        </w:rPr>
        <w:t>James N. George</w:t>
      </w:r>
      <w:r w:rsidRPr="007A2960">
        <w:rPr>
          <w:rStyle w:val="al-author-delim"/>
          <w:bdr w:val="none" w:sz="0" w:space="0" w:color="auto" w:frame="1"/>
          <w:lang w:val="en-US"/>
        </w:rPr>
        <w:t xml:space="preserve">, </w:t>
      </w:r>
      <w:r w:rsidRPr="001C0EE0">
        <w:rPr>
          <w:rFonts w:eastAsia="ＭＳ 明朝 (Основной т・"/>
          <w:bdr w:val="none" w:sz="0" w:space="0" w:color="auto" w:frame="1"/>
          <w:lang w:val="en-US"/>
        </w:rPr>
        <w:t>Rachael F. Grace</w:t>
      </w:r>
      <w:r w:rsidRPr="007A2960">
        <w:rPr>
          <w:rStyle w:val="al-author-delim"/>
          <w:bdr w:val="none" w:sz="0" w:space="0" w:color="auto" w:frame="1"/>
          <w:lang w:val="en-US"/>
        </w:rPr>
        <w:t xml:space="preserve">, </w:t>
      </w:r>
      <w:r w:rsidRPr="001C0EE0">
        <w:rPr>
          <w:rFonts w:eastAsia="ＭＳ 明朝 (Основной т・"/>
          <w:bdr w:val="none" w:sz="0" w:space="0" w:color="auto" w:frame="1"/>
          <w:lang w:val="en-US"/>
        </w:rPr>
        <w:t>Thomas Kühne</w:t>
      </w:r>
      <w:r w:rsidRPr="007A2960">
        <w:rPr>
          <w:rStyle w:val="al-author-delim"/>
          <w:bdr w:val="none" w:sz="0" w:space="0" w:color="auto" w:frame="1"/>
          <w:lang w:val="en-US"/>
        </w:rPr>
        <w:t xml:space="preserve">, </w:t>
      </w:r>
      <w:r w:rsidRPr="001C0EE0">
        <w:rPr>
          <w:rFonts w:eastAsia="ＭＳ 明朝 (Основной т・"/>
          <w:bdr w:val="none" w:sz="0" w:space="0" w:color="auto" w:frame="1"/>
          <w:lang w:val="en-US"/>
        </w:rPr>
        <w:t>David J. Kuter</w:t>
      </w:r>
      <w:r w:rsidRPr="007A2960">
        <w:rPr>
          <w:rStyle w:val="al-author-delim"/>
          <w:bdr w:val="none" w:sz="0" w:space="0" w:color="auto" w:frame="1"/>
          <w:lang w:val="en-US"/>
        </w:rPr>
        <w:t xml:space="preserve">, </w:t>
      </w:r>
      <w:r w:rsidRPr="001C0EE0">
        <w:rPr>
          <w:rFonts w:eastAsia="ＭＳ 明朝 (Основной т・"/>
          <w:bdr w:val="none" w:sz="0" w:space="0" w:color="auto" w:frame="1"/>
          <w:lang w:val="en-US"/>
        </w:rPr>
        <w:t>Wendy Lim</w:t>
      </w:r>
      <w:r w:rsidRPr="007A2960">
        <w:rPr>
          <w:rStyle w:val="al-author-delim"/>
          <w:bdr w:val="none" w:sz="0" w:space="0" w:color="auto" w:frame="1"/>
          <w:lang w:val="en-US"/>
        </w:rPr>
        <w:t xml:space="preserve">, </w:t>
      </w:r>
      <w:r w:rsidRPr="001C0EE0">
        <w:rPr>
          <w:rFonts w:eastAsia="ＭＳ 明朝 (Основной т・"/>
          <w:bdr w:val="none" w:sz="0" w:space="0" w:color="auto" w:frame="1"/>
          <w:lang w:val="en-US"/>
        </w:rPr>
        <w:t>Keith R. McCrae</w:t>
      </w:r>
      <w:r w:rsidRPr="007A2960">
        <w:rPr>
          <w:rStyle w:val="al-author-delim"/>
          <w:bdr w:val="none" w:sz="0" w:space="0" w:color="auto" w:frame="1"/>
          <w:lang w:val="en-US"/>
        </w:rPr>
        <w:t xml:space="preserve">, </w:t>
      </w:r>
      <w:r w:rsidRPr="001C0EE0">
        <w:rPr>
          <w:rFonts w:eastAsia="ＭＳ 明朝 (Основной т・"/>
          <w:bdr w:val="none" w:sz="0" w:space="0" w:color="auto" w:frame="1"/>
          <w:lang w:val="en-US"/>
        </w:rPr>
        <w:t>Barbara Pruitt</w:t>
      </w:r>
      <w:r w:rsidRPr="007A2960">
        <w:rPr>
          <w:rStyle w:val="al-author-delim"/>
          <w:bdr w:val="none" w:sz="0" w:space="0" w:color="auto" w:frame="1"/>
          <w:lang w:val="en-US"/>
        </w:rPr>
        <w:t xml:space="preserve">, </w:t>
      </w:r>
      <w:r w:rsidRPr="001C0EE0">
        <w:rPr>
          <w:rFonts w:eastAsia="ＭＳ 明朝 (Основной т・"/>
          <w:bdr w:val="none" w:sz="0" w:space="0" w:color="auto" w:frame="1"/>
          <w:lang w:val="en-US"/>
        </w:rPr>
        <w:t>Hayley Shimanek</w:t>
      </w:r>
      <w:r w:rsidRPr="007A2960">
        <w:rPr>
          <w:rStyle w:val="al-author-delim"/>
          <w:bdr w:val="none" w:sz="0" w:space="0" w:color="auto" w:frame="1"/>
          <w:lang w:val="en-US"/>
        </w:rPr>
        <w:t xml:space="preserve">, </w:t>
      </w:r>
      <w:r w:rsidRPr="001C0EE0">
        <w:rPr>
          <w:rFonts w:eastAsia="ＭＳ 明朝 (Основной т・"/>
          <w:bdr w:val="none" w:sz="0" w:space="0" w:color="auto" w:frame="1"/>
          <w:lang w:val="en-US"/>
        </w:rPr>
        <w:t>Sara K. Vesely</w:t>
      </w:r>
      <w:r w:rsidRPr="007A2960">
        <w:rPr>
          <w:lang w:val="en-US"/>
        </w:rPr>
        <w:t xml:space="preserve">. American Society of Hematology 2019 guidelines for immune thrombocytopenia. </w:t>
      </w:r>
      <w:r w:rsidRPr="007A2960">
        <w:rPr>
          <w:rStyle w:val="a5"/>
          <w:bdr w:val="none" w:sz="0" w:space="0" w:color="auto" w:frame="1"/>
          <w:shd w:val="clear" w:color="auto" w:fill="FFFFFF"/>
          <w:lang w:val="en-US"/>
        </w:rPr>
        <w:t>Blood</w:t>
      </w:r>
      <w:r w:rsidRPr="008922C4">
        <w:rPr>
          <w:rStyle w:val="a5"/>
          <w:bdr w:val="none" w:sz="0" w:space="0" w:color="auto" w:frame="1"/>
          <w:shd w:val="clear" w:color="auto" w:fill="FFFFFF"/>
          <w:lang w:val="en-US"/>
        </w:rPr>
        <w:t xml:space="preserve"> </w:t>
      </w:r>
      <w:r w:rsidRPr="007A2960">
        <w:rPr>
          <w:rStyle w:val="a5"/>
          <w:bdr w:val="none" w:sz="0" w:space="0" w:color="auto" w:frame="1"/>
          <w:shd w:val="clear" w:color="auto" w:fill="FFFFFF"/>
          <w:lang w:val="en-US"/>
        </w:rPr>
        <w:t>Adv</w:t>
      </w:r>
      <w:r w:rsidRPr="007A2960">
        <w:rPr>
          <w:shd w:val="clear" w:color="auto" w:fill="FFFFFF"/>
          <w:lang w:val="en-US"/>
        </w:rPr>
        <w:t> </w:t>
      </w:r>
      <w:r w:rsidRPr="008922C4">
        <w:rPr>
          <w:shd w:val="clear" w:color="auto" w:fill="FFFFFF"/>
          <w:lang w:val="en-US"/>
        </w:rPr>
        <w:t>(2019) 3 (23): 3829–3866.</w:t>
      </w:r>
    </w:p>
    <w:p w14:paraId="6454F14B" w14:textId="29B9BEFC" w:rsidR="001C0EE0" w:rsidRPr="00FD15FE" w:rsidRDefault="001C0EE0">
      <w:pPr>
        <w:spacing w:before="0" w:after="0" w:line="240" w:lineRule="auto"/>
        <w:jc w:val="left"/>
        <w:rPr>
          <w:rFonts w:eastAsia="Times New Roman"/>
          <w:szCs w:val="24"/>
          <w:shd w:val="clear" w:color="auto" w:fill="FFFFFF"/>
          <w:lang w:val="en-US" w:eastAsia="ru-RU"/>
        </w:rPr>
      </w:pPr>
      <w:r w:rsidRPr="00FD15FE">
        <w:rPr>
          <w:shd w:val="clear" w:color="auto" w:fill="FFFFFF"/>
          <w:lang w:val="en-US"/>
        </w:rPr>
        <w:br w:type="page"/>
      </w:r>
    </w:p>
    <w:p w14:paraId="0A302FE4" w14:textId="137F4090" w:rsidR="00DC556E" w:rsidRPr="00DC556E" w:rsidRDefault="00DC556E" w:rsidP="00DC556E">
      <w:pPr>
        <w:pStyle w:val="1"/>
      </w:pPr>
      <w:bookmarkStart w:id="82" w:name="_Toc53140928"/>
      <w:r w:rsidRPr="003E0025">
        <w:lastRenderedPageBreak/>
        <w:t>Приложение Г</w:t>
      </w:r>
      <w:r>
        <w:t xml:space="preserve">8. </w:t>
      </w:r>
      <w:r w:rsidRPr="00DC556E">
        <w:t>«О</w:t>
      </w:r>
      <w:r>
        <w:t>беспечение сосудистого доступа</w:t>
      </w:r>
      <w:r w:rsidRPr="00DC556E">
        <w:t>»</w:t>
      </w:r>
      <w:bookmarkEnd w:id="82"/>
    </w:p>
    <w:p w14:paraId="722FCDE0" w14:textId="77777777" w:rsidR="00643A32" w:rsidRPr="00DC556E" w:rsidRDefault="00643A32" w:rsidP="00643A32">
      <w:pPr>
        <w:spacing w:before="0" w:after="0"/>
        <w:ind w:firstLine="708"/>
        <w:rPr>
          <w:b/>
          <w:i/>
          <w:szCs w:val="24"/>
        </w:rPr>
      </w:pPr>
      <w:r w:rsidRPr="00DC556E">
        <w:rPr>
          <w:b/>
          <w:i/>
          <w:szCs w:val="24"/>
        </w:rPr>
        <w:t>Список сокращений</w:t>
      </w:r>
    </w:p>
    <w:p w14:paraId="2EFA06AF" w14:textId="77777777" w:rsidR="00643A32" w:rsidRPr="00DC556E" w:rsidRDefault="00643A32" w:rsidP="00643A32">
      <w:pPr>
        <w:pBdr>
          <w:top w:val="none" w:sz="4" w:space="0" w:color="000000"/>
          <w:left w:val="none" w:sz="4" w:space="0" w:color="000000"/>
          <w:bottom w:val="none" w:sz="4" w:space="0" w:color="000000"/>
          <w:right w:val="none" w:sz="4" w:space="0" w:color="000000"/>
          <w:between w:val="none" w:sz="4" w:space="0" w:color="000000"/>
        </w:pBdr>
        <w:spacing w:before="0" w:after="0"/>
        <w:rPr>
          <w:bCs/>
          <w:szCs w:val="24"/>
          <w:shd w:val="clear" w:color="auto" w:fill="FFFFFF"/>
        </w:rPr>
      </w:pPr>
      <w:r w:rsidRPr="00DC556E">
        <w:rPr>
          <w:bCs/>
          <w:szCs w:val="24"/>
          <w:shd w:val="clear" w:color="auto" w:fill="FFFFFF"/>
        </w:rPr>
        <w:t>АЧТВ</w:t>
      </w:r>
      <w:r w:rsidRPr="00DC556E">
        <w:rPr>
          <w:bCs/>
          <w:szCs w:val="24"/>
          <w:shd w:val="clear" w:color="auto" w:fill="FFFFFF"/>
        </w:rPr>
        <w:tab/>
      </w:r>
      <w:r w:rsidRPr="00DC556E">
        <w:rPr>
          <w:bCs/>
          <w:szCs w:val="24"/>
          <w:shd w:val="clear" w:color="auto" w:fill="FFFFFF"/>
        </w:rPr>
        <w:tab/>
        <w:t>–</w:t>
      </w:r>
      <w:r w:rsidRPr="00DC556E">
        <w:rPr>
          <w:bCs/>
          <w:szCs w:val="24"/>
          <w:shd w:val="clear" w:color="auto" w:fill="FFFFFF"/>
        </w:rPr>
        <w:tab/>
        <w:t>активированное частичное тромбопластиновое время</w:t>
      </w:r>
    </w:p>
    <w:p w14:paraId="48DF283D" w14:textId="77777777" w:rsidR="00643A32" w:rsidRPr="00DC556E" w:rsidRDefault="00643A32" w:rsidP="00643A32">
      <w:pPr>
        <w:pBdr>
          <w:top w:val="none" w:sz="4" w:space="0" w:color="000000"/>
          <w:left w:val="none" w:sz="4" w:space="0" w:color="000000"/>
          <w:bottom w:val="none" w:sz="4" w:space="0" w:color="000000"/>
          <w:right w:val="none" w:sz="4" w:space="0" w:color="000000"/>
          <w:between w:val="none" w:sz="4" w:space="0" w:color="000000"/>
        </w:pBdr>
        <w:spacing w:before="0" w:after="0"/>
        <w:rPr>
          <w:bCs/>
          <w:szCs w:val="24"/>
          <w:shd w:val="clear" w:color="auto" w:fill="FFFFFF"/>
        </w:rPr>
      </w:pPr>
      <w:r w:rsidRPr="00DC556E">
        <w:rPr>
          <w:bCs/>
          <w:szCs w:val="24"/>
          <w:shd w:val="clear" w:color="auto" w:fill="FFFFFF"/>
        </w:rPr>
        <w:t>ВПВ</w:t>
      </w:r>
      <w:r w:rsidRPr="00DC556E">
        <w:rPr>
          <w:bCs/>
          <w:szCs w:val="24"/>
          <w:shd w:val="clear" w:color="auto" w:fill="FFFFFF"/>
        </w:rPr>
        <w:tab/>
      </w:r>
      <w:r w:rsidRPr="00DC556E">
        <w:rPr>
          <w:bCs/>
          <w:szCs w:val="24"/>
          <w:shd w:val="clear" w:color="auto" w:fill="FFFFFF"/>
        </w:rPr>
        <w:tab/>
        <w:t>–</w:t>
      </w:r>
      <w:r w:rsidRPr="00DC556E">
        <w:rPr>
          <w:bCs/>
          <w:szCs w:val="24"/>
          <w:shd w:val="clear" w:color="auto" w:fill="FFFFFF"/>
        </w:rPr>
        <w:tab/>
        <w:t>верхняя полая вена</w:t>
      </w:r>
    </w:p>
    <w:p w14:paraId="34177CA2" w14:textId="77777777" w:rsidR="00643A32" w:rsidRPr="00DC556E" w:rsidRDefault="00643A32" w:rsidP="00643A32">
      <w:pPr>
        <w:pBdr>
          <w:top w:val="none" w:sz="4" w:space="0" w:color="000000"/>
          <w:left w:val="none" w:sz="4" w:space="0" w:color="000000"/>
          <w:bottom w:val="none" w:sz="4" w:space="0" w:color="000000"/>
          <w:right w:val="none" w:sz="4" w:space="0" w:color="000000"/>
          <w:between w:val="none" w:sz="4" w:space="0" w:color="000000"/>
        </w:pBdr>
        <w:spacing w:before="0" w:after="0"/>
        <w:rPr>
          <w:bCs/>
          <w:szCs w:val="24"/>
          <w:shd w:val="clear" w:color="auto" w:fill="FFFFFF"/>
        </w:rPr>
      </w:pPr>
      <w:r w:rsidRPr="00DC556E">
        <w:rPr>
          <w:bCs/>
          <w:szCs w:val="24"/>
          <w:shd w:val="clear" w:color="auto" w:fill="FFFFFF"/>
        </w:rPr>
        <w:t>ВЯВ</w:t>
      </w:r>
      <w:r w:rsidRPr="00DC556E">
        <w:rPr>
          <w:bCs/>
          <w:szCs w:val="24"/>
          <w:shd w:val="clear" w:color="auto" w:fill="FFFFFF"/>
        </w:rPr>
        <w:tab/>
      </w:r>
      <w:r w:rsidRPr="00DC556E">
        <w:rPr>
          <w:bCs/>
          <w:szCs w:val="24"/>
          <w:shd w:val="clear" w:color="auto" w:fill="FFFFFF"/>
        </w:rPr>
        <w:tab/>
        <w:t>–</w:t>
      </w:r>
      <w:r w:rsidRPr="00DC556E">
        <w:rPr>
          <w:bCs/>
          <w:szCs w:val="24"/>
          <w:shd w:val="clear" w:color="auto" w:fill="FFFFFF"/>
        </w:rPr>
        <w:tab/>
        <w:t>внутренняя яремная вена</w:t>
      </w:r>
    </w:p>
    <w:p w14:paraId="04152FD7" w14:textId="77777777" w:rsidR="00643A32" w:rsidRPr="00DC556E" w:rsidRDefault="00643A32" w:rsidP="00643A32">
      <w:pPr>
        <w:pBdr>
          <w:top w:val="none" w:sz="4" w:space="0" w:color="000000"/>
          <w:left w:val="none" w:sz="4" w:space="0" w:color="000000"/>
          <w:bottom w:val="none" w:sz="4" w:space="0" w:color="000000"/>
          <w:right w:val="none" w:sz="4" w:space="0" w:color="000000"/>
          <w:between w:val="none" w:sz="4" w:space="0" w:color="000000"/>
        </w:pBdr>
        <w:spacing w:before="0" w:after="0"/>
        <w:rPr>
          <w:bCs/>
          <w:szCs w:val="24"/>
          <w:shd w:val="clear" w:color="auto" w:fill="FFFFFF"/>
        </w:rPr>
      </w:pPr>
      <w:r w:rsidRPr="00DC556E">
        <w:rPr>
          <w:bCs/>
          <w:szCs w:val="24"/>
          <w:shd w:val="clear" w:color="auto" w:fill="FFFFFF"/>
        </w:rPr>
        <w:t>ГСК</w:t>
      </w:r>
      <w:r w:rsidRPr="00DC556E">
        <w:rPr>
          <w:bCs/>
          <w:szCs w:val="24"/>
          <w:shd w:val="clear" w:color="auto" w:fill="FFFFFF"/>
        </w:rPr>
        <w:tab/>
      </w:r>
      <w:r w:rsidRPr="00DC556E">
        <w:rPr>
          <w:bCs/>
          <w:szCs w:val="24"/>
          <w:shd w:val="clear" w:color="auto" w:fill="FFFFFF"/>
        </w:rPr>
        <w:tab/>
        <w:t>–</w:t>
      </w:r>
      <w:r w:rsidRPr="00DC556E">
        <w:rPr>
          <w:bCs/>
          <w:szCs w:val="24"/>
          <w:shd w:val="clear" w:color="auto" w:fill="FFFFFF"/>
        </w:rPr>
        <w:tab/>
        <w:t>гемопоэтические стволовые клетки</w:t>
      </w:r>
    </w:p>
    <w:p w14:paraId="3BD90E8B" w14:textId="77777777" w:rsidR="00643A32" w:rsidRPr="00DC556E" w:rsidRDefault="00643A32" w:rsidP="00643A32">
      <w:pPr>
        <w:pBdr>
          <w:top w:val="none" w:sz="4" w:space="0" w:color="000000"/>
          <w:left w:val="none" w:sz="4" w:space="0" w:color="000000"/>
          <w:bottom w:val="none" w:sz="4" w:space="0" w:color="000000"/>
          <w:right w:val="none" w:sz="4" w:space="0" w:color="000000"/>
          <w:between w:val="none" w:sz="4" w:space="0" w:color="000000"/>
        </w:pBdr>
        <w:spacing w:before="0" w:after="0"/>
        <w:rPr>
          <w:bCs/>
          <w:szCs w:val="24"/>
          <w:shd w:val="clear" w:color="auto" w:fill="FFFFFF"/>
        </w:rPr>
      </w:pPr>
      <w:r w:rsidRPr="00DC556E">
        <w:rPr>
          <w:bCs/>
          <w:szCs w:val="24"/>
          <w:shd w:val="clear" w:color="auto" w:fill="FFFFFF"/>
        </w:rPr>
        <w:t>КАИК</w:t>
      </w:r>
      <w:r w:rsidRPr="00DC556E">
        <w:rPr>
          <w:bCs/>
          <w:szCs w:val="24"/>
          <w:shd w:val="clear" w:color="auto" w:fill="FFFFFF"/>
        </w:rPr>
        <w:tab/>
      </w:r>
      <w:r w:rsidRPr="00DC556E">
        <w:rPr>
          <w:bCs/>
          <w:szCs w:val="24"/>
          <w:shd w:val="clear" w:color="auto" w:fill="FFFFFF"/>
        </w:rPr>
        <w:tab/>
        <w:t>–</w:t>
      </w:r>
      <w:r w:rsidRPr="00DC556E">
        <w:rPr>
          <w:bCs/>
          <w:szCs w:val="24"/>
          <w:shd w:val="clear" w:color="auto" w:fill="FFFFFF"/>
        </w:rPr>
        <w:tab/>
        <w:t>катетер-ассоциированная инфекция крови</w:t>
      </w:r>
    </w:p>
    <w:p w14:paraId="110FB042" w14:textId="77777777" w:rsidR="00643A32" w:rsidRPr="00DC556E" w:rsidRDefault="00643A32" w:rsidP="00643A32">
      <w:pPr>
        <w:pBdr>
          <w:top w:val="none" w:sz="4" w:space="0" w:color="000000"/>
          <w:left w:val="none" w:sz="4" w:space="0" w:color="000000"/>
          <w:bottom w:val="none" w:sz="4" w:space="0" w:color="000000"/>
          <w:right w:val="none" w:sz="4" w:space="0" w:color="000000"/>
          <w:between w:val="none" w:sz="4" w:space="0" w:color="000000"/>
        </w:pBdr>
        <w:spacing w:before="0" w:after="0"/>
        <w:rPr>
          <w:bCs/>
          <w:szCs w:val="24"/>
          <w:shd w:val="clear" w:color="auto" w:fill="FFFFFF"/>
        </w:rPr>
      </w:pPr>
      <w:r w:rsidRPr="00DC556E">
        <w:rPr>
          <w:bCs/>
          <w:szCs w:val="24"/>
          <w:shd w:val="clear" w:color="auto" w:fill="FFFFFF"/>
        </w:rPr>
        <w:t>КАС</w:t>
      </w:r>
      <w:r w:rsidRPr="00DC556E">
        <w:rPr>
          <w:bCs/>
          <w:szCs w:val="24"/>
          <w:shd w:val="clear" w:color="auto" w:fill="FFFFFF"/>
        </w:rPr>
        <w:tab/>
      </w:r>
      <w:r w:rsidRPr="00DC556E">
        <w:rPr>
          <w:bCs/>
          <w:szCs w:val="24"/>
          <w:shd w:val="clear" w:color="auto" w:fill="FFFFFF"/>
        </w:rPr>
        <w:tab/>
        <w:t>–</w:t>
      </w:r>
      <w:r w:rsidRPr="00DC556E">
        <w:rPr>
          <w:bCs/>
          <w:szCs w:val="24"/>
          <w:shd w:val="clear" w:color="auto" w:fill="FFFFFF"/>
        </w:rPr>
        <w:tab/>
        <w:t>катетер-ассоциированный стеноз</w:t>
      </w:r>
    </w:p>
    <w:p w14:paraId="21E98B93" w14:textId="77777777" w:rsidR="00643A32" w:rsidRPr="00DC556E" w:rsidRDefault="00643A32" w:rsidP="00643A32">
      <w:pPr>
        <w:pBdr>
          <w:top w:val="none" w:sz="4" w:space="0" w:color="000000"/>
          <w:left w:val="none" w:sz="4" w:space="0" w:color="000000"/>
          <w:bottom w:val="none" w:sz="4" w:space="0" w:color="000000"/>
          <w:right w:val="none" w:sz="4" w:space="0" w:color="000000"/>
          <w:between w:val="none" w:sz="4" w:space="0" w:color="000000"/>
        </w:pBdr>
        <w:spacing w:before="0" w:after="0"/>
        <w:rPr>
          <w:bCs/>
          <w:szCs w:val="24"/>
          <w:shd w:val="clear" w:color="auto" w:fill="FFFFFF"/>
        </w:rPr>
      </w:pPr>
      <w:r w:rsidRPr="00DC556E">
        <w:rPr>
          <w:bCs/>
          <w:szCs w:val="24"/>
          <w:shd w:val="clear" w:color="auto" w:fill="FFFFFF"/>
        </w:rPr>
        <w:t>КАТ</w:t>
      </w:r>
      <w:r w:rsidRPr="00DC556E">
        <w:rPr>
          <w:bCs/>
          <w:szCs w:val="24"/>
          <w:shd w:val="clear" w:color="auto" w:fill="FFFFFF"/>
        </w:rPr>
        <w:tab/>
      </w:r>
      <w:r w:rsidRPr="00DC556E">
        <w:rPr>
          <w:bCs/>
          <w:szCs w:val="24"/>
          <w:shd w:val="clear" w:color="auto" w:fill="FFFFFF"/>
        </w:rPr>
        <w:tab/>
        <w:t>–</w:t>
      </w:r>
      <w:r w:rsidRPr="00DC556E">
        <w:rPr>
          <w:bCs/>
          <w:szCs w:val="24"/>
          <w:shd w:val="clear" w:color="auto" w:fill="FFFFFF"/>
        </w:rPr>
        <w:tab/>
        <w:t>катетер-ассоциированный тромбоз</w:t>
      </w:r>
    </w:p>
    <w:p w14:paraId="179C57B4" w14:textId="77777777" w:rsidR="00643A32" w:rsidRPr="00DC556E" w:rsidRDefault="00643A32" w:rsidP="00643A32">
      <w:pPr>
        <w:pBdr>
          <w:top w:val="none" w:sz="4" w:space="0" w:color="000000"/>
          <w:left w:val="none" w:sz="4" w:space="0" w:color="000000"/>
          <w:bottom w:val="none" w:sz="4" w:space="0" w:color="000000"/>
          <w:right w:val="none" w:sz="4" w:space="0" w:color="000000"/>
          <w:between w:val="none" w:sz="4" w:space="0" w:color="000000"/>
        </w:pBdr>
        <w:spacing w:before="0" w:after="0"/>
        <w:rPr>
          <w:bCs/>
          <w:szCs w:val="24"/>
          <w:shd w:val="clear" w:color="auto" w:fill="FFFFFF"/>
        </w:rPr>
      </w:pPr>
      <w:r w:rsidRPr="00DC556E">
        <w:rPr>
          <w:bCs/>
          <w:szCs w:val="24"/>
          <w:shd w:val="clear" w:color="auto" w:fill="FFFFFF"/>
        </w:rPr>
        <w:t>КТ</w:t>
      </w:r>
      <w:r w:rsidRPr="00DC556E">
        <w:rPr>
          <w:bCs/>
          <w:szCs w:val="24"/>
          <w:shd w:val="clear" w:color="auto" w:fill="FFFFFF"/>
        </w:rPr>
        <w:tab/>
      </w:r>
      <w:r w:rsidRPr="00DC556E">
        <w:rPr>
          <w:bCs/>
          <w:szCs w:val="24"/>
          <w:shd w:val="clear" w:color="auto" w:fill="FFFFFF"/>
        </w:rPr>
        <w:tab/>
        <w:t>–</w:t>
      </w:r>
      <w:r w:rsidRPr="00DC556E">
        <w:rPr>
          <w:bCs/>
          <w:szCs w:val="24"/>
          <w:shd w:val="clear" w:color="auto" w:fill="FFFFFF"/>
        </w:rPr>
        <w:tab/>
        <w:t>компьютерная томография</w:t>
      </w:r>
    </w:p>
    <w:p w14:paraId="63DD4AF0" w14:textId="77777777" w:rsidR="00643A32" w:rsidRPr="00DC556E" w:rsidRDefault="00643A32" w:rsidP="00643A32">
      <w:pPr>
        <w:pBdr>
          <w:top w:val="none" w:sz="4" w:space="0" w:color="000000"/>
          <w:left w:val="none" w:sz="4" w:space="0" w:color="000000"/>
          <w:bottom w:val="none" w:sz="4" w:space="0" w:color="000000"/>
          <w:right w:val="none" w:sz="4" w:space="0" w:color="000000"/>
          <w:between w:val="none" w:sz="4" w:space="0" w:color="000000"/>
        </w:pBdr>
        <w:spacing w:before="0" w:after="0"/>
        <w:rPr>
          <w:bCs/>
          <w:szCs w:val="24"/>
          <w:shd w:val="clear" w:color="auto" w:fill="FFFFFF"/>
        </w:rPr>
      </w:pPr>
      <w:r w:rsidRPr="00DC556E">
        <w:rPr>
          <w:bCs/>
          <w:szCs w:val="24"/>
          <w:shd w:val="clear" w:color="auto" w:fill="FFFFFF"/>
        </w:rPr>
        <w:t>МРТ</w:t>
      </w:r>
      <w:r w:rsidRPr="00DC556E">
        <w:rPr>
          <w:bCs/>
          <w:szCs w:val="24"/>
          <w:shd w:val="clear" w:color="auto" w:fill="FFFFFF"/>
        </w:rPr>
        <w:tab/>
      </w:r>
      <w:r w:rsidRPr="00DC556E">
        <w:rPr>
          <w:bCs/>
          <w:szCs w:val="24"/>
          <w:shd w:val="clear" w:color="auto" w:fill="FFFFFF"/>
        </w:rPr>
        <w:tab/>
        <w:t>–</w:t>
      </w:r>
      <w:r w:rsidRPr="00DC556E">
        <w:rPr>
          <w:bCs/>
          <w:szCs w:val="24"/>
          <w:shd w:val="clear" w:color="auto" w:fill="FFFFFF"/>
        </w:rPr>
        <w:tab/>
        <w:t>магнитно-резонансная томография</w:t>
      </w:r>
    </w:p>
    <w:p w14:paraId="3B90BC05" w14:textId="77777777" w:rsidR="00643A32" w:rsidRPr="00DC556E" w:rsidRDefault="00643A32" w:rsidP="00643A32">
      <w:pPr>
        <w:pBdr>
          <w:top w:val="none" w:sz="4" w:space="0" w:color="000000"/>
          <w:left w:val="none" w:sz="4" w:space="0" w:color="000000"/>
          <w:bottom w:val="none" w:sz="4" w:space="0" w:color="000000"/>
          <w:right w:val="none" w:sz="4" w:space="0" w:color="000000"/>
          <w:between w:val="none" w:sz="4" w:space="0" w:color="000000"/>
        </w:pBdr>
        <w:spacing w:before="0" w:after="0"/>
        <w:rPr>
          <w:bCs/>
          <w:szCs w:val="24"/>
          <w:shd w:val="clear" w:color="auto" w:fill="FFFFFF"/>
        </w:rPr>
      </w:pPr>
      <w:r w:rsidRPr="00DC556E">
        <w:rPr>
          <w:bCs/>
          <w:szCs w:val="24"/>
          <w:shd w:val="clear" w:color="auto" w:fill="FFFFFF"/>
        </w:rPr>
        <w:t>НПВ</w:t>
      </w:r>
      <w:r w:rsidRPr="00DC556E">
        <w:rPr>
          <w:bCs/>
          <w:szCs w:val="24"/>
          <w:shd w:val="clear" w:color="auto" w:fill="FFFFFF"/>
        </w:rPr>
        <w:tab/>
      </w:r>
      <w:r w:rsidRPr="00DC556E">
        <w:rPr>
          <w:bCs/>
          <w:szCs w:val="24"/>
          <w:shd w:val="clear" w:color="auto" w:fill="FFFFFF"/>
        </w:rPr>
        <w:tab/>
        <w:t>–</w:t>
      </w:r>
      <w:r w:rsidRPr="00DC556E">
        <w:rPr>
          <w:bCs/>
          <w:szCs w:val="24"/>
          <w:shd w:val="clear" w:color="auto" w:fill="FFFFFF"/>
        </w:rPr>
        <w:tab/>
        <w:t>нижняя полая вена</w:t>
      </w:r>
    </w:p>
    <w:p w14:paraId="3A89D5B2" w14:textId="77777777" w:rsidR="00643A32" w:rsidRPr="00DC556E" w:rsidRDefault="00643A32" w:rsidP="00643A32">
      <w:pPr>
        <w:pBdr>
          <w:top w:val="none" w:sz="4" w:space="0" w:color="000000"/>
          <w:left w:val="none" w:sz="4" w:space="0" w:color="000000"/>
          <w:bottom w:val="none" w:sz="4" w:space="0" w:color="000000"/>
          <w:right w:val="none" w:sz="4" w:space="0" w:color="000000"/>
          <w:between w:val="none" w:sz="4" w:space="0" w:color="000000"/>
        </w:pBdr>
        <w:spacing w:before="0" w:after="0"/>
        <w:rPr>
          <w:bCs/>
          <w:szCs w:val="24"/>
          <w:shd w:val="clear" w:color="auto" w:fill="FFFFFF"/>
        </w:rPr>
      </w:pPr>
      <w:r w:rsidRPr="00DC556E">
        <w:rPr>
          <w:bCs/>
          <w:szCs w:val="24"/>
          <w:shd w:val="clear" w:color="auto" w:fill="FFFFFF"/>
        </w:rPr>
        <w:t>ПИЦВК</w:t>
      </w:r>
      <w:r w:rsidRPr="00DC556E">
        <w:rPr>
          <w:bCs/>
          <w:szCs w:val="24"/>
          <w:shd w:val="clear" w:color="auto" w:fill="FFFFFF"/>
        </w:rPr>
        <w:tab/>
        <w:t>–</w:t>
      </w:r>
      <w:r w:rsidRPr="00DC556E">
        <w:rPr>
          <w:bCs/>
          <w:szCs w:val="24"/>
          <w:shd w:val="clear" w:color="auto" w:fill="FFFFFF"/>
        </w:rPr>
        <w:tab/>
        <w:t>периферически имплантируемый центральный венозный катетер</w:t>
      </w:r>
    </w:p>
    <w:p w14:paraId="54D7EB40" w14:textId="77777777" w:rsidR="00643A32" w:rsidRPr="00DC556E" w:rsidRDefault="00643A32" w:rsidP="00643A32">
      <w:pPr>
        <w:pBdr>
          <w:top w:val="none" w:sz="4" w:space="0" w:color="000000"/>
          <w:left w:val="none" w:sz="4" w:space="0" w:color="000000"/>
          <w:bottom w:val="none" w:sz="4" w:space="0" w:color="000000"/>
          <w:right w:val="none" w:sz="4" w:space="0" w:color="000000"/>
          <w:between w:val="none" w:sz="4" w:space="0" w:color="000000"/>
        </w:pBdr>
        <w:spacing w:before="0" w:after="0"/>
        <w:rPr>
          <w:bCs/>
          <w:szCs w:val="24"/>
          <w:shd w:val="clear" w:color="auto" w:fill="FFFFFF"/>
        </w:rPr>
      </w:pPr>
      <w:r w:rsidRPr="00DC556E">
        <w:rPr>
          <w:bCs/>
          <w:szCs w:val="24"/>
          <w:shd w:val="clear" w:color="auto" w:fill="FFFFFF"/>
        </w:rPr>
        <w:t>ТГСК</w:t>
      </w:r>
      <w:r w:rsidRPr="00DC556E">
        <w:rPr>
          <w:bCs/>
          <w:szCs w:val="24"/>
          <w:shd w:val="clear" w:color="auto" w:fill="FFFFFF"/>
        </w:rPr>
        <w:tab/>
      </w:r>
      <w:r w:rsidRPr="00DC556E">
        <w:rPr>
          <w:bCs/>
          <w:szCs w:val="24"/>
          <w:shd w:val="clear" w:color="auto" w:fill="FFFFFF"/>
        </w:rPr>
        <w:tab/>
        <w:t>–</w:t>
      </w:r>
      <w:r w:rsidRPr="00DC556E">
        <w:rPr>
          <w:bCs/>
          <w:szCs w:val="24"/>
          <w:shd w:val="clear" w:color="auto" w:fill="FFFFFF"/>
        </w:rPr>
        <w:tab/>
        <w:t>трансплантация гемопоэтических стволовых клеток</w:t>
      </w:r>
    </w:p>
    <w:p w14:paraId="7A68CB11" w14:textId="77777777" w:rsidR="00643A32" w:rsidRPr="00DC556E" w:rsidRDefault="00643A32" w:rsidP="00643A32">
      <w:pPr>
        <w:pBdr>
          <w:top w:val="none" w:sz="4" w:space="0" w:color="000000"/>
          <w:left w:val="none" w:sz="4" w:space="0" w:color="000000"/>
          <w:bottom w:val="none" w:sz="4" w:space="0" w:color="000000"/>
          <w:right w:val="none" w:sz="4" w:space="0" w:color="000000"/>
          <w:between w:val="none" w:sz="4" w:space="0" w:color="000000"/>
        </w:pBdr>
        <w:spacing w:before="0" w:after="0"/>
        <w:rPr>
          <w:bCs/>
          <w:szCs w:val="24"/>
          <w:shd w:val="clear" w:color="auto" w:fill="FFFFFF"/>
        </w:rPr>
      </w:pPr>
      <w:r w:rsidRPr="00DC556E">
        <w:rPr>
          <w:bCs/>
          <w:szCs w:val="24"/>
          <w:shd w:val="clear" w:color="auto" w:fill="FFFFFF"/>
        </w:rPr>
        <w:t>УЗИ</w:t>
      </w:r>
      <w:r w:rsidRPr="00DC556E">
        <w:rPr>
          <w:bCs/>
          <w:szCs w:val="24"/>
          <w:shd w:val="clear" w:color="auto" w:fill="FFFFFF"/>
        </w:rPr>
        <w:tab/>
      </w:r>
      <w:r w:rsidRPr="00DC556E">
        <w:rPr>
          <w:bCs/>
          <w:szCs w:val="24"/>
          <w:shd w:val="clear" w:color="auto" w:fill="FFFFFF"/>
        </w:rPr>
        <w:tab/>
        <w:t>–</w:t>
      </w:r>
      <w:r w:rsidRPr="00DC556E">
        <w:rPr>
          <w:bCs/>
          <w:szCs w:val="24"/>
          <w:shd w:val="clear" w:color="auto" w:fill="FFFFFF"/>
        </w:rPr>
        <w:tab/>
        <w:t>ультразвуковое исследование</w:t>
      </w:r>
    </w:p>
    <w:p w14:paraId="21433CB2" w14:textId="77777777" w:rsidR="00643A32" w:rsidRPr="00DC556E" w:rsidRDefault="00643A32" w:rsidP="00643A32">
      <w:pPr>
        <w:pBdr>
          <w:top w:val="none" w:sz="4" w:space="0" w:color="000000"/>
          <w:left w:val="none" w:sz="4" w:space="0" w:color="000000"/>
          <w:bottom w:val="none" w:sz="4" w:space="0" w:color="000000"/>
          <w:right w:val="none" w:sz="4" w:space="0" w:color="000000"/>
          <w:between w:val="none" w:sz="4" w:space="0" w:color="000000"/>
        </w:pBdr>
        <w:spacing w:before="0" w:after="0"/>
        <w:rPr>
          <w:bCs/>
          <w:szCs w:val="24"/>
          <w:shd w:val="clear" w:color="auto" w:fill="FFFFFF"/>
        </w:rPr>
      </w:pPr>
      <w:r w:rsidRPr="00DC556E">
        <w:rPr>
          <w:bCs/>
          <w:szCs w:val="24"/>
          <w:shd w:val="clear" w:color="auto" w:fill="FFFFFF"/>
        </w:rPr>
        <w:t>ЦВК</w:t>
      </w:r>
      <w:r w:rsidRPr="00DC556E">
        <w:rPr>
          <w:bCs/>
          <w:szCs w:val="24"/>
          <w:shd w:val="clear" w:color="auto" w:fill="FFFFFF"/>
        </w:rPr>
        <w:tab/>
      </w:r>
      <w:r w:rsidRPr="00DC556E">
        <w:rPr>
          <w:bCs/>
          <w:szCs w:val="24"/>
          <w:shd w:val="clear" w:color="auto" w:fill="FFFFFF"/>
        </w:rPr>
        <w:tab/>
        <w:t>–</w:t>
      </w:r>
      <w:r w:rsidRPr="00DC556E">
        <w:rPr>
          <w:bCs/>
          <w:szCs w:val="24"/>
          <w:shd w:val="clear" w:color="auto" w:fill="FFFFFF"/>
        </w:rPr>
        <w:tab/>
        <w:t>центральный венозный катетер</w:t>
      </w:r>
    </w:p>
    <w:p w14:paraId="2B7C3356" w14:textId="77777777" w:rsidR="00643A32" w:rsidRPr="00DC556E" w:rsidRDefault="00643A32" w:rsidP="00643A32">
      <w:pPr>
        <w:pBdr>
          <w:top w:val="none" w:sz="4" w:space="0" w:color="000000"/>
          <w:left w:val="none" w:sz="4" w:space="0" w:color="000000"/>
          <w:bottom w:val="none" w:sz="4" w:space="0" w:color="000000"/>
          <w:right w:val="none" w:sz="4" w:space="0" w:color="000000"/>
          <w:between w:val="none" w:sz="4" w:space="0" w:color="000000"/>
        </w:pBdr>
        <w:spacing w:before="0" w:after="0"/>
        <w:rPr>
          <w:bCs/>
          <w:szCs w:val="24"/>
          <w:shd w:val="clear" w:color="auto" w:fill="FFFFFF"/>
        </w:rPr>
      </w:pPr>
      <w:r w:rsidRPr="00DC556E">
        <w:rPr>
          <w:bCs/>
          <w:szCs w:val="24"/>
          <w:shd w:val="clear" w:color="auto" w:fill="FFFFFF"/>
        </w:rPr>
        <w:t>ЭКГ</w:t>
      </w:r>
      <w:r w:rsidRPr="00DC556E">
        <w:rPr>
          <w:bCs/>
          <w:szCs w:val="24"/>
          <w:shd w:val="clear" w:color="auto" w:fill="FFFFFF"/>
        </w:rPr>
        <w:tab/>
      </w:r>
      <w:r w:rsidRPr="00DC556E">
        <w:rPr>
          <w:bCs/>
          <w:szCs w:val="24"/>
          <w:shd w:val="clear" w:color="auto" w:fill="FFFFFF"/>
        </w:rPr>
        <w:tab/>
        <w:t>–</w:t>
      </w:r>
      <w:r w:rsidRPr="00DC556E">
        <w:rPr>
          <w:bCs/>
          <w:szCs w:val="24"/>
          <w:shd w:val="clear" w:color="auto" w:fill="FFFFFF"/>
        </w:rPr>
        <w:tab/>
        <w:t>электрокардиография</w:t>
      </w:r>
    </w:p>
    <w:p w14:paraId="242D7EA5" w14:textId="77777777" w:rsidR="00643A32" w:rsidRPr="00DC556E" w:rsidRDefault="00643A32" w:rsidP="00643A32">
      <w:pPr>
        <w:pBdr>
          <w:top w:val="none" w:sz="4" w:space="0" w:color="000000"/>
          <w:left w:val="none" w:sz="4" w:space="0" w:color="000000"/>
          <w:bottom w:val="none" w:sz="4" w:space="0" w:color="000000"/>
          <w:right w:val="none" w:sz="4" w:space="0" w:color="000000"/>
          <w:between w:val="none" w:sz="4" w:space="0" w:color="000000"/>
        </w:pBdr>
        <w:spacing w:before="0" w:after="0"/>
        <w:rPr>
          <w:b/>
          <w:bCs/>
          <w:szCs w:val="24"/>
          <w:shd w:val="clear" w:color="auto" w:fill="FFFFFF"/>
        </w:rPr>
      </w:pPr>
      <w:r w:rsidRPr="00DC556E">
        <w:rPr>
          <w:b/>
          <w:bCs/>
          <w:szCs w:val="24"/>
          <w:shd w:val="clear" w:color="auto" w:fill="FFFFFF"/>
        </w:rPr>
        <w:t xml:space="preserve">ОБЩИЕ СВЕДЕНИЯ </w:t>
      </w:r>
    </w:p>
    <w:p w14:paraId="00604BC6" w14:textId="77777777" w:rsidR="00643A32" w:rsidRPr="00DC556E" w:rsidRDefault="00643A32" w:rsidP="00643A32">
      <w:pPr>
        <w:spacing w:before="0" w:after="0"/>
        <w:ind w:firstLine="709"/>
        <w:rPr>
          <w:szCs w:val="24"/>
          <w:shd w:val="clear" w:color="auto" w:fill="FFFFFF"/>
        </w:rPr>
      </w:pPr>
      <w:r w:rsidRPr="00DC556E">
        <w:rPr>
          <w:szCs w:val="24"/>
          <w:shd w:val="clear" w:color="auto" w:fill="FFFFFF"/>
        </w:rPr>
        <w:t>Обеспечение сосудистого доступа является неотъемлемой составляющей частью современной химиотерапии онкогематологических больных</w:t>
      </w:r>
      <w:r w:rsidRPr="00DC556E">
        <w:rPr>
          <w:szCs w:val="24"/>
        </w:rPr>
        <w:t xml:space="preserve">. </w:t>
      </w:r>
      <w:r w:rsidRPr="00DC556E">
        <w:rPr>
          <w:szCs w:val="24"/>
          <w:shd w:val="clear" w:color="auto" w:fill="FFFFFF"/>
        </w:rPr>
        <w:t xml:space="preserve">Через центральный венозный катетер (ЦВК) вводятся химиотерапевтические препараты, корригируются электролитные нарушения, проводится парентеральное питание, осуществляется взятие образцов крови для исследования и т.д. </w:t>
      </w:r>
    </w:p>
    <w:p w14:paraId="09479784" w14:textId="3692EA3F" w:rsidR="00643A32" w:rsidRPr="00DC556E" w:rsidRDefault="00643A32" w:rsidP="00643A32">
      <w:pPr>
        <w:spacing w:before="0" w:after="0"/>
        <w:ind w:firstLine="709"/>
        <w:rPr>
          <w:szCs w:val="24"/>
        </w:rPr>
      </w:pPr>
      <w:r w:rsidRPr="00DC556E">
        <w:rPr>
          <w:szCs w:val="24"/>
        </w:rPr>
        <w:t>Выделяют следующие особенности сосудистого доступа в гематологии: необходимость только внутривенного введения многих лекарственных препаратов, массивность инфузионных программ</w:t>
      </w:r>
      <w:r w:rsidR="004C0C25" w:rsidRPr="004C0C25">
        <w:rPr>
          <w:szCs w:val="24"/>
        </w:rPr>
        <w:t>,</w:t>
      </w:r>
      <w:r w:rsidRPr="00DC556E">
        <w:rPr>
          <w:szCs w:val="24"/>
        </w:rPr>
        <w:t xml:space="preserve"> сдавление крупных венозных сосудов увеличенными лимфатическими узлами и/или опухолевой массой, </w:t>
      </w:r>
      <w:r w:rsidRPr="00DC556E">
        <w:rPr>
          <w:rFonts w:eastAsia="Times New Roman"/>
          <w:szCs w:val="24"/>
        </w:rPr>
        <w:t>как с внутригрудным, так и с внутрибрюшным поражением,</w:t>
      </w:r>
      <w:r w:rsidRPr="00DC556E">
        <w:rPr>
          <w:szCs w:val="24"/>
        </w:rPr>
        <w:t xml:space="preserve"> что значительно затрудняет задачу обеспечения сосудистого доступа </w:t>
      </w:r>
      <w:r w:rsidRPr="00DC556E">
        <w:rPr>
          <w:szCs w:val="24"/>
        </w:rPr>
        <w:fldChar w:fldCharType="begin" w:fldLock="1"/>
      </w:r>
      <w:r>
        <w:rPr>
          <w:szCs w:val="24"/>
        </w:rPr>
        <w:instrText>ADDIN CSL_CITATION {"citationItems":[{"id":"ITEM-1","itemData":{"abstract":"NTRODUCTION. SVCS results from compression of the superior vena cava. Lymphoma - one of the most frequent causes of the malignant SVCS.\r\nThe aim of the study was to identify the incidence of SVCS in lymphoma pts and features of the central venous access in lymphoma pts\r\nwith SVCS. METHODS. Materials and methods. 686 lymphoma pts (311 male,\r\n375 female) were included in the prospective study. The pts suffered\r\nfrom Hodgkin's lymphoma (HL) (69 pts) and non-Hodgkin's lymphoma (NHL) (617 pts). In all pts SVCS was diagnosed clinically and was\r\nconfirmed by CT scan or MRI. In pts with confirmed SVCS the central\r\nvenous access was provided by non-tunneled central venous catheters (non-tCVCs) (Certofix DUO 7Fr, BBraun) and totally implantable\r\ncentral venous port system (PowerPort, Bard Access System). The indwelling time, the number of the replaced CVCs and the incidence of complications were analyzed. Statistic: SPSS ver.23 (IBM, Chicago, II., USA). Pearson's chi-squared test and Fisher's exact test were used.\r\nRESULTS. . SVCS was revealed in 70 (10.2%) of 686 lymphoma pts (9 pts with HL and 61 pts with NHL). Among lymphoma pts the frequency of SVCS was highest in pts with primary mediastinal large Bcell lymphoma (PMBCL). SVCS was revealed in 49 (51.6%) of 95 PMBCL pts. In SVCS pts venous access was provided by non-tCVC\r\ninserted in femoral vein (50 pts) and TIVAPS (20 pts) implanted into v. cava inferior through the femoral vein. TIVAPS reservoirs were implanted on the thigh. During lymphoma treatment most pts with non-tCVCs needed repeated catheterizations: median 3 (1-14) CVCs. Among pts with TIVAPS only in 3 pts TIVAPS needed repeated catheterizations; their TIVAPS were removed due to complications. The median indwelling times were 6 (1-129) catheter days for CVCs and\r\n164 (1-280) catheter days for TIVAPS (p&lt;0.05). Incidences of CVC related bloodstream infections (CRBSI) were 2.1/1000 catheter days for\r\nCVCs and 0.1/1000 catheter days for TIVAPS. Incidence of CVC associated thrombosis (CAT) were 4.1/1000 catheter days for CVCs and 0.5/\r\n1000 catheter days for TIVAPS. One patient had infection of the subcutaneous pocket (0.3/1000 catheter days). The reasons for nontCVCs removal were the treatment completion (82.8%) and complications: CRBSI (7.1%), CAT (8.5%), malfunction (1.6%). The reasons for the TIVAPS removal were the treatment completion (85%), CRBSI (5%), infection of the subcutaneous pocket (5%) and CAT (5%). CONCLUSION. SVCS was revealed in 10.2% l…","author":[{"dropping-particle":"","family":"SPIRIN","given":"M.","non-dropping-particle":"","parse-names":false,"suffix":""},{"dropping-particle":"","family":"GALSTYAN","given":"G.","non-dropping-particle":"","parse-names":false,"suffix":""},{"dropping-particle":"","family":"DROKOV","given":"M.","non-dropping-particle":"","parse-names":false,"suffix":""}],"container-title":"INTENSIVE CARE MEDICINE EXPERIMENTAL","id":"ITEM-1","issue":"Suppl. 3:001341","issued":{"date-parts":[["2019"]]},"page":"388-389","title":"Central venous access in lymphoma patients (pts) with superior vena cava syndrome (SVCS)","type":"article-journal","volume":"7"},"uris":["http://www.mendeley.com/documents/?uuid=d4b66f57-5a46-3b0e-bb39-8451d9534a0c","http://www.mendeley.com/documents/?uuid=c29428ae-471c-4ca0-bb6e-1085dbeae434","http://www.mendeley.com/documents/?uuid=fb8931ce-1ebb-424a-951e-713e3f6039a8"]}],"mendeley":{"formattedCitation":"[13]","plainTextFormattedCitation":"[13]","previouslyFormattedCitation":"[1]"},"properties":{"noteIndex":0},"schema":"https://github.com/citation-style-language/schema/raw/master/csl-citation.json"}</w:instrText>
      </w:r>
      <w:r w:rsidRPr="00DC556E">
        <w:rPr>
          <w:szCs w:val="24"/>
        </w:rPr>
        <w:fldChar w:fldCharType="separate"/>
      </w:r>
      <w:r w:rsidRPr="00440A23">
        <w:rPr>
          <w:noProof/>
          <w:szCs w:val="24"/>
        </w:rPr>
        <w:t>[13]</w:t>
      </w:r>
      <w:r w:rsidRPr="00DC556E">
        <w:rPr>
          <w:szCs w:val="24"/>
        </w:rPr>
        <w:fldChar w:fldCharType="end"/>
      </w:r>
      <w:r w:rsidRPr="00DC556E">
        <w:rPr>
          <w:szCs w:val="24"/>
        </w:rPr>
        <w:t xml:space="preserve">, высокий риск геморрагического синдрома (врожденные и приобретенные коагулопатии, тромбоцитопения), тромбоза, большая продолжительность лечения. В общей сложности, в надежном сосудистом доступе онкогематологические пациенты нуждаются от нескольких месяцев до года, как в стационарных, так и амбулаторных условиях. Использование с этой целью периферического венозного доступа </w:t>
      </w:r>
      <w:r w:rsidRPr="00DC556E">
        <w:rPr>
          <w:szCs w:val="24"/>
        </w:rPr>
        <w:lastRenderedPageBreak/>
        <w:t xml:space="preserve">неприемлемо, поскольку большинство вводимых растворов обладает раздражающим действием (везиканты, ирританты, эксфолианты) и экстравазация таких препаратов в подкожную клетчатку может привести к ее некрозу </w:t>
      </w:r>
      <w:r w:rsidRPr="00DC556E">
        <w:rPr>
          <w:szCs w:val="24"/>
        </w:rPr>
        <w:fldChar w:fldCharType="begin" w:fldLock="1"/>
      </w:r>
      <w:r>
        <w:rPr>
          <w:szCs w:val="24"/>
        </w:rPr>
        <w:instrText>ADDIN CSL_CITATION {"citationItems":[{"id":"ITEM-1","itemData":{"DOI":"10.1007/s12254-016-0304-2","ISSN":"1865-5041","PMID":"28058065","abstract":"In cancer treatment, extravasation is defined as an inadvertent instillation or leakage of cytotoxic drugs into the perivascular space during infusion. As a dreaded complication of chemotherapy, extravasation has gained increasing attention in recent years. Classified according to their subcutaneous toxicity, three types of cytotoxins have been established: vesicants, irritants and nonvesicant drugs. Vesicant cytotoxic drugs may induce tissue damage, ulceration and tissue necrosis. Although we have established measures to manage extravasation emergencies, prevention is of paramount importance. This may be achieved within hospitals through regular training and education, which is best provided by a specialised and experienced task force including all disciplines involved in cancer therapy. Moreover, clinical and translational studies contribute to a better management of chemotherapy-induced extravasation as shown by our group in recent years. We were able to demonstrate that the evaluation of blood flow by indocyanine green angiography in the extravasation area predicts the extent of damage and the need of future surgical intervention. When a Port-a-Cath® extravasation is detected early, a subcutaneous wash-out procedure was found to be beneficial, corroborated by the analytical evaluation of the removed cytotoxic compound epirubicin. In another study, the tissue distribution of platinum was quantified at the anatomic level in cryosections of various tissues. This novel knowledge complements and supports our current efforts to handle extravasations better. On the other hand, a number of new drugs (chemotherapy, monoclonal antibodies, checkpoint inhibitors etc.) with many open issues to reliably classify their tissue toxicity still require our attention.","author":[{"dropping-particle":"","family":"Pluschnig","given":"Ursula","non-dropping-particle":"","parse-names":false,"suffix":""},{"dropping-particle":"","family":"Haslik","given":"Werner","non-dropping-particle":"","parse-names":false,"suffix":""},{"dropping-particle":"","family":"Bartsch","given":"Rupert","non-dropping-particle":"","parse-names":false,"suffix":""},{"dropping-particle":"","family":"Mader","given":"Robert M","non-dropping-particle":"","parse-names":false,"suffix":""}],"container-title":"Memo","id":"ITEM-1","issue":"4","issued":{"date-parts":[["2016"]]},"page":"226-230","publisher":"Springer","title":"Extravasation emergencies: state-of-the-art management and progress in clinical research.","type":"article-journal","volume":"9"},"uris":["http://www.mendeley.com/documents/?uuid=587be6ac-ed25-3be6-bca1-30c719328058","http://www.mendeley.com/documents/?uuid=c68b929c-03c4-4e97-a7f2-a77565a8b80c"]}],"mendeley":{"formattedCitation":"[11]","plainTextFormattedCitation":"[11]","previouslyFormattedCitation":"[2]"},"properties":{"noteIndex":0},"schema":"https://github.com/citation-style-language/schema/raw/master/csl-citation.json"}</w:instrText>
      </w:r>
      <w:r w:rsidRPr="00DC556E">
        <w:rPr>
          <w:szCs w:val="24"/>
        </w:rPr>
        <w:fldChar w:fldCharType="separate"/>
      </w:r>
      <w:r w:rsidRPr="00440A23">
        <w:rPr>
          <w:noProof/>
          <w:szCs w:val="24"/>
        </w:rPr>
        <w:t>[11]</w:t>
      </w:r>
      <w:r w:rsidRPr="00DC556E">
        <w:rPr>
          <w:szCs w:val="24"/>
        </w:rPr>
        <w:fldChar w:fldCharType="end"/>
      </w:r>
      <w:r w:rsidRPr="00DC556E">
        <w:rPr>
          <w:szCs w:val="24"/>
        </w:rPr>
        <w:t>. Помимо этого, у многих больных вследствие проводимой ранее химиотерапии нередко отсутствуют доступные периферические вены.</w:t>
      </w:r>
    </w:p>
    <w:p w14:paraId="1A8C595B" w14:textId="77777777" w:rsidR="00643A32" w:rsidRPr="00DC556E" w:rsidRDefault="00643A32" w:rsidP="00643A32">
      <w:pPr>
        <w:spacing w:before="0" w:after="0"/>
        <w:ind w:firstLine="709"/>
        <w:rPr>
          <w:szCs w:val="24"/>
        </w:rPr>
      </w:pPr>
      <w:r w:rsidRPr="00DC556E">
        <w:rPr>
          <w:b/>
          <w:bCs/>
          <w:szCs w:val="24"/>
        </w:rPr>
        <w:t>Показания к катетеризации центральных вен.</w:t>
      </w:r>
    </w:p>
    <w:p w14:paraId="154CB4F8" w14:textId="77777777" w:rsidR="00643A32" w:rsidRPr="00DC556E" w:rsidRDefault="00643A32" w:rsidP="00CE6C1C">
      <w:pPr>
        <w:pStyle w:val="a6"/>
        <w:numPr>
          <w:ilvl w:val="0"/>
          <w:numId w:val="92"/>
        </w:numPr>
        <w:spacing w:before="0" w:after="0"/>
        <w:ind w:left="993" w:hanging="284"/>
        <w:rPr>
          <w:rFonts w:eastAsia="Times New Roman"/>
          <w:szCs w:val="24"/>
          <w:lang w:eastAsia="ru-RU"/>
        </w:rPr>
      </w:pPr>
      <w:r w:rsidRPr="00DC556E">
        <w:rPr>
          <w:rFonts w:eastAsia="Times New Roman"/>
          <w:szCs w:val="24"/>
          <w:lang w:eastAsia="ru-RU"/>
        </w:rPr>
        <w:t>ограниченный доступ к периферическим венам,</w:t>
      </w:r>
    </w:p>
    <w:p w14:paraId="3AC74C2C" w14:textId="77777777" w:rsidR="00643A32" w:rsidRPr="00DC556E" w:rsidRDefault="00643A32" w:rsidP="00CE6C1C">
      <w:pPr>
        <w:pStyle w:val="a6"/>
        <w:numPr>
          <w:ilvl w:val="0"/>
          <w:numId w:val="92"/>
        </w:numPr>
        <w:spacing w:before="0" w:after="0"/>
        <w:ind w:left="993" w:hanging="284"/>
        <w:rPr>
          <w:rFonts w:eastAsia="Times New Roman"/>
          <w:szCs w:val="24"/>
          <w:lang w:eastAsia="ru-RU"/>
        </w:rPr>
      </w:pPr>
      <w:r w:rsidRPr="00DC556E">
        <w:rPr>
          <w:rFonts w:eastAsia="Times New Roman"/>
          <w:szCs w:val="24"/>
          <w:lang w:eastAsia="ru-RU"/>
        </w:rPr>
        <w:t>необходимость проведения химиотерапии или парентерального питания, массивная инфузионная терапия,</w:t>
      </w:r>
    </w:p>
    <w:p w14:paraId="0AC20D6A" w14:textId="77777777" w:rsidR="00643A32" w:rsidRPr="00DC556E" w:rsidRDefault="00643A32" w:rsidP="00CE6C1C">
      <w:pPr>
        <w:pStyle w:val="a6"/>
        <w:numPr>
          <w:ilvl w:val="0"/>
          <w:numId w:val="92"/>
        </w:numPr>
        <w:spacing w:before="0" w:after="0"/>
        <w:ind w:left="993" w:hanging="284"/>
        <w:rPr>
          <w:rFonts w:eastAsia="Times New Roman"/>
          <w:szCs w:val="24"/>
          <w:lang w:eastAsia="ru-RU"/>
        </w:rPr>
      </w:pPr>
      <w:r w:rsidRPr="00DC556E">
        <w:rPr>
          <w:rFonts w:eastAsia="Times New Roman"/>
          <w:szCs w:val="24"/>
          <w:lang w:eastAsia="ru-RU"/>
        </w:rPr>
        <w:t>необходимость мониторинга гемодинамики (центральное венозное давление),</w:t>
      </w:r>
    </w:p>
    <w:p w14:paraId="51895A12" w14:textId="77777777" w:rsidR="00643A32" w:rsidRPr="00DC556E" w:rsidRDefault="00643A32" w:rsidP="00CE6C1C">
      <w:pPr>
        <w:pStyle w:val="a6"/>
        <w:numPr>
          <w:ilvl w:val="0"/>
          <w:numId w:val="92"/>
        </w:numPr>
        <w:spacing w:before="0" w:after="0"/>
        <w:ind w:left="993" w:hanging="284"/>
        <w:rPr>
          <w:rFonts w:eastAsia="Times New Roman"/>
          <w:szCs w:val="24"/>
          <w:lang w:eastAsia="ru-RU"/>
        </w:rPr>
      </w:pPr>
      <w:r w:rsidRPr="00DC556E">
        <w:rPr>
          <w:rFonts w:eastAsia="Times New Roman"/>
          <w:szCs w:val="24"/>
          <w:lang w:eastAsia="ru-RU"/>
        </w:rPr>
        <w:t>необходимость мониторинга давления в легочной артерии,</w:t>
      </w:r>
    </w:p>
    <w:p w14:paraId="1D515815" w14:textId="77777777" w:rsidR="00643A32" w:rsidRPr="00DC556E" w:rsidRDefault="00643A32" w:rsidP="00CE6C1C">
      <w:pPr>
        <w:pStyle w:val="a6"/>
        <w:numPr>
          <w:ilvl w:val="0"/>
          <w:numId w:val="92"/>
        </w:numPr>
        <w:spacing w:before="0" w:after="0"/>
        <w:ind w:left="993" w:hanging="284"/>
        <w:rPr>
          <w:rFonts w:eastAsia="Times New Roman"/>
          <w:szCs w:val="24"/>
          <w:lang w:eastAsia="ru-RU"/>
        </w:rPr>
      </w:pPr>
      <w:r w:rsidRPr="00DC556E">
        <w:rPr>
          <w:rFonts w:eastAsia="Times New Roman"/>
          <w:szCs w:val="24"/>
          <w:lang w:eastAsia="ru-RU"/>
        </w:rPr>
        <w:t>установка кардиостимулятора,</w:t>
      </w:r>
    </w:p>
    <w:p w14:paraId="54ACD48D" w14:textId="77777777" w:rsidR="00643A32" w:rsidRPr="00DC556E" w:rsidRDefault="00643A32" w:rsidP="00CE6C1C">
      <w:pPr>
        <w:pStyle w:val="a6"/>
        <w:numPr>
          <w:ilvl w:val="0"/>
          <w:numId w:val="92"/>
        </w:numPr>
        <w:spacing w:before="0" w:after="0"/>
        <w:ind w:left="993" w:hanging="284"/>
        <w:rPr>
          <w:rFonts w:eastAsia="Times New Roman"/>
          <w:szCs w:val="24"/>
          <w:lang w:eastAsia="ru-RU"/>
        </w:rPr>
      </w:pPr>
      <w:r w:rsidRPr="00DC556E">
        <w:rPr>
          <w:rFonts w:eastAsia="Times New Roman"/>
          <w:szCs w:val="24"/>
          <w:lang w:eastAsia="ru-RU"/>
        </w:rPr>
        <w:t>необходимость проведения заместительной почечной терапии.</w:t>
      </w:r>
    </w:p>
    <w:p w14:paraId="05630489" w14:textId="77777777" w:rsidR="00643A32" w:rsidRPr="00DC556E" w:rsidRDefault="00643A32" w:rsidP="00643A32">
      <w:pPr>
        <w:spacing w:before="0" w:after="0"/>
        <w:ind w:firstLine="709"/>
        <w:rPr>
          <w:b/>
          <w:bCs/>
          <w:szCs w:val="24"/>
        </w:rPr>
      </w:pPr>
      <w:r w:rsidRPr="00DC556E">
        <w:rPr>
          <w:b/>
          <w:bCs/>
          <w:szCs w:val="24"/>
        </w:rPr>
        <w:t>Противопоказания к катетеризации центральных вен</w:t>
      </w:r>
    </w:p>
    <w:p w14:paraId="42B1B10B" w14:textId="77777777" w:rsidR="00643A32" w:rsidRPr="00DC556E" w:rsidRDefault="00643A32" w:rsidP="00643A32">
      <w:pPr>
        <w:spacing w:before="0" w:after="0"/>
        <w:ind w:firstLine="709"/>
        <w:rPr>
          <w:rFonts w:eastAsia="Times New Roman"/>
          <w:szCs w:val="24"/>
          <w:lang w:eastAsia="ru-RU"/>
        </w:rPr>
      </w:pPr>
      <w:r w:rsidRPr="00DC556E">
        <w:rPr>
          <w:rFonts w:eastAsia="Times New Roman"/>
          <w:i/>
          <w:szCs w:val="24"/>
          <w:lang w:eastAsia="ru-RU"/>
        </w:rPr>
        <w:t>Абсолютные</w:t>
      </w:r>
      <w:r w:rsidRPr="00DC556E">
        <w:rPr>
          <w:rFonts w:eastAsia="Times New Roman"/>
          <w:szCs w:val="24"/>
          <w:lang w:eastAsia="ru-RU"/>
        </w:rPr>
        <w:t>:</w:t>
      </w:r>
    </w:p>
    <w:p w14:paraId="35E1D275" w14:textId="77777777" w:rsidR="00643A32" w:rsidRPr="00DC556E" w:rsidRDefault="00643A32" w:rsidP="00643A32">
      <w:pPr>
        <w:spacing w:before="0" w:after="0"/>
        <w:ind w:firstLine="709"/>
        <w:rPr>
          <w:rFonts w:eastAsia="Times New Roman"/>
          <w:szCs w:val="24"/>
          <w:lang w:eastAsia="ru-RU"/>
        </w:rPr>
      </w:pPr>
      <w:r w:rsidRPr="00DC556E">
        <w:rPr>
          <w:rFonts w:eastAsia="Times New Roman"/>
          <w:szCs w:val="24"/>
          <w:lang w:eastAsia="ru-RU"/>
        </w:rPr>
        <w:t>- воспаление в планируемом месте доступа</w:t>
      </w:r>
    </w:p>
    <w:p w14:paraId="335395B7" w14:textId="77777777" w:rsidR="00643A32" w:rsidRPr="00DC556E" w:rsidRDefault="00643A32" w:rsidP="00643A32">
      <w:pPr>
        <w:spacing w:before="0" w:after="0"/>
        <w:ind w:firstLine="709"/>
        <w:rPr>
          <w:rFonts w:eastAsia="Times New Roman"/>
          <w:szCs w:val="24"/>
          <w:lang w:eastAsia="ru-RU"/>
        </w:rPr>
      </w:pPr>
      <w:r w:rsidRPr="00DC556E">
        <w:rPr>
          <w:rFonts w:eastAsia="Times New Roman"/>
          <w:szCs w:val="24"/>
          <w:lang w:eastAsia="ru-RU"/>
        </w:rPr>
        <w:t>- недавно проведенное оперативное вмешательство в месте доступа</w:t>
      </w:r>
    </w:p>
    <w:p w14:paraId="28A364B3" w14:textId="77777777" w:rsidR="00643A32" w:rsidRPr="00DC556E" w:rsidRDefault="00643A32" w:rsidP="00643A32">
      <w:pPr>
        <w:spacing w:before="0" w:after="0"/>
        <w:ind w:firstLine="709"/>
        <w:rPr>
          <w:rFonts w:eastAsia="Times New Roman"/>
          <w:i/>
          <w:iCs/>
          <w:szCs w:val="24"/>
          <w:lang w:eastAsia="ru-RU"/>
        </w:rPr>
      </w:pPr>
      <w:r w:rsidRPr="00DC556E">
        <w:rPr>
          <w:rFonts w:eastAsia="Times New Roman"/>
          <w:i/>
          <w:iCs/>
          <w:szCs w:val="24"/>
          <w:lang w:eastAsia="ru-RU"/>
        </w:rPr>
        <w:t>Относительные</w:t>
      </w:r>
    </w:p>
    <w:p w14:paraId="1F5AEAFD" w14:textId="77777777" w:rsidR="00643A32" w:rsidRPr="00DC556E" w:rsidRDefault="00643A32" w:rsidP="00643A32">
      <w:pPr>
        <w:spacing w:before="0" w:after="0"/>
        <w:ind w:firstLine="709"/>
        <w:rPr>
          <w:rFonts w:eastAsia="Times New Roman"/>
          <w:szCs w:val="24"/>
          <w:lang w:eastAsia="ru-RU"/>
        </w:rPr>
      </w:pPr>
      <w:r w:rsidRPr="00DC556E">
        <w:rPr>
          <w:rFonts w:eastAsia="Times New Roman"/>
          <w:szCs w:val="24"/>
          <w:lang w:eastAsia="ru-RU"/>
        </w:rPr>
        <w:t>- выраженный геморрагический синдром (вследствие тромбоцитопении, гипофибриногенемии, наследственных или приобретенных коагулопатий).</w:t>
      </w:r>
    </w:p>
    <w:p w14:paraId="7DF5BC14" w14:textId="77777777" w:rsidR="00643A32" w:rsidRPr="00DC556E" w:rsidRDefault="00643A32" w:rsidP="00643A32">
      <w:pPr>
        <w:pStyle w:val="Default"/>
        <w:spacing w:line="360" w:lineRule="auto"/>
        <w:ind w:firstLine="709"/>
        <w:jc w:val="both"/>
        <w:rPr>
          <w:color w:val="auto"/>
        </w:rPr>
      </w:pPr>
      <w:r w:rsidRPr="00DC556E">
        <w:rPr>
          <w:i/>
          <w:color w:val="auto"/>
        </w:rPr>
        <w:t>Тромбоцитопения</w:t>
      </w:r>
      <w:r w:rsidRPr="00DC556E">
        <w:rPr>
          <w:color w:val="auto"/>
        </w:rPr>
        <w:t xml:space="preserve"> – одна из самых частых причин геморрагического синдрома. Хотя безопасным уровнем для катетеризации мы считаем количество тромбоцитов крови более 20 х 10</w:t>
      </w:r>
      <w:r w:rsidRPr="00DC556E">
        <w:rPr>
          <w:color w:val="auto"/>
          <w:vertAlign w:val="superscript"/>
        </w:rPr>
        <w:t>9</w:t>
      </w:r>
      <w:r w:rsidRPr="00DC556E">
        <w:rPr>
          <w:color w:val="auto"/>
        </w:rPr>
        <w:t>/л, у ряда пациентов достичь этого порогового уровня не удается вследствие различных причин, например, рефрактерность к трансфузиям. В этих случаях катетеризация центральной вены под контролем ультразвука без использования дилататора, может быть безопасной даже при количестве тромбоцитов менее 20 х 10</w:t>
      </w:r>
      <w:r w:rsidRPr="00DC556E">
        <w:rPr>
          <w:color w:val="auto"/>
          <w:vertAlign w:val="superscript"/>
        </w:rPr>
        <w:t>9</w:t>
      </w:r>
      <w:r w:rsidRPr="00DC556E">
        <w:rPr>
          <w:color w:val="auto"/>
        </w:rPr>
        <w:t>/л.</w:t>
      </w:r>
    </w:p>
    <w:p w14:paraId="573D591B" w14:textId="77777777" w:rsidR="00643A32" w:rsidRPr="00DC556E" w:rsidRDefault="00643A32" w:rsidP="00643A32">
      <w:pPr>
        <w:spacing w:before="0" w:after="0"/>
        <w:ind w:firstLine="709"/>
        <w:rPr>
          <w:szCs w:val="24"/>
        </w:rPr>
      </w:pPr>
      <w:r w:rsidRPr="00DC556E">
        <w:rPr>
          <w:i/>
          <w:szCs w:val="24"/>
        </w:rPr>
        <w:t>Плазменная концентрация фибриногена</w:t>
      </w:r>
      <w:r w:rsidRPr="00DC556E">
        <w:rPr>
          <w:szCs w:val="24"/>
        </w:rPr>
        <w:t xml:space="preserve"> ассоциируется с геморрагическими осложнениями при установке ЦВК: она значимо ниже у больных с геморрагическими осложнениями, чем без осложнений </w:t>
      </w:r>
      <w:r w:rsidRPr="00DC556E">
        <w:rPr>
          <w:szCs w:val="24"/>
        </w:rPr>
        <w:fldChar w:fldCharType="begin" w:fldLock="1"/>
      </w:r>
      <w:r>
        <w:rPr>
          <w:szCs w:val="24"/>
        </w:rPr>
        <w:instrText>ADDIN CSL_CITATION {"citationItems":[{"id":"ITEM-1","itemData":{"DOI":"10.1111/j.1537-2995.2011.03147.x","ISSN":"1537-2995","PMID":"21517892","abstract":"BACKGROUND Patients with severe thrombocytopenia are at risk for bleeding during insertion of central venous catheters (CVCs). Although most guidelines recommend preprocedural platelet (PLT) transfusions at a threshold of less than 50 × 10(9) /L, there is only weak evidence supporting such recommendations. STUDY DESIGN AND METHODS The current study aimed to establish a safe PLT transfusion trigger in patients with CVC placements. We performed a retrospective single-center analysis of 604 CVC insertions in 193 patients with acute leukemia receiving intensive chemotherapy or stem cell transplantation. RESULTS A total of 48% of the patients had a bleeding risk during CVC insertions, mostly due to thrombocytopenia. The bleeding incidence was 32% with 96% Grade 1 and 4% Grade 2 bleedings requiring prolonged local compression. There were no Grade 3 to 4 bleedings. Hemoglobin levels were similar before and 24 and 48 hours after the CVC insertion in the bleeding and nonbleeding group and there was no difference in the red blood cell (p = 0.72) and PLT transfusion requirements (p = 0.057) after CVC insertion. In multivariate analysis, only patients with PLT counts of less than 20 × 10(9) /L were at higher risk for bleeding before (p = 0.015) and after preprocedural PLT transfusions (p =0.006) compared to patients with PLT counts of 100 × 10(9) /L or more. CONCLUSION CVC placements can safely be performed in patients with PLT counts of 20 × 10(9) /L or more without preprocedural PLT transfusions.","author":[{"dropping-particle":"","family":"Zeidler","given":"Kristin","non-dropping-particle":"","parse-names":false,"suffix":""},{"dropping-particle":"","family":"Arn","given":"Kornelius","non-dropping-particle":"","parse-names":false,"suffix":""},{"dropping-particle":"","family":"Senn","given":"Oliver","non-dropping-particle":"","parse-names":false,"suffix":""},{"dropping-particle":"","family":"Schanz","given":"Urs","non-dropping-particle":"","parse-names":false,"suffix":""},{"dropping-particle":"","family":"Stussi","given":"Georg","non-dropping-particle":"","parse-names":false,"suffix":""}],"container-title":"Transfusion","id":"ITEM-1","issue":"11","issued":{"date-parts":[["2011","11"]]},"page":"2269-76","title":"Optimal preprocedural platelet transfusion threshold for central venous catheter insertions in patients with thrombocytopenia.","type":"article-journal","volume":"51"},"uris":["http://www.mendeley.com/documents/?uuid=a7c457d6-1692-46ac-ac10-7c73ef86ec8f","http://www.mendeley.com/documents/?uuid=73bc1d07-b157-44d1-83c8-13261148057d"]}],"mendeley":{"formattedCitation":"[18]","plainTextFormattedCitation":"[18]","previouslyFormattedCitation":"[3]"},"properties":{"noteIndex":0},"schema":"https://github.com/citation-style-language/schema/raw/master/csl-citation.json"}</w:instrText>
      </w:r>
      <w:r w:rsidRPr="00DC556E">
        <w:rPr>
          <w:szCs w:val="24"/>
        </w:rPr>
        <w:fldChar w:fldCharType="separate"/>
      </w:r>
      <w:r w:rsidRPr="00440A23">
        <w:rPr>
          <w:noProof/>
          <w:szCs w:val="24"/>
        </w:rPr>
        <w:t>[18]</w:t>
      </w:r>
      <w:r w:rsidRPr="00DC556E">
        <w:rPr>
          <w:szCs w:val="24"/>
        </w:rPr>
        <w:fldChar w:fldCharType="end"/>
      </w:r>
      <w:r w:rsidRPr="00DC556E">
        <w:rPr>
          <w:szCs w:val="24"/>
        </w:rPr>
        <w:t>.</w:t>
      </w:r>
    </w:p>
    <w:p w14:paraId="679034CD" w14:textId="77777777" w:rsidR="00643A32" w:rsidRPr="00DC556E" w:rsidRDefault="00643A32" w:rsidP="00643A32">
      <w:pPr>
        <w:spacing w:before="0" w:after="0"/>
        <w:ind w:firstLine="709"/>
        <w:rPr>
          <w:b/>
          <w:bCs/>
          <w:szCs w:val="24"/>
        </w:rPr>
      </w:pPr>
      <w:r w:rsidRPr="00DC556E">
        <w:rPr>
          <w:b/>
          <w:bCs/>
          <w:szCs w:val="24"/>
        </w:rPr>
        <w:t>Типы катетеров</w:t>
      </w:r>
    </w:p>
    <w:p w14:paraId="22468E11" w14:textId="77777777" w:rsidR="00643A32" w:rsidRPr="00DC556E" w:rsidRDefault="00643A32" w:rsidP="00643A32">
      <w:pPr>
        <w:spacing w:before="0" w:after="0"/>
        <w:ind w:firstLine="708"/>
        <w:contextualSpacing/>
        <w:rPr>
          <w:szCs w:val="24"/>
        </w:rPr>
      </w:pPr>
      <w:r w:rsidRPr="00DC556E">
        <w:rPr>
          <w:i/>
          <w:szCs w:val="24"/>
        </w:rPr>
        <w:t>ЦВК</w:t>
      </w:r>
      <w:r w:rsidRPr="00DC556E">
        <w:rPr>
          <w:szCs w:val="24"/>
        </w:rPr>
        <w:t xml:space="preserve"> – это полая трубка, устанавливаемая в одну из центральных вен. ЦВК изготавливаются из различных материалов, имеют разный диаметр. ЦВК могут быть оснащены клапанами на разных концах, или камерой на проксимальном конце, а также </w:t>
      </w:r>
      <w:r w:rsidRPr="00DC556E">
        <w:rPr>
          <w:szCs w:val="24"/>
        </w:rPr>
        <w:lastRenderedPageBreak/>
        <w:t xml:space="preserve">иметь один или несколько просветов, для возможности проведения одновременных инфузий несовместимых между собой растворов. </w:t>
      </w:r>
    </w:p>
    <w:p w14:paraId="07C4E3BE" w14:textId="77777777" w:rsidR="00643A32" w:rsidRPr="00DC556E" w:rsidRDefault="00643A32" w:rsidP="00643A32">
      <w:pPr>
        <w:spacing w:before="0" w:after="0"/>
        <w:ind w:firstLine="700"/>
        <w:rPr>
          <w:rFonts w:eastAsia="Times New Roman"/>
          <w:i/>
          <w:szCs w:val="24"/>
          <w:lang w:eastAsia="ru-RU"/>
        </w:rPr>
      </w:pPr>
      <w:r w:rsidRPr="00DC556E">
        <w:rPr>
          <w:rFonts w:eastAsia="Times New Roman"/>
          <w:i/>
          <w:szCs w:val="24"/>
          <w:lang w:eastAsia="ru-RU"/>
        </w:rPr>
        <w:t>Нетуннелируемые катетеры</w:t>
      </w:r>
    </w:p>
    <w:p w14:paraId="2761A107" w14:textId="427E64C9" w:rsidR="00643A32" w:rsidRPr="00DC556E" w:rsidRDefault="00643A32" w:rsidP="00643A32">
      <w:pPr>
        <w:spacing w:before="0" w:after="0"/>
        <w:ind w:firstLine="700"/>
        <w:rPr>
          <w:rFonts w:eastAsia="Times New Roman"/>
          <w:strike/>
          <w:szCs w:val="24"/>
        </w:rPr>
      </w:pPr>
      <w:r w:rsidRPr="00DC556E">
        <w:rPr>
          <w:rFonts w:eastAsia="Times New Roman"/>
          <w:szCs w:val="24"/>
          <w:lang w:eastAsia="ru-RU"/>
        </w:rPr>
        <w:t xml:space="preserve">Это полиуретановые устройства длиной от 20 до 30 см и с внешним диаметром до 8 Fr, а в случае с катетером для проведения гемодиализа 12 </w:t>
      </w:r>
      <w:r w:rsidRPr="00DC556E">
        <w:rPr>
          <w:rFonts w:eastAsia="Times New Roman"/>
          <w:szCs w:val="24"/>
          <w:lang w:val="en-US" w:eastAsia="ru-RU"/>
        </w:rPr>
        <w:t>Fr</w:t>
      </w:r>
      <w:r w:rsidRPr="00DC556E">
        <w:rPr>
          <w:rFonts w:eastAsia="Times New Roman"/>
          <w:szCs w:val="24"/>
          <w:lang w:eastAsia="ru-RU"/>
        </w:rPr>
        <w:t xml:space="preserve">, которые имплантируются путем чрескожной пункции вены (внутренней ярёмной, подключичной, подмышечной или бедренной вены), с позиционированием дистального конца катетера у кава-атриального соединения. Использование в амбулаторных условиях не рекомендуется, так как риск инфицирования или случайного повреждения/удаления у них выше, по сравнению с другими типами катетеров, вследствие того, что они не туннелированы и удерживаются на месте фиксирующим швом или при помощи устройства бесшовной фиксации на коже у места пункции </w:t>
      </w:r>
      <w:r w:rsidRPr="00DC556E">
        <w:rPr>
          <w:rFonts w:eastAsia="Times New Roman"/>
          <w:szCs w:val="24"/>
          <w:lang w:eastAsia="ru-RU"/>
        </w:rPr>
        <w:fldChar w:fldCharType="begin" w:fldLock="1"/>
      </w:r>
      <w:r>
        <w:rPr>
          <w:rFonts w:eastAsia="Times New Roman"/>
          <w:szCs w:val="24"/>
          <w:lang w:eastAsia="ru-RU"/>
        </w:rPr>
        <w:instrText>ADDIN CSL_CITATION {"citationItems":[{"id":"ITEM-1","itemData":{"DOI":"10.1590/1677-5449.008216","author":[{"dropping-particle":"","family":"Zerati","given":"A.E.","non-dropping-particle":"","parse-names":false,"suffix":""},{"dropping-particle":"","family":"Wolosker","given":"N","non-dropping-particle":"","parse-names":false,"suffix":""},{"dropping-particle":"","family":"Luccia","given":"N","non-dropping-particle":"de","parse-names":false,"suffix":""},{"dropping-particle":"","family":"Puech-Leão","given":"P.","non-dropping-particle":"","parse-names":false,"suffix":""}],"container-title":"J Vasc Bras.","id":"ITEM-1","issue":"2","issued":{"date-parts":[["2017"]]},"page":"128-139","title":"Totally implantable venous catheters : history , implantation technique and complications.","type":"article-journal","volume":"16"},"uris":["http://www.mendeley.com/documents/?uuid=d029e3cf-7ed7-47d9-8f50-87f7004ddbed","http://www.mendeley.com/documents/?uuid=e5dbff00-80d2-446b-ae88-664d8dc3ab8d"]}],"mendeley":{"formattedCitation":"[19]","plainTextFormattedCitation":"[19]","previouslyFormattedCitation":"[4]"},"properties":{"noteIndex":0},"schema":"https://github.com/citation-style-language/schema/raw/master/csl-citation.json"}</w:instrText>
      </w:r>
      <w:r w:rsidRPr="00DC556E">
        <w:rPr>
          <w:rFonts w:eastAsia="Times New Roman"/>
          <w:szCs w:val="24"/>
          <w:lang w:eastAsia="ru-RU"/>
        </w:rPr>
        <w:fldChar w:fldCharType="separate"/>
      </w:r>
      <w:r w:rsidRPr="00440A23">
        <w:rPr>
          <w:rFonts w:eastAsia="Times New Roman"/>
          <w:noProof/>
          <w:szCs w:val="24"/>
          <w:lang w:eastAsia="ru-RU"/>
        </w:rPr>
        <w:t>[19]</w:t>
      </w:r>
      <w:r w:rsidRPr="00DC556E">
        <w:rPr>
          <w:rFonts w:eastAsia="Times New Roman"/>
          <w:szCs w:val="24"/>
          <w:lang w:eastAsia="ru-RU"/>
        </w:rPr>
        <w:fldChar w:fldCharType="end"/>
      </w:r>
      <w:r w:rsidR="00D9248B">
        <w:rPr>
          <w:rFonts w:eastAsia="Times New Roman"/>
          <w:szCs w:val="24"/>
          <w:lang w:eastAsia="ru-RU"/>
        </w:rPr>
        <w:t xml:space="preserve">. </w:t>
      </w:r>
      <w:r w:rsidRPr="00DC556E">
        <w:rPr>
          <w:rFonts w:eastAsia="Times New Roman"/>
          <w:szCs w:val="24"/>
          <w:lang w:eastAsia="ru-RU"/>
        </w:rPr>
        <w:t xml:space="preserve">Существуют версии катетеров с антимикробными или антисептическими покрытиями. Применение катетеров с покрытием требует дальнейшего изучения, так как не раскрыты вопросы антибиотикорезистентности. </w:t>
      </w:r>
    </w:p>
    <w:p w14:paraId="676B5B70" w14:textId="77777777" w:rsidR="00643A32" w:rsidRPr="00DC556E" w:rsidRDefault="00643A32" w:rsidP="00643A32">
      <w:pPr>
        <w:spacing w:before="0" w:after="0"/>
        <w:ind w:firstLine="708"/>
        <w:rPr>
          <w:rFonts w:eastAsia="Times New Roman"/>
          <w:i/>
          <w:szCs w:val="24"/>
          <w:lang w:eastAsia="ru-RU"/>
        </w:rPr>
      </w:pPr>
      <w:r w:rsidRPr="00DC556E">
        <w:rPr>
          <w:rFonts w:eastAsia="Times New Roman"/>
          <w:i/>
          <w:szCs w:val="24"/>
          <w:lang w:eastAsia="ru-RU"/>
        </w:rPr>
        <w:t xml:space="preserve">Туннелируемые катетеры </w:t>
      </w:r>
    </w:p>
    <w:p w14:paraId="1C9FC5FC" w14:textId="77777777" w:rsidR="00643A32" w:rsidRPr="00DC556E" w:rsidRDefault="00643A32" w:rsidP="00643A32">
      <w:pPr>
        <w:spacing w:before="0" w:after="0"/>
        <w:ind w:firstLine="708"/>
        <w:rPr>
          <w:rFonts w:eastAsia="Times New Roman"/>
          <w:strike/>
          <w:szCs w:val="24"/>
          <w:lang w:eastAsia="ru-RU"/>
        </w:rPr>
      </w:pPr>
      <w:r w:rsidRPr="00DC556E">
        <w:rPr>
          <w:rFonts w:eastAsia="Times New Roman"/>
          <w:szCs w:val="24"/>
          <w:lang w:eastAsia="ru-RU"/>
        </w:rPr>
        <w:t xml:space="preserve">Туннелируемые катетеры – это имплантируемые катетеры, у которых при помощи подкожного туннеля разнесены места пункции вены и выхода на кожу. Внутри туннеля катетер имеет манжету, которая, врастая в окружающие ткани, фиксирует катетер в туннеле и препятствует распространению инфекции </w:t>
      </w:r>
      <w:r w:rsidRPr="00DC556E">
        <w:rPr>
          <w:rFonts w:eastAsia="Times New Roman"/>
          <w:szCs w:val="24"/>
          <w:lang w:eastAsia="ru-RU"/>
        </w:rPr>
        <w:fldChar w:fldCharType="begin" w:fldLock="1"/>
      </w:r>
      <w:r>
        <w:rPr>
          <w:rFonts w:eastAsia="Times New Roman"/>
          <w:szCs w:val="24"/>
          <w:lang w:eastAsia="ru-RU"/>
        </w:rPr>
        <w:instrText>ADDIN CSL_CITATION {"citationItems":[{"id":"ITEM-1","itemData":{"DOI":"10.1016/j.amjsurg.2017.03.021","ISSN":"18791883","PMID":"28364951","abstract":"Background Tunneled central venous catheters (CVC) were developed five decades ago. Since then, several clinician-inventors have created a variety of catheters with different functions. Indeed, many catheters have been named after their inventor. Many have wondered who the inventors were of each catheter, and what specifically inspired their inventions. Many of these compelling stories have yet to be told. Data source A literature review of common catheters and personal communication with inventors. Only first person accounts from inventors or those close to the invention were used. Conclusions CVCs are now essential devices that have saved countless lives. Though the inventors have earned the honor of naming their catheters, it may be reasonable to consider more consistent terminology to describe these catheters to avoid confusion.","author":[{"dropping-particle":"","family":"Gow","given":"Kenneth W.","non-dropping-particle":"","parse-names":false,"suffix":""},{"dropping-particle":"","family":"Tapper","given":"David","non-dropping-particle":"","parse-names":false,"suffix":""},{"dropping-particle":"","family":"Hickman","given":"Robert O.","non-dropping-particle":"","parse-names":false,"suffix":""}],"container-title":"American Journal of Surgery","id":"ITEM-1","issue":"5","issued":{"date-parts":[["2017"]]},"page":"837-848","publisher":"Elsevier Ltd","title":"Between the lines: The 50th anniversary of long-term central venous catheters","type":"article-journal","volume":"213"},"uris":["http://www.mendeley.com/documents/?uuid=161c3217-d679-4fd1-9554-18030d03e6fc","http://www.mendeley.com/documents/?uuid=3dd81980-62fb-4da6-8a41-d3922a9bc85b"]}],"mendeley":{"formattedCitation":"[3]","plainTextFormattedCitation":"[3]","previouslyFormattedCitation":"[5]"},"properties":{"noteIndex":0},"schema":"https://github.com/citation-style-language/schema/raw/master/csl-citation.json"}</w:instrText>
      </w:r>
      <w:r w:rsidRPr="00DC556E">
        <w:rPr>
          <w:rFonts w:eastAsia="Times New Roman"/>
          <w:szCs w:val="24"/>
          <w:lang w:eastAsia="ru-RU"/>
        </w:rPr>
        <w:fldChar w:fldCharType="separate"/>
      </w:r>
      <w:r w:rsidRPr="00440A23">
        <w:rPr>
          <w:rFonts w:eastAsia="Times New Roman"/>
          <w:noProof/>
          <w:szCs w:val="24"/>
          <w:lang w:eastAsia="ru-RU"/>
        </w:rPr>
        <w:t>[3]</w:t>
      </w:r>
      <w:r w:rsidRPr="00DC556E">
        <w:rPr>
          <w:rFonts w:eastAsia="Times New Roman"/>
          <w:szCs w:val="24"/>
          <w:lang w:eastAsia="ru-RU"/>
        </w:rPr>
        <w:fldChar w:fldCharType="end"/>
      </w:r>
      <w:r w:rsidRPr="00DC556E">
        <w:rPr>
          <w:rFonts w:eastAsia="Times New Roman"/>
          <w:szCs w:val="24"/>
          <w:lang w:eastAsia="ru-RU"/>
        </w:rPr>
        <w:t xml:space="preserve">. </w:t>
      </w:r>
    </w:p>
    <w:p w14:paraId="387B1669" w14:textId="77777777" w:rsidR="00643A32" w:rsidRPr="00DC556E" w:rsidRDefault="00643A32" w:rsidP="00643A32">
      <w:pPr>
        <w:spacing w:before="0" w:after="0"/>
        <w:ind w:firstLine="708"/>
        <w:rPr>
          <w:rFonts w:eastAsia="Times New Roman"/>
          <w:szCs w:val="24"/>
          <w:lang w:eastAsia="ru-RU"/>
        </w:rPr>
      </w:pPr>
      <w:r w:rsidRPr="00DC556E">
        <w:rPr>
          <w:rFonts w:eastAsia="Times New Roman"/>
          <w:szCs w:val="24"/>
          <w:lang w:eastAsia="ru-RU"/>
        </w:rPr>
        <w:t xml:space="preserve">Туннелируемый тип катетера предпочтительнее нетуннелируемого, особенно при необходимости проведения массивной инфузионной терапии в течение более 3 недель, особенно у онкогематологических пациентов </w:t>
      </w:r>
      <w:r w:rsidRPr="00DC556E">
        <w:rPr>
          <w:rFonts w:eastAsia="Times New Roman"/>
          <w:szCs w:val="24"/>
          <w:lang w:eastAsia="ru-RU"/>
        </w:rPr>
        <w:fldChar w:fldCharType="begin" w:fldLock="1"/>
      </w:r>
      <w:r>
        <w:rPr>
          <w:rFonts w:eastAsia="Times New Roman"/>
          <w:szCs w:val="24"/>
          <w:lang w:eastAsia="ru-RU"/>
        </w:rPr>
        <w:instrText>ADDIN CSL_CITATION {"citationItems":[{"id":"ITEM-1","itemData":{"DOI":"10.4274/tjh.2013.0278","ISSN":"1300-7777","PMID":"25805675","abstract":"OBJECTIVE Haematopoietic stem cell recipients need central venous catheters (CVCs) for easy administration of intravenous fluid, medications, apheresis, or dialysis procedures. However, CVCs may lead to infectious or non-infectious complications such as thrombosis. The effect of these complications on transplantation outcome is not clear. This manuscript presents the complication rates of double-lumen tunnelled CVCs and their effect on transplantation outcome. MATERIALS AND METHODS Data from 111 consecutive patients, of whom 75 received autologous and 36 received allogeneic peripheral blood stem cell transplantations, were collected retrospectively. The data were validated by the Record Inspection Group of the related JACIE-accredited transplantation centre. RESULTS Thrombosis developed in 2.7% of recipients (0.9 per 1000 catheter days). Catheter-related infection was identified in 14 (12.6%) patients (3.6 per 1000 catheter days). Coagulase-negative Staphylococcus was the most common causative agent. Engraftment time, rate of 100-day mortality, and development of grade II-IV graft-versus-host disease were not found to be associated with catheter-related complications. CONCLUSION These results indicate that adverse events related with tunnelled CVCs are manageable and have no negative effects on transplant outcome. Amaç: Hematopoetik kök hücre nakli alıcıları damar içi mayi, ilaç, aferez ve diyaliz işlemleri için santral venöz kateterlere (SVK) ihtiyaç duyarlar. Ancak SVK’ların enfeksiyöz ve tromboz gibi enfeksiyöz olmayan komplikasyonları vardır. Bu komplikasyonların nakil sürecine etkisi net değildir. Bu çalışma ile çift lümen tünelli santral kateter komplikasyonlarının sıklığı ve nakil sürecine etkisi araştırılmıştır. Gereç ve Yöntemler: Geriye dönük olarak 75 otolog ve 39 allojeneik periferik kök hücre nakli uygulanan toplam 111 hastanın verileri toparlandı. Verilerin doğruluğu JACIE akredite merkezimizin kayıt denetleme grubu tarafından kontrol edildi. Bulgular: Olguların %2,7’sinde tromboz gelişti (1000 kateter gününde 0,9). Hastaların 14’ünde (%12,6) kateter ilişkili enfeksiyon tesbit edildi (1000 kateter gününde 3,6). Koagulaz negatif Stafilokoklar en sık etken idi. Kateter ilişkili komplikasyonlar ile engrafman zamanı, evre II-IV graft versus host hastalığı ve 100 günlük mortalite arasında bir ilişki saptanmadı. Sonuç: Sonuçlarımız nakil hastalarında tünelli SVK komplikasyonlarının yönetilebilir olduğunu ve bu komplikasyonların nakil üzerine olu…","author":[{"dropping-particle":"","family":"Yeral","given":"Mahmut","non-dropping-particle":"","parse-names":false,"suffix":""},{"dropping-particle":"","family":"Boğa","given":"Can","non-dropping-particle":"","parse-names":false,"suffix":""},{"dropping-particle":"","family":"Oğuzkurt","given":"Levent","non-dropping-particle":"","parse-names":false,"suffix":""},{"dropping-particle":"","family":"Alışkan","given":"Hikmet Eda","non-dropping-particle":"","parse-names":false,"suffix":""},{"dropping-particle":"","family":"Özdoğu","given":"Hakan","non-dropping-particle":"","parse-names":false,"suffix":""},{"dropping-particle":"","family":"Demiroğlu","given":"Yusuf Ziya","non-dropping-particle":"","parse-names":false,"suffix":""}],"container-title":"Turkish journal of haematology : official journal of Turkish Society of Haematology","id":"ITEM-1","issue":"1","issued":{"date-parts":[["2015","3"]]},"page":"51-7","publisher":"Galenos Yayinevi","title":"Tunnelled central venous catheter-related problems in the early phase of haematopoietic stem cell transplantation and effects on transplant outcome.","type":"article-journal","volume":"32"},"uris":["http://www.mendeley.com/documents/?uuid=2bc92935-3e96-3617-9553-d5dd4c0694cf","http://www.mendeley.com/documents/?uuid=1947d1e7-3ca3-461c-bf33-f53ea0280cb3"]}],"mendeley":{"formattedCitation":"[17]","plainTextFormattedCitation":"[17]","previouslyFormattedCitation":"[6]"},"properties":{"noteIndex":0},"schema":"https://github.com/citation-style-language/schema/raw/master/csl-citation.json"}</w:instrText>
      </w:r>
      <w:r w:rsidRPr="00DC556E">
        <w:rPr>
          <w:rFonts w:eastAsia="Times New Roman"/>
          <w:szCs w:val="24"/>
          <w:lang w:eastAsia="ru-RU"/>
        </w:rPr>
        <w:fldChar w:fldCharType="separate"/>
      </w:r>
      <w:r w:rsidRPr="00440A23">
        <w:rPr>
          <w:rFonts w:eastAsia="Times New Roman"/>
          <w:noProof/>
          <w:szCs w:val="24"/>
          <w:lang w:eastAsia="ru-RU"/>
        </w:rPr>
        <w:t>[17]</w:t>
      </w:r>
      <w:r w:rsidRPr="00DC556E">
        <w:rPr>
          <w:rFonts w:eastAsia="Times New Roman"/>
          <w:szCs w:val="24"/>
          <w:lang w:eastAsia="ru-RU"/>
        </w:rPr>
        <w:fldChar w:fldCharType="end"/>
      </w:r>
      <w:r w:rsidRPr="00DC556E">
        <w:rPr>
          <w:rFonts w:eastAsia="Times New Roman"/>
          <w:szCs w:val="24"/>
          <w:lang w:eastAsia="ru-RU"/>
        </w:rPr>
        <w:t xml:space="preserve">. </w:t>
      </w:r>
    </w:p>
    <w:p w14:paraId="65178705" w14:textId="77777777" w:rsidR="00643A32" w:rsidRPr="00DC556E" w:rsidRDefault="00643A32" w:rsidP="00643A32">
      <w:pPr>
        <w:spacing w:before="0" w:after="0"/>
        <w:ind w:firstLine="708"/>
        <w:rPr>
          <w:rFonts w:eastAsia="Times New Roman"/>
          <w:i/>
          <w:szCs w:val="24"/>
          <w:lang w:eastAsia="ru-RU"/>
        </w:rPr>
      </w:pPr>
      <w:r w:rsidRPr="00DC556E">
        <w:rPr>
          <w:rFonts w:eastAsia="Times New Roman"/>
          <w:i/>
          <w:szCs w:val="24"/>
          <w:lang w:eastAsia="ru-RU"/>
        </w:rPr>
        <w:t xml:space="preserve">Порт-системы </w:t>
      </w:r>
    </w:p>
    <w:p w14:paraId="52A3B297" w14:textId="77777777" w:rsidR="00643A32" w:rsidRPr="00DC556E" w:rsidRDefault="00643A32" w:rsidP="00643A32">
      <w:pPr>
        <w:spacing w:before="0" w:after="0"/>
        <w:ind w:firstLine="708"/>
        <w:rPr>
          <w:rFonts w:eastAsia="Times New Roman"/>
          <w:szCs w:val="24"/>
          <w:lang w:eastAsia="ru-RU"/>
        </w:rPr>
      </w:pPr>
      <w:r w:rsidRPr="00DC556E">
        <w:rPr>
          <w:rFonts w:eastAsia="Times New Roman"/>
          <w:szCs w:val="24"/>
          <w:lang w:eastAsia="ru-RU"/>
        </w:rPr>
        <w:t>Полностью имплантируемые венозные устройства доступа используются для обеспечения долгосрочного центрального венозного доступа при проведении химиотерапии, парентерального питания, обеспечения возможности профилактического введения фактора свёртывания при наследственных коагулопатиях, например, гемофилии. Порт-системы</w:t>
      </w:r>
      <w:r w:rsidRPr="00DC556E">
        <w:rPr>
          <w:rFonts w:eastAsia="Times New Roman"/>
          <w:strike/>
          <w:szCs w:val="24"/>
          <w:lang w:eastAsia="ru-RU"/>
        </w:rPr>
        <w:t xml:space="preserve"> </w:t>
      </w:r>
      <w:r w:rsidRPr="00DC556E">
        <w:rPr>
          <w:rFonts w:eastAsia="Times New Roman"/>
          <w:szCs w:val="24"/>
          <w:lang w:eastAsia="ru-RU"/>
        </w:rPr>
        <w:t xml:space="preserve">полностью скрыты от внешней среды под кожей, их наличие никак не влияет на физическую активность пациентов и считается, что порт-система – это наименее подверженный инфицированию тип ЦВК </w:t>
      </w:r>
      <w:r w:rsidRPr="00DC556E">
        <w:rPr>
          <w:rFonts w:eastAsia="Times New Roman"/>
          <w:szCs w:val="24"/>
          <w:lang w:eastAsia="ru-RU"/>
        </w:rPr>
        <w:fldChar w:fldCharType="begin" w:fldLock="1"/>
      </w:r>
      <w:r>
        <w:rPr>
          <w:rFonts w:eastAsia="Times New Roman"/>
          <w:szCs w:val="24"/>
          <w:lang w:eastAsia="ru-RU"/>
        </w:rPr>
        <w:instrText>ADDIN CSL_CITATION {"citationItems":[{"id":"ITEM-1","itemData":{"DOI":"10.4065/81.9.1159","ISSN":"00256196","abstract":"&lt;h3&gt;OBJECTIVE&lt;/h3&gt;&lt;p&gt;To better understand the absolute and relative risks of bloodstream infection (BSI) associated with the various types of intravascular devices (IVDs), we analyzed 200 published studies of adults in which every device in the study population was prospectively evaluated for evidence of associated infection and microbiologically based criteria were used to define IVD-related BSI.&lt;/p&gt;&lt;h3&gt;METHODS&lt;/h3&gt;&lt;p&gt;English-language reports of prospective studies of adults published between January 1, 1966, and July 1, 2005, were identified by MEDLINE search using the following general search strategy: bacteremia [Medical Subject Heading, MeSH] OR septicemia [MeSH] OR bloodstream infection AND the specific type of intravascular device (eg, central venous port). Mean rates of IVD-related BSI were calculated from pooled data for each type of device and expressed as BSIs per 100 IVDs (%) and per 1000 IVD days.&lt;/p&gt;&lt;h3&gt;RESULTS&lt;/h3&gt;&lt;p&gt;Point incidence rates of IVD-related BSI were lowest with peripheral intravenous catheters (0.1%, 0.5 per 1000 IVD-days) and midline catheters (0.4%, 0.2 per 1000 catheter-days). Far higher rates were seen with short-term noncuffed and nonmedicated central venous catheters (CVCs) (4.4%, 2.7 per 1000 catheter-days). Arterial catheters used for hemodynamic monitoring (0.8%, 1.7 per 1000 catheter-days) and peripherally inserted central catheters used in hospitalized patients (2.4%, 2.1 per 1000 catheter-days) posed risks approaching those seen with short-term conventional CVCs used in the intensive care unit. Surgically implanted long-term central venous devices—cuffed and tunneled catheters (22.5%, 1.6 per 1000 IVD-days) and central venous ports (3.6%, 0.1 per 1000 IVD-days)—appear to have high rates of infection when risk is expressed as BSIs per 100 IVDs but actually pose much lower risk when rates are expressed per 1000 IVD-days. The use of cuffed and tunneled dual lumen CVCs rather than noncuffed, nontunneled catheters for temporary hemodialysis and novel preventive technologies, such as CVCs with anti-infective surfaces, was associated with considerably lower rates of catheter-related BSI.&lt;/p&gt;&lt;h3&gt;CONCLUSIONS&lt;/h3&gt;&lt;p&gt;Expressing risk of IVD-related BSI per 1000 IVD-days rather than BSIs per 100 IVDs allows for more meaningful estimates of risk. These data, based on prospective studies in which every IVD in the study cohort was analyzed for evidence of infection by microbiologically based criteria, show that &lt;i&gt;all&lt;/i&gt; types o…","author":[{"dropping-particle":"","family":"Maki","given":"Dennis G.","non-dropping-particle":"","parse-names":false,"suffix":""},{"dropping-particle":"","family":"Kluger","given":"Daniel M.","non-dropping-particle":"","parse-names":false,"suffix":""},{"dropping-particle":"","family":"Crnich","given":"Christopher J.","non-dropping-particle":"","parse-names":false,"suffix":""}],"container-title":"Mayo Clinic Proceedings","id":"ITEM-1","issue":"9","issued":{"date-parts":[["2006","9"]]},"page":"1159-1171","publisher":"Elsevier","title":"The Risk of Bloodstream Infection in Adults With Different Intravascular Devices: A Systematic Review of 200 Published Prospective Studies","type":"article-journal","volume":"81"},"uris":["http://www.mendeley.com/documents/?uuid=f5c4baf8-7e14-301a-815e-3dfe468d40e4","http://www.mendeley.com/documents/?uuid=d705737b-3152-45f1-afcb-aec5b7f21950"]}],"mendeley":{"formattedCitation":"[9]","plainTextFormattedCitation":"[9]","previouslyFormattedCitation":"[7]"},"properties":{"noteIndex":0},"schema":"https://github.com/citation-style-language/schema/raw/master/csl-citation.json"}</w:instrText>
      </w:r>
      <w:r w:rsidRPr="00DC556E">
        <w:rPr>
          <w:rFonts w:eastAsia="Times New Roman"/>
          <w:szCs w:val="24"/>
          <w:lang w:eastAsia="ru-RU"/>
        </w:rPr>
        <w:fldChar w:fldCharType="separate"/>
      </w:r>
      <w:r w:rsidRPr="00440A23">
        <w:rPr>
          <w:rFonts w:eastAsia="Times New Roman"/>
          <w:noProof/>
          <w:szCs w:val="24"/>
          <w:lang w:eastAsia="ru-RU"/>
        </w:rPr>
        <w:t>[9]</w:t>
      </w:r>
      <w:r w:rsidRPr="00DC556E">
        <w:rPr>
          <w:rFonts w:eastAsia="Times New Roman"/>
          <w:szCs w:val="24"/>
          <w:lang w:eastAsia="ru-RU"/>
        </w:rPr>
        <w:fldChar w:fldCharType="end"/>
      </w:r>
      <w:r w:rsidRPr="00DC556E">
        <w:rPr>
          <w:rFonts w:eastAsia="Times New Roman"/>
          <w:szCs w:val="24"/>
          <w:lang w:eastAsia="ru-RU"/>
        </w:rPr>
        <w:t xml:space="preserve">. </w:t>
      </w:r>
    </w:p>
    <w:p w14:paraId="6D073AA5" w14:textId="77777777" w:rsidR="00643A32" w:rsidRPr="00DC556E" w:rsidRDefault="00643A32" w:rsidP="00643A32">
      <w:pPr>
        <w:spacing w:before="0" w:after="0"/>
        <w:ind w:firstLine="708"/>
        <w:rPr>
          <w:rFonts w:eastAsia="Times New Roman"/>
          <w:szCs w:val="24"/>
          <w:lang w:eastAsia="ru-RU"/>
        </w:rPr>
      </w:pPr>
      <w:r w:rsidRPr="00DC556E">
        <w:rPr>
          <w:rFonts w:eastAsia="Times New Roman"/>
          <w:szCs w:val="24"/>
          <w:lang w:eastAsia="ru-RU"/>
        </w:rPr>
        <w:t xml:space="preserve">В настоящее время существует множество модификаций порт-систем, в т.ч. МРТ совместимые модификации и изделия, обладающие высокой пропускной способностью, позволяющие проводить введение контрастных веществ с использованием автоматических устройств. </w:t>
      </w:r>
    </w:p>
    <w:p w14:paraId="4961CC71" w14:textId="77777777" w:rsidR="00643A32" w:rsidRPr="00DC556E" w:rsidRDefault="00643A32" w:rsidP="00643A32">
      <w:pPr>
        <w:spacing w:before="0" w:after="0"/>
        <w:ind w:firstLine="708"/>
        <w:rPr>
          <w:rFonts w:eastAsia="Times New Roman"/>
          <w:i/>
          <w:szCs w:val="24"/>
          <w:lang w:eastAsia="ru-RU"/>
        </w:rPr>
      </w:pPr>
      <w:r w:rsidRPr="00DC556E">
        <w:rPr>
          <w:rFonts w:eastAsia="Times New Roman"/>
          <w:i/>
          <w:szCs w:val="24"/>
          <w:lang w:eastAsia="ru-RU"/>
        </w:rPr>
        <w:lastRenderedPageBreak/>
        <w:t>Периферически имплантируемые центральные венозные катетеры.</w:t>
      </w:r>
    </w:p>
    <w:p w14:paraId="47ECF8AC" w14:textId="77777777" w:rsidR="00643A32" w:rsidRPr="00DC556E" w:rsidRDefault="00643A32" w:rsidP="00643A32">
      <w:pPr>
        <w:spacing w:before="0" w:after="0"/>
        <w:ind w:firstLine="708"/>
        <w:rPr>
          <w:rFonts w:eastAsia="Times New Roman"/>
          <w:szCs w:val="24"/>
          <w:lang w:eastAsia="ru-RU"/>
        </w:rPr>
      </w:pPr>
      <w:r w:rsidRPr="00DC556E">
        <w:rPr>
          <w:rFonts w:eastAsia="Times New Roman"/>
          <w:szCs w:val="24"/>
          <w:lang w:eastAsia="ru-RU"/>
        </w:rPr>
        <w:t xml:space="preserve">Периферически имплантируемые центральные венозные катетеры (ПИЦВК) – это катетеры для долговременного центрального венозного доступа, которые устанавливают через одну из периферических вен руки в центральную вену. ПИЦВК изготавливаются из силикона или полиуретана, они могут быть одно-, двух- и трехпросветными, их диаметр различный, от 3 Fr до 7 Fr. ПИЦВК используют для проведения терапии (химиотерапия, гемостатическая терапия и т.д.), в среднем, от 6 мес. до 1 года и рассматривают как вариант центрального венозного доступа, который может использоваться как в стационарных, так и в амбулаторных условиях, как ежедневно, так и периодически, обеспечивая пациенту безопасность и комфорт </w:t>
      </w:r>
      <w:r w:rsidRPr="00DC556E">
        <w:rPr>
          <w:rFonts w:eastAsia="Times New Roman"/>
          <w:szCs w:val="24"/>
          <w:lang w:eastAsia="ru-RU"/>
        </w:rPr>
        <w:fldChar w:fldCharType="begin" w:fldLock="1"/>
      </w:r>
      <w:r>
        <w:rPr>
          <w:rFonts w:eastAsia="Times New Roman"/>
          <w:szCs w:val="24"/>
          <w:lang w:eastAsia="ru-RU"/>
        </w:rPr>
        <w:instrText>ADDIN CSL_CITATION {"citationItems":[{"id":"ITEM-1","itemData":{"DOI":"10.1002/9780470750186","ISBN":"9780470750186","author":[{"dropping-particle":"","family":"Hamilton","given":"Helen","non-dropping-particle":"","parse-names":false,"suffix":""}],"editor":[{"dropping-particle":"","family":"Bodenham","given":"Andrew R.","non-dropping-particle":"","parse-names":false,"suffix":""}],"id":"ITEM-1","issued":{"date-parts":[["2009","2"]]},"publisher":"Wiley-Blackwell","publisher-place":"Oxford, UK","title":"Central Venous Catheters","type":"book"},"uris":["http://www.mendeley.com/documents/?uuid=e2be4192-4b13-32c7-ac3a-c1ee92dec830","http://www.mendeley.com/documents/?uuid=e98da71f-90e1-487c-82f9-898b87dee2ad"]}],"mendeley":{"formattedCitation":"[4]","plainTextFormattedCitation":"[4]","previouslyFormattedCitation":"[8]"},"properties":{"noteIndex":0},"schema":"https://github.com/citation-style-language/schema/raw/master/csl-citation.json"}</w:instrText>
      </w:r>
      <w:r w:rsidRPr="00DC556E">
        <w:rPr>
          <w:rFonts w:eastAsia="Times New Roman"/>
          <w:szCs w:val="24"/>
          <w:lang w:eastAsia="ru-RU"/>
        </w:rPr>
        <w:fldChar w:fldCharType="separate"/>
      </w:r>
      <w:r w:rsidRPr="00440A23">
        <w:rPr>
          <w:rFonts w:eastAsia="Times New Roman"/>
          <w:noProof/>
          <w:szCs w:val="24"/>
          <w:lang w:eastAsia="ru-RU"/>
        </w:rPr>
        <w:t>[4]</w:t>
      </w:r>
      <w:r w:rsidRPr="00DC556E">
        <w:rPr>
          <w:rFonts w:eastAsia="Times New Roman"/>
          <w:szCs w:val="24"/>
          <w:lang w:eastAsia="ru-RU"/>
        </w:rPr>
        <w:fldChar w:fldCharType="end"/>
      </w:r>
      <w:r w:rsidRPr="00DC556E">
        <w:rPr>
          <w:rFonts w:eastAsia="Times New Roman"/>
          <w:szCs w:val="24"/>
          <w:lang w:eastAsia="ru-RU"/>
        </w:rPr>
        <w:fldChar w:fldCharType="begin" w:fldLock="1"/>
      </w:r>
      <w:r>
        <w:rPr>
          <w:rFonts w:eastAsia="Times New Roman"/>
          <w:szCs w:val="24"/>
          <w:lang w:val="en-US" w:eastAsia="ru-RU"/>
        </w:rPr>
        <w:instrText>ADDIN</w:instrText>
      </w:r>
      <w:r w:rsidRPr="00440A23">
        <w:rPr>
          <w:rFonts w:eastAsia="Times New Roman"/>
          <w:szCs w:val="24"/>
          <w:lang w:eastAsia="ru-RU"/>
        </w:rPr>
        <w:instrText xml:space="preserve"> </w:instrText>
      </w:r>
      <w:r>
        <w:rPr>
          <w:rFonts w:eastAsia="Times New Roman"/>
          <w:szCs w:val="24"/>
          <w:lang w:val="en-US" w:eastAsia="ru-RU"/>
        </w:rPr>
        <w:instrText>CSL</w:instrText>
      </w:r>
      <w:r w:rsidRPr="00440A23">
        <w:rPr>
          <w:rFonts w:eastAsia="Times New Roman"/>
          <w:szCs w:val="24"/>
          <w:lang w:eastAsia="ru-RU"/>
        </w:rPr>
        <w:instrText>_</w:instrText>
      </w:r>
      <w:r>
        <w:rPr>
          <w:rFonts w:eastAsia="Times New Roman"/>
          <w:szCs w:val="24"/>
          <w:lang w:val="en-US" w:eastAsia="ru-RU"/>
        </w:rPr>
        <w:instrText>CITATION</w:instrText>
      </w:r>
      <w:r w:rsidRPr="00440A23">
        <w:rPr>
          <w:rFonts w:eastAsia="Times New Roman"/>
          <w:szCs w:val="24"/>
          <w:lang w:eastAsia="ru-RU"/>
        </w:rPr>
        <w:instrText xml:space="preserve"> {"</w:instrText>
      </w:r>
      <w:r>
        <w:rPr>
          <w:rFonts w:eastAsia="Times New Roman"/>
          <w:szCs w:val="24"/>
          <w:lang w:val="en-US" w:eastAsia="ru-RU"/>
        </w:rPr>
        <w:instrText>citationItems</w:instrText>
      </w:r>
      <w:r w:rsidRPr="00440A23">
        <w:rPr>
          <w:rFonts w:eastAsia="Times New Roman"/>
          <w:szCs w:val="24"/>
          <w:lang w:eastAsia="ru-RU"/>
        </w:rPr>
        <w:instrText>":[{"</w:instrText>
      </w:r>
      <w:r>
        <w:rPr>
          <w:rFonts w:eastAsia="Times New Roman"/>
          <w:szCs w:val="24"/>
          <w:lang w:val="en-US" w:eastAsia="ru-RU"/>
        </w:rPr>
        <w:instrText>id</w:instrText>
      </w:r>
      <w:r w:rsidRPr="00440A23">
        <w:rPr>
          <w:rFonts w:eastAsia="Times New Roman"/>
          <w:szCs w:val="24"/>
          <w:lang w:eastAsia="ru-RU"/>
        </w:rPr>
        <w:instrText>":"</w:instrText>
      </w:r>
      <w:r>
        <w:rPr>
          <w:rFonts w:eastAsia="Times New Roman"/>
          <w:szCs w:val="24"/>
          <w:lang w:val="en-US" w:eastAsia="ru-RU"/>
        </w:rPr>
        <w:instrText>ITEM</w:instrText>
      </w:r>
      <w:r w:rsidRPr="00440A23">
        <w:rPr>
          <w:rFonts w:eastAsia="Times New Roman"/>
          <w:szCs w:val="24"/>
          <w:lang w:eastAsia="ru-RU"/>
        </w:rPr>
        <w:instrText>-1","</w:instrText>
      </w:r>
      <w:r>
        <w:rPr>
          <w:rFonts w:eastAsia="Times New Roman"/>
          <w:szCs w:val="24"/>
          <w:lang w:val="en-US" w:eastAsia="ru-RU"/>
        </w:rPr>
        <w:instrText>itemData</w:instrText>
      </w:r>
      <w:r w:rsidRPr="00440A23">
        <w:rPr>
          <w:rFonts w:eastAsia="Times New Roman"/>
          <w:szCs w:val="24"/>
          <w:lang w:eastAsia="ru-RU"/>
        </w:rPr>
        <w:instrText>":{"</w:instrText>
      </w:r>
      <w:r>
        <w:rPr>
          <w:rFonts w:eastAsia="Times New Roman"/>
          <w:szCs w:val="24"/>
          <w:lang w:val="en-US" w:eastAsia="ru-RU"/>
        </w:rPr>
        <w:instrText>DOI</w:instrText>
      </w:r>
      <w:r w:rsidRPr="00440A23">
        <w:rPr>
          <w:rFonts w:eastAsia="Times New Roman"/>
          <w:szCs w:val="24"/>
          <w:lang w:eastAsia="ru-RU"/>
        </w:rPr>
        <w:instrText>":"10.1007/978-88-470-5665-7_1","</w:instrText>
      </w:r>
      <w:r>
        <w:rPr>
          <w:rFonts w:eastAsia="Times New Roman"/>
          <w:szCs w:val="24"/>
          <w:lang w:val="en-US" w:eastAsia="ru-RU"/>
        </w:rPr>
        <w:instrText>author</w:instrText>
      </w:r>
      <w:r w:rsidRPr="00440A23">
        <w:rPr>
          <w:rFonts w:eastAsia="Times New Roman"/>
          <w:szCs w:val="24"/>
          <w:lang w:eastAsia="ru-RU"/>
        </w:rPr>
        <w:instrText>":[{"</w:instrText>
      </w:r>
      <w:r>
        <w:rPr>
          <w:rFonts w:eastAsia="Times New Roman"/>
          <w:szCs w:val="24"/>
          <w:lang w:val="en-US" w:eastAsia="ru-RU"/>
        </w:rPr>
        <w:instrText>dropping</w:instrText>
      </w:r>
      <w:r w:rsidRPr="00440A23">
        <w:rPr>
          <w:rFonts w:eastAsia="Times New Roman"/>
          <w:szCs w:val="24"/>
          <w:lang w:eastAsia="ru-RU"/>
        </w:rPr>
        <w:instrText>-</w:instrText>
      </w:r>
      <w:r>
        <w:rPr>
          <w:rFonts w:eastAsia="Times New Roman"/>
          <w:szCs w:val="24"/>
          <w:lang w:val="en-US" w:eastAsia="ru-RU"/>
        </w:rPr>
        <w:instrText>particle</w:instrText>
      </w:r>
      <w:r w:rsidRPr="00440A23">
        <w:rPr>
          <w:rFonts w:eastAsia="Times New Roman"/>
          <w:szCs w:val="24"/>
          <w:lang w:eastAsia="ru-RU"/>
        </w:rPr>
        <w:instrText>":"","</w:instrText>
      </w:r>
      <w:r>
        <w:rPr>
          <w:rFonts w:eastAsia="Times New Roman"/>
          <w:szCs w:val="24"/>
          <w:lang w:val="en-US" w:eastAsia="ru-RU"/>
        </w:rPr>
        <w:instrText>family</w:instrText>
      </w:r>
      <w:r w:rsidRPr="00440A23">
        <w:rPr>
          <w:rFonts w:eastAsia="Times New Roman"/>
          <w:szCs w:val="24"/>
          <w:lang w:eastAsia="ru-RU"/>
        </w:rPr>
        <w:instrText>":"</w:instrText>
      </w:r>
      <w:r>
        <w:rPr>
          <w:rFonts w:eastAsia="Times New Roman"/>
          <w:szCs w:val="24"/>
          <w:lang w:val="en-US" w:eastAsia="ru-RU"/>
        </w:rPr>
        <w:instrText>Biffi</w:instrText>
      </w:r>
      <w:r w:rsidRPr="00440A23">
        <w:rPr>
          <w:rFonts w:eastAsia="Times New Roman"/>
          <w:szCs w:val="24"/>
          <w:lang w:eastAsia="ru-RU"/>
        </w:rPr>
        <w:instrText>","</w:instrText>
      </w:r>
      <w:r>
        <w:rPr>
          <w:rFonts w:eastAsia="Times New Roman"/>
          <w:szCs w:val="24"/>
          <w:lang w:val="en-US" w:eastAsia="ru-RU"/>
        </w:rPr>
        <w:instrText>given</w:instrText>
      </w:r>
      <w:r w:rsidRPr="00440A23">
        <w:rPr>
          <w:rFonts w:eastAsia="Times New Roman"/>
          <w:szCs w:val="24"/>
          <w:lang w:eastAsia="ru-RU"/>
        </w:rPr>
        <w:instrText>":"</w:instrText>
      </w:r>
      <w:r>
        <w:rPr>
          <w:rFonts w:eastAsia="Times New Roman"/>
          <w:szCs w:val="24"/>
          <w:lang w:val="en-US" w:eastAsia="ru-RU"/>
        </w:rPr>
        <w:instrText>Roberto</w:instrText>
      </w:r>
      <w:r w:rsidRPr="00440A23">
        <w:rPr>
          <w:rFonts w:eastAsia="Times New Roman"/>
          <w:szCs w:val="24"/>
          <w:lang w:eastAsia="ru-RU"/>
        </w:rPr>
        <w:instrText>","</w:instrText>
      </w:r>
      <w:r>
        <w:rPr>
          <w:rFonts w:eastAsia="Times New Roman"/>
          <w:szCs w:val="24"/>
          <w:lang w:val="en-US" w:eastAsia="ru-RU"/>
        </w:rPr>
        <w:instrText>non</w:instrText>
      </w:r>
      <w:r w:rsidRPr="00440A23">
        <w:rPr>
          <w:rFonts w:eastAsia="Times New Roman"/>
          <w:szCs w:val="24"/>
          <w:lang w:eastAsia="ru-RU"/>
        </w:rPr>
        <w:instrText>-</w:instrText>
      </w:r>
      <w:r>
        <w:rPr>
          <w:rFonts w:eastAsia="Times New Roman"/>
          <w:szCs w:val="24"/>
          <w:lang w:val="en-US" w:eastAsia="ru-RU"/>
        </w:rPr>
        <w:instrText>dropping</w:instrText>
      </w:r>
      <w:r w:rsidRPr="00440A23">
        <w:rPr>
          <w:rFonts w:eastAsia="Times New Roman"/>
          <w:szCs w:val="24"/>
          <w:lang w:eastAsia="ru-RU"/>
        </w:rPr>
        <w:instrText>-</w:instrText>
      </w:r>
      <w:r>
        <w:rPr>
          <w:rFonts w:eastAsia="Times New Roman"/>
          <w:szCs w:val="24"/>
          <w:lang w:val="en-US" w:eastAsia="ru-RU"/>
        </w:rPr>
        <w:instrText>particle</w:instrText>
      </w:r>
      <w:r w:rsidRPr="00440A23">
        <w:rPr>
          <w:rFonts w:eastAsia="Times New Roman"/>
          <w:szCs w:val="24"/>
          <w:lang w:eastAsia="ru-RU"/>
        </w:rPr>
        <w:instrText>":"","</w:instrText>
      </w:r>
      <w:r>
        <w:rPr>
          <w:rFonts w:eastAsia="Times New Roman"/>
          <w:szCs w:val="24"/>
          <w:lang w:val="en-US" w:eastAsia="ru-RU"/>
        </w:rPr>
        <w:instrText>parse</w:instrText>
      </w:r>
      <w:r w:rsidRPr="00440A23">
        <w:rPr>
          <w:rFonts w:eastAsia="Times New Roman"/>
          <w:szCs w:val="24"/>
          <w:lang w:eastAsia="ru-RU"/>
        </w:rPr>
        <w:instrText>-</w:instrText>
      </w:r>
      <w:r>
        <w:rPr>
          <w:rFonts w:eastAsia="Times New Roman"/>
          <w:szCs w:val="24"/>
          <w:lang w:val="en-US" w:eastAsia="ru-RU"/>
        </w:rPr>
        <w:instrText>names</w:instrText>
      </w:r>
      <w:r w:rsidRPr="00440A23">
        <w:rPr>
          <w:rFonts w:eastAsia="Times New Roman"/>
          <w:szCs w:val="24"/>
          <w:lang w:eastAsia="ru-RU"/>
        </w:rPr>
        <w:instrText>":</w:instrText>
      </w:r>
      <w:r>
        <w:rPr>
          <w:rFonts w:eastAsia="Times New Roman"/>
          <w:szCs w:val="24"/>
          <w:lang w:val="en-US" w:eastAsia="ru-RU"/>
        </w:rPr>
        <w:instrText>false</w:instrText>
      </w:r>
      <w:r w:rsidRPr="00440A23">
        <w:rPr>
          <w:rFonts w:eastAsia="Times New Roman"/>
          <w:szCs w:val="24"/>
          <w:lang w:eastAsia="ru-RU"/>
        </w:rPr>
        <w:instrText>,"</w:instrText>
      </w:r>
      <w:r>
        <w:rPr>
          <w:rFonts w:eastAsia="Times New Roman"/>
          <w:szCs w:val="24"/>
          <w:lang w:val="en-US" w:eastAsia="ru-RU"/>
        </w:rPr>
        <w:instrText>suffix</w:instrText>
      </w:r>
      <w:r w:rsidRPr="00440A23">
        <w:rPr>
          <w:rFonts w:eastAsia="Times New Roman"/>
          <w:szCs w:val="24"/>
          <w:lang w:eastAsia="ru-RU"/>
        </w:rPr>
        <w:instrText>":""}],"</w:instrText>
      </w:r>
      <w:r>
        <w:rPr>
          <w:rFonts w:eastAsia="Times New Roman"/>
          <w:szCs w:val="24"/>
          <w:lang w:val="en-US" w:eastAsia="ru-RU"/>
        </w:rPr>
        <w:instrText>container</w:instrText>
      </w:r>
      <w:r w:rsidRPr="00440A23">
        <w:rPr>
          <w:rFonts w:eastAsia="Times New Roman"/>
          <w:szCs w:val="24"/>
          <w:lang w:eastAsia="ru-RU"/>
        </w:rPr>
        <w:instrText>-</w:instrText>
      </w:r>
      <w:r>
        <w:rPr>
          <w:rFonts w:eastAsia="Times New Roman"/>
          <w:szCs w:val="24"/>
          <w:lang w:val="en-US" w:eastAsia="ru-RU"/>
        </w:rPr>
        <w:instrText>title</w:instrText>
      </w:r>
      <w:r w:rsidRPr="00440A23">
        <w:rPr>
          <w:rFonts w:eastAsia="Times New Roman"/>
          <w:szCs w:val="24"/>
          <w:lang w:eastAsia="ru-RU"/>
        </w:rPr>
        <w:instrText>":"</w:instrText>
      </w:r>
      <w:r>
        <w:rPr>
          <w:rFonts w:eastAsia="Times New Roman"/>
          <w:szCs w:val="24"/>
          <w:lang w:val="en-US" w:eastAsia="ru-RU"/>
        </w:rPr>
        <w:instrText>Peripherally</w:instrText>
      </w:r>
      <w:r w:rsidRPr="00440A23">
        <w:rPr>
          <w:rFonts w:eastAsia="Times New Roman"/>
          <w:szCs w:val="24"/>
          <w:lang w:eastAsia="ru-RU"/>
        </w:rPr>
        <w:instrText xml:space="preserve"> </w:instrText>
      </w:r>
      <w:r>
        <w:rPr>
          <w:rFonts w:eastAsia="Times New Roman"/>
          <w:szCs w:val="24"/>
          <w:lang w:val="en-US" w:eastAsia="ru-RU"/>
        </w:rPr>
        <w:instrText>Inserted</w:instrText>
      </w:r>
      <w:r w:rsidRPr="00440A23">
        <w:rPr>
          <w:rFonts w:eastAsia="Times New Roman"/>
          <w:szCs w:val="24"/>
          <w:lang w:eastAsia="ru-RU"/>
        </w:rPr>
        <w:instrText xml:space="preserve"> </w:instrText>
      </w:r>
      <w:r>
        <w:rPr>
          <w:rFonts w:eastAsia="Times New Roman"/>
          <w:szCs w:val="24"/>
          <w:lang w:val="en-US" w:eastAsia="ru-RU"/>
        </w:rPr>
        <w:instrText>Central</w:instrText>
      </w:r>
      <w:r w:rsidRPr="00440A23">
        <w:rPr>
          <w:rFonts w:eastAsia="Times New Roman"/>
          <w:szCs w:val="24"/>
          <w:lang w:eastAsia="ru-RU"/>
        </w:rPr>
        <w:instrText xml:space="preserve"> </w:instrText>
      </w:r>
      <w:r>
        <w:rPr>
          <w:rFonts w:eastAsia="Times New Roman"/>
          <w:szCs w:val="24"/>
          <w:lang w:val="en-US" w:eastAsia="ru-RU"/>
        </w:rPr>
        <w:instrText>Venous</w:instrText>
      </w:r>
      <w:r w:rsidRPr="00440A23">
        <w:rPr>
          <w:rFonts w:eastAsia="Times New Roman"/>
          <w:szCs w:val="24"/>
          <w:lang w:eastAsia="ru-RU"/>
        </w:rPr>
        <w:instrText xml:space="preserve"> </w:instrText>
      </w:r>
      <w:r>
        <w:rPr>
          <w:rFonts w:eastAsia="Times New Roman"/>
          <w:szCs w:val="24"/>
          <w:lang w:val="en-US" w:eastAsia="ru-RU"/>
        </w:rPr>
        <w:instrText>Catheters</w:instrText>
      </w:r>
      <w:r w:rsidRPr="00440A23">
        <w:rPr>
          <w:rFonts w:eastAsia="Times New Roman"/>
          <w:szCs w:val="24"/>
          <w:lang w:eastAsia="ru-RU"/>
        </w:rPr>
        <w:instrText>","</w:instrText>
      </w:r>
      <w:r>
        <w:rPr>
          <w:rFonts w:eastAsia="Times New Roman"/>
          <w:szCs w:val="24"/>
          <w:lang w:val="en-US" w:eastAsia="ru-RU"/>
        </w:rPr>
        <w:instrText>id</w:instrText>
      </w:r>
      <w:r w:rsidRPr="00440A23">
        <w:rPr>
          <w:rFonts w:eastAsia="Times New Roman"/>
          <w:szCs w:val="24"/>
          <w:lang w:eastAsia="ru-RU"/>
        </w:rPr>
        <w:instrText>":"</w:instrText>
      </w:r>
      <w:r>
        <w:rPr>
          <w:rFonts w:eastAsia="Times New Roman"/>
          <w:szCs w:val="24"/>
          <w:lang w:val="en-US" w:eastAsia="ru-RU"/>
        </w:rPr>
        <w:instrText>ITEM</w:instrText>
      </w:r>
      <w:r w:rsidRPr="00440A23">
        <w:rPr>
          <w:rFonts w:eastAsia="Times New Roman"/>
          <w:szCs w:val="24"/>
          <w:lang w:eastAsia="ru-RU"/>
        </w:rPr>
        <w:instrText>-1","</w:instrText>
      </w:r>
      <w:r>
        <w:rPr>
          <w:rFonts w:eastAsia="Times New Roman"/>
          <w:szCs w:val="24"/>
          <w:lang w:val="en-US" w:eastAsia="ru-RU"/>
        </w:rPr>
        <w:instrText>issued</w:instrText>
      </w:r>
      <w:r w:rsidRPr="00440A23">
        <w:rPr>
          <w:rFonts w:eastAsia="Times New Roman"/>
          <w:szCs w:val="24"/>
          <w:lang w:eastAsia="ru-RU"/>
        </w:rPr>
        <w:instrText>":{"</w:instrText>
      </w:r>
      <w:r>
        <w:rPr>
          <w:rFonts w:eastAsia="Times New Roman"/>
          <w:szCs w:val="24"/>
          <w:lang w:val="en-US" w:eastAsia="ru-RU"/>
        </w:rPr>
        <w:instrText>date</w:instrText>
      </w:r>
      <w:r w:rsidRPr="00440A23">
        <w:rPr>
          <w:rFonts w:eastAsia="Times New Roman"/>
          <w:szCs w:val="24"/>
          <w:lang w:eastAsia="ru-RU"/>
        </w:rPr>
        <w:instrText>-</w:instrText>
      </w:r>
      <w:r>
        <w:rPr>
          <w:rFonts w:eastAsia="Times New Roman"/>
          <w:szCs w:val="24"/>
          <w:lang w:val="en-US" w:eastAsia="ru-RU"/>
        </w:rPr>
        <w:instrText>parts</w:instrText>
      </w:r>
      <w:r w:rsidRPr="00440A23">
        <w:rPr>
          <w:rFonts w:eastAsia="Times New Roman"/>
          <w:szCs w:val="24"/>
          <w:lang w:eastAsia="ru-RU"/>
        </w:rPr>
        <w:instrText>":[["2014"]]},"</w:instrText>
      </w:r>
      <w:r>
        <w:rPr>
          <w:rFonts w:eastAsia="Times New Roman"/>
          <w:szCs w:val="24"/>
          <w:lang w:val="en-US" w:eastAsia="ru-RU"/>
        </w:rPr>
        <w:instrText>page</w:instrText>
      </w:r>
      <w:r w:rsidRPr="00440A23">
        <w:rPr>
          <w:rFonts w:eastAsia="Times New Roman"/>
          <w:szCs w:val="24"/>
          <w:lang w:eastAsia="ru-RU"/>
        </w:rPr>
        <w:instrText>":"1-6","</w:instrText>
      </w:r>
      <w:r>
        <w:rPr>
          <w:rFonts w:eastAsia="Times New Roman"/>
          <w:szCs w:val="24"/>
          <w:lang w:val="en-US" w:eastAsia="ru-RU"/>
        </w:rPr>
        <w:instrText>publisher</w:instrText>
      </w:r>
      <w:r w:rsidRPr="00440A23">
        <w:rPr>
          <w:rFonts w:eastAsia="Times New Roman"/>
          <w:szCs w:val="24"/>
          <w:lang w:eastAsia="ru-RU"/>
        </w:rPr>
        <w:instrText>":"</w:instrText>
      </w:r>
      <w:r>
        <w:rPr>
          <w:rFonts w:eastAsia="Times New Roman"/>
          <w:szCs w:val="24"/>
          <w:lang w:val="en-US" w:eastAsia="ru-RU"/>
        </w:rPr>
        <w:instrText>Springer</w:instrText>
      </w:r>
      <w:r w:rsidRPr="00440A23">
        <w:rPr>
          <w:rFonts w:eastAsia="Times New Roman"/>
          <w:szCs w:val="24"/>
          <w:lang w:eastAsia="ru-RU"/>
        </w:rPr>
        <w:instrText xml:space="preserve"> </w:instrText>
      </w:r>
      <w:r>
        <w:rPr>
          <w:rFonts w:eastAsia="Times New Roman"/>
          <w:szCs w:val="24"/>
          <w:lang w:val="en-US" w:eastAsia="ru-RU"/>
        </w:rPr>
        <w:instrText>Milan</w:instrText>
      </w:r>
      <w:r w:rsidRPr="00440A23">
        <w:rPr>
          <w:rFonts w:eastAsia="Times New Roman"/>
          <w:szCs w:val="24"/>
          <w:lang w:eastAsia="ru-RU"/>
        </w:rPr>
        <w:instrText>","</w:instrText>
      </w:r>
      <w:r>
        <w:rPr>
          <w:rFonts w:eastAsia="Times New Roman"/>
          <w:szCs w:val="24"/>
          <w:lang w:val="en-US" w:eastAsia="ru-RU"/>
        </w:rPr>
        <w:instrText>publisher</w:instrText>
      </w:r>
      <w:r w:rsidRPr="00440A23">
        <w:rPr>
          <w:rFonts w:eastAsia="Times New Roman"/>
          <w:szCs w:val="24"/>
          <w:lang w:eastAsia="ru-RU"/>
        </w:rPr>
        <w:instrText>-</w:instrText>
      </w:r>
      <w:r>
        <w:rPr>
          <w:rFonts w:eastAsia="Times New Roman"/>
          <w:szCs w:val="24"/>
          <w:lang w:val="en-US" w:eastAsia="ru-RU"/>
        </w:rPr>
        <w:instrText>place</w:instrText>
      </w:r>
      <w:r w:rsidRPr="00440A23">
        <w:rPr>
          <w:rFonts w:eastAsia="Times New Roman"/>
          <w:szCs w:val="24"/>
          <w:lang w:eastAsia="ru-RU"/>
        </w:rPr>
        <w:instrText>":"</w:instrText>
      </w:r>
      <w:r>
        <w:rPr>
          <w:rFonts w:eastAsia="Times New Roman"/>
          <w:szCs w:val="24"/>
          <w:lang w:val="en-US" w:eastAsia="ru-RU"/>
        </w:rPr>
        <w:instrText>Milano</w:instrText>
      </w:r>
      <w:r w:rsidRPr="00440A23">
        <w:rPr>
          <w:rFonts w:eastAsia="Times New Roman"/>
          <w:szCs w:val="24"/>
          <w:lang w:eastAsia="ru-RU"/>
        </w:rPr>
        <w:instrText>","</w:instrText>
      </w:r>
      <w:r>
        <w:rPr>
          <w:rFonts w:eastAsia="Times New Roman"/>
          <w:szCs w:val="24"/>
          <w:lang w:val="en-US" w:eastAsia="ru-RU"/>
        </w:rPr>
        <w:instrText>title</w:instrText>
      </w:r>
      <w:r w:rsidRPr="00440A23">
        <w:rPr>
          <w:rFonts w:eastAsia="Times New Roman"/>
          <w:szCs w:val="24"/>
          <w:lang w:eastAsia="ru-RU"/>
        </w:rPr>
        <w:instrText>":"</w:instrText>
      </w:r>
      <w:r>
        <w:rPr>
          <w:rFonts w:eastAsia="Times New Roman"/>
          <w:szCs w:val="24"/>
          <w:lang w:val="en-US" w:eastAsia="ru-RU"/>
        </w:rPr>
        <w:instrText>Introduction</w:instrText>
      </w:r>
      <w:r w:rsidRPr="00440A23">
        <w:rPr>
          <w:rFonts w:eastAsia="Times New Roman"/>
          <w:szCs w:val="24"/>
          <w:lang w:eastAsia="ru-RU"/>
        </w:rPr>
        <w:instrText xml:space="preserve"> </w:instrText>
      </w:r>
      <w:r>
        <w:rPr>
          <w:rFonts w:eastAsia="Times New Roman"/>
          <w:szCs w:val="24"/>
          <w:lang w:val="en-US" w:eastAsia="ru-RU"/>
        </w:rPr>
        <w:instrText>and</w:instrText>
      </w:r>
      <w:r w:rsidRPr="00440A23">
        <w:rPr>
          <w:rFonts w:eastAsia="Times New Roman"/>
          <w:szCs w:val="24"/>
          <w:lang w:eastAsia="ru-RU"/>
        </w:rPr>
        <w:instrText xml:space="preserve"> </w:instrText>
      </w:r>
      <w:r>
        <w:rPr>
          <w:rFonts w:eastAsia="Times New Roman"/>
          <w:szCs w:val="24"/>
          <w:lang w:val="en-US" w:eastAsia="ru-RU"/>
        </w:rPr>
        <w:instrText>Overview</w:instrText>
      </w:r>
      <w:r w:rsidRPr="00440A23">
        <w:rPr>
          <w:rFonts w:eastAsia="Times New Roman"/>
          <w:szCs w:val="24"/>
          <w:lang w:eastAsia="ru-RU"/>
        </w:rPr>
        <w:instrText xml:space="preserve"> </w:instrText>
      </w:r>
      <w:r>
        <w:rPr>
          <w:rFonts w:eastAsia="Times New Roman"/>
          <w:szCs w:val="24"/>
          <w:lang w:val="en-US" w:eastAsia="ru-RU"/>
        </w:rPr>
        <w:instrText>of</w:instrText>
      </w:r>
      <w:r w:rsidRPr="00440A23">
        <w:rPr>
          <w:rFonts w:eastAsia="Times New Roman"/>
          <w:szCs w:val="24"/>
          <w:lang w:eastAsia="ru-RU"/>
        </w:rPr>
        <w:instrText xml:space="preserve"> </w:instrText>
      </w:r>
      <w:r>
        <w:rPr>
          <w:rFonts w:eastAsia="Times New Roman"/>
          <w:szCs w:val="24"/>
          <w:lang w:val="en-US" w:eastAsia="ru-RU"/>
        </w:rPr>
        <w:instrText>PICC</w:instrText>
      </w:r>
      <w:r w:rsidRPr="00440A23">
        <w:rPr>
          <w:rFonts w:eastAsia="Times New Roman"/>
          <w:szCs w:val="24"/>
          <w:lang w:eastAsia="ru-RU"/>
        </w:rPr>
        <w:instrText xml:space="preserve"> </w:instrText>
      </w:r>
      <w:r>
        <w:rPr>
          <w:rFonts w:eastAsia="Times New Roman"/>
          <w:szCs w:val="24"/>
          <w:lang w:val="en-US" w:eastAsia="ru-RU"/>
        </w:rPr>
        <w:instrText>History</w:instrText>
      </w:r>
      <w:r w:rsidRPr="00440A23">
        <w:rPr>
          <w:rFonts w:eastAsia="Times New Roman"/>
          <w:szCs w:val="24"/>
          <w:lang w:eastAsia="ru-RU"/>
        </w:rPr>
        <w:instrText>","</w:instrText>
      </w:r>
      <w:r>
        <w:rPr>
          <w:rFonts w:eastAsia="Times New Roman"/>
          <w:szCs w:val="24"/>
          <w:lang w:val="en-US" w:eastAsia="ru-RU"/>
        </w:rPr>
        <w:instrText>type</w:instrText>
      </w:r>
      <w:r w:rsidRPr="00440A23">
        <w:rPr>
          <w:rFonts w:eastAsia="Times New Roman"/>
          <w:szCs w:val="24"/>
          <w:lang w:eastAsia="ru-RU"/>
        </w:rPr>
        <w:instrText>":"</w:instrText>
      </w:r>
      <w:r>
        <w:rPr>
          <w:rFonts w:eastAsia="Times New Roman"/>
          <w:szCs w:val="24"/>
          <w:lang w:val="en-US" w:eastAsia="ru-RU"/>
        </w:rPr>
        <w:instrText>chapter</w:instrText>
      </w:r>
      <w:r w:rsidRPr="00440A23">
        <w:rPr>
          <w:rFonts w:eastAsia="Times New Roman"/>
          <w:szCs w:val="24"/>
          <w:lang w:eastAsia="ru-RU"/>
        </w:rPr>
        <w:instrText>"},"</w:instrText>
      </w:r>
      <w:r>
        <w:rPr>
          <w:rFonts w:eastAsia="Times New Roman"/>
          <w:szCs w:val="24"/>
          <w:lang w:val="en-US" w:eastAsia="ru-RU"/>
        </w:rPr>
        <w:instrText>uris</w:instrText>
      </w:r>
      <w:r w:rsidRPr="00440A23">
        <w:rPr>
          <w:rFonts w:eastAsia="Times New Roman"/>
          <w:szCs w:val="24"/>
          <w:lang w:eastAsia="ru-RU"/>
        </w:rPr>
        <w:instrText>":["</w:instrText>
      </w:r>
      <w:r>
        <w:rPr>
          <w:rFonts w:eastAsia="Times New Roman"/>
          <w:szCs w:val="24"/>
          <w:lang w:val="en-US" w:eastAsia="ru-RU"/>
        </w:rPr>
        <w:instrText>http</w:instrText>
      </w:r>
      <w:r w:rsidRPr="00440A23">
        <w:rPr>
          <w:rFonts w:eastAsia="Times New Roman"/>
          <w:szCs w:val="24"/>
          <w:lang w:eastAsia="ru-RU"/>
        </w:rPr>
        <w:instrText>://</w:instrText>
      </w:r>
      <w:r>
        <w:rPr>
          <w:rFonts w:eastAsia="Times New Roman"/>
          <w:szCs w:val="24"/>
          <w:lang w:val="en-US" w:eastAsia="ru-RU"/>
        </w:rPr>
        <w:instrText>www</w:instrText>
      </w:r>
      <w:r w:rsidRPr="00440A23">
        <w:rPr>
          <w:rFonts w:eastAsia="Times New Roman"/>
          <w:szCs w:val="24"/>
          <w:lang w:eastAsia="ru-RU"/>
        </w:rPr>
        <w:instrText>.</w:instrText>
      </w:r>
      <w:r>
        <w:rPr>
          <w:rFonts w:eastAsia="Times New Roman"/>
          <w:szCs w:val="24"/>
          <w:lang w:val="en-US" w:eastAsia="ru-RU"/>
        </w:rPr>
        <w:instrText>mendeley</w:instrText>
      </w:r>
      <w:r w:rsidRPr="00440A23">
        <w:rPr>
          <w:rFonts w:eastAsia="Times New Roman"/>
          <w:szCs w:val="24"/>
          <w:lang w:eastAsia="ru-RU"/>
        </w:rPr>
        <w:instrText>.</w:instrText>
      </w:r>
      <w:r>
        <w:rPr>
          <w:rFonts w:eastAsia="Times New Roman"/>
          <w:szCs w:val="24"/>
          <w:lang w:val="en-US" w:eastAsia="ru-RU"/>
        </w:rPr>
        <w:instrText>com</w:instrText>
      </w:r>
      <w:r w:rsidRPr="00440A23">
        <w:rPr>
          <w:rFonts w:eastAsia="Times New Roman"/>
          <w:szCs w:val="24"/>
          <w:lang w:eastAsia="ru-RU"/>
        </w:rPr>
        <w:instrText>/</w:instrText>
      </w:r>
      <w:r>
        <w:rPr>
          <w:rFonts w:eastAsia="Times New Roman"/>
          <w:szCs w:val="24"/>
          <w:lang w:val="en-US" w:eastAsia="ru-RU"/>
        </w:rPr>
        <w:instrText>documents</w:instrText>
      </w:r>
      <w:r w:rsidRPr="00440A23">
        <w:rPr>
          <w:rFonts w:eastAsia="Times New Roman"/>
          <w:szCs w:val="24"/>
          <w:lang w:eastAsia="ru-RU"/>
        </w:rPr>
        <w:instrText>/?</w:instrText>
      </w:r>
      <w:r>
        <w:rPr>
          <w:rFonts w:eastAsia="Times New Roman"/>
          <w:szCs w:val="24"/>
          <w:lang w:val="en-US" w:eastAsia="ru-RU"/>
        </w:rPr>
        <w:instrText>uuid</w:instrText>
      </w:r>
      <w:r w:rsidRPr="00440A23">
        <w:rPr>
          <w:rFonts w:eastAsia="Times New Roman"/>
          <w:szCs w:val="24"/>
          <w:lang w:eastAsia="ru-RU"/>
        </w:rPr>
        <w:instrText>=7</w:instrText>
      </w:r>
      <w:r>
        <w:rPr>
          <w:rFonts w:eastAsia="Times New Roman"/>
          <w:szCs w:val="24"/>
          <w:lang w:val="en-US" w:eastAsia="ru-RU"/>
        </w:rPr>
        <w:instrText>dba</w:instrText>
      </w:r>
      <w:r w:rsidRPr="00440A23">
        <w:rPr>
          <w:rFonts w:eastAsia="Times New Roman"/>
          <w:szCs w:val="24"/>
          <w:lang w:eastAsia="ru-RU"/>
        </w:rPr>
        <w:instrText>9</w:instrText>
      </w:r>
      <w:r>
        <w:rPr>
          <w:rFonts w:eastAsia="Times New Roman"/>
          <w:szCs w:val="24"/>
          <w:lang w:val="en-US" w:eastAsia="ru-RU"/>
        </w:rPr>
        <w:instrText>d</w:instrText>
      </w:r>
      <w:r w:rsidRPr="00440A23">
        <w:rPr>
          <w:rFonts w:eastAsia="Times New Roman"/>
          <w:szCs w:val="24"/>
          <w:lang w:eastAsia="ru-RU"/>
        </w:rPr>
        <w:instrText>59-13</w:instrText>
      </w:r>
      <w:r>
        <w:rPr>
          <w:rFonts w:eastAsia="Times New Roman"/>
          <w:szCs w:val="24"/>
          <w:lang w:val="en-US" w:eastAsia="ru-RU"/>
        </w:rPr>
        <w:instrText>c</w:instrText>
      </w:r>
      <w:r w:rsidRPr="00440A23">
        <w:rPr>
          <w:rFonts w:eastAsia="Times New Roman"/>
          <w:szCs w:val="24"/>
          <w:lang w:eastAsia="ru-RU"/>
        </w:rPr>
        <w:instrText>1-354</w:instrText>
      </w:r>
      <w:r>
        <w:rPr>
          <w:rFonts w:eastAsia="Times New Roman"/>
          <w:szCs w:val="24"/>
          <w:lang w:val="en-US" w:eastAsia="ru-RU"/>
        </w:rPr>
        <w:instrText>f</w:instrText>
      </w:r>
      <w:r w:rsidRPr="00440A23">
        <w:rPr>
          <w:rFonts w:eastAsia="Times New Roman"/>
          <w:szCs w:val="24"/>
          <w:lang w:eastAsia="ru-RU"/>
        </w:rPr>
        <w:instrText>-9</w:instrText>
      </w:r>
      <w:r>
        <w:rPr>
          <w:rFonts w:eastAsia="Times New Roman"/>
          <w:szCs w:val="24"/>
          <w:lang w:val="en-US" w:eastAsia="ru-RU"/>
        </w:rPr>
        <w:instrText>c</w:instrText>
      </w:r>
      <w:r w:rsidRPr="00440A23">
        <w:rPr>
          <w:rFonts w:eastAsia="Times New Roman"/>
          <w:szCs w:val="24"/>
          <w:lang w:eastAsia="ru-RU"/>
        </w:rPr>
        <w:instrText>32-</w:instrText>
      </w:r>
      <w:r>
        <w:rPr>
          <w:rFonts w:eastAsia="Times New Roman"/>
          <w:szCs w:val="24"/>
          <w:lang w:val="en-US" w:eastAsia="ru-RU"/>
        </w:rPr>
        <w:instrText>ced</w:instrText>
      </w:r>
      <w:r w:rsidRPr="00440A23">
        <w:rPr>
          <w:rFonts w:eastAsia="Times New Roman"/>
          <w:szCs w:val="24"/>
          <w:lang w:eastAsia="ru-RU"/>
        </w:rPr>
        <w:instrText>4</w:instrText>
      </w:r>
      <w:r>
        <w:rPr>
          <w:rFonts w:eastAsia="Times New Roman"/>
          <w:szCs w:val="24"/>
          <w:lang w:val="en-US" w:eastAsia="ru-RU"/>
        </w:rPr>
        <w:instrText>c</w:instrText>
      </w:r>
      <w:r w:rsidRPr="00440A23">
        <w:rPr>
          <w:rFonts w:eastAsia="Times New Roman"/>
          <w:szCs w:val="24"/>
          <w:lang w:eastAsia="ru-RU"/>
        </w:rPr>
        <w:instrText>0</w:instrText>
      </w:r>
      <w:r>
        <w:rPr>
          <w:rFonts w:eastAsia="Times New Roman"/>
          <w:szCs w:val="24"/>
          <w:lang w:val="en-US" w:eastAsia="ru-RU"/>
        </w:rPr>
        <w:instrText>b</w:instrText>
      </w:r>
      <w:r w:rsidRPr="00440A23">
        <w:rPr>
          <w:rFonts w:eastAsia="Times New Roman"/>
          <w:szCs w:val="24"/>
          <w:lang w:eastAsia="ru-RU"/>
        </w:rPr>
        <w:instrText>75</w:instrText>
      </w:r>
      <w:r>
        <w:rPr>
          <w:rFonts w:eastAsia="Times New Roman"/>
          <w:szCs w:val="24"/>
          <w:lang w:val="en-US" w:eastAsia="ru-RU"/>
        </w:rPr>
        <w:instrText>a</w:instrText>
      </w:r>
      <w:r w:rsidRPr="00440A23">
        <w:rPr>
          <w:rFonts w:eastAsia="Times New Roman"/>
          <w:szCs w:val="24"/>
          <w:lang w:eastAsia="ru-RU"/>
        </w:rPr>
        <w:instrText>01","</w:instrText>
      </w:r>
      <w:r>
        <w:rPr>
          <w:rFonts w:eastAsia="Times New Roman"/>
          <w:szCs w:val="24"/>
          <w:lang w:val="en-US" w:eastAsia="ru-RU"/>
        </w:rPr>
        <w:instrText>http</w:instrText>
      </w:r>
      <w:r w:rsidRPr="00440A23">
        <w:rPr>
          <w:rFonts w:eastAsia="Times New Roman"/>
          <w:szCs w:val="24"/>
          <w:lang w:eastAsia="ru-RU"/>
        </w:rPr>
        <w:instrText>://</w:instrText>
      </w:r>
      <w:r>
        <w:rPr>
          <w:rFonts w:eastAsia="Times New Roman"/>
          <w:szCs w:val="24"/>
          <w:lang w:val="en-US" w:eastAsia="ru-RU"/>
        </w:rPr>
        <w:instrText>www</w:instrText>
      </w:r>
      <w:r w:rsidRPr="00440A23">
        <w:rPr>
          <w:rFonts w:eastAsia="Times New Roman"/>
          <w:szCs w:val="24"/>
          <w:lang w:eastAsia="ru-RU"/>
        </w:rPr>
        <w:instrText>.</w:instrText>
      </w:r>
      <w:r>
        <w:rPr>
          <w:rFonts w:eastAsia="Times New Roman"/>
          <w:szCs w:val="24"/>
          <w:lang w:val="en-US" w:eastAsia="ru-RU"/>
        </w:rPr>
        <w:instrText>mendeley</w:instrText>
      </w:r>
      <w:r w:rsidRPr="00440A23">
        <w:rPr>
          <w:rFonts w:eastAsia="Times New Roman"/>
          <w:szCs w:val="24"/>
          <w:lang w:eastAsia="ru-RU"/>
        </w:rPr>
        <w:instrText>.</w:instrText>
      </w:r>
      <w:r>
        <w:rPr>
          <w:rFonts w:eastAsia="Times New Roman"/>
          <w:szCs w:val="24"/>
          <w:lang w:val="en-US" w:eastAsia="ru-RU"/>
        </w:rPr>
        <w:instrText>com</w:instrText>
      </w:r>
      <w:r w:rsidRPr="00440A23">
        <w:rPr>
          <w:rFonts w:eastAsia="Times New Roman"/>
          <w:szCs w:val="24"/>
          <w:lang w:eastAsia="ru-RU"/>
        </w:rPr>
        <w:instrText>/</w:instrText>
      </w:r>
      <w:r>
        <w:rPr>
          <w:rFonts w:eastAsia="Times New Roman"/>
          <w:szCs w:val="24"/>
          <w:lang w:val="en-US" w:eastAsia="ru-RU"/>
        </w:rPr>
        <w:instrText>documents</w:instrText>
      </w:r>
      <w:r w:rsidRPr="00440A23">
        <w:rPr>
          <w:rFonts w:eastAsia="Times New Roman"/>
          <w:szCs w:val="24"/>
          <w:lang w:eastAsia="ru-RU"/>
        </w:rPr>
        <w:instrText>/?</w:instrText>
      </w:r>
      <w:r>
        <w:rPr>
          <w:rFonts w:eastAsia="Times New Roman"/>
          <w:szCs w:val="24"/>
          <w:lang w:val="en-US" w:eastAsia="ru-RU"/>
        </w:rPr>
        <w:instrText>uuid</w:instrText>
      </w:r>
      <w:r w:rsidRPr="00440A23">
        <w:rPr>
          <w:rFonts w:eastAsia="Times New Roman"/>
          <w:szCs w:val="24"/>
          <w:lang w:eastAsia="ru-RU"/>
        </w:rPr>
        <w:instrText>=769943</w:instrText>
      </w:r>
      <w:r>
        <w:rPr>
          <w:rFonts w:eastAsia="Times New Roman"/>
          <w:szCs w:val="24"/>
          <w:lang w:val="en-US" w:eastAsia="ru-RU"/>
        </w:rPr>
        <w:instrText>d</w:instrText>
      </w:r>
      <w:r w:rsidRPr="00440A23">
        <w:rPr>
          <w:rFonts w:eastAsia="Times New Roman"/>
          <w:szCs w:val="24"/>
          <w:lang w:eastAsia="ru-RU"/>
        </w:rPr>
        <w:instrText>7-</w:instrText>
      </w:r>
      <w:r>
        <w:rPr>
          <w:rFonts w:eastAsia="Times New Roman"/>
          <w:szCs w:val="24"/>
          <w:lang w:val="en-US" w:eastAsia="ru-RU"/>
        </w:rPr>
        <w:instrText>e</w:instrText>
      </w:r>
      <w:r w:rsidRPr="00440A23">
        <w:rPr>
          <w:rFonts w:eastAsia="Times New Roman"/>
          <w:szCs w:val="24"/>
          <w:lang w:eastAsia="ru-RU"/>
        </w:rPr>
        <w:instrText>749-4</w:instrText>
      </w:r>
      <w:r>
        <w:rPr>
          <w:rFonts w:eastAsia="Times New Roman"/>
          <w:szCs w:val="24"/>
          <w:lang w:val="en-US" w:eastAsia="ru-RU"/>
        </w:rPr>
        <w:instrText>fb</w:instrText>
      </w:r>
      <w:r w:rsidRPr="00440A23">
        <w:rPr>
          <w:rFonts w:eastAsia="Times New Roman"/>
          <w:szCs w:val="24"/>
          <w:lang w:eastAsia="ru-RU"/>
        </w:rPr>
        <w:instrText>5-</w:instrText>
      </w:r>
      <w:r>
        <w:rPr>
          <w:rFonts w:eastAsia="Times New Roman"/>
          <w:szCs w:val="24"/>
          <w:lang w:val="en-US" w:eastAsia="ru-RU"/>
        </w:rPr>
        <w:instrText>b</w:instrText>
      </w:r>
      <w:r w:rsidRPr="00440A23">
        <w:rPr>
          <w:rFonts w:eastAsia="Times New Roman"/>
          <w:szCs w:val="24"/>
          <w:lang w:eastAsia="ru-RU"/>
        </w:rPr>
        <w:instrText>3</w:instrText>
      </w:r>
      <w:r>
        <w:rPr>
          <w:rFonts w:eastAsia="Times New Roman"/>
          <w:szCs w:val="24"/>
          <w:lang w:val="en-US" w:eastAsia="ru-RU"/>
        </w:rPr>
        <w:instrText>a</w:instrText>
      </w:r>
      <w:r w:rsidRPr="00440A23">
        <w:rPr>
          <w:rFonts w:eastAsia="Times New Roman"/>
          <w:szCs w:val="24"/>
          <w:lang w:eastAsia="ru-RU"/>
        </w:rPr>
        <w:instrText>4-95</w:instrText>
      </w:r>
      <w:r>
        <w:rPr>
          <w:rFonts w:eastAsia="Times New Roman"/>
          <w:szCs w:val="24"/>
          <w:lang w:val="en-US" w:eastAsia="ru-RU"/>
        </w:rPr>
        <w:instrText>af</w:instrText>
      </w:r>
      <w:r w:rsidRPr="00440A23">
        <w:rPr>
          <w:rFonts w:eastAsia="Times New Roman"/>
          <w:szCs w:val="24"/>
          <w:lang w:eastAsia="ru-RU"/>
        </w:rPr>
        <w:instrText>1807</w:instrText>
      </w:r>
      <w:r>
        <w:rPr>
          <w:rFonts w:eastAsia="Times New Roman"/>
          <w:szCs w:val="24"/>
          <w:lang w:val="en-US" w:eastAsia="ru-RU"/>
        </w:rPr>
        <w:instrText>fec</w:instrText>
      </w:r>
      <w:r w:rsidRPr="00440A23">
        <w:rPr>
          <w:rFonts w:eastAsia="Times New Roman"/>
          <w:szCs w:val="24"/>
          <w:lang w:eastAsia="ru-RU"/>
        </w:rPr>
        <w:instrText>9"]}],"</w:instrText>
      </w:r>
      <w:r>
        <w:rPr>
          <w:rFonts w:eastAsia="Times New Roman"/>
          <w:szCs w:val="24"/>
          <w:lang w:val="en-US" w:eastAsia="ru-RU"/>
        </w:rPr>
        <w:instrText>mendeley</w:instrText>
      </w:r>
      <w:r w:rsidRPr="00440A23">
        <w:rPr>
          <w:rFonts w:eastAsia="Times New Roman"/>
          <w:szCs w:val="24"/>
          <w:lang w:eastAsia="ru-RU"/>
        </w:rPr>
        <w:instrText>":{"</w:instrText>
      </w:r>
      <w:r>
        <w:rPr>
          <w:rFonts w:eastAsia="Times New Roman"/>
          <w:szCs w:val="24"/>
          <w:lang w:val="en-US" w:eastAsia="ru-RU"/>
        </w:rPr>
        <w:instrText>formattedCitation</w:instrText>
      </w:r>
      <w:r w:rsidRPr="00440A23">
        <w:rPr>
          <w:rFonts w:eastAsia="Times New Roman"/>
          <w:szCs w:val="24"/>
          <w:lang w:eastAsia="ru-RU"/>
        </w:rPr>
        <w:instrText>":"[2]","</w:instrText>
      </w:r>
      <w:r>
        <w:rPr>
          <w:rFonts w:eastAsia="Times New Roman"/>
          <w:szCs w:val="24"/>
          <w:lang w:val="en-US" w:eastAsia="ru-RU"/>
        </w:rPr>
        <w:instrText>plainTextFormattedCitation</w:instrText>
      </w:r>
      <w:r w:rsidRPr="00440A23">
        <w:rPr>
          <w:rFonts w:eastAsia="Times New Roman"/>
          <w:szCs w:val="24"/>
          <w:lang w:eastAsia="ru-RU"/>
        </w:rPr>
        <w:instrText>":"[2]","</w:instrText>
      </w:r>
      <w:r>
        <w:rPr>
          <w:rFonts w:eastAsia="Times New Roman"/>
          <w:szCs w:val="24"/>
          <w:lang w:val="en-US" w:eastAsia="ru-RU"/>
        </w:rPr>
        <w:instrText>previouslyFormattedCitation</w:instrText>
      </w:r>
      <w:r w:rsidRPr="00440A23">
        <w:rPr>
          <w:rFonts w:eastAsia="Times New Roman"/>
          <w:szCs w:val="24"/>
          <w:lang w:eastAsia="ru-RU"/>
        </w:rPr>
        <w:instrText>":"[9]"},"</w:instrText>
      </w:r>
      <w:r>
        <w:rPr>
          <w:rFonts w:eastAsia="Times New Roman"/>
          <w:szCs w:val="24"/>
          <w:lang w:val="en-US" w:eastAsia="ru-RU"/>
        </w:rPr>
        <w:instrText>properties</w:instrText>
      </w:r>
      <w:r w:rsidRPr="00440A23">
        <w:rPr>
          <w:rFonts w:eastAsia="Times New Roman"/>
          <w:szCs w:val="24"/>
          <w:lang w:eastAsia="ru-RU"/>
        </w:rPr>
        <w:instrText>":{"</w:instrText>
      </w:r>
      <w:r>
        <w:rPr>
          <w:rFonts w:eastAsia="Times New Roman"/>
          <w:szCs w:val="24"/>
          <w:lang w:val="en-US" w:eastAsia="ru-RU"/>
        </w:rPr>
        <w:instrText>noteIndex</w:instrText>
      </w:r>
      <w:r w:rsidRPr="00440A23">
        <w:rPr>
          <w:rFonts w:eastAsia="Times New Roman"/>
          <w:szCs w:val="24"/>
          <w:lang w:eastAsia="ru-RU"/>
        </w:rPr>
        <w:instrText>":0},"</w:instrText>
      </w:r>
      <w:r>
        <w:rPr>
          <w:rFonts w:eastAsia="Times New Roman"/>
          <w:szCs w:val="24"/>
          <w:lang w:val="en-US" w:eastAsia="ru-RU"/>
        </w:rPr>
        <w:instrText>schema</w:instrText>
      </w:r>
      <w:r w:rsidRPr="00440A23">
        <w:rPr>
          <w:rFonts w:eastAsia="Times New Roman"/>
          <w:szCs w:val="24"/>
          <w:lang w:eastAsia="ru-RU"/>
        </w:rPr>
        <w:instrText>":"</w:instrText>
      </w:r>
      <w:r>
        <w:rPr>
          <w:rFonts w:eastAsia="Times New Roman"/>
          <w:szCs w:val="24"/>
          <w:lang w:val="en-US" w:eastAsia="ru-RU"/>
        </w:rPr>
        <w:instrText>https</w:instrText>
      </w:r>
      <w:r w:rsidRPr="00440A23">
        <w:rPr>
          <w:rFonts w:eastAsia="Times New Roman"/>
          <w:szCs w:val="24"/>
          <w:lang w:eastAsia="ru-RU"/>
        </w:rPr>
        <w:instrText>://</w:instrText>
      </w:r>
      <w:r>
        <w:rPr>
          <w:rFonts w:eastAsia="Times New Roman"/>
          <w:szCs w:val="24"/>
          <w:lang w:val="en-US" w:eastAsia="ru-RU"/>
        </w:rPr>
        <w:instrText>github</w:instrText>
      </w:r>
      <w:r w:rsidRPr="00440A23">
        <w:rPr>
          <w:rFonts w:eastAsia="Times New Roman"/>
          <w:szCs w:val="24"/>
          <w:lang w:eastAsia="ru-RU"/>
        </w:rPr>
        <w:instrText>.</w:instrText>
      </w:r>
      <w:r>
        <w:rPr>
          <w:rFonts w:eastAsia="Times New Roman"/>
          <w:szCs w:val="24"/>
          <w:lang w:val="en-US" w:eastAsia="ru-RU"/>
        </w:rPr>
        <w:instrText>com</w:instrText>
      </w:r>
      <w:r w:rsidRPr="00440A23">
        <w:rPr>
          <w:rFonts w:eastAsia="Times New Roman"/>
          <w:szCs w:val="24"/>
          <w:lang w:eastAsia="ru-RU"/>
        </w:rPr>
        <w:instrText>/</w:instrText>
      </w:r>
      <w:r>
        <w:rPr>
          <w:rFonts w:eastAsia="Times New Roman"/>
          <w:szCs w:val="24"/>
          <w:lang w:val="en-US" w:eastAsia="ru-RU"/>
        </w:rPr>
        <w:instrText>citation</w:instrText>
      </w:r>
      <w:r w:rsidRPr="00440A23">
        <w:rPr>
          <w:rFonts w:eastAsia="Times New Roman"/>
          <w:szCs w:val="24"/>
          <w:lang w:eastAsia="ru-RU"/>
        </w:rPr>
        <w:instrText>-</w:instrText>
      </w:r>
      <w:r>
        <w:rPr>
          <w:rFonts w:eastAsia="Times New Roman"/>
          <w:szCs w:val="24"/>
          <w:lang w:val="en-US" w:eastAsia="ru-RU"/>
        </w:rPr>
        <w:instrText>style</w:instrText>
      </w:r>
      <w:r w:rsidRPr="00440A23">
        <w:rPr>
          <w:rFonts w:eastAsia="Times New Roman"/>
          <w:szCs w:val="24"/>
          <w:lang w:eastAsia="ru-RU"/>
        </w:rPr>
        <w:instrText>-</w:instrText>
      </w:r>
      <w:r>
        <w:rPr>
          <w:rFonts w:eastAsia="Times New Roman"/>
          <w:szCs w:val="24"/>
          <w:lang w:val="en-US" w:eastAsia="ru-RU"/>
        </w:rPr>
        <w:instrText>language</w:instrText>
      </w:r>
      <w:r w:rsidRPr="00440A23">
        <w:rPr>
          <w:rFonts w:eastAsia="Times New Roman"/>
          <w:szCs w:val="24"/>
          <w:lang w:eastAsia="ru-RU"/>
        </w:rPr>
        <w:instrText>/</w:instrText>
      </w:r>
      <w:r>
        <w:rPr>
          <w:rFonts w:eastAsia="Times New Roman"/>
          <w:szCs w:val="24"/>
          <w:lang w:val="en-US" w:eastAsia="ru-RU"/>
        </w:rPr>
        <w:instrText>schema</w:instrText>
      </w:r>
      <w:r w:rsidRPr="00440A23">
        <w:rPr>
          <w:rFonts w:eastAsia="Times New Roman"/>
          <w:szCs w:val="24"/>
          <w:lang w:eastAsia="ru-RU"/>
        </w:rPr>
        <w:instrText>/</w:instrText>
      </w:r>
      <w:r>
        <w:rPr>
          <w:rFonts w:eastAsia="Times New Roman"/>
          <w:szCs w:val="24"/>
          <w:lang w:val="en-US" w:eastAsia="ru-RU"/>
        </w:rPr>
        <w:instrText>raw</w:instrText>
      </w:r>
      <w:r w:rsidRPr="00440A23">
        <w:rPr>
          <w:rFonts w:eastAsia="Times New Roman"/>
          <w:szCs w:val="24"/>
          <w:lang w:eastAsia="ru-RU"/>
        </w:rPr>
        <w:instrText>/</w:instrText>
      </w:r>
      <w:r>
        <w:rPr>
          <w:rFonts w:eastAsia="Times New Roman"/>
          <w:szCs w:val="24"/>
          <w:lang w:val="en-US" w:eastAsia="ru-RU"/>
        </w:rPr>
        <w:instrText>master</w:instrText>
      </w:r>
      <w:r w:rsidRPr="00440A23">
        <w:rPr>
          <w:rFonts w:eastAsia="Times New Roman"/>
          <w:szCs w:val="24"/>
          <w:lang w:eastAsia="ru-RU"/>
        </w:rPr>
        <w:instrText>/</w:instrText>
      </w:r>
      <w:r>
        <w:rPr>
          <w:rFonts w:eastAsia="Times New Roman"/>
          <w:szCs w:val="24"/>
          <w:lang w:val="en-US" w:eastAsia="ru-RU"/>
        </w:rPr>
        <w:instrText>csl</w:instrText>
      </w:r>
      <w:r w:rsidRPr="00440A23">
        <w:rPr>
          <w:rFonts w:eastAsia="Times New Roman"/>
          <w:szCs w:val="24"/>
          <w:lang w:eastAsia="ru-RU"/>
        </w:rPr>
        <w:instrText>-</w:instrText>
      </w:r>
      <w:r>
        <w:rPr>
          <w:rFonts w:eastAsia="Times New Roman"/>
          <w:szCs w:val="24"/>
          <w:lang w:val="en-US" w:eastAsia="ru-RU"/>
        </w:rPr>
        <w:instrText>citation</w:instrText>
      </w:r>
      <w:r w:rsidRPr="00440A23">
        <w:rPr>
          <w:rFonts w:eastAsia="Times New Roman"/>
          <w:szCs w:val="24"/>
          <w:lang w:eastAsia="ru-RU"/>
        </w:rPr>
        <w:instrText>.</w:instrText>
      </w:r>
      <w:r>
        <w:rPr>
          <w:rFonts w:eastAsia="Times New Roman"/>
          <w:szCs w:val="24"/>
          <w:lang w:val="en-US" w:eastAsia="ru-RU"/>
        </w:rPr>
        <w:instrText>json</w:instrText>
      </w:r>
      <w:r w:rsidRPr="00440A23">
        <w:rPr>
          <w:rFonts w:eastAsia="Times New Roman"/>
          <w:szCs w:val="24"/>
          <w:lang w:eastAsia="ru-RU"/>
        </w:rPr>
        <w:instrText>"}</w:instrText>
      </w:r>
      <w:r w:rsidRPr="00DC556E">
        <w:rPr>
          <w:rFonts w:eastAsia="Times New Roman"/>
          <w:szCs w:val="24"/>
          <w:lang w:eastAsia="ru-RU"/>
        </w:rPr>
        <w:fldChar w:fldCharType="separate"/>
      </w:r>
      <w:r w:rsidRPr="00440A23">
        <w:rPr>
          <w:rFonts w:eastAsia="Times New Roman"/>
          <w:noProof/>
          <w:szCs w:val="24"/>
          <w:lang w:eastAsia="ru-RU"/>
        </w:rPr>
        <w:t>[2]</w:t>
      </w:r>
      <w:r w:rsidRPr="00DC556E">
        <w:rPr>
          <w:rFonts w:eastAsia="Times New Roman"/>
          <w:szCs w:val="24"/>
          <w:lang w:eastAsia="ru-RU"/>
        </w:rPr>
        <w:fldChar w:fldCharType="end"/>
      </w:r>
      <w:r w:rsidRPr="00DC556E">
        <w:rPr>
          <w:rFonts w:eastAsia="Times New Roman"/>
          <w:szCs w:val="24"/>
          <w:lang w:eastAsia="ru-RU"/>
        </w:rPr>
        <w:t>. ПИЦВК имеют ряд преимуществ перед обычными ЦВК. При их установке исключен риск пневмоторакса и гемоторакса, пациенты отмечают больший комфорт, иногда предпочитают по косметическим причинам. Важным преимуществом ПИЦВК является и меньшее количество инфекционных осложнений. ПИЦВК практически незаменимы при наличии выраженного геморрагического синдрома.</w:t>
      </w:r>
    </w:p>
    <w:p w14:paraId="690CAE5B" w14:textId="77777777" w:rsidR="00643A32" w:rsidRPr="00DC556E" w:rsidRDefault="00643A32" w:rsidP="00643A32">
      <w:pPr>
        <w:spacing w:before="0" w:after="0"/>
        <w:ind w:firstLine="708"/>
        <w:rPr>
          <w:rFonts w:eastAsia="Times New Roman"/>
          <w:i/>
          <w:szCs w:val="24"/>
          <w:lang w:eastAsia="ru-RU"/>
        </w:rPr>
      </w:pPr>
      <w:r w:rsidRPr="00DC556E">
        <w:rPr>
          <w:rFonts w:eastAsia="Times New Roman"/>
          <w:i/>
          <w:szCs w:val="24"/>
          <w:lang w:eastAsia="ru-RU"/>
        </w:rPr>
        <w:t>Диализные катетеры.</w:t>
      </w:r>
    </w:p>
    <w:p w14:paraId="2689CB07" w14:textId="77777777" w:rsidR="00643A32" w:rsidRPr="00DC556E" w:rsidRDefault="00643A32" w:rsidP="00643A32">
      <w:pPr>
        <w:spacing w:before="0" w:after="0"/>
        <w:ind w:firstLine="700"/>
        <w:rPr>
          <w:szCs w:val="24"/>
        </w:rPr>
      </w:pPr>
      <w:r w:rsidRPr="00DC556E">
        <w:rPr>
          <w:rFonts w:eastAsia="Times New Roman"/>
          <w:szCs w:val="24"/>
          <w:lang w:eastAsia="ru-RU"/>
        </w:rPr>
        <w:t xml:space="preserve">Отдельное место занимают так называемые диализные катетеры, то есть катетеры, которые используются для проведения заместительной почечной терапии, а также процедур плазмафереза и лейкоцитафереза, сбора гемопоэтических стволовых клеток. Связано это с большим диаметром катетера, а также особенностями строения дистального конца катетера. </w:t>
      </w:r>
      <w:r w:rsidRPr="00DC556E">
        <w:rPr>
          <w:szCs w:val="24"/>
        </w:rPr>
        <w:t>Они устанавливаются на время формирования (“созревания”) фистулы или протеза у больных с хронической почечной недостаточностью, нуждающихся в программном гемодиализе или в качестве единственного сосудистого доступа при наличии тяжелой сердечной недостаточности.</w:t>
      </w:r>
    </w:p>
    <w:p w14:paraId="0F3E8996" w14:textId="77777777" w:rsidR="00643A32" w:rsidRPr="00DC556E" w:rsidRDefault="00643A32" w:rsidP="00643A32">
      <w:pPr>
        <w:spacing w:before="0" w:after="0"/>
        <w:ind w:firstLine="709"/>
        <w:rPr>
          <w:b/>
          <w:bCs/>
          <w:szCs w:val="24"/>
        </w:rPr>
      </w:pPr>
      <w:r w:rsidRPr="00DC556E">
        <w:rPr>
          <w:b/>
          <w:bCs/>
          <w:szCs w:val="24"/>
        </w:rPr>
        <w:t>Осложнения</w:t>
      </w:r>
      <w:r w:rsidRPr="00DC556E">
        <w:rPr>
          <w:rFonts w:eastAsia="Times New Roman"/>
          <w:b/>
          <w:bCs/>
          <w:szCs w:val="24"/>
          <w:lang w:eastAsia="ru-RU"/>
        </w:rPr>
        <w:t xml:space="preserve"> катетеризации центральных вен</w:t>
      </w:r>
    </w:p>
    <w:p w14:paraId="6D310240" w14:textId="77777777" w:rsidR="00643A32" w:rsidRPr="00DC556E" w:rsidRDefault="00643A32" w:rsidP="00643A32">
      <w:pPr>
        <w:spacing w:before="0" w:after="0"/>
        <w:ind w:firstLine="709"/>
        <w:rPr>
          <w:rFonts w:eastAsia="Times New Roman"/>
          <w:szCs w:val="24"/>
          <w:lang w:eastAsia="ru-RU"/>
        </w:rPr>
      </w:pPr>
      <w:r w:rsidRPr="00DC556E">
        <w:rPr>
          <w:rFonts w:eastAsia="Times New Roman"/>
          <w:i/>
          <w:szCs w:val="24"/>
          <w:lang w:eastAsia="ru-RU"/>
        </w:rPr>
        <w:t>К ранним осложнениям</w:t>
      </w:r>
      <w:r w:rsidRPr="00DC556E">
        <w:rPr>
          <w:rFonts w:eastAsia="Times New Roman"/>
          <w:szCs w:val="24"/>
          <w:lang w:eastAsia="ru-RU"/>
        </w:rPr>
        <w:t xml:space="preserve"> относят возникшие во время проведения манипуляции:</w:t>
      </w:r>
    </w:p>
    <w:p w14:paraId="0C304B63" w14:textId="77777777" w:rsidR="00643A32" w:rsidRPr="00DC556E" w:rsidRDefault="00643A32" w:rsidP="00CE6C1C">
      <w:pPr>
        <w:pStyle w:val="a6"/>
        <w:numPr>
          <w:ilvl w:val="0"/>
          <w:numId w:val="93"/>
        </w:numPr>
        <w:spacing w:before="0" w:after="0"/>
        <w:ind w:left="993" w:hanging="284"/>
        <w:rPr>
          <w:rFonts w:eastAsia="Times New Roman"/>
          <w:szCs w:val="24"/>
          <w:lang w:eastAsia="ru-RU"/>
        </w:rPr>
      </w:pPr>
      <w:r w:rsidRPr="00DC556E">
        <w:rPr>
          <w:rFonts w:eastAsia="Times New Roman"/>
          <w:szCs w:val="24"/>
          <w:lang w:eastAsia="ru-RU"/>
        </w:rPr>
        <w:t xml:space="preserve">ранение магистральных артерий, </w:t>
      </w:r>
    </w:p>
    <w:p w14:paraId="33C8CB4A" w14:textId="77777777" w:rsidR="00643A32" w:rsidRPr="00DC556E" w:rsidRDefault="00643A32" w:rsidP="00CE6C1C">
      <w:pPr>
        <w:pStyle w:val="a6"/>
        <w:numPr>
          <w:ilvl w:val="0"/>
          <w:numId w:val="93"/>
        </w:numPr>
        <w:spacing w:before="0" w:after="0"/>
        <w:ind w:left="993" w:hanging="284"/>
        <w:rPr>
          <w:rFonts w:eastAsia="Times New Roman"/>
          <w:szCs w:val="24"/>
          <w:lang w:eastAsia="ru-RU"/>
        </w:rPr>
      </w:pPr>
      <w:r w:rsidRPr="00DC556E">
        <w:rPr>
          <w:rFonts w:eastAsia="Times New Roman"/>
          <w:szCs w:val="24"/>
          <w:lang w:eastAsia="ru-RU"/>
        </w:rPr>
        <w:t>развитие гематомы в месте пункции сосуда</w:t>
      </w:r>
    </w:p>
    <w:p w14:paraId="392BA3CF" w14:textId="77777777" w:rsidR="00643A32" w:rsidRPr="00DC556E" w:rsidRDefault="00643A32" w:rsidP="00CE6C1C">
      <w:pPr>
        <w:pStyle w:val="a6"/>
        <w:numPr>
          <w:ilvl w:val="0"/>
          <w:numId w:val="93"/>
        </w:numPr>
        <w:spacing w:before="0" w:after="0"/>
        <w:ind w:left="993" w:hanging="284"/>
        <w:rPr>
          <w:rFonts w:eastAsia="Times New Roman"/>
          <w:szCs w:val="24"/>
          <w:lang w:eastAsia="ru-RU"/>
        </w:rPr>
      </w:pPr>
      <w:r w:rsidRPr="00DC556E">
        <w:rPr>
          <w:rFonts w:eastAsia="Times New Roman"/>
          <w:szCs w:val="24"/>
          <w:lang w:eastAsia="ru-RU"/>
        </w:rPr>
        <w:t xml:space="preserve">развитие пневмоторакса, гемоторакса, </w:t>
      </w:r>
    </w:p>
    <w:p w14:paraId="5A381271" w14:textId="77777777" w:rsidR="00643A32" w:rsidRPr="00DC556E" w:rsidRDefault="00643A32" w:rsidP="00CE6C1C">
      <w:pPr>
        <w:pStyle w:val="a6"/>
        <w:numPr>
          <w:ilvl w:val="0"/>
          <w:numId w:val="93"/>
        </w:numPr>
        <w:spacing w:before="0" w:after="0"/>
        <w:ind w:left="993" w:hanging="284"/>
        <w:rPr>
          <w:rFonts w:eastAsia="Times New Roman"/>
          <w:szCs w:val="24"/>
          <w:lang w:eastAsia="ru-RU"/>
        </w:rPr>
      </w:pPr>
      <w:r w:rsidRPr="00DC556E">
        <w:rPr>
          <w:rFonts w:eastAsia="Times New Roman"/>
          <w:szCs w:val="24"/>
          <w:lang w:eastAsia="ru-RU"/>
        </w:rPr>
        <w:t xml:space="preserve">ранение грудного лимфатического протока, </w:t>
      </w:r>
    </w:p>
    <w:p w14:paraId="34285583" w14:textId="77777777" w:rsidR="00643A32" w:rsidRPr="00DC556E" w:rsidRDefault="00643A32" w:rsidP="00CE6C1C">
      <w:pPr>
        <w:pStyle w:val="a6"/>
        <w:numPr>
          <w:ilvl w:val="0"/>
          <w:numId w:val="93"/>
        </w:numPr>
        <w:spacing w:before="0" w:after="0"/>
        <w:ind w:left="993" w:hanging="284"/>
        <w:rPr>
          <w:rFonts w:eastAsia="Times New Roman"/>
          <w:szCs w:val="24"/>
          <w:lang w:eastAsia="ru-RU"/>
        </w:rPr>
      </w:pPr>
      <w:r w:rsidRPr="00DC556E">
        <w:rPr>
          <w:rFonts w:eastAsia="Times New Roman"/>
          <w:szCs w:val="24"/>
          <w:lang w:eastAsia="ru-RU"/>
        </w:rPr>
        <w:t xml:space="preserve">повреждение нервных сплетений, </w:t>
      </w:r>
    </w:p>
    <w:p w14:paraId="0A6561FA" w14:textId="77777777" w:rsidR="00643A32" w:rsidRPr="00DC556E" w:rsidRDefault="00643A32" w:rsidP="00CE6C1C">
      <w:pPr>
        <w:pStyle w:val="a6"/>
        <w:numPr>
          <w:ilvl w:val="0"/>
          <w:numId w:val="93"/>
        </w:numPr>
        <w:spacing w:before="0" w:after="0"/>
        <w:ind w:left="993" w:hanging="284"/>
        <w:rPr>
          <w:rFonts w:eastAsia="Times New Roman"/>
          <w:szCs w:val="24"/>
          <w:lang w:eastAsia="ru-RU"/>
        </w:rPr>
      </w:pPr>
      <w:r w:rsidRPr="00DC556E">
        <w:rPr>
          <w:rFonts w:eastAsia="Times New Roman"/>
          <w:szCs w:val="24"/>
          <w:lang w:eastAsia="ru-RU"/>
        </w:rPr>
        <w:t>неправильная установка катетера</w:t>
      </w:r>
    </w:p>
    <w:p w14:paraId="6E6C700F" w14:textId="77777777" w:rsidR="00643A32" w:rsidRPr="00DC556E" w:rsidRDefault="00643A32" w:rsidP="00643A32">
      <w:pPr>
        <w:spacing w:before="0" w:after="0"/>
        <w:ind w:firstLine="709"/>
        <w:rPr>
          <w:szCs w:val="24"/>
        </w:rPr>
      </w:pPr>
      <w:r w:rsidRPr="00DC556E">
        <w:rPr>
          <w:i/>
          <w:iCs/>
          <w:szCs w:val="24"/>
        </w:rPr>
        <w:t>Поздние осложнения,</w:t>
      </w:r>
      <w:r w:rsidRPr="00DC556E">
        <w:rPr>
          <w:szCs w:val="24"/>
        </w:rPr>
        <w:t xml:space="preserve"> возникающие во время или после эксплуатации катетера, бывают тромботическими, стенотическими и инфекционными.</w:t>
      </w:r>
    </w:p>
    <w:p w14:paraId="5113F126" w14:textId="77777777" w:rsidR="00643A32" w:rsidRPr="00DC556E" w:rsidRDefault="00643A32" w:rsidP="00643A32">
      <w:pPr>
        <w:spacing w:before="0" w:after="0"/>
        <w:ind w:firstLine="708"/>
        <w:rPr>
          <w:szCs w:val="24"/>
        </w:rPr>
      </w:pPr>
      <w:r w:rsidRPr="00DC556E">
        <w:rPr>
          <w:szCs w:val="24"/>
        </w:rPr>
        <w:lastRenderedPageBreak/>
        <w:t>Под катетер-ассоциированным тромбозом (</w:t>
      </w:r>
      <w:r w:rsidRPr="00DC556E">
        <w:rPr>
          <w:i/>
          <w:szCs w:val="24"/>
        </w:rPr>
        <w:t xml:space="preserve">КАТ) </w:t>
      </w:r>
      <w:r w:rsidRPr="00DC556E">
        <w:rPr>
          <w:szCs w:val="24"/>
        </w:rPr>
        <w:t xml:space="preserve">понимают сочетание клинических и инструментальных признаков тромбоза. </w:t>
      </w:r>
    </w:p>
    <w:p w14:paraId="051728D5" w14:textId="77777777" w:rsidR="00643A32" w:rsidRPr="00DC556E" w:rsidRDefault="00643A32" w:rsidP="00CE6C1C">
      <w:pPr>
        <w:pStyle w:val="a6"/>
        <w:numPr>
          <w:ilvl w:val="0"/>
          <w:numId w:val="97"/>
        </w:numPr>
        <w:spacing w:before="0" w:after="0"/>
        <w:ind w:left="0" w:firstLine="349"/>
        <w:rPr>
          <w:szCs w:val="24"/>
        </w:rPr>
      </w:pPr>
      <w:r w:rsidRPr="00DC556E">
        <w:rPr>
          <w:szCs w:val="24"/>
        </w:rPr>
        <w:t xml:space="preserve">Клинические признаки: гиперемия кожи, отек подкожной клетчатки и боль, усиление подкожного сосудистого рисунка на стороне установки катетера, нарушение проходимости катетера, истечение жидкости по каналу катетера при проведении инфузии. </w:t>
      </w:r>
    </w:p>
    <w:p w14:paraId="648627AD" w14:textId="77777777" w:rsidR="00643A32" w:rsidRPr="00DC556E" w:rsidRDefault="00643A32" w:rsidP="00CE6C1C">
      <w:pPr>
        <w:pStyle w:val="a6"/>
        <w:numPr>
          <w:ilvl w:val="0"/>
          <w:numId w:val="97"/>
        </w:numPr>
        <w:spacing w:before="0" w:after="0"/>
        <w:ind w:left="0" w:firstLine="349"/>
        <w:rPr>
          <w:szCs w:val="24"/>
        </w:rPr>
      </w:pPr>
      <w:r w:rsidRPr="00DC556E">
        <w:rPr>
          <w:szCs w:val="24"/>
        </w:rPr>
        <w:t xml:space="preserve">Инструментальные признаки: выявление при </w:t>
      </w:r>
      <w:r w:rsidRPr="00DC556E">
        <w:rPr>
          <w:i/>
          <w:szCs w:val="24"/>
        </w:rPr>
        <w:t>УЗИ</w:t>
      </w:r>
      <w:r w:rsidRPr="00DC556E">
        <w:rPr>
          <w:szCs w:val="24"/>
        </w:rPr>
        <w:t xml:space="preserve"> гиперэхогенного образования в месте установки катетера, полностью или частично перекрывающего просвет сосуда, препятствующее смыканию стенок вен при компрессии датчиком, полное или частичное отсутствие кровотока при УЗИ в допплеровском режиме, появление турбулентного тока крови; дефекты контрастирования сосудов при </w:t>
      </w:r>
      <w:r w:rsidRPr="00DC556E">
        <w:rPr>
          <w:i/>
          <w:szCs w:val="24"/>
        </w:rPr>
        <w:t>КТ-ангиографии или прямой ангиографии</w:t>
      </w:r>
      <w:r w:rsidRPr="00DC556E">
        <w:rPr>
          <w:szCs w:val="24"/>
        </w:rPr>
        <w:t>.</w:t>
      </w:r>
    </w:p>
    <w:p w14:paraId="09AD0FD0" w14:textId="77777777" w:rsidR="00643A32" w:rsidRPr="00DC556E" w:rsidRDefault="00643A32" w:rsidP="00643A32">
      <w:pPr>
        <w:pStyle w:val="a4"/>
        <w:spacing w:before="0" w:beforeAutospacing="0" w:after="0" w:afterAutospacing="0"/>
      </w:pPr>
      <w:r w:rsidRPr="00DC556E">
        <w:t xml:space="preserve">Тромботические осложнения, ассоциированные с ЦВК, можно разделить на три вида: </w:t>
      </w:r>
    </w:p>
    <w:p w14:paraId="4F444A9F" w14:textId="77777777" w:rsidR="00643A32" w:rsidRPr="00DC556E" w:rsidRDefault="00643A32" w:rsidP="00CE6C1C">
      <w:pPr>
        <w:pStyle w:val="a4"/>
        <w:numPr>
          <w:ilvl w:val="0"/>
          <w:numId w:val="94"/>
        </w:numPr>
        <w:spacing w:before="0" w:beforeAutospacing="0" w:after="0" w:afterAutospacing="0" w:line="360" w:lineRule="auto"/>
        <w:jc w:val="both"/>
      </w:pPr>
      <w:r w:rsidRPr="00DC556E">
        <w:t xml:space="preserve">«фибриновый чехол», </w:t>
      </w:r>
    </w:p>
    <w:p w14:paraId="09EF881D" w14:textId="77777777" w:rsidR="00643A32" w:rsidRPr="00DC556E" w:rsidRDefault="00643A32" w:rsidP="00CE6C1C">
      <w:pPr>
        <w:pStyle w:val="a4"/>
        <w:numPr>
          <w:ilvl w:val="0"/>
          <w:numId w:val="94"/>
        </w:numPr>
        <w:spacing w:before="0" w:beforeAutospacing="0" w:after="0" w:afterAutospacing="0" w:line="360" w:lineRule="auto"/>
        <w:jc w:val="both"/>
      </w:pPr>
      <w:r w:rsidRPr="00DC556E">
        <w:t>обструкция катетера</w:t>
      </w:r>
    </w:p>
    <w:p w14:paraId="4545658D" w14:textId="77777777" w:rsidR="00643A32" w:rsidRPr="00DC556E" w:rsidRDefault="00643A32" w:rsidP="00CE6C1C">
      <w:pPr>
        <w:pStyle w:val="a4"/>
        <w:numPr>
          <w:ilvl w:val="0"/>
          <w:numId w:val="94"/>
        </w:numPr>
        <w:spacing w:before="0" w:beforeAutospacing="0" w:after="0" w:afterAutospacing="0" w:line="360" w:lineRule="auto"/>
        <w:jc w:val="both"/>
      </w:pPr>
      <w:r w:rsidRPr="00DC556E">
        <w:t>пристеночный или обтурирующий внутрисосудистый тромбоз.</w:t>
      </w:r>
    </w:p>
    <w:p w14:paraId="1255A1BA" w14:textId="77777777" w:rsidR="00643A32" w:rsidRPr="00DC556E" w:rsidRDefault="00643A32" w:rsidP="00643A32">
      <w:pPr>
        <w:pStyle w:val="a4"/>
        <w:spacing w:before="0" w:beforeAutospacing="0" w:after="0" w:afterAutospacing="0"/>
      </w:pPr>
      <w:r w:rsidRPr="00DC556E">
        <w:t xml:space="preserve">Бессимптомные КАТ более распространены, но их клиническое значение не ясно. Частота выявления КАТ колеблется, по разным данным, от 5% до 12-14% </w:t>
      </w:r>
      <w:r w:rsidRPr="00DC556E">
        <w:fldChar w:fldCharType="begin" w:fldLock="1"/>
      </w:r>
      <w:r>
        <w:instrText>ADDIN CSL_CITATION {"citationItems":[{"id":"ITEM-1","itemData":{"ISSN":"1540-1405","PMID":"17020667","abstract":"Symptomatic thromboembolic complications of central venous catheters (CVCs) occur in 5% or less of general oncology patients. Asymptomatic CVC-related thrombi are more common, but their clinical significance is unclear. Thrombotic risk may be increased by primary thrombophilic disorders, especially the factor V G1691A (Leiden) mutation, thrombogenic catheter material, larger catheter diameter and greater number of lumens, catheter tip malposition, left-sided placement, percutaneous or multiple insertion attempts, a previous CVC or preexisting venous obstruction, prothrombotic therapeutic agents, catheter-associated infections, and fibrinous catheter lumen occlusion. Three recent randomized, prospective, placebo-controlled trials observed no benefit of routine low-dose warfarin or low-molecular-weight heparin in preventing catheter-associated thrombosis. Nevertheless, thromboprophylaxis may be appropriate and safe for selected high-risk patients. Duplex ultrasound can accurately detect CVC-related thrombi involving the jugular, axillary, distal subclavian, and arm veins. Contrast venographic imaging is required for indeterminate duplex findings and to evaluate the deep central veins and pulmonary arteries. Therapeutic anticoagulation, with or without catheter removal, is indicated for patients with acute deep vein thrombosis (DVT) or pulmonary embolism who have no contraindications. Catheter removal alone, with close follow-up, may be sufficient when bleeding risk precludes safe anticoagulation. Approaches to managing catheter-associated thrombosis, including the use of thrombolytic agents, are guided by limited published experience and extrapolation from practices used for lower-extremity DVT. Prospective, randomized, controlled trials are needed to identify the safest and most effective anticoagulant agents, treatment durations, and alternative venous access strategies for cancer patients who develop catheter-associated thrombosis.","author":[{"dropping-particle":"","family":"Linenberger","given":"Michael L","non-dropping-particle":"","parse-names":false,"suffix":""}],"container-title":"Journal of the National Comprehensive Cancer Network : JNCCN","id":"ITEM-1","issue":"9","issued":{"date-parts":[["2006","10"]]},"page":"889-901","title":"Catheter-related thrombosis: risks, diagnosis, and management.","type":"article-journal","volume":"4"},"uris":["http://www.mendeley.com/documents/?uuid=f82b3989-9ab6-378c-ab98-7165a9711a35","http://www.mendeley.com/documents/?uuid=7632a04e-23dd-4503-a6b0-4eabe81c45d5"]},{"id":"ITEM-2","itemData":{"DOI":"10.1111/j.1538-7836.2012.04817.x","abstract":"Central venous catheters are extensively used in patients with cancer to secure delivery of chemotherapy and facilitate phlebotomy. Unfortunately, considerable morbidity can result from early complications or late sequelae, ranging from arterial puncture, pneumothorax and bloodstream infections to catheter-related thrombosis (CRT). Contempo-rary studies have shown that the incidence of symptomatic CRT is 5%, whereas the incidence of asymptomatic CRT is higher, at 14–18%. The significance and mechanisms of catheter design, material, insertion location and technique, position of the catheter tip and other risk factors in contributing to the development of CRT are not well understood. Efforts to reduce thrombotic complications, involving flushing the catheter with heparinized solutions, the use of heparin-bonded catheters, and systemic anticoag-ulant prophylaxis, have been largely ineffective. More studies are needed to understand the pathophysiology of thrombotic complications, to help identify effective interventions to reduce this adverse outcome.","author":[{"dropping-particle":"","family":"Lee","given":"A.Y.Y.","non-dropping-particle":"","parse-names":false,"suffix":""},{"dropping-particle":"","family":"Kamphuisen","given":"P.W.","non-dropping-particle":"","parse-names":false,"suffix":""}],"container-title":"Journal of Thrombosis and Haemostasis","id":"ITEM-2","issue":"10","issued":{"date-parts":[["2012"]]},"page":"1491-1499","title":"Epidemiology and prevention of catheter-related thrombosis in patients with cancer","type":"article-journal"},"uris":["http://www.mendeley.com/documents/?uuid=3ae0d75a-2123-3b1e-9d02-67fd72c273cb","http://www.mendeley.com/documents/?uuid=5a73bd9b-f925-4367-a997-38c307aa1fec"]}],"mendeley":{"formattedCitation":"[5, 7]","plainTextFormattedCitation":"[5, 7]","previouslyFormattedCitation":"[10,11]"},"properties":{"noteIndex":0},"schema":"https://github.com/citation-style-language/schema/raw/master/csl-citation.json"}</w:instrText>
      </w:r>
      <w:r w:rsidRPr="00DC556E">
        <w:fldChar w:fldCharType="separate"/>
      </w:r>
      <w:r w:rsidRPr="00440A23">
        <w:rPr>
          <w:noProof/>
        </w:rPr>
        <w:t>[5, 7]</w:t>
      </w:r>
      <w:r w:rsidRPr="00DC556E">
        <w:fldChar w:fldCharType="end"/>
      </w:r>
      <w:r w:rsidRPr="00DC556E">
        <w:t xml:space="preserve">. Факторы, предрасполагающие к развитию КАТ, разделяют на три группы: </w:t>
      </w:r>
    </w:p>
    <w:p w14:paraId="7A2A0554" w14:textId="77777777" w:rsidR="00643A32" w:rsidRPr="00DC556E" w:rsidRDefault="00643A32" w:rsidP="00CE6C1C">
      <w:pPr>
        <w:pStyle w:val="a4"/>
        <w:numPr>
          <w:ilvl w:val="1"/>
          <w:numId w:val="94"/>
        </w:numPr>
        <w:spacing w:before="0" w:beforeAutospacing="0" w:after="0" w:afterAutospacing="0" w:line="360" w:lineRule="auto"/>
        <w:ind w:left="709" w:firstLine="371"/>
        <w:jc w:val="both"/>
      </w:pPr>
      <w:r w:rsidRPr="00DC556E">
        <w:t xml:space="preserve">связанные с пациентом (пол, возраст, наличие опухолевого заболевания, тромбофилии); </w:t>
      </w:r>
    </w:p>
    <w:p w14:paraId="391B6087" w14:textId="77777777" w:rsidR="00643A32" w:rsidRPr="00DC556E" w:rsidRDefault="00643A32" w:rsidP="00CE6C1C">
      <w:pPr>
        <w:pStyle w:val="a4"/>
        <w:numPr>
          <w:ilvl w:val="1"/>
          <w:numId w:val="94"/>
        </w:numPr>
        <w:spacing w:before="0" w:beforeAutospacing="0" w:after="0" w:afterAutospacing="0" w:line="360" w:lineRule="auto"/>
        <w:ind w:left="709" w:firstLine="371"/>
        <w:jc w:val="both"/>
      </w:pPr>
      <w:r w:rsidRPr="00DC556E">
        <w:t xml:space="preserve">связанные с катетером (большой диаметр, материал катетера, т.е. «жесткий» катетер); </w:t>
      </w:r>
    </w:p>
    <w:p w14:paraId="6A52DC01" w14:textId="77777777" w:rsidR="00643A32" w:rsidRPr="00DC556E" w:rsidRDefault="00643A32" w:rsidP="00CE6C1C">
      <w:pPr>
        <w:pStyle w:val="a4"/>
        <w:numPr>
          <w:ilvl w:val="1"/>
          <w:numId w:val="94"/>
        </w:numPr>
        <w:spacing w:before="0" w:beforeAutospacing="0" w:after="0" w:afterAutospacing="0" w:line="360" w:lineRule="auto"/>
        <w:ind w:left="709" w:firstLine="371"/>
        <w:jc w:val="both"/>
      </w:pPr>
      <w:r w:rsidRPr="00DC556E">
        <w:t xml:space="preserve">связанные с лечением (химиотерапия, парентеральное питание и введение других раздражающих веществ). </w:t>
      </w:r>
    </w:p>
    <w:p w14:paraId="07CEFEB7" w14:textId="77777777" w:rsidR="00643A32" w:rsidRPr="00DC556E" w:rsidRDefault="00643A32" w:rsidP="00643A32">
      <w:pPr>
        <w:spacing w:before="0" w:after="0"/>
        <w:ind w:firstLine="708"/>
        <w:rPr>
          <w:strike/>
          <w:szCs w:val="24"/>
        </w:rPr>
      </w:pPr>
      <w:r w:rsidRPr="00DC556E">
        <w:rPr>
          <w:szCs w:val="24"/>
        </w:rPr>
        <w:t>Наличие опухолевого заболевания увеличивает риск тромбоза.</w:t>
      </w:r>
    </w:p>
    <w:p w14:paraId="2B0E589F" w14:textId="161C69B3" w:rsidR="00643A32" w:rsidRPr="00DC556E" w:rsidRDefault="00643A32" w:rsidP="00643A32">
      <w:pPr>
        <w:spacing w:before="0" w:after="0"/>
        <w:ind w:firstLine="708"/>
        <w:rPr>
          <w:szCs w:val="24"/>
        </w:rPr>
      </w:pPr>
      <w:r w:rsidRPr="00DC556E">
        <w:rPr>
          <w:szCs w:val="24"/>
        </w:rPr>
        <w:t xml:space="preserve">Важную роль в формировании КАТ имеет соотношение диаметра катетера к диаметру вены, которое не должно превышать 1/3, иначе происходит дополнительная травма эндотелия </w:t>
      </w:r>
      <w:r w:rsidRPr="00DC556E">
        <w:rPr>
          <w:szCs w:val="24"/>
        </w:rPr>
        <w:fldChar w:fldCharType="begin" w:fldLock="1"/>
      </w:r>
      <w:r>
        <w:rPr>
          <w:szCs w:val="24"/>
        </w:rPr>
        <w:instrText>ADDIN CSL_CITATION {"citationItems":[{"id":"ITEM-1","itemData":{"author":[{"dropping-particle":"","family":"Цепенщинков","given":"Л.В","non-dropping-particle":"","parse-names":false,"suffix":""},{"dropping-particle":"","family":"Лядов","given":"В.К.","non-dropping-particle":"","parse-names":false,"suffix":""}],"container-title":"Клиническая онкогематология","id":"ITEM-1","issue":"2","issued":{"date-parts":[["2014"]]},"page":"220-228","title":"Периферически имплантируемый центральный венозный катетер: обзор литераутры.","type":"article-journal","volume":"7"},"uris":["http://www.mendeley.com/documents/?uuid=88221962-7bef-43f1-95ef-c82831c18b7b","http://www.mendeley.com/documents/?uuid=10ae31e1-aaed-4ec1-8382-6f831f897e24"]}],"mendeley":{"formattedCitation":"[23]","plainTextFormattedCitation":"[23]","previouslyFormattedCitation":"[12]"},"properties":{"noteIndex":0},"schema":"https://github.com/citation-style-language/schema/raw/master/csl-citation.json"}</w:instrText>
      </w:r>
      <w:r w:rsidRPr="00DC556E">
        <w:rPr>
          <w:szCs w:val="24"/>
        </w:rPr>
        <w:fldChar w:fldCharType="separate"/>
      </w:r>
      <w:r w:rsidRPr="00440A23">
        <w:rPr>
          <w:noProof/>
          <w:szCs w:val="24"/>
        </w:rPr>
        <w:t>[23]</w:t>
      </w:r>
      <w:r w:rsidRPr="00DC556E">
        <w:rPr>
          <w:szCs w:val="24"/>
        </w:rPr>
        <w:fldChar w:fldCharType="end"/>
      </w:r>
      <w:r w:rsidRPr="00DC556E">
        <w:rPr>
          <w:szCs w:val="24"/>
        </w:rPr>
        <w:t xml:space="preserve">. При сравнении силиконовых и полиуретановых катетеров, установленных в вены плеча, значимой разницы в частоте развития КАТ не выявили, но отмечен факт повреждения эндотелия, способствующего развитию тромбоза </w:t>
      </w:r>
      <w:r w:rsidRPr="00DC556E">
        <w:rPr>
          <w:szCs w:val="24"/>
        </w:rPr>
        <w:fldChar w:fldCharType="begin" w:fldLock="1"/>
      </w:r>
      <w:r>
        <w:rPr>
          <w:szCs w:val="24"/>
        </w:rPr>
        <w:instrText>ADDIN CSL_CITATION {"citationItems":[{"id":"ITEM-1","itemData":{"DOI":"10.1177/0148607184008004399","ISSN":"0148-6071","PMID":"6431130","abstract":"In order to compare two types of long, soft central venous catheters with the same stiffness, 39 silicone elastomer (SE) and 36 polyurethane (PU) catheters were inserted in 75 patients via basilic or cephalic veins punctured at the cubital fossa. Mean duration of catheterization was 10.5 days. Scanning electron microscopy revealed that the SE catheters to have a more uniform, but somewhat rougher surface topography than the PU catheters. The platelet adhesion in vitro to the SE catheters was four times higher than to the PU catheters. The incidence of clinical thrombophlebitis in the arm veins was 36% with the SE catheters, and 5.5% with the PU catheters (p less than 0.01). No significant differences were found between the SE and PU catheters regarding the number and size of radiologic thrombi in the peripheral and central veins, catheter occlusion rate, and platelet adhesion to the inner side of the catheter tip at withdrawal. Platelet adhesion in vivo correlated with the duration of catheterization in both groups of catheters. Mechanical trauma to the vein endothelium seems to be of vital importance in thrombus formation, but not in the induction of clinical thrombophlebitis.","author":[{"dropping-particle":"","family":"Linder","given":"L E","non-dropping-particle":"","parse-names":false,"suffix":""},{"dropping-particle":"","family":"Curelaru","given":"I","non-dropping-particle":"","parse-names":false,"suffix":""},{"dropping-particle":"","family":"Gustavsson","given":"B","non-dropping-particle":"","parse-names":false,"suffix":""},{"dropping-particle":"","family":"Hansson","given":"H A","non-dropping-particle":"","parse-names":false,"suffix":""},{"dropping-particle":"","family":"Stenqvist","given":"O","non-dropping-particle":"","parse-names":false,"suffix":""},{"dropping-particle":"","family":"Wojciechowski","given":"J","non-dropping-particle":"","parse-names":false,"suffix":""}],"container-title":"JPEN. Journal of parenteral and enteral nutrition","id":"ITEM-1","issue":"4","issued":{"date-parts":[["1984"]]},"page":"399-406","title":"Material thrombogenicity in central venous catheterization: a comparison between soft, antebrachial catheters of silicone elastomer and polyurethane.","type":"article-journal","volume":"8"},"uris":["http://www.mendeley.com/documents/?uuid=50c99be9-4388-35af-aba0-01eefc84f6b5","http://www.mendeley.com/documents/?uuid=70932ff8-6b54-47d1-be56-ba29a98d7f54"]}],"mendeley":{"formattedCitation":"[6]","plainTextFormattedCitation":"[6]","previouslyFormattedCitation":"[13]"},"properties":{"noteIndex":0},"schema":"https://github.com/citation-style-language/schema/raw/master/csl-citation.json"}</w:instrText>
      </w:r>
      <w:r w:rsidRPr="00DC556E">
        <w:rPr>
          <w:szCs w:val="24"/>
        </w:rPr>
        <w:fldChar w:fldCharType="separate"/>
      </w:r>
      <w:r w:rsidRPr="00440A23">
        <w:rPr>
          <w:noProof/>
          <w:szCs w:val="24"/>
        </w:rPr>
        <w:t>[6]</w:t>
      </w:r>
      <w:r w:rsidRPr="00DC556E">
        <w:rPr>
          <w:szCs w:val="24"/>
        </w:rPr>
        <w:fldChar w:fldCharType="end"/>
      </w:r>
      <w:r w:rsidRPr="00DC556E">
        <w:rPr>
          <w:szCs w:val="24"/>
        </w:rPr>
        <w:t xml:space="preserve">. Также в патогенезе развития КАТ значимы такие факторы, как травматичность установки </w:t>
      </w:r>
      <w:r w:rsidRPr="00DC556E">
        <w:rPr>
          <w:strike/>
          <w:szCs w:val="24"/>
        </w:rPr>
        <w:t>катетера</w:t>
      </w:r>
      <w:r w:rsidRPr="00DC556E">
        <w:rPr>
          <w:szCs w:val="24"/>
        </w:rPr>
        <w:t xml:space="preserve">, неправильное расположение дистального конца катетера, левостороннее размещение катетера, множественные попытки пункции вены, наличие предшествующих катетеризаций и их количество, а также эпизоды КАИК в анамнезе. Установка ЦВК сопровождается локальным повреждением стенки вены и эндотелия и образованием тромба, с дальнейшим формированием «фибринового» чехла. </w:t>
      </w:r>
      <w:r w:rsidRPr="00DC556E">
        <w:rPr>
          <w:rFonts w:eastAsia="Times New Roman"/>
          <w:szCs w:val="24"/>
          <w:lang w:eastAsia="ru-RU"/>
        </w:rPr>
        <w:t xml:space="preserve">Одним из факторов </w:t>
      </w:r>
      <w:r w:rsidRPr="00DC556E">
        <w:rPr>
          <w:rFonts w:eastAsia="Times New Roman"/>
          <w:szCs w:val="24"/>
          <w:lang w:eastAsia="ru-RU"/>
        </w:rPr>
        <w:lastRenderedPageBreak/>
        <w:t xml:space="preserve">развития венозных тромбозов является наличие венозных клапанов, создающих турбулентный поток. </w:t>
      </w:r>
      <w:r w:rsidRPr="00DC556E">
        <w:rPr>
          <w:rFonts w:eastAsia="Arial Unicode MS"/>
          <w:szCs w:val="24"/>
        </w:rPr>
        <w:t>Фактором, способствующим возникновению КАТ, является позиционирование ЦВК, поскольку миграция катетера, окклюзия дистального конца катетера венозной стенкой, травма венозной стенки дистальным концом катетера, присасывание к стенке конца катетера во время аспирации образцов крови, введение раздражающих растворов способствуют травме венозной стенк</w:t>
      </w:r>
      <w:r w:rsidR="004C0C25">
        <w:rPr>
          <w:rFonts w:eastAsia="Arial Unicode MS"/>
          <w:szCs w:val="24"/>
        </w:rPr>
        <w:t>и</w:t>
      </w:r>
      <w:r w:rsidRPr="00DC556E">
        <w:rPr>
          <w:rFonts w:eastAsia="Arial Unicode MS"/>
          <w:szCs w:val="24"/>
        </w:rPr>
        <w:t xml:space="preserve"> </w:t>
      </w:r>
      <w:r w:rsidRPr="00DC556E">
        <w:rPr>
          <w:rFonts w:eastAsia="Arial Unicode MS"/>
          <w:szCs w:val="24"/>
        </w:rPr>
        <w:fldChar w:fldCharType="begin" w:fldLock="1"/>
      </w:r>
      <w:r>
        <w:rPr>
          <w:rFonts w:eastAsia="Arial Unicode MS"/>
          <w:szCs w:val="24"/>
        </w:rPr>
        <w:instrText>ADDIN CSL_CITATION {"citationItems":[{"id":"ITEM-1","itemData":{"abstract":"Objective This study evaluated the accuracy of placing right atrial catheters using an electrocardiographic (ECG) technique. Summary Background Data Placement of right atrial catheters for vascular access is a common operative procedure. Accurate placement is essential for proper function. Previous placement techniques have used fluoroscopy, which is both time consuming and hazardous. Methods The accuracy of placement of 1236 right atrial catheters using an ECG technique was compared to placement of 586 catheters using fluoroscopy between March 1991 and November 1995. In the ECG technique, the catheter was flushed with sodium bicarbonate. A sterile left-leg ECG lead was attached to the catheter with the other ECG leads applied normally. On advancing the catheter through the superior vena cava, the P-wave amplitude (lead 11) increased in negative deflection until greater than the QRS complex. Passing the sinoatrial node, the P-wave developed an initial positive then negative deflection. The catheter was positioned so the P-wave was biphasic, representing a position midway between the sinoatrial and atrioventricular nodes. For the fluoroscopic technique, catheters were positioned under direct observation just within the atrium estimated from cardiac contour. Use of contrast was optional if atrial anatomy was unclear. Results Postoperative portable chest x-rays showed the ECG method to position the catheter tip within the right atrium just as accurately (average, 1.9 ± 1.3 cm) as with the use of fluoroscopy (average, 1.1 ± 1.6 cm). The ECG method eliminated an average of 20 seconds of radiation exposure, an average of 3.0 minutes operating room time (p &lt; 0.04), avoided all risks of contrast dye, and saved $279.10 per case.","author":[{"dropping-particle":"","family":"Watters","given":"Virginia A","non-dropping-particle":"","parse-names":false,"suffix":""},{"dropping-particle":"","family":"Grant","given":"John P","non-dropping-particle":"","parse-names":false,"suffix":""}],"container-title":"ANNALS OF SURGERY","id":"ITEM-1","issue":"2","issued":{"date-parts":[["0"]]},"page":"165-171","title":"Use of Electrocardiogram to Position Right Atrial Catheters During Surgery","type":"article-journal","volume":"225"},"uris":["http://www.mendeley.com/documents/?uuid=634418a9-1b6a-3971-a74a-26cac4fcbb73","http://www.mendeley.com/documents/?uuid=6e51621a-ab7c-41bc-b25b-4909c5dc8707"]}],"mendeley":{"formattedCitation":"[16]","plainTextFormattedCitation":"[16]","previouslyFormattedCitation":"[14]"},"properties":{"noteIndex":0},"schema":"https://github.com/citation-style-language/schema/raw/master/csl-citation.json"}</w:instrText>
      </w:r>
      <w:r w:rsidRPr="00DC556E">
        <w:rPr>
          <w:rFonts w:eastAsia="Arial Unicode MS"/>
          <w:szCs w:val="24"/>
        </w:rPr>
        <w:fldChar w:fldCharType="separate"/>
      </w:r>
      <w:r w:rsidRPr="00440A23">
        <w:rPr>
          <w:rFonts w:eastAsia="Arial Unicode MS"/>
          <w:noProof/>
          <w:szCs w:val="24"/>
        </w:rPr>
        <w:t>[16]</w:t>
      </w:r>
      <w:r w:rsidRPr="00DC556E">
        <w:rPr>
          <w:rFonts w:eastAsia="Arial Unicode MS"/>
          <w:szCs w:val="24"/>
        </w:rPr>
        <w:fldChar w:fldCharType="end"/>
      </w:r>
      <w:r w:rsidRPr="00DC556E">
        <w:rPr>
          <w:rFonts w:eastAsia="Arial Unicode MS"/>
          <w:szCs w:val="24"/>
        </w:rPr>
        <w:t xml:space="preserve">. </w:t>
      </w:r>
      <w:r w:rsidRPr="00DC556E">
        <w:rPr>
          <w:szCs w:val="24"/>
        </w:rPr>
        <w:t xml:space="preserve">ЦВК находятся в непосредственном контакте с внутренней стенкой вен, в результате постоянного движения катетеров, связанного с дыханием, сокращениями сердца, поворотами головы, происходит еще большее повреждение эндотелия. Травма эндотелия усугубляется, если траектория катетера в вене характеризуется одним или несколькими изгибами </w:t>
      </w:r>
      <w:r w:rsidRPr="00DC556E">
        <w:rPr>
          <w:szCs w:val="24"/>
        </w:rPr>
        <w:fldChar w:fldCharType="begin" w:fldLock="1"/>
      </w:r>
      <w:r>
        <w:rPr>
          <w:szCs w:val="24"/>
        </w:rPr>
        <w:instrText>ADDIN CSL_CITATION {"citationItems":[{"id":"ITEM-1","itemData":{"DOI":"10.1093/ndt/gfh216","ISSN":"0931-0509","author":[{"dropping-particle":"","family":"Taal","given":"M. W.","non-dropping-particle":"","parse-names":false,"suffix":""},{"dropping-particle":"","family":"Chesterton","given":"L. J.","non-dropping-particle":"","parse-names":false,"suffix":""},{"dropping-particle":"","family":"McIntyre","given":"C. W.","non-dropping-particle":"","parse-names":false,"suffix":""}],"container-title":"Nephrology Dialysis Transplantation","id":"ITEM-1","issue":"6","issued":{"date-parts":[["2004","6"]]},"page":"1542-1545","publisher":"Oxford University Press","title":"Venography at insertion of tunnelled internal jugular vein dialysis catheters reveals significant occult stenosis","type":"article-journal","volume":"19"},"uris":["http://www.mendeley.com/documents/?uuid=27bd8603-4b5c-3170-8bd9-40145339d105","http://www.mendeley.com/documents/?uuid=76d86219-5266-4fcc-a479-78ab668a0e58"]}],"mendeley":{"formattedCitation":"[14]","plainTextFormattedCitation":"[14]","previouslyFormattedCitation":"[15]"},"properties":{"noteIndex":0},"schema":"https://github.com/citation-style-language/schema/raw/master/csl-citation.json"}</w:instrText>
      </w:r>
      <w:r w:rsidRPr="00DC556E">
        <w:rPr>
          <w:szCs w:val="24"/>
        </w:rPr>
        <w:fldChar w:fldCharType="separate"/>
      </w:r>
      <w:r w:rsidRPr="00440A23">
        <w:rPr>
          <w:noProof/>
          <w:szCs w:val="24"/>
        </w:rPr>
        <w:t>[14]</w:t>
      </w:r>
      <w:r w:rsidRPr="00DC556E">
        <w:rPr>
          <w:szCs w:val="24"/>
        </w:rPr>
        <w:fldChar w:fldCharType="end"/>
      </w:r>
      <w:r w:rsidRPr="00DC556E">
        <w:rPr>
          <w:szCs w:val="24"/>
        </w:rPr>
        <w:t xml:space="preserve">. В дополнение к травме происходит воспаление интимы как ответ на повреждение, которое приводит к гиперплазии интимы или развитию тромбоза. Пункция левой внутренней яремной вены по сравнению с пункцией правой яремной вены более сложная, так как у 34% пациентов внутренняя яремной вены слева меньше чем правая </w:t>
      </w:r>
      <w:r w:rsidRPr="00DC556E">
        <w:rPr>
          <w:szCs w:val="24"/>
        </w:rPr>
        <w:fldChar w:fldCharType="begin" w:fldLock="1"/>
      </w:r>
      <w:r>
        <w:rPr>
          <w:szCs w:val="24"/>
        </w:rPr>
        <w:instrText>ADDIN CSL_CITATION {"citationItems":[{"id":"ITEM-1","itemData":{"ISSN":"1053-0770","PMID":"10230944","abstract":"OBJECTIVE To compare the cross-sectional area (CSA) of the right internal jugular vein (RIJV) with the left internal jugular vein (LIJV) using two-dimensional ultrasound and to measure the response to the Valsalva maneuver in both the supine and Trendelenburg positions. DESIGN Prospective and randomized. SETTING University-affiliated hospital. PARTICIPANTS Fifty healthy adult volunteers. INTERVENTIONS The CSA of both the RIJV and LIJV was measured with a 5-MHz, two-dimensional surface transducer before and during a 10-second Valsalva maneuver with the subjects in the supine position, and then with the subjects in a 10 degree Trendelenburg tilt. MEASUREMENTS AND MAIN RESULTS After the baseline measurements were performed, the subjects were divided into two groups based on the CSA of the RIJV and LIJV. Group 1 had an LIJV CSA equal to or greater than that of the RIJV (n = 10) and group 2 had an LIJV CSA less than that of the RIJV (n = 40). Of the latter 40 patients, 17 (34%) had an LIJV CSA less than 50% of that of the RIJV. In both groups, the CSA of both veins increased significantly with the Valsalva maneuver, Trendelenburg tilt, and both maneuvers combined. CONCLUSION The findings suggest that in one third of adults (34%), the LIJV is significantly smaller compared with the RIJV and, combined with operator inexperience, may influence the success rate and risk for complications. Thus, the use of ultrasound and maneuvers that increase CSA is suggested during LIJV cannulation.","author":[{"dropping-particle":"","family":"Lobato","given":"E B","non-dropping-particle":"","parse-names":false,"suffix":""},{"dropping-particle":"","family":"Sulek","given":"C A","non-dropping-particle":"","parse-names":false,"suffix":""},{"dropping-particle":"","family":"Moody","given":"R L","non-dropping-particle":"","parse-names":false,"suffix":""},{"dropping-particle":"","family":"Morey","given":"T E","non-dropping-particle":"","parse-names":false,"suffix":""}],"container-title":"Journal of cardiothoracic and vascular anesthesia","id":"ITEM-1","issue":"2","issued":{"date-parts":[["1999","4"]]},"page":"136-8","title":"Cross-sectional area of the right and left internal jugular veins.","type":"article-journal","volume":"13"},"uris":["http://www.mendeley.com/documents/?uuid=946e04e1-436d-33e9-8d74-b2b7aa6566b2","http://www.mendeley.com/documents/?uuid=acfe14ab-096a-43a2-a557-2aa5801ef7ad"]}],"mendeley":{"formattedCitation":"[8]","plainTextFormattedCitation":"[8]","previouslyFormattedCitation":"[16]"},"properties":{"noteIndex":0},"schema":"https://github.com/citation-style-language/schema/raw/master/csl-citation.json"}</w:instrText>
      </w:r>
      <w:r w:rsidRPr="00DC556E">
        <w:rPr>
          <w:szCs w:val="24"/>
        </w:rPr>
        <w:fldChar w:fldCharType="separate"/>
      </w:r>
      <w:r w:rsidRPr="00440A23">
        <w:rPr>
          <w:noProof/>
          <w:szCs w:val="24"/>
        </w:rPr>
        <w:t>[8]</w:t>
      </w:r>
      <w:r w:rsidRPr="00DC556E">
        <w:rPr>
          <w:szCs w:val="24"/>
        </w:rPr>
        <w:fldChar w:fldCharType="end"/>
      </w:r>
      <w:r w:rsidRPr="00DC556E">
        <w:rPr>
          <w:szCs w:val="24"/>
        </w:rPr>
        <w:t>, что особенно важно при диагностике катетерассоциированного стеноза (КА</w:t>
      </w:r>
      <w:r w:rsidRPr="00DC556E">
        <w:rPr>
          <w:szCs w:val="24"/>
          <w:lang w:val="en-US"/>
        </w:rPr>
        <w:t>C</w:t>
      </w:r>
      <w:r w:rsidRPr="00DC556E">
        <w:rPr>
          <w:szCs w:val="24"/>
        </w:rPr>
        <w:t xml:space="preserve">). </w:t>
      </w:r>
    </w:p>
    <w:p w14:paraId="606A90B2" w14:textId="77777777" w:rsidR="00643A32" w:rsidRPr="00DC556E" w:rsidRDefault="00643A32" w:rsidP="00643A32">
      <w:pPr>
        <w:spacing w:before="0" w:after="0"/>
        <w:ind w:firstLine="708"/>
        <w:rPr>
          <w:b/>
          <w:szCs w:val="24"/>
        </w:rPr>
      </w:pPr>
      <w:r w:rsidRPr="00DC556E">
        <w:rPr>
          <w:szCs w:val="24"/>
        </w:rPr>
        <w:t>Катетер-ассоциированый стеноз (</w:t>
      </w:r>
      <w:r w:rsidRPr="00DC556E">
        <w:rPr>
          <w:i/>
          <w:szCs w:val="24"/>
        </w:rPr>
        <w:t>КАС)</w:t>
      </w:r>
      <w:r w:rsidRPr="00DC556E">
        <w:rPr>
          <w:szCs w:val="24"/>
        </w:rPr>
        <w:t xml:space="preserve"> – стойкое сужение просвета сосуда, вплоть до полной облитерации, выявляемое при УЗИ в покое и при выполнении функциональных проб, возникшее после катетеризации, связанное или не связанное с КАТ. У онкогематологических пациентов, наряду с вышеуказанными причинами, значительное место в формировании КАТ и КАС занимает проведение химиотерапии </w:t>
      </w:r>
      <w:r w:rsidRPr="00DC556E">
        <w:rPr>
          <w:szCs w:val="24"/>
        </w:rPr>
        <w:fldChar w:fldCharType="begin" w:fldLock="1"/>
      </w:r>
      <w:r>
        <w:rPr>
          <w:szCs w:val="24"/>
        </w:rPr>
        <w:instrText>ADDIN CSL_CITATION {"citationItems":[{"id":"ITEM-1","itemData":{"author":[{"dropping-particle":"","family":"Червонцева","given":"Алевтина Михайловна","non-dropping-particle":"","parse-names":false,"suffix":""}],"id":"ITEM-1","issued":{"date-parts":[["2008"]]},"title":"Повреждение сосудистого эндотелия в процессе лечения острых миелоидных лейкозов","type":"article"},"uris":["http://www.mendeley.com/documents/?uuid=9afd28b5-41fc-3e5e-bfac-710d3bccc2cd","http://www.mendeley.com/documents/?uuid=b6ae62e5-f788-48d7-a5ae-6b8e5e9ed93c"]}],"mendeley":{"formattedCitation":"[24]","plainTextFormattedCitation":"[24]","previouslyFormattedCitation":"[17]"},"properties":{"noteIndex":0},"schema":"https://github.com/citation-style-language/schema/raw/master/csl-citation.json"}</w:instrText>
      </w:r>
      <w:r w:rsidRPr="00DC556E">
        <w:rPr>
          <w:szCs w:val="24"/>
        </w:rPr>
        <w:fldChar w:fldCharType="separate"/>
      </w:r>
      <w:r w:rsidRPr="00440A23">
        <w:rPr>
          <w:noProof/>
          <w:szCs w:val="24"/>
        </w:rPr>
        <w:t>[24]</w:t>
      </w:r>
      <w:r w:rsidRPr="00DC556E">
        <w:rPr>
          <w:szCs w:val="24"/>
        </w:rPr>
        <w:fldChar w:fldCharType="end"/>
      </w:r>
      <w:r w:rsidRPr="00DC556E">
        <w:rPr>
          <w:szCs w:val="24"/>
        </w:rPr>
        <w:t>.</w:t>
      </w:r>
    </w:p>
    <w:p w14:paraId="733DDAB2" w14:textId="115FC6F3" w:rsidR="00643A32" w:rsidRPr="00DC556E" w:rsidRDefault="00643A32" w:rsidP="00643A32">
      <w:pPr>
        <w:spacing w:before="0" w:after="0"/>
        <w:ind w:firstLine="708"/>
        <w:rPr>
          <w:szCs w:val="24"/>
        </w:rPr>
      </w:pPr>
      <w:r w:rsidRPr="00DC556E">
        <w:rPr>
          <w:szCs w:val="24"/>
        </w:rPr>
        <w:t>Катетер-ассоциированная инфекция кровотока (</w:t>
      </w:r>
      <w:r w:rsidRPr="00DC556E">
        <w:rPr>
          <w:i/>
          <w:szCs w:val="24"/>
        </w:rPr>
        <w:t>КАИК)</w:t>
      </w:r>
      <w:r w:rsidRPr="00DC556E">
        <w:rPr>
          <w:szCs w:val="24"/>
        </w:rPr>
        <w:t xml:space="preserve"> – выявление положительной гемокультуры в образце </w:t>
      </w:r>
      <w:r w:rsidRPr="004C0C25">
        <w:rPr>
          <w:szCs w:val="24"/>
        </w:rPr>
        <w:t>крови</w:t>
      </w:r>
      <w:r w:rsidR="00704B70" w:rsidRPr="004C0C25">
        <w:rPr>
          <w:szCs w:val="24"/>
        </w:rPr>
        <w:t>,</w:t>
      </w:r>
      <w:r w:rsidRPr="004C0C25">
        <w:rPr>
          <w:szCs w:val="24"/>
        </w:rPr>
        <w:t xml:space="preserve"> взятой из катетера</w:t>
      </w:r>
      <w:r w:rsidR="00704B70" w:rsidRPr="004C0C25">
        <w:rPr>
          <w:szCs w:val="24"/>
        </w:rPr>
        <w:t>,</w:t>
      </w:r>
      <w:r w:rsidRPr="004C0C25">
        <w:rPr>
          <w:szCs w:val="24"/>
        </w:rPr>
        <w:t xml:space="preserve"> на</w:t>
      </w:r>
      <w:r w:rsidRPr="00DC556E">
        <w:rPr>
          <w:szCs w:val="24"/>
        </w:rPr>
        <w:t xml:space="preserve"> 2 и более часа ранее, чем в образце крови, взятом из периферической вены, рост микроорганизмов при микробиологическом исследовании дистального конца катетера </w:t>
      </w:r>
      <w:r w:rsidRPr="00DC556E">
        <w:rPr>
          <w:szCs w:val="24"/>
        </w:rPr>
        <w:fldChar w:fldCharType="begin" w:fldLock="1"/>
      </w:r>
      <w:r>
        <w:rPr>
          <w:szCs w:val="24"/>
        </w:rPr>
        <w:instrText>ADDIN CSL_CITATION {"citationItems":[{"id":"ITEM-1","itemData":{"author":[{"dropping-particle":"","family":"Багирова","given":"Н.С.","non-dropping-particle":"","parse-names":false,"suffix":""}],"container-title":"Злокачественные опухоли","id":"ITEM-1","issue":"3","issued":{"date-parts":[["2014"]]},"page":"164-171","title":"Инфекции, связанные с внутрисосудистыми устройствами: терминология, диагностика, профилактика и терапия","type":"article-journal"},"uris":["http://www.mendeley.com/documents/?uuid=fee4a9db-618b-4f34-9352-2ad7841cc05f","http://www.mendeley.com/documents/?uuid=6b5df2a0-a8b7-4c53-9ce3-73be92c99dcf"]}],"mendeley":{"formattedCitation":"[20]","plainTextFormattedCitation":"[20]","previouslyFormattedCitation":"[18]"},"properties":{"noteIndex":0},"schema":"https://github.com/citation-style-language/schema/raw/master/csl-citation.json"}</w:instrText>
      </w:r>
      <w:r w:rsidRPr="00DC556E">
        <w:rPr>
          <w:szCs w:val="24"/>
        </w:rPr>
        <w:fldChar w:fldCharType="separate"/>
      </w:r>
      <w:r w:rsidRPr="00440A23">
        <w:rPr>
          <w:noProof/>
          <w:szCs w:val="24"/>
        </w:rPr>
        <w:t>[20]</w:t>
      </w:r>
      <w:r w:rsidRPr="00DC556E">
        <w:rPr>
          <w:szCs w:val="24"/>
        </w:rPr>
        <w:fldChar w:fldCharType="end"/>
      </w:r>
      <w:r w:rsidRPr="00DC556E">
        <w:rPr>
          <w:szCs w:val="24"/>
        </w:rPr>
        <w:t>.</w:t>
      </w:r>
    </w:p>
    <w:p w14:paraId="26FBDD4B" w14:textId="77777777" w:rsidR="00643A32" w:rsidRPr="00DC556E" w:rsidRDefault="00643A32" w:rsidP="00643A32">
      <w:pPr>
        <w:spacing w:before="0" w:after="0"/>
        <w:ind w:left="360"/>
        <w:rPr>
          <w:szCs w:val="24"/>
        </w:rPr>
      </w:pPr>
      <w:r w:rsidRPr="00DC556E">
        <w:rPr>
          <w:szCs w:val="24"/>
        </w:rPr>
        <w:t>При применении туннелируемых катетеров могут возникать следующие виды инфицирования:</w:t>
      </w:r>
    </w:p>
    <w:p w14:paraId="27655F0A" w14:textId="77777777" w:rsidR="00643A32" w:rsidRPr="00DC556E" w:rsidRDefault="00643A32" w:rsidP="00CE6C1C">
      <w:pPr>
        <w:pStyle w:val="a6"/>
        <w:numPr>
          <w:ilvl w:val="0"/>
          <w:numId w:val="96"/>
        </w:numPr>
        <w:spacing w:before="0" w:after="0"/>
        <w:rPr>
          <w:i/>
          <w:szCs w:val="24"/>
        </w:rPr>
      </w:pPr>
      <w:r w:rsidRPr="00DC556E">
        <w:rPr>
          <w:i/>
          <w:szCs w:val="24"/>
        </w:rPr>
        <w:t xml:space="preserve">Туннельная инфекция – </w:t>
      </w:r>
      <w:r w:rsidRPr="00DC556E">
        <w:rPr>
          <w:szCs w:val="24"/>
        </w:rPr>
        <w:t xml:space="preserve">местное воспаление по ходу сформированного туннеля от места выходного отверстия катетера до манжеты или с локализацией только в </w:t>
      </w:r>
      <w:r w:rsidRPr="00DC556E">
        <w:rPr>
          <w:iCs/>
          <w:szCs w:val="24"/>
        </w:rPr>
        <w:t>области фиксации манжеты</w:t>
      </w:r>
      <w:r w:rsidRPr="00DC556E">
        <w:rPr>
          <w:i/>
          <w:szCs w:val="24"/>
        </w:rPr>
        <w:t>.</w:t>
      </w:r>
    </w:p>
    <w:p w14:paraId="76FBBF79" w14:textId="77777777" w:rsidR="00643A32" w:rsidRPr="00DC556E" w:rsidRDefault="00643A32" w:rsidP="00CE6C1C">
      <w:pPr>
        <w:pStyle w:val="a6"/>
        <w:numPr>
          <w:ilvl w:val="0"/>
          <w:numId w:val="96"/>
        </w:numPr>
        <w:spacing w:before="0" w:after="0"/>
        <w:rPr>
          <w:szCs w:val="24"/>
        </w:rPr>
      </w:pPr>
      <w:r w:rsidRPr="00DC556E">
        <w:rPr>
          <w:i/>
          <w:szCs w:val="24"/>
        </w:rPr>
        <w:t xml:space="preserve">Инфекция выходного отверстия – </w:t>
      </w:r>
      <w:r w:rsidRPr="00DC556E">
        <w:rPr>
          <w:szCs w:val="24"/>
        </w:rPr>
        <w:t>местное воспаление, с локализацией только в месте выхода катетера на поверхность кожи.</w:t>
      </w:r>
    </w:p>
    <w:p w14:paraId="32ED71AE" w14:textId="77777777" w:rsidR="00643A32" w:rsidRPr="00DC556E" w:rsidRDefault="00643A32" w:rsidP="00CE6C1C">
      <w:pPr>
        <w:pStyle w:val="a6"/>
        <w:numPr>
          <w:ilvl w:val="0"/>
          <w:numId w:val="96"/>
        </w:numPr>
        <w:spacing w:before="0" w:after="0"/>
        <w:rPr>
          <w:szCs w:val="24"/>
        </w:rPr>
      </w:pPr>
      <w:r w:rsidRPr="00DC556E">
        <w:rPr>
          <w:i/>
          <w:szCs w:val="24"/>
        </w:rPr>
        <w:t xml:space="preserve">Инфекция подкожного кармана – </w:t>
      </w:r>
      <w:r w:rsidRPr="00DC556E">
        <w:rPr>
          <w:szCs w:val="24"/>
        </w:rPr>
        <w:t xml:space="preserve">местное воспаление, локализующееся в месте установки камеры порт-системы. </w:t>
      </w:r>
    </w:p>
    <w:p w14:paraId="5A2EE944" w14:textId="77777777" w:rsidR="00643A32" w:rsidRPr="00DC556E" w:rsidRDefault="00643A32" w:rsidP="00643A32">
      <w:pPr>
        <w:spacing w:before="0" w:after="0"/>
        <w:ind w:firstLine="709"/>
        <w:rPr>
          <w:rFonts w:eastAsia="Arial Unicode MS"/>
          <w:b/>
          <w:bCs/>
          <w:szCs w:val="24"/>
          <w:lang w:eastAsia="ru-RU"/>
        </w:rPr>
      </w:pPr>
      <w:r w:rsidRPr="00DC556E">
        <w:rPr>
          <w:rFonts w:eastAsia="Arial Unicode MS"/>
          <w:b/>
          <w:bCs/>
          <w:szCs w:val="24"/>
          <w:lang w:eastAsia="ru-RU"/>
        </w:rPr>
        <w:t>Способы контроля дистального конца ЦВК</w:t>
      </w:r>
    </w:p>
    <w:p w14:paraId="54B7B35D" w14:textId="77777777" w:rsidR="00643A32" w:rsidRPr="00DC556E" w:rsidRDefault="00643A32" w:rsidP="00643A32">
      <w:pPr>
        <w:spacing w:before="0" w:after="0"/>
        <w:ind w:firstLine="709"/>
        <w:rPr>
          <w:rFonts w:eastAsia="Arial Unicode MS"/>
          <w:b/>
          <w:bCs/>
          <w:szCs w:val="24"/>
          <w:lang w:eastAsia="ru-RU"/>
        </w:rPr>
      </w:pPr>
      <w:r w:rsidRPr="00DC556E">
        <w:rPr>
          <w:rFonts w:eastAsia="Arial Unicode MS"/>
          <w:b/>
          <w:bCs/>
          <w:szCs w:val="24"/>
          <w:lang w:eastAsia="ru-RU"/>
        </w:rPr>
        <w:lastRenderedPageBreak/>
        <w:t>Электрокардиографический метод</w:t>
      </w:r>
    </w:p>
    <w:p w14:paraId="2668D293" w14:textId="77777777" w:rsidR="00643A32" w:rsidRPr="00DC556E" w:rsidRDefault="00643A32" w:rsidP="00643A32">
      <w:pPr>
        <w:spacing w:before="0" w:after="0"/>
        <w:ind w:firstLine="709"/>
        <w:rPr>
          <w:rFonts w:eastAsia="Arial Unicode MS"/>
          <w:strike/>
          <w:szCs w:val="24"/>
          <w:lang w:eastAsia="ru-RU"/>
        </w:rPr>
      </w:pPr>
      <w:r w:rsidRPr="00DC556E">
        <w:rPr>
          <w:rFonts w:eastAsia="Arial Unicode MS"/>
          <w:szCs w:val="24"/>
          <w:lang w:eastAsia="ru-RU"/>
        </w:rPr>
        <w:t xml:space="preserve">Для контроля положения ЦВК, снабженных штатным электродом, используют эндовенозную </w:t>
      </w:r>
      <w:r w:rsidRPr="00DC556E">
        <w:rPr>
          <w:szCs w:val="24"/>
        </w:rPr>
        <w:t>электрокардиографию (</w:t>
      </w:r>
      <w:r w:rsidRPr="00DC556E">
        <w:rPr>
          <w:rFonts w:eastAsia="Arial Unicode MS"/>
          <w:szCs w:val="24"/>
          <w:lang w:eastAsia="ru-RU"/>
        </w:rPr>
        <w:t xml:space="preserve">ЭКГ). Она позволяет позиционировать дистальный конец ЦВК, не увеличивая время установки, по изменениям Р-зубца ЭКГ. </w:t>
      </w:r>
    </w:p>
    <w:p w14:paraId="1E631870" w14:textId="77777777" w:rsidR="00643A32" w:rsidRPr="00DC556E" w:rsidRDefault="00643A32" w:rsidP="00643A32">
      <w:pPr>
        <w:spacing w:before="0" w:after="0"/>
        <w:ind w:firstLine="709"/>
        <w:rPr>
          <w:rFonts w:eastAsia="ＭＳ 明朝 (Основной текст темы (ази"/>
          <w:b/>
          <w:bCs/>
          <w:szCs w:val="24"/>
          <w:lang w:eastAsia="ru-RU"/>
        </w:rPr>
      </w:pPr>
      <w:r w:rsidRPr="00DC556E">
        <w:rPr>
          <w:rFonts w:eastAsia="ＭＳ 明朝 (Основной текст темы (ази"/>
          <w:b/>
          <w:bCs/>
          <w:szCs w:val="24"/>
          <w:lang w:eastAsia="ru-RU"/>
        </w:rPr>
        <w:t xml:space="preserve">Рентгенологический метод </w:t>
      </w:r>
    </w:p>
    <w:p w14:paraId="5AAD3BA8" w14:textId="77777777" w:rsidR="00643A32" w:rsidRPr="00DC556E" w:rsidRDefault="00643A32" w:rsidP="00643A32">
      <w:pPr>
        <w:spacing w:before="0" w:after="0"/>
        <w:ind w:firstLine="709"/>
        <w:rPr>
          <w:strike/>
          <w:szCs w:val="24"/>
        </w:rPr>
      </w:pPr>
      <w:r w:rsidRPr="00DC556E">
        <w:rPr>
          <w:rFonts w:eastAsia="ＭＳ 明朝 (Основной текст темы (ази"/>
          <w:szCs w:val="24"/>
          <w:lang w:eastAsia="ru-RU"/>
        </w:rPr>
        <w:t xml:space="preserve">При установке туннелируемых ЦВК, ПИЦВК, порт-систем, а также в </w:t>
      </w:r>
      <w:r w:rsidRPr="00DC556E">
        <w:rPr>
          <w:szCs w:val="24"/>
        </w:rPr>
        <w:t>случаях мерцательной аритмии или ритма, навязанного кардиостимулятором, положение дистального конца ЦВК подтверждают рентгенологически:</w:t>
      </w:r>
      <w:r w:rsidRPr="00DC556E">
        <w:rPr>
          <w:strike/>
          <w:szCs w:val="24"/>
        </w:rPr>
        <w:t xml:space="preserve"> </w:t>
      </w:r>
    </w:p>
    <w:p w14:paraId="42D673FF" w14:textId="77777777" w:rsidR="00643A32" w:rsidRPr="00DC556E" w:rsidRDefault="00643A32" w:rsidP="00643A32">
      <w:pPr>
        <w:spacing w:before="0" w:after="0"/>
        <w:ind w:firstLine="709"/>
        <w:rPr>
          <w:szCs w:val="24"/>
        </w:rPr>
      </w:pPr>
      <w:r w:rsidRPr="00DC556E">
        <w:rPr>
          <w:szCs w:val="24"/>
        </w:rPr>
        <w:t xml:space="preserve">- на </w:t>
      </w:r>
      <w:r w:rsidRPr="00DC556E">
        <w:rPr>
          <w:bCs/>
          <w:szCs w:val="24"/>
        </w:rPr>
        <w:t xml:space="preserve">рентгенограмме грудной клетки дистальный конец ЦВК должен был находиться между </w:t>
      </w:r>
      <w:r w:rsidRPr="00DC556E">
        <w:rPr>
          <w:bCs/>
          <w:szCs w:val="24"/>
          <w:lang w:val="en-US"/>
        </w:rPr>
        <w:t>V</w:t>
      </w:r>
      <w:r w:rsidRPr="00DC556E">
        <w:rPr>
          <w:bCs/>
          <w:szCs w:val="24"/>
        </w:rPr>
        <w:t xml:space="preserve"> и </w:t>
      </w:r>
      <w:r w:rsidRPr="00DC556E">
        <w:rPr>
          <w:bCs/>
          <w:szCs w:val="24"/>
          <w:lang w:val="en-US"/>
        </w:rPr>
        <w:t>VI</w:t>
      </w:r>
      <w:r w:rsidRPr="00DC556E">
        <w:rPr>
          <w:bCs/>
          <w:szCs w:val="24"/>
        </w:rPr>
        <w:t xml:space="preserve"> грудными позвонками. </w:t>
      </w:r>
    </w:p>
    <w:p w14:paraId="382CE0EB" w14:textId="77777777" w:rsidR="00643A32" w:rsidRPr="00DC556E" w:rsidRDefault="00643A32" w:rsidP="00643A32">
      <w:pPr>
        <w:widowControl w:val="0"/>
        <w:spacing w:before="0" w:after="0"/>
        <w:ind w:firstLine="708"/>
        <w:rPr>
          <w:szCs w:val="24"/>
        </w:rPr>
      </w:pPr>
      <w:r w:rsidRPr="00DC556E">
        <w:rPr>
          <w:szCs w:val="24"/>
        </w:rPr>
        <w:t>- также ориентиром для позиционирования дистального конца ЦВК является правый трахебронхиальный угол, который соответствует верхней границе верхней полой вены. Каваатриальное соединение находится на 3 см ниже этого угла.</w:t>
      </w:r>
    </w:p>
    <w:p w14:paraId="2CBD64B3" w14:textId="77777777" w:rsidR="00643A32" w:rsidRPr="00DC556E" w:rsidRDefault="00643A32" w:rsidP="00643A32">
      <w:pPr>
        <w:widowControl w:val="0"/>
        <w:spacing w:before="0" w:after="0"/>
        <w:ind w:firstLine="708"/>
        <w:rPr>
          <w:szCs w:val="24"/>
        </w:rPr>
      </w:pPr>
      <w:r w:rsidRPr="00DC556E">
        <w:rPr>
          <w:szCs w:val="24"/>
        </w:rPr>
        <w:t>- рентгенологическим ориентиром впадения ВПВ в правое предсердие также является пересечение дуги правой границы сердца и линии, идущей вдоль правой границы средостения.</w:t>
      </w:r>
    </w:p>
    <w:p w14:paraId="78CCEBE2" w14:textId="77777777" w:rsidR="00643A32" w:rsidRPr="00DC556E" w:rsidRDefault="00643A32" w:rsidP="00643A32">
      <w:pPr>
        <w:spacing w:before="0" w:after="0"/>
        <w:rPr>
          <w:b/>
          <w:bCs/>
          <w:szCs w:val="24"/>
        </w:rPr>
      </w:pPr>
      <w:r w:rsidRPr="00DC556E">
        <w:rPr>
          <w:b/>
          <w:bCs/>
          <w:szCs w:val="24"/>
        </w:rPr>
        <w:t>ОБСЛЕДОВАНИЕ ПАЦИЕНТА, ПОДГОТОВКА К МАНИПУЛЯЦИИ</w:t>
      </w:r>
    </w:p>
    <w:p w14:paraId="68823A88" w14:textId="77777777" w:rsidR="00643A32" w:rsidRPr="00DC556E" w:rsidRDefault="00643A32" w:rsidP="00643A32">
      <w:pPr>
        <w:spacing w:before="0" w:after="0"/>
        <w:ind w:firstLine="708"/>
        <w:rPr>
          <w:szCs w:val="24"/>
        </w:rPr>
      </w:pPr>
      <w:r w:rsidRPr="00DC556E">
        <w:rPr>
          <w:szCs w:val="24"/>
        </w:rPr>
        <w:t xml:space="preserve">Для обеспечения сосудистого доступа необходима консультация врачом-анестезиологом-реаниматологом. </w:t>
      </w:r>
    </w:p>
    <w:p w14:paraId="670C4FCA" w14:textId="77777777" w:rsidR="00643A32" w:rsidRPr="00DC556E" w:rsidRDefault="00643A32" w:rsidP="00643A32">
      <w:pPr>
        <w:spacing w:before="0" w:after="0"/>
        <w:ind w:firstLine="708"/>
        <w:rPr>
          <w:szCs w:val="24"/>
        </w:rPr>
      </w:pPr>
      <w:r w:rsidRPr="00DC556E">
        <w:rPr>
          <w:szCs w:val="24"/>
        </w:rPr>
        <w:t>Физикальный осмотр проводится перед катетеризацией на наличие воспалительных и послеоперационных изменений кожи в местах возможной пункции вен, наличие увеличенных и изменённых лимфоузлов, препятствующих катетеризации, наличие усиленного подкожного рисунка вен, наличие клинических проявлений синдрома сдавления верхней полой вены (осиплость голоса, одышка, кашель, невозможность принятия горизонтального положения и т. д.) Уточняются анамнестические данные – количество предшествующих катетеризаций, имели ли место осложнения катетеризации; интенсивность и сроки планируемого лечения, возможные осложнения (неблагоприятные реакции) терапии, возможность применения других методов лечения, например, лучевой терапии.</w:t>
      </w:r>
    </w:p>
    <w:p w14:paraId="5E5DF729" w14:textId="77777777" w:rsidR="00643A32" w:rsidRPr="00DC556E" w:rsidRDefault="00643A32" w:rsidP="00643A32">
      <w:pPr>
        <w:spacing w:before="0" w:after="0"/>
        <w:ind w:firstLine="708"/>
        <w:rPr>
          <w:szCs w:val="24"/>
          <w:shd w:val="clear" w:color="auto" w:fill="FFFFFF"/>
        </w:rPr>
      </w:pPr>
      <w:r w:rsidRPr="00DC556E">
        <w:rPr>
          <w:b/>
          <w:bCs/>
          <w:szCs w:val="24"/>
          <w:shd w:val="clear" w:color="auto" w:fill="FFFFFF"/>
        </w:rPr>
        <w:t>Лабораторная диагностика</w:t>
      </w:r>
      <w:r w:rsidRPr="00DC556E">
        <w:rPr>
          <w:szCs w:val="24"/>
          <w:shd w:val="clear" w:color="auto" w:fill="FFFFFF"/>
        </w:rPr>
        <w:t>.</w:t>
      </w:r>
    </w:p>
    <w:p w14:paraId="55DFC69F" w14:textId="77777777" w:rsidR="00643A32" w:rsidRPr="00DC556E" w:rsidRDefault="00643A32" w:rsidP="00643A32">
      <w:pPr>
        <w:spacing w:before="0" w:after="0"/>
        <w:rPr>
          <w:szCs w:val="24"/>
          <w:shd w:val="clear" w:color="auto" w:fill="FFFFFF"/>
        </w:rPr>
      </w:pPr>
      <w:r w:rsidRPr="00DC556E">
        <w:rPr>
          <w:szCs w:val="24"/>
          <w:shd w:val="clear" w:color="auto" w:fill="FFFFFF"/>
        </w:rPr>
        <w:t>Перед установкой ЦВК необходимо выполнить:</w:t>
      </w:r>
    </w:p>
    <w:p w14:paraId="04D39CBB" w14:textId="4321D506" w:rsidR="00643A32" w:rsidRPr="00DC556E" w:rsidRDefault="00643A32" w:rsidP="00CE6C1C">
      <w:pPr>
        <w:pStyle w:val="a6"/>
        <w:numPr>
          <w:ilvl w:val="0"/>
          <w:numId w:val="99"/>
        </w:numPr>
        <w:spacing w:before="0" w:after="0"/>
        <w:rPr>
          <w:i/>
          <w:szCs w:val="24"/>
          <w:shd w:val="clear" w:color="auto" w:fill="FFFFFF"/>
        </w:rPr>
      </w:pPr>
      <w:r w:rsidRPr="00DC556E">
        <w:rPr>
          <w:szCs w:val="24"/>
        </w:rPr>
        <w:t xml:space="preserve">общий (клинический) анализ крови развернутый (при необходимости – с исследованием </w:t>
      </w:r>
      <w:r w:rsidR="004C0C25">
        <w:rPr>
          <w:szCs w:val="24"/>
        </w:rPr>
        <w:t>количества</w:t>
      </w:r>
      <w:r w:rsidRPr="00DC556E">
        <w:rPr>
          <w:szCs w:val="24"/>
        </w:rPr>
        <w:t xml:space="preserve"> тромбоцитов в крови по мазку)</w:t>
      </w:r>
    </w:p>
    <w:p w14:paraId="453052AD" w14:textId="77777777" w:rsidR="00643A32" w:rsidRPr="00DC556E" w:rsidRDefault="00643A32" w:rsidP="00CE6C1C">
      <w:pPr>
        <w:pStyle w:val="a6"/>
        <w:numPr>
          <w:ilvl w:val="0"/>
          <w:numId w:val="98"/>
        </w:numPr>
        <w:spacing w:before="0" w:after="0"/>
        <w:rPr>
          <w:szCs w:val="24"/>
        </w:rPr>
      </w:pPr>
      <w:r w:rsidRPr="00DC556E">
        <w:rPr>
          <w:szCs w:val="24"/>
          <w:shd w:val="clear" w:color="auto" w:fill="FFFFFF"/>
        </w:rPr>
        <w:lastRenderedPageBreak/>
        <w:t>коагулограмма с определением АЧТВ, протромбинового индекса, фибриногена, при необходимости – с и</w:t>
      </w:r>
      <w:r w:rsidRPr="00DC556E">
        <w:rPr>
          <w:szCs w:val="24"/>
        </w:rPr>
        <w:t>сследованием агрегации тромбоцитов</w:t>
      </w:r>
    </w:p>
    <w:p w14:paraId="69E09F25" w14:textId="77777777" w:rsidR="00643A32" w:rsidRPr="00DC556E" w:rsidRDefault="00643A32" w:rsidP="00CE6C1C">
      <w:pPr>
        <w:pStyle w:val="a6"/>
        <w:numPr>
          <w:ilvl w:val="0"/>
          <w:numId w:val="98"/>
        </w:numPr>
        <w:spacing w:before="0" w:after="0"/>
        <w:rPr>
          <w:szCs w:val="24"/>
        </w:rPr>
      </w:pPr>
      <w:r w:rsidRPr="00DC556E">
        <w:rPr>
          <w:szCs w:val="24"/>
        </w:rPr>
        <w:t xml:space="preserve">определение активности факторов </w:t>
      </w:r>
      <w:r w:rsidRPr="00DC556E">
        <w:rPr>
          <w:szCs w:val="24"/>
          <w:lang w:val="en-US"/>
        </w:rPr>
        <w:t>VIII</w:t>
      </w:r>
      <w:r w:rsidRPr="00DC556E">
        <w:rPr>
          <w:szCs w:val="24"/>
        </w:rPr>
        <w:t xml:space="preserve">, </w:t>
      </w:r>
      <w:r w:rsidRPr="00DC556E">
        <w:rPr>
          <w:szCs w:val="24"/>
          <w:lang w:val="en-US"/>
        </w:rPr>
        <w:t>IX</w:t>
      </w:r>
      <w:r w:rsidRPr="00DC556E">
        <w:rPr>
          <w:szCs w:val="24"/>
        </w:rPr>
        <w:t xml:space="preserve"> и иных в сыворотке крови – по показаниям</w:t>
      </w:r>
    </w:p>
    <w:p w14:paraId="694648A6" w14:textId="16B37397" w:rsidR="00643A32" w:rsidRPr="00DC556E" w:rsidRDefault="00643A32" w:rsidP="00CE6C1C">
      <w:pPr>
        <w:pStyle w:val="a6"/>
        <w:numPr>
          <w:ilvl w:val="0"/>
          <w:numId w:val="98"/>
        </w:numPr>
        <w:spacing w:before="0" w:after="0"/>
        <w:rPr>
          <w:szCs w:val="24"/>
        </w:rPr>
      </w:pPr>
      <w:r w:rsidRPr="00DC556E">
        <w:rPr>
          <w:szCs w:val="24"/>
        </w:rPr>
        <w:t xml:space="preserve">определение основных групп крови, определение подгруппы </w:t>
      </w:r>
      <w:r w:rsidR="004C0C25">
        <w:rPr>
          <w:szCs w:val="24"/>
        </w:rPr>
        <w:t>и</w:t>
      </w:r>
      <w:r w:rsidRPr="00DC556E">
        <w:rPr>
          <w:szCs w:val="24"/>
        </w:rPr>
        <w:t>других групп крови меньшего значения, определение резус-фактора</w:t>
      </w:r>
    </w:p>
    <w:p w14:paraId="485DEBF6" w14:textId="77777777" w:rsidR="00643A32" w:rsidRPr="00DC556E" w:rsidRDefault="00643A32" w:rsidP="00643A32">
      <w:pPr>
        <w:spacing w:before="0" w:after="0"/>
        <w:ind w:firstLine="708"/>
        <w:rPr>
          <w:b/>
          <w:bCs/>
          <w:szCs w:val="24"/>
        </w:rPr>
      </w:pPr>
      <w:r w:rsidRPr="00DC556E">
        <w:rPr>
          <w:b/>
          <w:bCs/>
          <w:szCs w:val="24"/>
        </w:rPr>
        <w:t>Инструментальная диагностика</w:t>
      </w:r>
    </w:p>
    <w:p w14:paraId="5632062C" w14:textId="77777777" w:rsidR="00643A32" w:rsidRPr="00DC556E" w:rsidRDefault="00643A32" w:rsidP="00643A32">
      <w:pPr>
        <w:spacing w:before="0" w:after="0"/>
        <w:rPr>
          <w:szCs w:val="24"/>
        </w:rPr>
      </w:pPr>
      <w:r w:rsidRPr="00DC556E">
        <w:rPr>
          <w:szCs w:val="24"/>
        </w:rPr>
        <w:t>Перед выполнением катетеризации необходимо выполнить:</w:t>
      </w:r>
    </w:p>
    <w:p w14:paraId="58239C9A" w14:textId="77777777" w:rsidR="00643A32" w:rsidRPr="00DC556E" w:rsidRDefault="00643A32" w:rsidP="00CE6C1C">
      <w:pPr>
        <w:pStyle w:val="a6"/>
        <w:numPr>
          <w:ilvl w:val="0"/>
          <w:numId w:val="98"/>
        </w:numPr>
        <w:spacing w:before="0" w:after="0"/>
        <w:rPr>
          <w:szCs w:val="24"/>
        </w:rPr>
      </w:pPr>
      <w:r w:rsidRPr="00DC556E">
        <w:rPr>
          <w:szCs w:val="24"/>
        </w:rPr>
        <w:t xml:space="preserve">рентгенография органов грудной клетки или </w:t>
      </w:r>
      <w:r w:rsidRPr="00DC556E">
        <w:rPr>
          <w:szCs w:val="24"/>
          <w:shd w:val="clear" w:color="auto" w:fill="FFFFFF" w:themeFill="background1"/>
        </w:rPr>
        <w:t>– предпочтительно</w:t>
      </w:r>
      <w:r w:rsidRPr="00DC556E">
        <w:rPr>
          <w:szCs w:val="24"/>
        </w:rPr>
        <w:t xml:space="preserve"> – компьютерная томография органов грудной клетки (КТ)</w:t>
      </w:r>
      <w:r w:rsidRPr="00DC556E">
        <w:rPr>
          <w:szCs w:val="24"/>
          <w:shd w:val="clear" w:color="auto" w:fill="FFFFFF" w:themeFill="background1"/>
        </w:rPr>
        <w:t>, с болюсным контрастным усилением (по показаниям)</w:t>
      </w:r>
    </w:p>
    <w:p w14:paraId="693B98E2" w14:textId="77777777" w:rsidR="00643A32" w:rsidRPr="00DC556E" w:rsidRDefault="00643A32" w:rsidP="00CE6C1C">
      <w:pPr>
        <w:pStyle w:val="a6"/>
        <w:numPr>
          <w:ilvl w:val="0"/>
          <w:numId w:val="98"/>
        </w:numPr>
        <w:spacing w:before="0" w:after="0"/>
        <w:rPr>
          <w:szCs w:val="24"/>
        </w:rPr>
      </w:pPr>
      <w:r w:rsidRPr="00DC556E">
        <w:rPr>
          <w:szCs w:val="24"/>
        </w:rPr>
        <w:t xml:space="preserve">ультразвуковое агиосканирование </w:t>
      </w:r>
    </w:p>
    <w:p w14:paraId="2E65073F" w14:textId="77777777" w:rsidR="00643A32" w:rsidRPr="00DC556E" w:rsidRDefault="00643A32" w:rsidP="00CE6C1C">
      <w:pPr>
        <w:pStyle w:val="a6"/>
        <w:numPr>
          <w:ilvl w:val="0"/>
          <w:numId w:val="98"/>
        </w:numPr>
        <w:spacing w:before="0" w:after="0"/>
        <w:rPr>
          <w:szCs w:val="24"/>
        </w:rPr>
      </w:pPr>
      <w:r w:rsidRPr="00DC556E">
        <w:rPr>
          <w:szCs w:val="24"/>
        </w:rPr>
        <w:t>ЭКГ</w:t>
      </w:r>
    </w:p>
    <w:p w14:paraId="74D3BA00" w14:textId="77777777" w:rsidR="00643A32" w:rsidRPr="00DC556E" w:rsidRDefault="00643A32" w:rsidP="00643A32">
      <w:pPr>
        <w:spacing w:before="0" w:after="0"/>
        <w:ind w:firstLine="700"/>
        <w:rPr>
          <w:rFonts w:eastAsia="Times New Roman"/>
          <w:szCs w:val="24"/>
          <w:lang w:eastAsia="ru-RU"/>
        </w:rPr>
      </w:pPr>
      <w:r w:rsidRPr="00DC556E">
        <w:rPr>
          <w:rFonts w:eastAsia="Times New Roman"/>
          <w:szCs w:val="24"/>
          <w:lang w:eastAsia="ru-RU"/>
        </w:rPr>
        <w:t xml:space="preserve">Ультразвуковое сопровождение в реальном времени обеспечивает возможность выбора направления иглы при пункции внутренней яремной, аксиллярной, подмышечной или бедренной вены, позволяя тем самым избежать случайного ранение артерии </w:t>
      </w:r>
      <w:r w:rsidRPr="00DC556E">
        <w:rPr>
          <w:rFonts w:eastAsia="Times New Roman"/>
          <w:szCs w:val="24"/>
          <w:lang w:eastAsia="ru-RU"/>
        </w:rPr>
        <w:fldChar w:fldCharType="begin" w:fldLock="1"/>
      </w:r>
      <w:r>
        <w:rPr>
          <w:rFonts w:eastAsia="Times New Roman"/>
          <w:szCs w:val="24"/>
          <w:lang w:eastAsia="ru-RU"/>
        </w:rPr>
        <w:instrText>ADDIN CSL_CITATION {"citationItems":[{"id":"ITEM-1","itemData":{"DOI":"10.2147/RMHP.S10383","ISSN":"1179-1594","PMID":"22312225","abstract":"Central venous cannulation is a commonly performed procedure which facilitates resuscitation, nutritional support, and long-term vascular access. Mechanical complications most often occur during insertion and are intimately related to the anatomic relationship of the central veins. Working knowledge of surface and deep anatomy minimizes complications. Use of surface anatomic landmarks to orient the deep course of cannulating needle tracts appropriately comprises the crux of complication avoidance. The authors describe use of surface landmarks to facilitate safe placement of internal jugular, subclavian, and femoral venous catheters. The role of real-time sonography as a safety-enhancing adjunct is reviewed.","author":[{"dropping-particle":"","family":"Bannon","given":"Michael P","non-dropping-particle":"","parse-names":false,"suffix":""},{"dropping-particle":"","family":"Heller","given":"Stephanie F","non-dropping-particle":"","parse-names":false,"suffix":""},{"dropping-particle":"","family":"Rivera","given":"Mariela","non-dropping-particle":"","parse-names":false,"suffix":""}],"container-title":"Risk management and healthcare policy","id":"ITEM-1","issued":{"date-parts":[["2011"]]},"page":"27-39","publisher":"Dove Press","title":"Anatomic considerations for central venous cannulation.","type":"article-journal","volume":"4"},"uris":["http://www.mendeley.com/documents/?uuid=f27d2d96-8c0e-37ae-a769-16d58b15a227","http://www.mendeley.com/documents/?uuid=f9aa48fe-c406-4fff-9ca6-6b45883f5416"]}],"mendeley":{"formattedCitation":"[1]","plainTextFormattedCitation":"[1]","previouslyFormattedCitation":"[19]"},"properties":{"noteIndex":0},"schema":"https://github.com/citation-style-language/schema/raw/master/csl-citation.json"}</w:instrText>
      </w:r>
      <w:r w:rsidRPr="00DC556E">
        <w:rPr>
          <w:rFonts w:eastAsia="Times New Roman"/>
          <w:szCs w:val="24"/>
          <w:lang w:eastAsia="ru-RU"/>
        </w:rPr>
        <w:fldChar w:fldCharType="separate"/>
      </w:r>
      <w:r w:rsidRPr="00440A23">
        <w:rPr>
          <w:rFonts w:eastAsia="Times New Roman"/>
          <w:noProof/>
          <w:szCs w:val="24"/>
          <w:lang w:eastAsia="ru-RU"/>
        </w:rPr>
        <w:t>[1]</w:t>
      </w:r>
      <w:r w:rsidRPr="00DC556E">
        <w:rPr>
          <w:rFonts w:eastAsia="Times New Roman"/>
          <w:szCs w:val="24"/>
          <w:lang w:eastAsia="ru-RU"/>
        </w:rPr>
        <w:fldChar w:fldCharType="end"/>
      </w:r>
      <w:r w:rsidRPr="00DC556E">
        <w:rPr>
          <w:rFonts w:eastAsia="Times New Roman"/>
          <w:szCs w:val="24"/>
          <w:lang w:eastAsia="ru-RU"/>
        </w:rPr>
        <w:t>.</w:t>
      </w:r>
    </w:p>
    <w:p w14:paraId="79938217" w14:textId="77777777" w:rsidR="00643A32" w:rsidRPr="00DC556E" w:rsidRDefault="00643A32" w:rsidP="00643A32">
      <w:pPr>
        <w:spacing w:before="0" w:after="0"/>
        <w:ind w:firstLine="700"/>
        <w:rPr>
          <w:rFonts w:eastAsia="Times New Roman"/>
          <w:szCs w:val="24"/>
          <w:lang w:eastAsia="ru-RU"/>
        </w:rPr>
      </w:pPr>
      <w:r w:rsidRPr="00DC556E">
        <w:rPr>
          <w:rFonts w:eastAsia="Times New Roman"/>
          <w:szCs w:val="24"/>
          <w:lang w:eastAsia="ru-RU"/>
        </w:rPr>
        <w:t>Использование ультразвукового сопровождения даже при установке ЦВК при тромбоцитопении менее 20х109/л позволяет избежать серьезных геморрагических осложнений.</w:t>
      </w:r>
    </w:p>
    <w:p w14:paraId="2AF2A25F" w14:textId="77777777" w:rsidR="00643A32" w:rsidRPr="00DC556E" w:rsidRDefault="00643A32" w:rsidP="00643A32">
      <w:pPr>
        <w:spacing w:before="0" w:after="0"/>
        <w:ind w:firstLine="700"/>
        <w:rPr>
          <w:rFonts w:eastAsia="Times New Roman"/>
          <w:szCs w:val="24"/>
          <w:lang w:eastAsia="ru-RU"/>
        </w:rPr>
      </w:pPr>
      <w:r w:rsidRPr="00DC556E">
        <w:rPr>
          <w:rFonts w:eastAsia="Times New Roman"/>
          <w:szCs w:val="24"/>
          <w:lang w:eastAsia="ru-RU"/>
        </w:rPr>
        <w:t xml:space="preserve">В настоящее время УЗИ считается «золотым стандартом» при установке центрального венозного катетера с использованием яремного доступа, так как ВЯВ близко прилежит к поверхности кожи, нет мышц, которые бы могли затруднить визуализацию </w:t>
      </w:r>
      <w:r w:rsidRPr="00DC556E">
        <w:rPr>
          <w:rFonts w:eastAsia="Times New Roman"/>
          <w:szCs w:val="24"/>
          <w:lang w:eastAsia="ru-RU"/>
        </w:rPr>
        <w:fldChar w:fldCharType="begin" w:fldLock="1"/>
      </w:r>
      <w:r>
        <w:rPr>
          <w:rFonts w:eastAsia="Times New Roman"/>
          <w:szCs w:val="24"/>
          <w:lang w:eastAsia="ru-RU"/>
        </w:rPr>
        <w:instrText>ADDIN CSL_CITATION {"citationItems":[{"id":"ITEM-1","itemData":{"DOI":"10.1097/01.CCM.0000171533.92856.E5","ISSN":"0090-3493","author":[{"dropping-particle":"","family":"Milling","given":"Truman J.","non-dropping-particle":"","parse-names":false,"suffix":""},{"dropping-particle":"","family":"Rose","given":"John","non-dropping-particle":"","parse-names":false,"suffix":""},{"dropping-particle":"","family":"Briggs","given":"William M.","non-dropping-particle":"","parse-names":false,"suffix":""},{"dropping-particle":"","family":"Birkhahn","given":"Robert","non-dropping-particle":"","parse-names":false,"suffix":""},{"dropping-particle":"","family":"Gaeta","given":"Theodore J.","non-dropping-particle":"","parse-names":false,"suffix":""},{"dropping-particle":"","family":"Bove","given":"Joseph J.","non-dropping-particle":"","parse-names":false,"suffix":""},{"dropping-particle":"","family":"Melniker","given":"Lawrence A.","non-dropping-particle":"","parse-names":false,"suffix":""}],"container-title":"Critical Care Medicine","id":"ITEM-1","issue":"8","issued":{"date-parts":[["2005","8"]]},"page":"1764-1769","title":"Randomized, controlled clinical trial of point-of-care limited ultrasonography assistance of central venous cannulation: The Third Sonography Outcomes Assessment Program (SOAP-3) Trial*","type":"article-journal","volume":"33"},"uris":["http://www.mendeley.com/documents/?uuid=054ddacc-452c-3e56-9229-17632ae9ca05","http://www.mendeley.com/documents/?uuid=09789e1a-ee58-4cc1-947d-5f5206b3db5b"]}],"mendeley":{"formattedCitation":"[10]","plainTextFormattedCitation":"[10]","previouslyFormattedCitation":"[20]"},"properties":{"noteIndex":0},"schema":"https://github.com/citation-style-language/schema/raw/master/csl-citation.json"}</w:instrText>
      </w:r>
      <w:r w:rsidRPr="00DC556E">
        <w:rPr>
          <w:rFonts w:eastAsia="Times New Roman"/>
          <w:szCs w:val="24"/>
          <w:lang w:eastAsia="ru-RU"/>
        </w:rPr>
        <w:fldChar w:fldCharType="separate"/>
      </w:r>
      <w:r w:rsidRPr="00440A23">
        <w:rPr>
          <w:rFonts w:eastAsia="Times New Roman"/>
          <w:noProof/>
          <w:szCs w:val="24"/>
          <w:lang w:eastAsia="ru-RU"/>
        </w:rPr>
        <w:t>[10]</w:t>
      </w:r>
      <w:r w:rsidRPr="00DC556E">
        <w:rPr>
          <w:rFonts w:eastAsia="Times New Roman"/>
          <w:szCs w:val="24"/>
          <w:lang w:eastAsia="ru-RU"/>
        </w:rPr>
        <w:fldChar w:fldCharType="end"/>
      </w:r>
      <w:r w:rsidRPr="00DC556E">
        <w:rPr>
          <w:rFonts w:eastAsia="Times New Roman"/>
          <w:szCs w:val="24"/>
          <w:lang w:eastAsia="ru-RU"/>
        </w:rPr>
        <w:t>. Помимо этого, правая ВЯВ образует практически прямую линию, что уменьшает травму сосуда и риск возникновения КАТ при использовании катетера.</w:t>
      </w:r>
    </w:p>
    <w:p w14:paraId="394BCD49" w14:textId="77777777" w:rsidR="00643A32" w:rsidRPr="00DC556E" w:rsidRDefault="00643A32" w:rsidP="00643A32">
      <w:pPr>
        <w:spacing w:before="0" w:after="0"/>
        <w:ind w:firstLine="700"/>
        <w:rPr>
          <w:rFonts w:eastAsia="Times New Roman"/>
          <w:szCs w:val="24"/>
          <w:lang w:eastAsia="ru-RU"/>
        </w:rPr>
      </w:pPr>
      <w:r w:rsidRPr="00DC556E">
        <w:rPr>
          <w:rFonts w:eastAsia="Times New Roman"/>
          <w:szCs w:val="24"/>
          <w:lang w:eastAsia="ru-RU"/>
        </w:rPr>
        <w:t xml:space="preserve">Ультразвуковое сопровождение катетеризации центральных вен не исключает знания анатомии и поверхностных анатомических ориентиров, которые остаются необходимыми для ориентации как иглы, так и самого ультразвукового датчика. Ультразвуковое сопровождение катетеризации позволяет визуализировать не только вену, но и располагающиеся вблизи анатомические структуры. </w:t>
      </w:r>
    </w:p>
    <w:p w14:paraId="2C0F3AE5" w14:textId="77777777" w:rsidR="00643A32" w:rsidRPr="00DC556E" w:rsidRDefault="00643A32" w:rsidP="00643A32">
      <w:pPr>
        <w:spacing w:before="0" w:after="0"/>
        <w:ind w:firstLine="708"/>
        <w:rPr>
          <w:szCs w:val="24"/>
        </w:rPr>
      </w:pPr>
      <w:r w:rsidRPr="00DC556E">
        <w:rPr>
          <w:szCs w:val="24"/>
        </w:rPr>
        <w:t>В случае выявления поражения средостения по данным рентгенологического исследования, а также при клинической картине синдрома сдавления верхней полой вены, перед катетеризацией необходимо выполнение КТ органов грудной клетки с болюсным контрастным усилением для оценки проходимости крупных венозных сосудов, диагностики тромботических осложнений.</w:t>
      </w:r>
    </w:p>
    <w:p w14:paraId="5F5320B5" w14:textId="77777777" w:rsidR="00643A32" w:rsidRPr="00DC556E" w:rsidRDefault="00643A32" w:rsidP="00643A32">
      <w:pPr>
        <w:spacing w:before="0" w:after="0"/>
        <w:ind w:firstLine="709"/>
        <w:rPr>
          <w:b/>
          <w:bCs/>
          <w:szCs w:val="24"/>
        </w:rPr>
      </w:pPr>
      <w:r w:rsidRPr="00DC556E">
        <w:rPr>
          <w:b/>
          <w:bCs/>
          <w:szCs w:val="24"/>
        </w:rPr>
        <w:lastRenderedPageBreak/>
        <w:t xml:space="preserve">Выбор типа ЦВК </w:t>
      </w:r>
    </w:p>
    <w:p w14:paraId="131A9E77" w14:textId="05ED4EBC" w:rsidR="00643A32" w:rsidRPr="00DC556E" w:rsidRDefault="00643A32" w:rsidP="00643A32">
      <w:pPr>
        <w:spacing w:before="0" w:after="0"/>
        <w:ind w:firstLine="708"/>
        <w:rPr>
          <w:szCs w:val="24"/>
        </w:rPr>
      </w:pPr>
      <w:r w:rsidRPr="00DC556E">
        <w:rPr>
          <w:szCs w:val="24"/>
        </w:rPr>
        <w:t xml:space="preserve">Важной задачей является обеспечение сосудистого доступа </w:t>
      </w:r>
      <w:r w:rsidRPr="00DC556E">
        <w:rPr>
          <w:b/>
          <w:szCs w:val="24"/>
        </w:rPr>
        <w:t>при проведении трансплантации гемопоэтических стволовых клеток</w:t>
      </w:r>
      <w:r w:rsidRPr="00DC556E">
        <w:rPr>
          <w:szCs w:val="24"/>
        </w:rPr>
        <w:t xml:space="preserve"> (ТГСК). При трансплантации аутологичных ГСК достаточно установки нетуннелируемого катетера. </w:t>
      </w:r>
    </w:p>
    <w:p w14:paraId="7F3E057B" w14:textId="77777777" w:rsidR="00643A32" w:rsidRPr="00DC556E" w:rsidRDefault="00643A32" w:rsidP="00643A32">
      <w:pPr>
        <w:spacing w:before="0" w:after="0"/>
        <w:ind w:firstLine="708"/>
        <w:rPr>
          <w:szCs w:val="24"/>
        </w:rPr>
      </w:pPr>
      <w:r>
        <w:rPr>
          <w:szCs w:val="24"/>
        </w:rPr>
        <w:t xml:space="preserve">У </w:t>
      </w:r>
      <w:r w:rsidRPr="00DC556E">
        <w:rPr>
          <w:szCs w:val="24"/>
        </w:rPr>
        <w:t xml:space="preserve">больных </w:t>
      </w:r>
      <w:r w:rsidRPr="00DC556E">
        <w:rPr>
          <w:b/>
          <w:szCs w:val="24"/>
        </w:rPr>
        <w:t>множественной миеломой</w:t>
      </w:r>
      <w:r w:rsidRPr="00DC556E">
        <w:rPr>
          <w:szCs w:val="24"/>
        </w:rPr>
        <w:t xml:space="preserve"> в зависимости от интенсивности планируемого лечения могут быть установлены нетуннелируемый катетер, порт-система, ПИЦВК. Учитывая, что многие пациенты получают химиотерапию в амбулаторном режиме, либо при кратковременных повторных госпитализациях, следует отдать предпочтение долговременной катетеризации (порт-система, ПИЦВК). Установка порт-систем с титановой камерой не рекомендуется больным, которым планируется лучевая терапия на область средостения, если область облучения захватывает место установки резервуара порт-системы. В этих случаях следует отдать предпочтение порт-системам с пластиковым резервуаром, а если их нет, вывести резервуар порта из предполагаемой зоны облучения (установить с противоположной стороны, на плече, либо установить порт-систему через бедренную вену, выведя резервуар на бедро). ПИЦВК являются также методом выбора при наличии у больных изменений в зоне катетеризации яремных или подключичных вен (пакеты лимфоузлов, рана после биопсии узлов), но сохранной проходимости крупных сосудов и верхней полой вены.</w:t>
      </w:r>
    </w:p>
    <w:p w14:paraId="0965401D" w14:textId="77777777" w:rsidR="00643A32" w:rsidRPr="00DC556E" w:rsidRDefault="00643A32" w:rsidP="00643A32">
      <w:pPr>
        <w:spacing w:before="0" w:after="0"/>
        <w:ind w:firstLine="700"/>
        <w:rPr>
          <w:szCs w:val="24"/>
        </w:rPr>
      </w:pPr>
      <w:r w:rsidRPr="00DC556E">
        <w:rPr>
          <w:szCs w:val="24"/>
        </w:rPr>
        <w:t>Сочетание тяжелой сердечной недостаточности и потребность в лечении программным</w:t>
      </w:r>
      <w:r w:rsidRPr="00DC556E">
        <w:rPr>
          <w:b/>
          <w:bCs/>
          <w:szCs w:val="24"/>
        </w:rPr>
        <w:t xml:space="preserve"> гемодиализом</w:t>
      </w:r>
      <w:r w:rsidRPr="00DC556E">
        <w:rPr>
          <w:szCs w:val="24"/>
        </w:rPr>
        <w:t xml:space="preserve"> больного </w:t>
      </w:r>
      <w:r w:rsidRPr="00DC556E">
        <w:rPr>
          <w:b/>
          <w:bCs/>
          <w:szCs w:val="24"/>
        </w:rPr>
        <w:t>множественной миеломой</w:t>
      </w:r>
      <w:r w:rsidRPr="00DC556E">
        <w:rPr>
          <w:szCs w:val="24"/>
        </w:rPr>
        <w:t xml:space="preserve"> требует индивидуального подхода к обеспечению сосудистого доступа. При множественной миеломе нарушение функции почек часто встречается уже на этапе установления диагноза. Кроме того, множественная миелома часто осложняется амилоидозом, что увеличивает риск развития как почечной, так сердечной недостаточности. По Европейским рекомендациям </w:t>
      </w:r>
      <w:r w:rsidRPr="00DC556E">
        <w:rPr>
          <w:szCs w:val="24"/>
        </w:rPr>
        <w:fldChar w:fldCharType="begin" w:fldLock="1"/>
      </w:r>
      <w:r>
        <w:rPr>
          <w:szCs w:val="24"/>
        </w:rPr>
        <w:instrText>ADDIN CSL_CITATION {"citationItems":[{"id":"ITEM-1","itemData":{"DOI":"10.1093/ndt/gfm021","ISSN":"0931-0509","author":[{"dropping-particle":"","family":"Tordoir","given":"J.","non-dropping-particle":"","parse-names":false,"suffix":""},{"dropping-particle":"","family":"Canaud","given":"B.","non-dropping-particle":"","parse-names":false,"suffix":""},{"dropping-particle":"","family":"Haage","given":"P.","non-dropping-particle":"","parse-names":false,"suffix":""},{"dropping-particle":"","family":"Konner","given":"K.","non-dropping-particle":"","parse-names":false,"suffix":""},{"dropping-particle":"","family":"Basci","given":"A.","non-dropping-particle":"","parse-names":false,"suffix":""},{"dropping-particle":"","family":"Fouque","given":"D.","non-dropping-particle":"","parse-names":false,"suffix":""},{"dropping-particle":"","family":"Kooman","given":"J.","non-dropping-particle":"","parse-names":false,"suffix":""},{"dropping-particle":"","family":"Martin-Malo","given":"A.","non-dropping-particle":"","parse-names":false,"suffix":""},{"dropping-particle":"","family":"Pedrini","given":"L.","non-dropping-particle":"","parse-names":false,"suffix":""},{"dropping-particle":"","family":"Pizzarelli","given":"F.","non-dropping-particle":"","parse-names":false,"suffix":""},{"dropping-particle":"","family":"Tattersall","given":"J.","non-dropping-particle":"","parse-names":false,"suffix":""},{"dropping-particle":"","family":"Vennegoor","given":"M.","non-dropping-particle":"","parse-names":false,"suffix":""},{"dropping-particle":"","family":"Wanner","given":"C.","non-dropping-particle":"","parse-names":false,"suffix":""},{"dropping-particle":"","family":"Wee","given":"P.","non-dropping-particle":"ter","parse-names":false,"suffix":""},{"dropping-particle":"","family":"Vanholder","given":"R.","non-dropping-particle":"","parse-names":false,"suffix":""}],"container-title":"Nephrology Dialysis Transplantation","id":"ITEM-1","issue":"Supplement 2","issued":{"date-parts":[["2007","5"]]},"page":"ii88-ii117","publisher":"Oxford University Press","title":"EBPG on Vascular Access","type":"article-journal","volume":"22"},"uris":["http://www.mendeley.com/documents/?uuid=16d2d2c7-4b5c-3196-84aa-8b107bd8a8ae","http://www.mendeley.com/documents/?uuid=0c28780b-84fb-4320-b58e-9b8eb156efce"]}],"mendeley":{"formattedCitation":"[15]","plainTextFormattedCitation":"[15]","previouslyFormattedCitation":"[21]"},"properties":{"noteIndex":0},"schema":"https://github.com/citation-style-language/schema/raw/master/csl-citation.json"}</w:instrText>
      </w:r>
      <w:r w:rsidRPr="00DC556E">
        <w:rPr>
          <w:szCs w:val="24"/>
        </w:rPr>
        <w:fldChar w:fldCharType="separate"/>
      </w:r>
      <w:r w:rsidRPr="00440A23">
        <w:rPr>
          <w:noProof/>
          <w:szCs w:val="24"/>
        </w:rPr>
        <w:t>[15]</w:t>
      </w:r>
      <w:r w:rsidRPr="00DC556E">
        <w:rPr>
          <w:szCs w:val="24"/>
        </w:rPr>
        <w:fldChar w:fldCharType="end"/>
      </w:r>
      <w:r w:rsidRPr="00DC556E">
        <w:rPr>
          <w:szCs w:val="24"/>
        </w:rPr>
        <w:t xml:space="preserve">, при переходе больного на программный гемодиализ выбор сосудистого доступа должен быть следующим: артерио-венозная фистула, артериовенозный протез, туннелируемый катетер. При фракции выброса левого желудочка ≤30% методом выбора обеспечения сосудистого доступа для гемодиализа является туннелируемые (перманентные) катетеры </w:t>
      </w:r>
      <w:r w:rsidRPr="00DC556E">
        <w:rPr>
          <w:szCs w:val="24"/>
        </w:rPr>
        <w:fldChar w:fldCharType="begin" w:fldLock="1"/>
      </w:r>
      <w:r>
        <w:rPr>
          <w:szCs w:val="24"/>
        </w:rPr>
        <w:instrText>ADDIN CSL_CITATION {"citationItems":[{"id":"ITEM-1","itemData":{"DOI":"10.5301/jva.5000511","ISSN":"1129-7298","abstract":"Heart failure (HF) is the most frequent cardiovascular disease associated with chronic kidney disease and represents a high risk for cardiovascular mortality in incident hemodialysis (HD) patients. This risk is especially high during the arteriovenous fistula (AVF) maturation period due to the marked hemodynamic changes related to the large increase in the blood flow and also within the first 120 days after HD inception because in this period the highest mortality rate occurs. When planning the vascular access for each incident HF patient, the risk of aggravating HF after AVF creation must be evaluated carefully alongside the risk of catheter-related complications, but avoiding a non-selective ‘catheter first’ approach for all these patients. HF patients classified within the New York Heart Association (NYHA) Class I-II and the American College of Cardiology/American Heart Association (ACC/AHA) Stage A-B could initiate HD through a distal arm AVF. High-flow brachial artery-based AVF creation must be avoid...","author":[{"dropping-particle":"","family":"Roca-Tey","given":"Ramon","non-dropping-particle":"","parse-names":false,"suffix":""}],"container-title":"The Journal of Vascular Access","id":"ITEM-1","issue":"1_suppl","issued":{"date-parts":[["2016","3"]]},"page":"23-29","publisher":"SAGE PublicationsSage UK: London, England","title":"Permanent Arteriovenous Fistula or Catheter Dialysis for Heart Failure Patients","type":"article-journal","volume":"17"},"uris":["http://www.mendeley.com/documents/?uuid=56cf907a-5e15-32c5-b601-66fd83039f55","http://www.mendeley.com/documents/?uuid=d599b505-6d8a-40fb-a8d9-a61f8f73a332"]}],"mendeley":{"formattedCitation":"[12]","plainTextFormattedCitation":"[12]","previouslyFormattedCitation":"[22]"},"properties":{"noteIndex":0},"schema":"https://github.com/citation-style-language/schema/raw/master/csl-citation.json"}</w:instrText>
      </w:r>
      <w:r w:rsidRPr="00DC556E">
        <w:rPr>
          <w:szCs w:val="24"/>
        </w:rPr>
        <w:fldChar w:fldCharType="separate"/>
      </w:r>
      <w:r w:rsidRPr="00440A23">
        <w:rPr>
          <w:noProof/>
          <w:szCs w:val="24"/>
        </w:rPr>
        <w:t>[12]</w:t>
      </w:r>
      <w:r w:rsidRPr="00DC556E">
        <w:rPr>
          <w:szCs w:val="24"/>
        </w:rPr>
        <w:fldChar w:fldCharType="end"/>
      </w:r>
      <w:r w:rsidRPr="00DC556E">
        <w:rPr>
          <w:szCs w:val="24"/>
        </w:rPr>
        <w:t>.</w:t>
      </w:r>
    </w:p>
    <w:p w14:paraId="0C5958C1" w14:textId="77777777" w:rsidR="00643A32" w:rsidRPr="00DC556E" w:rsidRDefault="00643A32" w:rsidP="00643A32">
      <w:pPr>
        <w:spacing w:before="0" w:after="0"/>
        <w:ind w:firstLine="708"/>
        <w:rPr>
          <w:b/>
          <w:bCs/>
          <w:szCs w:val="24"/>
        </w:rPr>
      </w:pPr>
      <w:r w:rsidRPr="00DC556E">
        <w:rPr>
          <w:b/>
          <w:bCs/>
          <w:szCs w:val="24"/>
        </w:rPr>
        <w:t>ПРОФИЛАКТИКА ОСЛОЖНЕНИЙ</w:t>
      </w:r>
    </w:p>
    <w:p w14:paraId="5AAE8AC6" w14:textId="77777777" w:rsidR="00643A32" w:rsidRPr="00DC556E" w:rsidRDefault="00643A32" w:rsidP="00643A32">
      <w:pPr>
        <w:spacing w:before="0" w:after="0"/>
        <w:ind w:firstLine="708"/>
        <w:rPr>
          <w:b/>
          <w:bCs/>
          <w:szCs w:val="24"/>
        </w:rPr>
      </w:pPr>
      <w:r w:rsidRPr="00DC556E">
        <w:rPr>
          <w:b/>
          <w:bCs/>
          <w:szCs w:val="24"/>
        </w:rPr>
        <w:t>Методы профилактики ранних осложнений</w:t>
      </w:r>
    </w:p>
    <w:p w14:paraId="750EC3A4" w14:textId="77777777" w:rsidR="00643A32" w:rsidRPr="00DC556E" w:rsidRDefault="00643A32" w:rsidP="00CE6C1C">
      <w:pPr>
        <w:pStyle w:val="a6"/>
        <w:numPr>
          <w:ilvl w:val="0"/>
          <w:numId w:val="100"/>
        </w:numPr>
        <w:tabs>
          <w:tab w:val="left" w:pos="709"/>
        </w:tabs>
        <w:spacing w:before="0" w:after="0"/>
        <w:ind w:left="709"/>
        <w:rPr>
          <w:szCs w:val="24"/>
        </w:rPr>
      </w:pPr>
      <w:r w:rsidRPr="00DC556E">
        <w:rPr>
          <w:szCs w:val="24"/>
        </w:rPr>
        <w:t>Ультразвуковое сопровождение катетеризации центральных вен</w:t>
      </w:r>
    </w:p>
    <w:p w14:paraId="52745221" w14:textId="77777777" w:rsidR="00643A32" w:rsidRPr="00DC556E" w:rsidRDefault="00643A32" w:rsidP="00643A32">
      <w:pPr>
        <w:spacing w:before="0" w:after="0"/>
        <w:ind w:firstLine="708"/>
        <w:rPr>
          <w:strike/>
          <w:szCs w:val="24"/>
        </w:rPr>
      </w:pPr>
      <w:r w:rsidRPr="00DC556E">
        <w:rPr>
          <w:szCs w:val="24"/>
        </w:rPr>
        <w:t>С использованием линейного датчика 10 МГц, который обеспечивает поверхность сканирования 20-50 мм и глубину до 80 мм или в допплеровском режиме.</w:t>
      </w:r>
    </w:p>
    <w:p w14:paraId="537F96E0" w14:textId="77777777" w:rsidR="00643A32" w:rsidRPr="00DC556E" w:rsidRDefault="00643A32" w:rsidP="00643A32">
      <w:pPr>
        <w:spacing w:before="0" w:after="0"/>
        <w:ind w:firstLine="708"/>
        <w:rPr>
          <w:szCs w:val="24"/>
        </w:rPr>
      </w:pPr>
      <w:r w:rsidRPr="00DC556E">
        <w:rPr>
          <w:szCs w:val="24"/>
        </w:rPr>
        <w:lastRenderedPageBreak/>
        <w:t>Пункцию вены осуществляют в режиме постоянной визуализации острия иглы.</w:t>
      </w:r>
    </w:p>
    <w:p w14:paraId="60CBF5E0" w14:textId="77777777" w:rsidR="00643A32" w:rsidRPr="00DC556E" w:rsidRDefault="00643A32" w:rsidP="00643A32">
      <w:pPr>
        <w:spacing w:before="0" w:after="0"/>
        <w:ind w:firstLine="708"/>
        <w:rPr>
          <w:szCs w:val="24"/>
        </w:rPr>
      </w:pPr>
      <w:r w:rsidRPr="00DC556E">
        <w:rPr>
          <w:szCs w:val="24"/>
        </w:rPr>
        <w:t xml:space="preserve">Нарушения гемостаза компенсируются с помощью заместительной терапии компонентами крови. </w:t>
      </w:r>
    </w:p>
    <w:p w14:paraId="0BA47ECD" w14:textId="77777777" w:rsidR="00643A32" w:rsidRPr="00DC556E" w:rsidRDefault="00643A32" w:rsidP="00643A32">
      <w:pPr>
        <w:spacing w:before="0" w:after="0"/>
        <w:ind w:firstLine="708"/>
        <w:rPr>
          <w:rFonts w:eastAsia="ＭＳ 明朝 (Основной текст темы (ази"/>
          <w:szCs w:val="24"/>
          <w:lang w:eastAsia="ru-RU"/>
        </w:rPr>
      </w:pPr>
      <w:r w:rsidRPr="00DC556E">
        <w:rPr>
          <w:szCs w:val="24"/>
        </w:rPr>
        <w:t>Трансфузию концентратов тромбоцитов выполняют при снижении их концентрации в периферической крови ниже 20х10</w:t>
      </w:r>
      <w:r w:rsidRPr="00DC556E">
        <w:rPr>
          <w:szCs w:val="24"/>
          <w:vertAlign w:val="superscript"/>
        </w:rPr>
        <w:t>9</w:t>
      </w:r>
      <w:r w:rsidRPr="00DC556E">
        <w:rPr>
          <w:szCs w:val="24"/>
        </w:rPr>
        <w:t xml:space="preserve">/л </w:t>
      </w:r>
      <w:r w:rsidRPr="00DC556E">
        <w:rPr>
          <w:rFonts w:eastAsia="ＭＳ 明朝 (Основной текст темы (ази"/>
          <w:szCs w:val="24"/>
          <w:lang w:eastAsia="ru-RU"/>
        </w:rPr>
        <w:t>из расчета 1 ед. или 0,6х10</w:t>
      </w:r>
      <w:r w:rsidRPr="00DC556E">
        <w:rPr>
          <w:rFonts w:eastAsia="ＭＳ 明朝 (Основной текст темы (ази"/>
          <w:szCs w:val="24"/>
          <w:vertAlign w:val="superscript"/>
          <w:lang w:eastAsia="ru-RU"/>
        </w:rPr>
        <w:t>11</w:t>
      </w:r>
      <w:r w:rsidRPr="00DC556E">
        <w:rPr>
          <w:rFonts w:eastAsia="ＭＳ 明朝 (Основной текст темы (ази"/>
          <w:szCs w:val="24"/>
          <w:lang w:eastAsia="ru-RU"/>
        </w:rPr>
        <w:t xml:space="preserve"> клеток на 10 кг массы тела либо 1 терапевтическая доза (2х10</w:t>
      </w:r>
      <w:r w:rsidRPr="00DC556E">
        <w:rPr>
          <w:rFonts w:eastAsia="ＭＳ 明朝 (Основной текст темы (ази"/>
          <w:szCs w:val="24"/>
          <w:vertAlign w:val="superscript"/>
          <w:lang w:eastAsia="ru-RU"/>
        </w:rPr>
        <w:t>11</w:t>
      </w:r>
      <w:r w:rsidRPr="00DC556E">
        <w:rPr>
          <w:rFonts w:eastAsia="ＭＳ 明朝 (Основной текст темы (ази"/>
          <w:szCs w:val="24"/>
          <w:lang w:eastAsia="ru-RU"/>
        </w:rPr>
        <w:t xml:space="preserve"> клеток) на 1 м</w:t>
      </w:r>
      <w:r w:rsidRPr="00DC556E">
        <w:rPr>
          <w:rFonts w:eastAsia="ＭＳ 明朝 (Основной текст темы (ази"/>
          <w:szCs w:val="24"/>
          <w:vertAlign w:val="superscript"/>
          <w:lang w:eastAsia="ru-RU"/>
        </w:rPr>
        <w:t>2</w:t>
      </w:r>
      <w:r w:rsidRPr="00DC556E">
        <w:rPr>
          <w:rFonts w:eastAsia="ＭＳ 明朝 (Основной текст темы (ази"/>
          <w:szCs w:val="24"/>
          <w:lang w:eastAsia="ru-RU"/>
        </w:rPr>
        <w:t xml:space="preserve"> поверхности тела.</w:t>
      </w:r>
    </w:p>
    <w:p w14:paraId="40A12B94" w14:textId="77777777" w:rsidR="00643A32" w:rsidRPr="00DC556E" w:rsidRDefault="00643A32" w:rsidP="00643A32">
      <w:pPr>
        <w:spacing w:before="0" w:after="0"/>
        <w:ind w:firstLine="708"/>
        <w:rPr>
          <w:szCs w:val="24"/>
        </w:rPr>
      </w:pPr>
      <w:r w:rsidRPr="00DC556E">
        <w:rPr>
          <w:rFonts w:eastAsia="ＭＳ 明朝 (Основной текст темы (ази"/>
          <w:szCs w:val="24"/>
          <w:lang w:eastAsia="ru-RU"/>
        </w:rPr>
        <w:t>Трансфузии</w:t>
      </w:r>
      <w:r w:rsidRPr="00DC556E">
        <w:rPr>
          <w:szCs w:val="24"/>
        </w:rPr>
        <w:t xml:space="preserve"> криопреципитата выполняют при снижении концентрации фибриногена плазмы &lt;1,5 г/л из расчета 1 доза на 5 кг массы тела больного.</w:t>
      </w:r>
    </w:p>
    <w:p w14:paraId="0211B3F2" w14:textId="77777777" w:rsidR="00643A32" w:rsidRPr="00DC556E" w:rsidRDefault="00643A32" w:rsidP="00643A32">
      <w:pPr>
        <w:spacing w:before="0" w:after="0"/>
        <w:ind w:firstLine="708"/>
        <w:rPr>
          <w:rFonts w:eastAsia="ＭＳ 明朝 (Основной текст темы (ази"/>
          <w:szCs w:val="24"/>
          <w:lang w:eastAsia="ru-RU"/>
        </w:rPr>
      </w:pPr>
      <w:r w:rsidRPr="00DC556E">
        <w:rPr>
          <w:szCs w:val="24"/>
        </w:rPr>
        <w:t>Трансфузии свежезамороженной плазмы проводят для коррекции дефицита факторов свертывания в дозе 10-15 мл/кг для обеспечения концентрации факторов свёртывания на уровне 30%.</w:t>
      </w:r>
    </w:p>
    <w:p w14:paraId="40A97104" w14:textId="19094CB1" w:rsidR="00643A32" w:rsidRPr="00DC556E" w:rsidRDefault="00643A32" w:rsidP="00643A32">
      <w:pPr>
        <w:pStyle w:val="Default"/>
        <w:spacing w:line="360" w:lineRule="auto"/>
        <w:ind w:firstLine="709"/>
        <w:jc w:val="both"/>
        <w:rPr>
          <w:color w:val="auto"/>
        </w:rPr>
      </w:pPr>
      <w:r w:rsidRPr="00DC556E">
        <w:rPr>
          <w:color w:val="auto"/>
        </w:rPr>
        <w:t>Хотя безопасным уровнем для катетеризации мы считаем количество тромбоцитов крови более 20 х 10</w:t>
      </w:r>
      <w:r w:rsidRPr="00DC556E">
        <w:rPr>
          <w:color w:val="auto"/>
          <w:vertAlign w:val="superscript"/>
        </w:rPr>
        <w:t>9</w:t>
      </w:r>
      <w:r w:rsidRPr="00DC556E">
        <w:rPr>
          <w:color w:val="auto"/>
        </w:rPr>
        <w:t>/л, у ряда пациентов достичь этого порогового уровня не удается вследствие различных причин, например, рефрактерность к трансфузиям. В этих случаях катетеризация цент</w:t>
      </w:r>
      <w:r w:rsidR="00D9248B">
        <w:rPr>
          <w:color w:val="auto"/>
        </w:rPr>
        <w:t xml:space="preserve">ральной вены проводится только </w:t>
      </w:r>
      <w:r w:rsidRPr="00DC556E">
        <w:rPr>
          <w:color w:val="auto"/>
        </w:rPr>
        <w:t>под контролем ультразвука.</w:t>
      </w:r>
    </w:p>
    <w:p w14:paraId="3F617FFE" w14:textId="77777777" w:rsidR="00643A32" w:rsidRPr="00DC556E" w:rsidRDefault="00643A32" w:rsidP="00643A32">
      <w:pPr>
        <w:spacing w:before="0" w:after="0"/>
        <w:ind w:firstLine="708"/>
        <w:rPr>
          <w:b/>
          <w:bCs/>
          <w:szCs w:val="24"/>
        </w:rPr>
      </w:pPr>
      <w:r w:rsidRPr="00DC556E">
        <w:rPr>
          <w:b/>
          <w:bCs/>
          <w:szCs w:val="24"/>
        </w:rPr>
        <w:t>Методы профилактики поздних осложнений</w:t>
      </w:r>
    </w:p>
    <w:p w14:paraId="1A780F70" w14:textId="77777777" w:rsidR="00643A32" w:rsidRPr="00DC556E" w:rsidRDefault="00643A32" w:rsidP="00643A32">
      <w:pPr>
        <w:spacing w:before="0" w:after="0"/>
        <w:ind w:firstLine="708"/>
        <w:rPr>
          <w:szCs w:val="24"/>
        </w:rPr>
      </w:pPr>
      <w:r w:rsidRPr="00DC556E">
        <w:rPr>
          <w:szCs w:val="24"/>
        </w:rPr>
        <w:t xml:space="preserve">После окончания использования все катетеры должны быть промыты соответствующим объемом физиологического раствора (табл. 1), а затем закрыты с помощью раствора, создающего «катетерный замок» также в соответствии с объемом катетера. На короткий срок (1-2 сут.) может быть использован «гепариновый замок» (гепарин в физиологическом растворе в концентрации 100 Ед/мл), при закрытии катетера на длительный срок, а также при высоком риске инфицирования катетера предпочтительным является использование раствора Тауролока. </w:t>
      </w:r>
    </w:p>
    <w:p w14:paraId="0AF4FF34" w14:textId="77777777" w:rsidR="00643A32" w:rsidRPr="00DC556E" w:rsidRDefault="00643A32" w:rsidP="00643A32">
      <w:pPr>
        <w:spacing w:before="0" w:after="0"/>
        <w:ind w:firstLine="708"/>
        <w:rPr>
          <w:rFonts w:eastAsia="ＭＳ 明朝 (Основной текст темы (ази"/>
          <w:szCs w:val="24"/>
        </w:rPr>
      </w:pPr>
      <w:r w:rsidRPr="00DC556E">
        <w:rPr>
          <w:rFonts w:eastAsia="ＭＳ 明朝 (Основной текст темы (ази"/>
          <w:szCs w:val="24"/>
        </w:rPr>
        <w:t>В случае перерывов в лечении катетер необходимо промывать 1 раз в 24 часа для нетуннелируемых ЦВК, 1 раз в 7 (10) дней для ПИЦВК и туннелируемых катетеров, 1 раз в 30 дней для порт-систем.</w:t>
      </w:r>
    </w:p>
    <w:p w14:paraId="73EF1440" w14:textId="77777777" w:rsidR="00643A32" w:rsidRDefault="00643A32" w:rsidP="00643A32">
      <w:pPr>
        <w:spacing w:before="0" w:after="0"/>
        <w:ind w:firstLine="708"/>
        <w:rPr>
          <w:rFonts w:eastAsia="ＭＳ 明朝 (Основной текст темы (ази"/>
          <w:szCs w:val="24"/>
        </w:rPr>
      </w:pPr>
      <w:r w:rsidRPr="00DC556E">
        <w:rPr>
          <w:rFonts w:eastAsia="ＭＳ 明朝 (Основной текст темы (ази"/>
          <w:szCs w:val="24"/>
        </w:rPr>
        <w:t>Асептическая повязка накладывается на место выхода катетера на кожу. Частота замены повязки с обязательной обработкой места выхода катетера, в соответствии с общими принципами хирургической обработки, 2 раза в неделю при использовании нетуннелируемых катетеров, 1 раз в неделю для туннелируемых катетеров и ПИЦВК, и при необходимости. Предпочтительно использовать прозрачные повязки для возможности ежедневной оценки кожи в месте установки катетера на наличие воспалительных изменений.</w:t>
      </w:r>
    </w:p>
    <w:p w14:paraId="7BF2425B" w14:textId="77777777" w:rsidR="00D9248B" w:rsidRPr="00DC556E" w:rsidRDefault="00D9248B" w:rsidP="00643A32">
      <w:pPr>
        <w:spacing w:before="0" w:after="0"/>
        <w:ind w:firstLine="708"/>
        <w:rPr>
          <w:szCs w:val="24"/>
        </w:rPr>
      </w:pPr>
    </w:p>
    <w:p w14:paraId="35E8DB74" w14:textId="77777777" w:rsidR="00643A32" w:rsidRPr="00DC556E" w:rsidRDefault="00643A32" w:rsidP="00643A32">
      <w:pPr>
        <w:spacing w:before="0" w:after="0"/>
        <w:ind w:firstLine="708"/>
        <w:rPr>
          <w:szCs w:val="24"/>
        </w:rPr>
      </w:pPr>
      <w:r w:rsidRPr="00DC556E">
        <w:rPr>
          <w:szCs w:val="24"/>
        </w:rPr>
        <w:lastRenderedPageBreak/>
        <w:t>Таблица 1. Режимы промывания и закрытия катетеров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008"/>
        <w:gridCol w:w="6915"/>
      </w:tblGrid>
      <w:tr w:rsidR="00643A32" w:rsidRPr="00DC556E" w14:paraId="5F87749A" w14:textId="77777777" w:rsidTr="00643A32">
        <w:trPr>
          <w:cantSplit/>
          <w:trHeight w:val="2220"/>
        </w:trPr>
        <w:tc>
          <w:tcPr>
            <w:tcW w:w="534" w:type="dxa"/>
            <w:vMerge w:val="restart"/>
            <w:textDirection w:val="btLr"/>
          </w:tcPr>
          <w:p w14:paraId="4137C2E3" w14:textId="77777777" w:rsidR="00643A32" w:rsidRPr="00DC556E" w:rsidRDefault="00643A32" w:rsidP="00643A32">
            <w:pPr>
              <w:spacing w:before="0" w:after="0"/>
              <w:ind w:left="113" w:right="113"/>
              <w:rPr>
                <w:rFonts w:eastAsia="ＭＳ 明朝 (Основной текст темы (ази"/>
                <w:szCs w:val="24"/>
              </w:rPr>
            </w:pPr>
            <w:r w:rsidRPr="00DC556E">
              <w:rPr>
                <w:rFonts w:eastAsia="ＭＳ 明朝 (Основной текст темы (ази"/>
                <w:szCs w:val="24"/>
              </w:rPr>
              <w:t>Промывание катетера</w:t>
            </w:r>
          </w:p>
        </w:tc>
        <w:tc>
          <w:tcPr>
            <w:tcW w:w="2011" w:type="dxa"/>
            <w:shd w:val="clear" w:color="auto" w:fill="auto"/>
          </w:tcPr>
          <w:p w14:paraId="133C5ED3" w14:textId="77777777" w:rsidR="00643A32" w:rsidRPr="00DC556E" w:rsidRDefault="00643A32" w:rsidP="00643A32">
            <w:pPr>
              <w:spacing w:before="0" w:after="0"/>
              <w:rPr>
                <w:rFonts w:eastAsia="ＭＳ 明朝 (Основной текст темы (ази"/>
                <w:szCs w:val="24"/>
              </w:rPr>
            </w:pPr>
            <w:r w:rsidRPr="00DC556E">
              <w:rPr>
                <w:rFonts w:eastAsia="ＭＳ 明朝 (Основной текст темы (ази"/>
                <w:szCs w:val="24"/>
              </w:rPr>
              <w:t>Введение препаратов</w:t>
            </w:r>
          </w:p>
        </w:tc>
        <w:tc>
          <w:tcPr>
            <w:tcW w:w="7026" w:type="dxa"/>
            <w:shd w:val="clear" w:color="auto" w:fill="auto"/>
          </w:tcPr>
          <w:p w14:paraId="0E0E8EC3" w14:textId="77777777" w:rsidR="00643A32" w:rsidRPr="00DC556E" w:rsidRDefault="00643A32" w:rsidP="00643A32">
            <w:pPr>
              <w:spacing w:before="0" w:after="0"/>
              <w:rPr>
                <w:rFonts w:eastAsia="ＭＳ 明朝 (Основной текст темы (ази"/>
                <w:szCs w:val="24"/>
              </w:rPr>
            </w:pPr>
            <w:r w:rsidRPr="00DC556E">
              <w:rPr>
                <w:rFonts w:eastAsia="ＭＳ 明朝 (Основной текст темы (ази"/>
                <w:szCs w:val="24"/>
              </w:rPr>
              <w:t xml:space="preserve">Промывать катетеры необходимо до и после введения лекарственных препаратов и компонентов крови. Использовать болюсное (импульсный режим) промывание 10 мл физиологического раствора для всех внутривенных катетеров (за исключением периферических катетеров, где достаточно 5 мл). </w:t>
            </w:r>
          </w:p>
        </w:tc>
      </w:tr>
      <w:tr w:rsidR="00643A32" w:rsidRPr="00DC556E" w14:paraId="710A554C" w14:textId="77777777" w:rsidTr="00643A32">
        <w:trPr>
          <w:cantSplit/>
          <w:trHeight w:val="1920"/>
        </w:trPr>
        <w:tc>
          <w:tcPr>
            <w:tcW w:w="534" w:type="dxa"/>
            <w:vMerge/>
            <w:textDirection w:val="btLr"/>
          </w:tcPr>
          <w:p w14:paraId="6A9126C3" w14:textId="77777777" w:rsidR="00643A32" w:rsidRPr="00DC556E" w:rsidRDefault="00643A32" w:rsidP="00643A32">
            <w:pPr>
              <w:spacing w:before="0" w:after="0"/>
              <w:ind w:left="113" w:right="113"/>
              <w:rPr>
                <w:rFonts w:eastAsia="ＭＳ 明朝 (Основной текст темы (ази"/>
                <w:szCs w:val="24"/>
              </w:rPr>
            </w:pPr>
          </w:p>
        </w:tc>
        <w:tc>
          <w:tcPr>
            <w:tcW w:w="2011" w:type="dxa"/>
            <w:shd w:val="clear" w:color="auto" w:fill="auto"/>
          </w:tcPr>
          <w:p w14:paraId="5D88F97B" w14:textId="77777777" w:rsidR="00643A32" w:rsidRPr="00DC556E" w:rsidRDefault="00643A32" w:rsidP="00643A32">
            <w:pPr>
              <w:spacing w:before="0" w:after="0"/>
              <w:rPr>
                <w:rFonts w:eastAsia="ＭＳ 明朝 (Основной текст темы (ази"/>
                <w:szCs w:val="24"/>
              </w:rPr>
            </w:pPr>
            <w:r w:rsidRPr="00DC556E">
              <w:rPr>
                <w:rFonts w:eastAsia="ＭＳ 明朝 (Основной текст темы (ази"/>
                <w:szCs w:val="24"/>
              </w:rPr>
              <w:t>Парентеральное питание, компоненты крови</w:t>
            </w:r>
          </w:p>
        </w:tc>
        <w:tc>
          <w:tcPr>
            <w:tcW w:w="7026" w:type="dxa"/>
            <w:shd w:val="clear" w:color="auto" w:fill="auto"/>
          </w:tcPr>
          <w:p w14:paraId="6AD7BA13" w14:textId="5D8F2AF5" w:rsidR="00643A32" w:rsidRPr="00DC556E" w:rsidRDefault="00643A32" w:rsidP="00643A32">
            <w:pPr>
              <w:spacing w:before="0" w:after="0"/>
              <w:rPr>
                <w:rFonts w:eastAsia="ＭＳ 明朝 (Основной текст темы (ази"/>
                <w:szCs w:val="24"/>
              </w:rPr>
            </w:pPr>
            <w:r w:rsidRPr="00DC556E">
              <w:rPr>
                <w:rFonts w:eastAsia="ＭＳ 明朝 (Основной текст темы (ази"/>
                <w:szCs w:val="24"/>
              </w:rPr>
              <w:t>После введения в катетер компонентов крови или парентерально питания использовать 20 мл</w:t>
            </w:r>
            <w:r w:rsidR="0036326F">
              <w:rPr>
                <w:rFonts w:eastAsia="ＭＳ 明朝 (Основной текст темы (ази"/>
                <w:szCs w:val="24"/>
              </w:rPr>
              <w:t xml:space="preserve"> </w:t>
            </w:r>
            <w:r w:rsidRPr="00DC556E">
              <w:rPr>
                <w:rFonts w:eastAsia="ＭＳ 明朝 (Основной текст темы (ази"/>
                <w:szCs w:val="24"/>
              </w:rPr>
              <w:t>(10 мл х 2) для промывания катетера. Промывать необходимо чередуя импульсный режим и струйное болюсное введение.</w:t>
            </w:r>
          </w:p>
        </w:tc>
      </w:tr>
      <w:tr w:rsidR="00643A32" w:rsidRPr="00DC556E" w14:paraId="73F1B83F" w14:textId="77777777" w:rsidTr="00643A32">
        <w:trPr>
          <w:cantSplit/>
          <w:trHeight w:val="1134"/>
        </w:trPr>
        <w:tc>
          <w:tcPr>
            <w:tcW w:w="534" w:type="dxa"/>
            <w:vMerge w:val="restart"/>
            <w:textDirection w:val="btLr"/>
          </w:tcPr>
          <w:p w14:paraId="3477421E" w14:textId="77777777" w:rsidR="00643A32" w:rsidRPr="00DC556E" w:rsidRDefault="00643A32" w:rsidP="00643A32">
            <w:pPr>
              <w:spacing w:before="0" w:after="0"/>
              <w:ind w:left="113" w:right="113"/>
              <w:rPr>
                <w:rFonts w:eastAsia="ＭＳ 明朝 (Основной текст темы (ази"/>
                <w:szCs w:val="24"/>
              </w:rPr>
            </w:pPr>
            <w:r w:rsidRPr="00DC556E">
              <w:rPr>
                <w:rFonts w:eastAsia="ＭＳ 明朝 (Основной текст темы (ази"/>
                <w:szCs w:val="24"/>
              </w:rPr>
              <w:t>Закрытие катетера</w:t>
            </w:r>
          </w:p>
        </w:tc>
        <w:tc>
          <w:tcPr>
            <w:tcW w:w="2011" w:type="dxa"/>
            <w:shd w:val="clear" w:color="auto" w:fill="auto"/>
          </w:tcPr>
          <w:p w14:paraId="5E3035F7" w14:textId="77777777" w:rsidR="00643A32" w:rsidRPr="00DC556E" w:rsidRDefault="00643A32" w:rsidP="00643A32">
            <w:pPr>
              <w:spacing w:before="0" w:after="0"/>
              <w:rPr>
                <w:rFonts w:eastAsia="ＭＳ 明朝 (Основной текст темы (ази"/>
                <w:szCs w:val="24"/>
              </w:rPr>
            </w:pPr>
            <w:r w:rsidRPr="00DC556E">
              <w:rPr>
                <w:rFonts w:eastAsia="ＭＳ 明朝 (Основной текст темы (ази"/>
                <w:szCs w:val="24"/>
              </w:rPr>
              <w:t xml:space="preserve">Объем </w:t>
            </w:r>
          </w:p>
        </w:tc>
        <w:tc>
          <w:tcPr>
            <w:tcW w:w="7026" w:type="dxa"/>
            <w:shd w:val="clear" w:color="auto" w:fill="auto"/>
          </w:tcPr>
          <w:p w14:paraId="7A931FFD" w14:textId="77777777" w:rsidR="00643A32" w:rsidRPr="00DC556E" w:rsidRDefault="00643A32" w:rsidP="00643A32">
            <w:pPr>
              <w:spacing w:before="0" w:after="0"/>
              <w:rPr>
                <w:rFonts w:eastAsia="ＭＳ 明朝 (Основной текст темы (ази"/>
                <w:szCs w:val="24"/>
              </w:rPr>
            </w:pPr>
            <w:r w:rsidRPr="00DC556E">
              <w:rPr>
                <w:rFonts w:eastAsia="ＭＳ 明朝 (Основной текст темы (ази"/>
                <w:szCs w:val="24"/>
              </w:rPr>
              <w:t>1 мл для периферических катетеров</w:t>
            </w:r>
          </w:p>
          <w:p w14:paraId="793F3640" w14:textId="77777777" w:rsidR="00643A32" w:rsidRPr="00DC556E" w:rsidRDefault="00643A32" w:rsidP="00643A32">
            <w:pPr>
              <w:spacing w:before="0" w:after="0"/>
              <w:rPr>
                <w:rFonts w:eastAsia="ＭＳ 明朝 (Основной текст темы (ази"/>
                <w:szCs w:val="24"/>
              </w:rPr>
            </w:pPr>
            <w:r w:rsidRPr="00DC556E">
              <w:rPr>
                <w:rFonts w:eastAsia="ＭＳ 明朝 (Основной текст темы (ази"/>
                <w:szCs w:val="24"/>
              </w:rPr>
              <w:t xml:space="preserve">1,5 мл для катетеров типа </w:t>
            </w:r>
            <w:r w:rsidRPr="00DC556E">
              <w:rPr>
                <w:rFonts w:eastAsia="ＭＳ 明朝 (Основной текст темы (ази"/>
                <w:szCs w:val="24"/>
                <w:lang w:val="en-US"/>
              </w:rPr>
              <w:t>MidLine</w:t>
            </w:r>
            <w:r w:rsidRPr="00DC556E">
              <w:rPr>
                <w:rFonts w:eastAsia="ＭＳ 明朝 (Основной текст темы (ази"/>
                <w:szCs w:val="24"/>
              </w:rPr>
              <w:t>, ПИЦВК, нетуннелируемых ЦВК и туннелируемых ЦВК с небольшим (</w:t>
            </w:r>
            <w:r w:rsidRPr="00DC556E">
              <w:rPr>
                <w:rFonts w:eastAsia="MS Gothic"/>
                <w:szCs w:val="24"/>
              </w:rPr>
              <w:t>≤1 мм)</w:t>
            </w:r>
            <w:r w:rsidRPr="00DC556E">
              <w:rPr>
                <w:rFonts w:eastAsia="ＭＳ 明朝 (Основной текст темы (ази"/>
                <w:szCs w:val="24"/>
              </w:rPr>
              <w:t xml:space="preserve"> внутренним диаметром </w:t>
            </w:r>
          </w:p>
          <w:p w14:paraId="09113382" w14:textId="77777777" w:rsidR="00643A32" w:rsidRPr="00DC556E" w:rsidRDefault="00643A32" w:rsidP="00643A32">
            <w:pPr>
              <w:spacing w:before="0" w:after="0"/>
              <w:rPr>
                <w:rFonts w:eastAsia="ＭＳ 明朝 (Основной текст темы (ази"/>
                <w:szCs w:val="24"/>
              </w:rPr>
            </w:pPr>
            <w:r w:rsidRPr="00DC556E">
              <w:rPr>
                <w:rFonts w:eastAsia="ＭＳ 明朝 (Основной текст темы (ази"/>
                <w:szCs w:val="24"/>
              </w:rPr>
              <w:t>2,0-2,5 мл для туннелируемых ЦВК с большим (≥</w:t>
            </w:r>
            <w:r w:rsidRPr="00DC556E">
              <w:rPr>
                <w:rFonts w:eastAsia="MS Gothic"/>
                <w:szCs w:val="24"/>
              </w:rPr>
              <w:t>1 мм)</w:t>
            </w:r>
            <w:r w:rsidRPr="00DC556E">
              <w:rPr>
                <w:rFonts w:eastAsia="ＭＳ 明朝 (Основной текст темы (ази"/>
                <w:szCs w:val="24"/>
              </w:rPr>
              <w:t xml:space="preserve"> внутренним диаметром (в каждый ход), порт систем</w:t>
            </w:r>
          </w:p>
        </w:tc>
      </w:tr>
      <w:tr w:rsidR="00643A32" w:rsidRPr="00DC556E" w14:paraId="11558C14" w14:textId="77777777" w:rsidTr="00643A32">
        <w:trPr>
          <w:cantSplit/>
          <w:trHeight w:val="1134"/>
        </w:trPr>
        <w:tc>
          <w:tcPr>
            <w:tcW w:w="534" w:type="dxa"/>
            <w:vMerge/>
            <w:textDirection w:val="btLr"/>
          </w:tcPr>
          <w:p w14:paraId="1B3647AB" w14:textId="77777777" w:rsidR="00643A32" w:rsidRPr="00DC556E" w:rsidRDefault="00643A32" w:rsidP="00643A32">
            <w:pPr>
              <w:spacing w:before="0" w:after="0"/>
              <w:ind w:left="113" w:right="113"/>
              <w:rPr>
                <w:rFonts w:eastAsia="ＭＳ 明朝 (Основной текст темы (ази"/>
                <w:szCs w:val="24"/>
              </w:rPr>
            </w:pPr>
          </w:p>
        </w:tc>
        <w:tc>
          <w:tcPr>
            <w:tcW w:w="2011" w:type="dxa"/>
            <w:shd w:val="clear" w:color="auto" w:fill="auto"/>
          </w:tcPr>
          <w:p w14:paraId="0C682B7D" w14:textId="77777777" w:rsidR="00643A32" w:rsidRPr="00DC556E" w:rsidRDefault="00643A32" w:rsidP="00643A32">
            <w:pPr>
              <w:spacing w:before="0" w:after="0"/>
              <w:rPr>
                <w:rFonts w:eastAsia="ＭＳ 明朝 (Основной текст темы (ази"/>
                <w:szCs w:val="24"/>
              </w:rPr>
            </w:pPr>
            <w:r w:rsidRPr="00DC556E">
              <w:rPr>
                <w:rFonts w:eastAsia="ＭＳ 明朝 (Основной текст темы (ази"/>
                <w:szCs w:val="24"/>
              </w:rPr>
              <w:t>Режимы</w:t>
            </w:r>
          </w:p>
        </w:tc>
        <w:tc>
          <w:tcPr>
            <w:tcW w:w="7026" w:type="dxa"/>
            <w:shd w:val="clear" w:color="auto" w:fill="auto"/>
          </w:tcPr>
          <w:p w14:paraId="13590F03" w14:textId="77777777" w:rsidR="00643A32" w:rsidRPr="00DC556E" w:rsidRDefault="00643A32" w:rsidP="00643A32">
            <w:pPr>
              <w:spacing w:before="0" w:after="0"/>
              <w:rPr>
                <w:rFonts w:eastAsia="ＭＳ 明朝 (Основной текст темы (ази"/>
                <w:szCs w:val="24"/>
              </w:rPr>
            </w:pPr>
            <w:r w:rsidRPr="00DC556E">
              <w:rPr>
                <w:rFonts w:eastAsia="ＭＳ 明朝 (Основной текст темы (ази"/>
                <w:szCs w:val="24"/>
              </w:rPr>
              <w:t>Каждые 8-24 ч для кратковременных ЦВК</w:t>
            </w:r>
          </w:p>
          <w:p w14:paraId="5AA1AD32" w14:textId="77777777" w:rsidR="00643A32" w:rsidRPr="00DC556E" w:rsidRDefault="00643A32" w:rsidP="00643A32">
            <w:pPr>
              <w:spacing w:before="0" w:after="0"/>
              <w:rPr>
                <w:rFonts w:eastAsia="ＭＳ 明朝 (Основной текст темы (ази"/>
                <w:szCs w:val="24"/>
              </w:rPr>
            </w:pPr>
            <w:r w:rsidRPr="00DC556E">
              <w:rPr>
                <w:rFonts w:eastAsia="ＭＳ 明朝 (Основной текст темы (ази"/>
                <w:szCs w:val="24"/>
              </w:rPr>
              <w:t>Еженедельно – для туннелируемых ЦВК и ПИЦВК</w:t>
            </w:r>
          </w:p>
          <w:p w14:paraId="077E3F78" w14:textId="77777777" w:rsidR="00643A32" w:rsidRPr="00DC556E" w:rsidRDefault="00643A32" w:rsidP="00643A32">
            <w:pPr>
              <w:spacing w:before="0" w:after="0"/>
              <w:rPr>
                <w:rFonts w:eastAsia="ＭＳ 明朝 (Основной текст темы (ази"/>
                <w:szCs w:val="24"/>
              </w:rPr>
            </w:pPr>
            <w:r w:rsidRPr="00DC556E">
              <w:rPr>
                <w:rFonts w:eastAsia="ＭＳ 明朝 (Основной текст темы (ази"/>
                <w:szCs w:val="24"/>
              </w:rPr>
              <w:t>Каждые 6-8 недель для порт-систем</w:t>
            </w:r>
          </w:p>
        </w:tc>
      </w:tr>
    </w:tbl>
    <w:p w14:paraId="19EB988F" w14:textId="77777777" w:rsidR="00643A32" w:rsidRPr="00DC556E" w:rsidRDefault="00643A32" w:rsidP="00643A32">
      <w:pPr>
        <w:spacing w:before="0" w:after="0"/>
        <w:rPr>
          <w:b/>
          <w:bCs/>
          <w:szCs w:val="24"/>
        </w:rPr>
      </w:pPr>
    </w:p>
    <w:p w14:paraId="7E486FC0" w14:textId="77777777" w:rsidR="00643A32" w:rsidRPr="00DC556E" w:rsidRDefault="00643A32" w:rsidP="00643A32">
      <w:pPr>
        <w:spacing w:before="0" w:after="0"/>
        <w:rPr>
          <w:b/>
          <w:szCs w:val="24"/>
        </w:rPr>
      </w:pPr>
      <w:r w:rsidRPr="00DC556E">
        <w:rPr>
          <w:b/>
          <w:szCs w:val="24"/>
        </w:rPr>
        <w:t>Лекарственные препараты, применяемые при обеспечении сосудистого доступа:</w:t>
      </w:r>
    </w:p>
    <w:p w14:paraId="3BF415BB" w14:textId="77777777" w:rsidR="00643A32" w:rsidRPr="00DC556E" w:rsidRDefault="00643A32" w:rsidP="00CE6C1C">
      <w:pPr>
        <w:pStyle w:val="a6"/>
        <w:numPr>
          <w:ilvl w:val="0"/>
          <w:numId w:val="101"/>
        </w:numPr>
        <w:spacing w:before="0" w:after="0"/>
        <w:rPr>
          <w:szCs w:val="24"/>
        </w:rPr>
      </w:pPr>
      <w:r w:rsidRPr="00DC556E">
        <w:rPr>
          <w:szCs w:val="24"/>
        </w:rPr>
        <w:t xml:space="preserve">Раствор Новокаина 0,5% </w:t>
      </w:r>
    </w:p>
    <w:p w14:paraId="1DF27FE0" w14:textId="77777777" w:rsidR="00643A32" w:rsidRPr="00DC556E" w:rsidRDefault="00643A32" w:rsidP="00CE6C1C">
      <w:pPr>
        <w:pStyle w:val="a6"/>
        <w:numPr>
          <w:ilvl w:val="0"/>
          <w:numId w:val="101"/>
        </w:numPr>
        <w:spacing w:before="0" w:after="0"/>
        <w:rPr>
          <w:szCs w:val="24"/>
        </w:rPr>
      </w:pPr>
      <w:r w:rsidRPr="00DC556E">
        <w:rPr>
          <w:szCs w:val="24"/>
        </w:rPr>
        <w:t xml:space="preserve">Раствор Лидокаина 2%  </w:t>
      </w:r>
    </w:p>
    <w:p w14:paraId="7B207F26" w14:textId="77777777" w:rsidR="00643A32" w:rsidRPr="00DC556E" w:rsidRDefault="00643A32" w:rsidP="00CE6C1C">
      <w:pPr>
        <w:pStyle w:val="a6"/>
        <w:numPr>
          <w:ilvl w:val="0"/>
          <w:numId w:val="101"/>
        </w:numPr>
        <w:spacing w:before="0" w:after="0"/>
        <w:rPr>
          <w:szCs w:val="24"/>
        </w:rPr>
      </w:pPr>
      <w:r w:rsidRPr="00DC556E">
        <w:rPr>
          <w:szCs w:val="24"/>
        </w:rPr>
        <w:t xml:space="preserve">Раствор Лидокаина 10% </w:t>
      </w:r>
    </w:p>
    <w:p w14:paraId="28BADFA6" w14:textId="77777777" w:rsidR="00643A32" w:rsidRPr="00DC556E" w:rsidRDefault="00643A32" w:rsidP="00CE6C1C">
      <w:pPr>
        <w:pStyle w:val="a6"/>
        <w:numPr>
          <w:ilvl w:val="0"/>
          <w:numId w:val="101"/>
        </w:numPr>
        <w:spacing w:before="0" w:after="0"/>
        <w:rPr>
          <w:szCs w:val="24"/>
        </w:rPr>
      </w:pPr>
      <w:r w:rsidRPr="00DC556E">
        <w:rPr>
          <w:szCs w:val="24"/>
        </w:rPr>
        <w:t xml:space="preserve">Раствор Амиодарона 150 мг </w:t>
      </w:r>
    </w:p>
    <w:p w14:paraId="2422AD1C" w14:textId="77777777" w:rsidR="00643A32" w:rsidRPr="00DC556E" w:rsidRDefault="00643A32" w:rsidP="00CE6C1C">
      <w:pPr>
        <w:pStyle w:val="a6"/>
        <w:numPr>
          <w:ilvl w:val="0"/>
          <w:numId w:val="101"/>
        </w:numPr>
        <w:spacing w:before="0" w:after="0"/>
        <w:rPr>
          <w:szCs w:val="24"/>
        </w:rPr>
      </w:pPr>
      <w:r w:rsidRPr="00DC556E">
        <w:rPr>
          <w:szCs w:val="24"/>
        </w:rPr>
        <w:t xml:space="preserve">Раствор Новокаинамида 10% </w:t>
      </w:r>
    </w:p>
    <w:p w14:paraId="6157E1CA" w14:textId="77777777" w:rsidR="00643A32" w:rsidRPr="00DC556E" w:rsidRDefault="00643A32" w:rsidP="00CE6C1C">
      <w:pPr>
        <w:pStyle w:val="a6"/>
        <w:numPr>
          <w:ilvl w:val="0"/>
          <w:numId w:val="101"/>
        </w:numPr>
        <w:spacing w:before="0" w:after="0"/>
        <w:rPr>
          <w:szCs w:val="24"/>
        </w:rPr>
      </w:pPr>
      <w:r w:rsidRPr="00DC556E">
        <w:rPr>
          <w:szCs w:val="24"/>
        </w:rPr>
        <w:t>Раствор Аденозинтрифосфата</w:t>
      </w:r>
    </w:p>
    <w:p w14:paraId="037DDB54" w14:textId="77777777" w:rsidR="00643A32" w:rsidRPr="00DC556E" w:rsidRDefault="00643A32" w:rsidP="00CE6C1C">
      <w:pPr>
        <w:pStyle w:val="a6"/>
        <w:numPr>
          <w:ilvl w:val="0"/>
          <w:numId w:val="101"/>
        </w:numPr>
        <w:spacing w:before="0" w:after="0"/>
        <w:rPr>
          <w:szCs w:val="24"/>
        </w:rPr>
      </w:pPr>
      <w:r w:rsidRPr="00DC556E">
        <w:rPr>
          <w:szCs w:val="24"/>
        </w:rPr>
        <w:t xml:space="preserve">Раствор Верапамила 2%  </w:t>
      </w:r>
    </w:p>
    <w:p w14:paraId="0E53C9EF" w14:textId="77777777" w:rsidR="00643A32" w:rsidRPr="00DC556E" w:rsidRDefault="00643A32" w:rsidP="00CE6C1C">
      <w:pPr>
        <w:pStyle w:val="a6"/>
        <w:numPr>
          <w:ilvl w:val="0"/>
          <w:numId w:val="101"/>
        </w:numPr>
        <w:spacing w:before="0" w:after="0"/>
        <w:rPr>
          <w:szCs w:val="24"/>
        </w:rPr>
      </w:pPr>
      <w:r w:rsidRPr="00DC556E">
        <w:rPr>
          <w:szCs w:val="24"/>
        </w:rPr>
        <w:t>Гепарин  25000 мл</w:t>
      </w:r>
    </w:p>
    <w:p w14:paraId="3F7693F1" w14:textId="77777777" w:rsidR="00643A32" w:rsidRPr="00DC556E" w:rsidRDefault="00643A32" w:rsidP="00CE6C1C">
      <w:pPr>
        <w:pStyle w:val="a6"/>
        <w:numPr>
          <w:ilvl w:val="0"/>
          <w:numId w:val="101"/>
        </w:numPr>
        <w:spacing w:before="0" w:after="0"/>
        <w:rPr>
          <w:szCs w:val="24"/>
        </w:rPr>
      </w:pPr>
      <w:r w:rsidRPr="00DC556E">
        <w:rPr>
          <w:szCs w:val="24"/>
        </w:rPr>
        <w:t xml:space="preserve">Фентанил 0,005% </w:t>
      </w:r>
    </w:p>
    <w:p w14:paraId="43164E48" w14:textId="77777777" w:rsidR="00643A32" w:rsidRPr="00DC556E" w:rsidRDefault="00643A32" w:rsidP="00CE6C1C">
      <w:pPr>
        <w:pStyle w:val="a6"/>
        <w:numPr>
          <w:ilvl w:val="0"/>
          <w:numId w:val="101"/>
        </w:numPr>
        <w:spacing w:before="0" w:after="0"/>
        <w:rPr>
          <w:szCs w:val="24"/>
        </w:rPr>
      </w:pPr>
      <w:r w:rsidRPr="00DC556E">
        <w:rPr>
          <w:szCs w:val="24"/>
        </w:rPr>
        <w:t xml:space="preserve">Кетамин 5%  </w:t>
      </w:r>
    </w:p>
    <w:p w14:paraId="49C5EFCE" w14:textId="77777777" w:rsidR="00643A32" w:rsidRPr="00DC556E" w:rsidRDefault="00643A32" w:rsidP="00CE6C1C">
      <w:pPr>
        <w:pStyle w:val="a6"/>
        <w:numPr>
          <w:ilvl w:val="0"/>
          <w:numId w:val="101"/>
        </w:numPr>
        <w:spacing w:before="0" w:after="0"/>
        <w:rPr>
          <w:szCs w:val="24"/>
        </w:rPr>
      </w:pPr>
      <w:r w:rsidRPr="00DC556E">
        <w:rPr>
          <w:szCs w:val="24"/>
        </w:rPr>
        <w:t xml:space="preserve">Пропофол  </w:t>
      </w:r>
    </w:p>
    <w:p w14:paraId="498D8EE6" w14:textId="77777777" w:rsidR="00643A32" w:rsidRPr="00DC556E" w:rsidRDefault="00643A32" w:rsidP="00CE6C1C">
      <w:pPr>
        <w:pStyle w:val="a6"/>
        <w:numPr>
          <w:ilvl w:val="0"/>
          <w:numId w:val="101"/>
        </w:numPr>
        <w:spacing w:before="0" w:after="0"/>
        <w:rPr>
          <w:szCs w:val="24"/>
        </w:rPr>
      </w:pPr>
      <w:r w:rsidRPr="00DC556E">
        <w:rPr>
          <w:szCs w:val="24"/>
        </w:rPr>
        <w:t xml:space="preserve">Стерофундин ИЗО  </w:t>
      </w:r>
    </w:p>
    <w:p w14:paraId="56AFD7F5" w14:textId="77777777" w:rsidR="00643A32" w:rsidRPr="00DC556E" w:rsidRDefault="00643A32" w:rsidP="00CE6C1C">
      <w:pPr>
        <w:pStyle w:val="a6"/>
        <w:numPr>
          <w:ilvl w:val="0"/>
          <w:numId w:val="101"/>
        </w:numPr>
        <w:spacing w:before="0" w:after="0"/>
        <w:rPr>
          <w:szCs w:val="24"/>
        </w:rPr>
      </w:pPr>
      <w:r w:rsidRPr="00DC556E">
        <w:rPr>
          <w:szCs w:val="24"/>
        </w:rPr>
        <w:lastRenderedPageBreak/>
        <w:t>Калия магния аспарагинат</w:t>
      </w:r>
    </w:p>
    <w:p w14:paraId="32FCBA01" w14:textId="77777777" w:rsidR="00643A32" w:rsidRPr="00DC556E" w:rsidRDefault="00643A32" w:rsidP="00CE6C1C">
      <w:pPr>
        <w:pStyle w:val="a6"/>
        <w:numPr>
          <w:ilvl w:val="0"/>
          <w:numId w:val="101"/>
        </w:numPr>
        <w:spacing w:before="0" w:after="0"/>
        <w:rPr>
          <w:szCs w:val="24"/>
        </w:rPr>
      </w:pPr>
      <w:r w:rsidRPr="00DC556E">
        <w:rPr>
          <w:szCs w:val="24"/>
        </w:rPr>
        <w:t xml:space="preserve">Раствор Натрия хлорида 0,9%  </w:t>
      </w:r>
    </w:p>
    <w:p w14:paraId="247896B3" w14:textId="77777777" w:rsidR="00643A32" w:rsidRPr="00DC556E" w:rsidRDefault="00643A32" w:rsidP="00CE6C1C">
      <w:pPr>
        <w:pStyle w:val="a6"/>
        <w:numPr>
          <w:ilvl w:val="0"/>
          <w:numId w:val="101"/>
        </w:numPr>
        <w:spacing w:before="0" w:after="0"/>
        <w:rPr>
          <w:szCs w:val="24"/>
        </w:rPr>
      </w:pPr>
      <w:r w:rsidRPr="00DC556E">
        <w:rPr>
          <w:szCs w:val="24"/>
        </w:rPr>
        <w:t xml:space="preserve">Раствор Новокаина 0,5%  </w:t>
      </w:r>
    </w:p>
    <w:p w14:paraId="413A1ECE" w14:textId="77777777" w:rsidR="00643A32" w:rsidRPr="00DC556E" w:rsidRDefault="00643A32" w:rsidP="00CE6C1C">
      <w:pPr>
        <w:pStyle w:val="a6"/>
        <w:numPr>
          <w:ilvl w:val="0"/>
          <w:numId w:val="101"/>
        </w:numPr>
        <w:spacing w:before="0" w:after="0"/>
        <w:rPr>
          <w:szCs w:val="24"/>
        </w:rPr>
      </w:pPr>
      <w:r w:rsidRPr="00DC556E">
        <w:rPr>
          <w:szCs w:val="24"/>
        </w:rPr>
        <w:t>Раствор Хлоргексидина 0,5%</w:t>
      </w:r>
    </w:p>
    <w:p w14:paraId="6DBC8D24" w14:textId="77777777" w:rsidR="00643A32" w:rsidRPr="00DC556E" w:rsidRDefault="00643A32" w:rsidP="00CE6C1C">
      <w:pPr>
        <w:pStyle w:val="a6"/>
        <w:numPr>
          <w:ilvl w:val="0"/>
          <w:numId w:val="101"/>
        </w:numPr>
        <w:spacing w:before="0" w:after="0"/>
        <w:rPr>
          <w:szCs w:val="24"/>
        </w:rPr>
      </w:pPr>
      <w:r w:rsidRPr="00DC556E">
        <w:rPr>
          <w:szCs w:val="24"/>
        </w:rPr>
        <w:t>Раствор Бетадин 10%</w:t>
      </w:r>
    </w:p>
    <w:p w14:paraId="757F82C7" w14:textId="77777777" w:rsidR="00643A32" w:rsidRPr="00DC556E" w:rsidRDefault="00643A32" w:rsidP="00CE6C1C">
      <w:pPr>
        <w:pStyle w:val="a6"/>
        <w:numPr>
          <w:ilvl w:val="0"/>
          <w:numId w:val="101"/>
        </w:numPr>
        <w:spacing w:before="0" w:after="0"/>
        <w:rPr>
          <w:szCs w:val="24"/>
        </w:rPr>
      </w:pPr>
      <w:r w:rsidRPr="00DC556E">
        <w:rPr>
          <w:szCs w:val="24"/>
        </w:rPr>
        <w:t xml:space="preserve">Раствор Тауролок </w:t>
      </w:r>
    </w:p>
    <w:p w14:paraId="37C9114B" w14:textId="77777777" w:rsidR="00643A32" w:rsidRPr="00DC556E" w:rsidRDefault="00643A32" w:rsidP="00CE6C1C">
      <w:pPr>
        <w:pStyle w:val="a6"/>
        <w:numPr>
          <w:ilvl w:val="0"/>
          <w:numId w:val="101"/>
        </w:numPr>
        <w:spacing w:before="0" w:after="0"/>
        <w:rPr>
          <w:szCs w:val="24"/>
        </w:rPr>
      </w:pPr>
      <w:r w:rsidRPr="00DC556E">
        <w:rPr>
          <w:szCs w:val="24"/>
        </w:rPr>
        <w:t xml:space="preserve">Раствор Тауролок НЕР 500 </w:t>
      </w:r>
    </w:p>
    <w:p w14:paraId="37A92D9C" w14:textId="77777777" w:rsidR="00643A32" w:rsidRPr="00DC556E" w:rsidRDefault="00643A32" w:rsidP="00CE6C1C">
      <w:pPr>
        <w:pStyle w:val="a6"/>
        <w:numPr>
          <w:ilvl w:val="0"/>
          <w:numId w:val="101"/>
        </w:numPr>
        <w:spacing w:before="0" w:after="0"/>
        <w:rPr>
          <w:szCs w:val="24"/>
        </w:rPr>
      </w:pPr>
      <w:r w:rsidRPr="00DC556E">
        <w:rPr>
          <w:szCs w:val="24"/>
        </w:rPr>
        <w:t xml:space="preserve">Раствор Тауролок НЕР 100  </w:t>
      </w:r>
    </w:p>
    <w:p w14:paraId="70477876" w14:textId="77777777" w:rsidR="00643A32" w:rsidRPr="00DC556E" w:rsidRDefault="00643A32" w:rsidP="00643A32">
      <w:pPr>
        <w:spacing w:before="0" w:after="0"/>
        <w:rPr>
          <w:b/>
          <w:bCs/>
          <w:szCs w:val="24"/>
        </w:rPr>
      </w:pPr>
      <w:r w:rsidRPr="00DC556E">
        <w:rPr>
          <w:b/>
          <w:bCs/>
          <w:szCs w:val="24"/>
        </w:rPr>
        <w:t>АЛГОРИТМ ДЕЙСТВИЙ ВРАЧА</w:t>
      </w:r>
    </w:p>
    <w:p w14:paraId="00E528F4" w14:textId="391339D3" w:rsidR="00643A32" w:rsidRPr="00D9248B" w:rsidRDefault="00643A32" w:rsidP="00D9248B">
      <w:pPr>
        <w:pStyle w:val="a6"/>
        <w:numPr>
          <w:ilvl w:val="3"/>
          <w:numId w:val="161"/>
        </w:numPr>
        <w:spacing w:before="0" w:after="0"/>
        <w:ind w:left="0" w:firstLine="0"/>
        <w:rPr>
          <w:szCs w:val="24"/>
        </w:rPr>
      </w:pPr>
      <w:r w:rsidRPr="00D9248B">
        <w:rPr>
          <w:szCs w:val="24"/>
        </w:rPr>
        <w:t>Манипуляция проводится только при наличии информированного согласия на проведение катетеризации.</w:t>
      </w:r>
    </w:p>
    <w:p w14:paraId="7260C346" w14:textId="2CCF37C8" w:rsidR="00643A32" w:rsidRPr="00D9248B" w:rsidRDefault="00643A32" w:rsidP="00D9248B">
      <w:pPr>
        <w:pStyle w:val="a6"/>
        <w:numPr>
          <w:ilvl w:val="3"/>
          <w:numId w:val="161"/>
        </w:numPr>
        <w:spacing w:before="0" w:after="0"/>
        <w:ind w:left="0" w:firstLine="0"/>
        <w:rPr>
          <w:szCs w:val="24"/>
        </w:rPr>
      </w:pPr>
      <w:r w:rsidRPr="00D9248B">
        <w:rPr>
          <w:szCs w:val="24"/>
        </w:rPr>
        <w:t>Физикальный осмотр</w:t>
      </w:r>
    </w:p>
    <w:p w14:paraId="16F1DE06" w14:textId="77777777" w:rsidR="00D9248B" w:rsidRDefault="00643A32" w:rsidP="00D9248B">
      <w:pPr>
        <w:pStyle w:val="a6"/>
        <w:numPr>
          <w:ilvl w:val="3"/>
          <w:numId w:val="161"/>
        </w:numPr>
        <w:spacing w:before="0" w:after="0"/>
        <w:ind w:left="0" w:firstLine="0"/>
        <w:rPr>
          <w:szCs w:val="24"/>
        </w:rPr>
      </w:pPr>
      <w:r w:rsidRPr="00D9248B">
        <w:rPr>
          <w:szCs w:val="24"/>
        </w:rPr>
        <w:t xml:space="preserve">Выбор типа ЦВК после физикального осмотра, сбора анамнеза, ознакомления с результатами лабораторных и инструментальных методов исследования. </w:t>
      </w:r>
    </w:p>
    <w:p w14:paraId="11C64959" w14:textId="77777777" w:rsidR="00D9248B" w:rsidRDefault="00643A32" w:rsidP="00D9248B">
      <w:pPr>
        <w:pStyle w:val="a6"/>
        <w:numPr>
          <w:ilvl w:val="3"/>
          <w:numId w:val="161"/>
        </w:numPr>
        <w:spacing w:before="0" w:after="0"/>
        <w:ind w:left="0" w:firstLine="0"/>
        <w:rPr>
          <w:szCs w:val="24"/>
        </w:rPr>
      </w:pPr>
      <w:r w:rsidRPr="00D9248B">
        <w:rPr>
          <w:szCs w:val="24"/>
        </w:rPr>
        <w:t>Дуплексное сканирование вен в месте планируемой установки ЦВК (определяется диаметр вены, наличие сдавления вен в месте пункции и по ходу установленного ЦВК, тромба в просвете вен, наличие клапанного аппарата и его состоятельность. Устанавливать ЦВК в вену, диаметр которой не превышает 50% диаметра катетера и/или выявлен тромбоз недопустимо).</w:t>
      </w:r>
    </w:p>
    <w:p w14:paraId="3EAF604B" w14:textId="77777777" w:rsidR="00D9248B" w:rsidRDefault="00643A32" w:rsidP="00D9248B">
      <w:pPr>
        <w:pStyle w:val="a6"/>
        <w:numPr>
          <w:ilvl w:val="3"/>
          <w:numId w:val="161"/>
        </w:numPr>
        <w:spacing w:before="0" w:after="0"/>
        <w:ind w:left="0" w:firstLine="0"/>
        <w:rPr>
          <w:szCs w:val="24"/>
        </w:rPr>
      </w:pPr>
      <w:r w:rsidRPr="00D9248B">
        <w:rPr>
          <w:szCs w:val="24"/>
        </w:rPr>
        <w:t>Имплантация ЦВК с обязательным позиционированием дистального конца у кава-атриального соединения в случае катетеризации ВПВ и кава-атриального соединения или ниже устья почечных вен при катетеризации НПВ.</w:t>
      </w:r>
    </w:p>
    <w:p w14:paraId="56B37C36" w14:textId="77777777" w:rsidR="00D9248B" w:rsidRDefault="00643A32" w:rsidP="00D9248B">
      <w:pPr>
        <w:pStyle w:val="a6"/>
        <w:numPr>
          <w:ilvl w:val="3"/>
          <w:numId w:val="161"/>
        </w:numPr>
        <w:spacing w:before="0" w:after="0"/>
        <w:ind w:left="0" w:firstLine="0"/>
        <w:rPr>
          <w:szCs w:val="24"/>
        </w:rPr>
      </w:pPr>
      <w:r w:rsidRPr="00D9248B">
        <w:rPr>
          <w:szCs w:val="24"/>
        </w:rPr>
        <w:t>Закрепление катетера на коже больного у места выхода с использованием шовных материалов или устройств бесшовной фиксации.</w:t>
      </w:r>
    </w:p>
    <w:p w14:paraId="36C96BA1" w14:textId="77777777" w:rsidR="00D9248B" w:rsidRDefault="00643A32" w:rsidP="00D9248B">
      <w:pPr>
        <w:pStyle w:val="a6"/>
        <w:numPr>
          <w:ilvl w:val="3"/>
          <w:numId w:val="161"/>
        </w:numPr>
        <w:spacing w:before="0" w:after="0"/>
        <w:ind w:left="0" w:firstLine="0"/>
        <w:rPr>
          <w:szCs w:val="24"/>
        </w:rPr>
      </w:pPr>
      <w:r w:rsidRPr="00D9248B">
        <w:rPr>
          <w:szCs w:val="24"/>
        </w:rPr>
        <w:t>Наложение асептической повязки.</w:t>
      </w:r>
    </w:p>
    <w:p w14:paraId="31E653C7" w14:textId="6832C58B" w:rsidR="00643A32" w:rsidRPr="00D9248B" w:rsidRDefault="00643A32" w:rsidP="00D9248B">
      <w:pPr>
        <w:pStyle w:val="a6"/>
        <w:numPr>
          <w:ilvl w:val="3"/>
          <w:numId w:val="161"/>
        </w:numPr>
        <w:spacing w:before="0" w:after="0"/>
        <w:ind w:left="0" w:firstLine="0"/>
        <w:rPr>
          <w:szCs w:val="24"/>
        </w:rPr>
      </w:pPr>
      <w:r w:rsidRPr="00D9248B">
        <w:rPr>
          <w:szCs w:val="24"/>
        </w:rPr>
        <w:t>Заполнение протокола катетеризации с обязательным указанием ранних осложнений, количества попыток катетеризации, типа установленного ЦВК.</w:t>
      </w:r>
    </w:p>
    <w:p w14:paraId="6C28B888" w14:textId="77777777" w:rsidR="00643A32" w:rsidRPr="00DC556E" w:rsidRDefault="00643A32" w:rsidP="00643A32">
      <w:pPr>
        <w:spacing w:before="0" w:after="0"/>
        <w:ind w:firstLine="708"/>
        <w:rPr>
          <w:b/>
          <w:szCs w:val="24"/>
        </w:rPr>
      </w:pPr>
      <w:r w:rsidRPr="00DC556E">
        <w:rPr>
          <w:b/>
          <w:spacing w:val="2"/>
          <w:szCs w:val="24"/>
          <w:shd w:val="clear" w:color="auto" w:fill="FFFFFF"/>
        </w:rPr>
        <w:t>Дополнительные сведения об особенностях выполнения обработки катетера (смена повязки):</w:t>
      </w:r>
    </w:p>
    <w:p w14:paraId="713C1EEE" w14:textId="77777777" w:rsidR="00643A32" w:rsidRPr="00DC556E" w:rsidRDefault="00643A32" w:rsidP="00D9248B">
      <w:pPr>
        <w:pStyle w:val="a6"/>
        <w:numPr>
          <w:ilvl w:val="0"/>
          <w:numId w:val="102"/>
        </w:numPr>
        <w:spacing w:before="0" w:after="0"/>
        <w:ind w:left="0" w:firstLine="0"/>
        <w:rPr>
          <w:b/>
          <w:szCs w:val="24"/>
        </w:rPr>
      </w:pPr>
      <w:r w:rsidRPr="00DC556E">
        <w:rPr>
          <w:spacing w:val="2"/>
          <w:szCs w:val="24"/>
          <w:shd w:val="clear" w:color="auto" w:fill="FFFFFF"/>
        </w:rPr>
        <w:t xml:space="preserve">При проведении процедуры обработки (перевязки) с ЦВК пациент может сидеть или лежать на спине, рука, на стороне которой в вене находится катетер, расположена вдоль туловища. При применении дополнительных зажимов не катетере снятие заглушки не связано с фазой дыхания. При проведении процедуры с катетером, </w:t>
      </w:r>
      <w:r w:rsidRPr="00DC556E">
        <w:rPr>
          <w:spacing w:val="2"/>
          <w:szCs w:val="24"/>
          <w:shd w:val="clear" w:color="auto" w:fill="FFFFFF"/>
        </w:rPr>
        <w:lastRenderedPageBreak/>
        <w:t>находящимся в бедренной вене, ножной конец кровати опущен на 25°. Снятие заглушки не связано с фазой дыхания.</w:t>
      </w:r>
    </w:p>
    <w:p w14:paraId="2A7B9576" w14:textId="77777777" w:rsidR="00643A32" w:rsidRPr="00DC556E" w:rsidRDefault="00643A32" w:rsidP="00D9248B">
      <w:pPr>
        <w:pStyle w:val="a6"/>
        <w:numPr>
          <w:ilvl w:val="0"/>
          <w:numId w:val="102"/>
        </w:numPr>
        <w:spacing w:before="0" w:after="0"/>
        <w:ind w:left="0" w:firstLine="0"/>
        <w:rPr>
          <w:szCs w:val="24"/>
        </w:rPr>
      </w:pPr>
      <w:r w:rsidRPr="00DC556E">
        <w:rPr>
          <w:spacing w:val="2"/>
          <w:szCs w:val="24"/>
          <w:shd w:val="clear" w:color="auto" w:fill="FFFFFF"/>
        </w:rPr>
        <w:t>При смене повязки у пациентов с чувствительной кожей рекомендуется нанести стерильное барьерное средство для защиты кожи вокруг места установки сосудистого катетера и дождаться полного его высыхания.</w:t>
      </w:r>
    </w:p>
    <w:p w14:paraId="6221933A" w14:textId="77777777" w:rsidR="00643A32" w:rsidRPr="00DC556E" w:rsidRDefault="00643A32" w:rsidP="00D9248B">
      <w:pPr>
        <w:pStyle w:val="a6"/>
        <w:numPr>
          <w:ilvl w:val="0"/>
          <w:numId w:val="102"/>
        </w:numPr>
        <w:spacing w:before="0" w:after="0"/>
        <w:ind w:left="0" w:firstLine="0"/>
        <w:rPr>
          <w:szCs w:val="24"/>
        </w:rPr>
      </w:pPr>
      <w:r w:rsidRPr="00DC556E">
        <w:rPr>
          <w:spacing w:val="2"/>
          <w:szCs w:val="24"/>
          <w:shd w:val="clear" w:color="auto" w:fill="FFFFFF"/>
        </w:rPr>
        <w:t>Выбор повязки необходимо осуществлять с учетом индивидуальных особенностей пациента. Если существуют предрасполагающие к развитию инфекции факторы (длительность стояния ЦВК свыше трех суток; сниженный иммунный статус (онкологические пациенты и т.д.); повышенный риск колонизации катетера), то рекомендуется выбирать прозрачную полиуретановую повязку, содержащую гелевую подушечку с хлоргексидином. Для прочих случаев оптимальным выбором является стерильная прозрачная  повязка.</w:t>
      </w:r>
    </w:p>
    <w:p w14:paraId="3D19FD39" w14:textId="77777777" w:rsidR="00643A32" w:rsidRPr="00DC556E" w:rsidRDefault="00643A32" w:rsidP="00D9248B">
      <w:pPr>
        <w:pStyle w:val="a6"/>
        <w:numPr>
          <w:ilvl w:val="0"/>
          <w:numId w:val="102"/>
        </w:numPr>
        <w:spacing w:before="0" w:after="0"/>
        <w:ind w:left="0" w:firstLine="0"/>
        <w:rPr>
          <w:szCs w:val="24"/>
        </w:rPr>
      </w:pPr>
      <w:r w:rsidRPr="00DC556E">
        <w:rPr>
          <w:spacing w:val="2"/>
          <w:szCs w:val="24"/>
          <w:shd w:val="clear" w:color="auto" w:fill="FFFFFF"/>
        </w:rPr>
        <w:t>Если наблюдается кровоточивость вокруг места входа катетера в первые сутки после его введения, допустимо использование нетканой повязки с впитывающей подушечкой, которая подлежит замене на прозрачную через 24ч.</w:t>
      </w:r>
    </w:p>
    <w:p w14:paraId="291455CA" w14:textId="77777777" w:rsidR="00643A32" w:rsidRPr="00DC556E" w:rsidRDefault="00643A32" w:rsidP="00D9248B">
      <w:pPr>
        <w:pStyle w:val="a6"/>
        <w:numPr>
          <w:ilvl w:val="0"/>
          <w:numId w:val="102"/>
        </w:numPr>
        <w:spacing w:before="0" w:after="0"/>
        <w:ind w:left="0" w:firstLine="0"/>
        <w:rPr>
          <w:szCs w:val="24"/>
        </w:rPr>
      </w:pPr>
      <w:r w:rsidRPr="00DC556E">
        <w:rPr>
          <w:spacing w:val="2"/>
          <w:szCs w:val="24"/>
          <w:shd w:val="clear" w:color="auto" w:fill="FFFFFF"/>
        </w:rPr>
        <w:t>Замена прозрачных полиуретановых повязок на ЦВК производится каждые 5-7 сут (при условии, что фиксация не нарушена, нет выделений, сохранен обзор).</w:t>
      </w:r>
    </w:p>
    <w:p w14:paraId="0C2BF74F" w14:textId="77777777" w:rsidR="00643A32" w:rsidRPr="00DC556E" w:rsidRDefault="00643A32" w:rsidP="00D9248B">
      <w:pPr>
        <w:pStyle w:val="a6"/>
        <w:numPr>
          <w:ilvl w:val="0"/>
          <w:numId w:val="102"/>
        </w:numPr>
        <w:spacing w:before="0" w:after="0"/>
        <w:ind w:left="0" w:firstLine="0"/>
        <w:rPr>
          <w:spacing w:val="2"/>
          <w:szCs w:val="24"/>
          <w:shd w:val="clear" w:color="auto" w:fill="FFFFFF"/>
        </w:rPr>
      </w:pPr>
      <w:r w:rsidRPr="00DC556E">
        <w:rPr>
          <w:spacing w:val="2"/>
          <w:szCs w:val="24"/>
          <w:shd w:val="clear" w:color="auto" w:fill="FFFFFF"/>
        </w:rPr>
        <w:t>Визуальный осмотр места установки сосудистого катетера проводить не реже 1 раза в сутки</w:t>
      </w:r>
    </w:p>
    <w:p w14:paraId="0DBB4BC6" w14:textId="77777777" w:rsidR="00643A32" w:rsidRPr="00DC556E" w:rsidRDefault="00643A32" w:rsidP="00643A32">
      <w:pPr>
        <w:spacing w:before="0" w:after="0"/>
        <w:rPr>
          <w:b/>
          <w:szCs w:val="24"/>
          <w:lang w:val="en-US"/>
        </w:rPr>
      </w:pPr>
      <w:r w:rsidRPr="00DC556E">
        <w:rPr>
          <w:b/>
          <w:szCs w:val="24"/>
        </w:rPr>
        <w:t>Список</w:t>
      </w:r>
      <w:r w:rsidRPr="00DC556E">
        <w:rPr>
          <w:b/>
          <w:szCs w:val="24"/>
          <w:lang w:val="en-US"/>
        </w:rPr>
        <w:t xml:space="preserve"> </w:t>
      </w:r>
      <w:r w:rsidRPr="00DC556E">
        <w:rPr>
          <w:b/>
          <w:szCs w:val="24"/>
        </w:rPr>
        <w:t>литературы</w:t>
      </w:r>
      <w:r w:rsidRPr="00DC556E">
        <w:rPr>
          <w:b/>
          <w:szCs w:val="24"/>
          <w:lang w:val="en-US"/>
        </w:rPr>
        <w:t xml:space="preserve"> </w:t>
      </w:r>
    </w:p>
    <w:p w14:paraId="655695A3" w14:textId="77777777" w:rsidR="00643A32" w:rsidRPr="00643A32" w:rsidRDefault="00643A32" w:rsidP="00643A32">
      <w:pPr>
        <w:widowControl w:val="0"/>
        <w:autoSpaceDE w:val="0"/>
        <w:autoSpaceDN w:val="0"/>
        <w:adjustRightInd w:val="0"/>
        <w:rPr>
          <w:noProof/>
          <w:szCs w:val="24"/>
          <w:lang w:val="en-US"/>
        </w:rPr>
      </w:pPr>
      <w:r>
        <w:fldChar w:fldCharType="begin" w:fldLock="1"/>
      </w:r>
      <w:r w:rsidRPr="00643A32">
        <w:rPr>
          <w:lang w:val="en-US"/>
        </w:rPr>
        <w:instrText xml:space="preserve">ADDIN Mendeley Bibliography CSL_BIBLIOGRAPHY </w:instrText>
      </w:r>
      <w:r>
        <w:fldChar w:fldCharType="separate"/>
      </w:r>
      <w:r w:rsidRPr="00643A32">
        <w:rPr>
          <w:noProof/>
          <w:szCs w:val="24"/>
          <w:lang w:val="en-US"/>
        </w:rPr>
        <w:t xml:space="preserve">1. Bannon M.P. Anatomic considerations for central venous cannulation. / M. P. Bannon, S. F. Heller, M. Rivera // Risk Manag. Healthc. Policy – 2011. – </w:t>
      </w:r>
      <w:r w:rsidRPr="00440A23">
        <w:rPr>
          <w:noProof/>
          <w:szCs w:val="24"/>
        </w:rPr>
        <w:t>Т</w:t>
      </w:r>
      <w:r w:rsidRPr="00643A32">
        <w:rPr>
          <w:noProof/>
          <w:szCs w:val="24"/>
          <w:lang w:val="en-US"/>
        </w:rPr>
        <w:t>. 4 – 27–39</w:t>
      </w:r>
      <w:r w:rsidRPr="00440A23">
        <w:rPr>
          <w:noProof/>
          <w:szCs w:val="24"/>
        </w:rPr>
        <w:t>с</w:t>
      </w:r>
      <w:r w:rsidRPr="00643A32">
        <w:rPr>
          <w:noProof/>
          <w:szCs w:val="24"/>
          <w:lang w:val="en-US"/>
        </w:rPr>
        <w:t>.</w:t>
      </w:r>
    </w:p>
    <w:p w14:paraId="45B77C96" w14:textId="77777777" w:rsidR="00643A32" w:rsidRPr="00643A32" w:rsidRDefault="00643A32" w:rsidP="00643A32">
      <w:pPr>
        <w:widowControl w:val="0"/>
        <w:autoSpaceDE w:val="0"/>
        <w:autoSpaceDN w:val="0"/>
        <w:adjustRightInd w:val="0"/>
        <w:rPr>
          <w:noProof/>
          <w:szCs w:val="24"/>
          <w:lang w:val="en-US"/>
        </w:rPr>
      </w:pPr>
      <w:r w:rsidRPr="00643A32">
        <w:rPr>
          <w:noProof/>
          <w:szCs w:val="24"/>
          <w:lang w:val="en-US"/>
        </w:rPr>
        <w:t>2. Biffi R. Introduction and Overview of PICC History Milano: Springer Milan, 2014. – 1–6</w:t>
      </w:r>
      <w:r w:rsidRPr="00440A23">
        <w:rPr>
          <w:noProof/>
          <w:szCs w:val="24"/>
        </w:rPr>
        <w:t>с</w:t>
      </w:r>
      <w:r w:rsidRPr="00643A32">
        <w:rPr>
          <w:noProof/>
          <w:szCs w:val="24"/>
          <w:lang w:val="en-US"/>
        </w:rPr>
        <w:t>.</w:t>
      </w:r>
    </w:p>
    <w:p w14:paraId="2B334F53" w14:textId="77777777" w:rsidR="00643A32" w:rsidRPr="00643A32" w:rsidRDefault="00643A32" w:rsidP="00643A32">
      <w:pPr>
        <w:widowControl w:val="0"/>
        <w:autoSpaceDE w:val="0"/>
        <w:autoSpaceDN w:val="0"/>
        <w:adjustRightInd w:val="0"/>
        <w:rPr>
          <w:noProof/>
          <w:szCs w:val="24"/>
          <w:lang w:val="en-US"/>
        </w:rPr>
      </w:pPr>
      <w:r w:rsidRPr="00643A32">
        <w:rPr>
          <w:noProof/>
          <w:szCs w:val="24"/>
          <w:lang w:val="en-US"/>
        </w:rPr>
        <w:t xml:space="preserve">3. Gow K.W. Between the lines: The 50th anniversary of long-term central venous catheters / K. W. Gow, D. Tapper, R. O. Hickman // Am. J. Surg. – 2017. – </w:t>
      </w:r>
      <w:r w:rsidRPr="00440A23">
        <w:rPr>
          <w:noProof/>
          <w:szCs w:val="24"/>
        </w:rPr>
        <w:t>Т</w:t>
      </w:r>
      <w:r w:rsidRPr="00643A32">
        <w:rPr>
          <w:noProof/>
          <w:szCs w:val="24"/>
          <w:lang w:val="en-US"/>
        </w:rPr>
        <w:t>. 213 – № 5 – 837–848</w:t>
      </w:r>
      <w:r w:rsidRPr="00440A23">
        <w:rPr>
          <w:noProof/>
          <w:szCs w:val="24"/>
        </w:rPr>
        <w:t>с</w:t>
      </w:r>
      <w:r w:rsidRPr="00643A32">
        <w:rPr>
          <w:noProof/>
          <w:szCs w:val="24"/>
          <w:lang w:val="en-US"/>
        </w:rPr>
        <w:t>.</w:t>
      </w:r>
    </w:p>
    <w:p w14:paraId="6A76EBE8" w14:textId="77777777" w:rsidR="00643A32" w:rsidRPr="00643A32" w:rsidRDefault="00643A32" w:rsidP="00643A32">
      <w:pPr>
        <w:widowControl w:val="0"/>
        <w:autoSpaceDE w:val="0"/>
        <w:autoSpaceDN w:val="0"/>
        <w:adjustRightInd w:val="0"/>
        <w:rPr>
          <w:noProof/>
          <w:szCs w:val="24"/>
          <w:lang w:val="en-US"/>
        </w:rPr>
      </w:pPr>
      <w:r w:rsidRPr="00643A32">
        <w:rPr>
          <w:noProof/>
          <w:szCs w:val="24"/>
          <w:lang w:val="en-US"/>
        </w:rPr>
        <w:t xml:space="preserve">4. Hamilton H.Central Venous Catheters / H. Hamilton / </w:t>
      </w:r>
      <w:r w:rsidRPr="00440A23">
        <w:rPr>
          <w:noProof/>
          <w:szCs w:val="24"/>
        </w:rPr>
        <w:t>под</w:t>
      </w:r>
      <w:r w:rsidRPr="00643A32">
        <w:rPr>
          <w:noProof/>
          <w:szCs w:val="24"/>
          <w:lang w:val="en-US"/>
        </w:rPr>
        <w:t xml:space="preserve"> </w:t>
      </w:r>
      <w:r w:rsidRPr="00440A23">
        <w:rPr>
          <w:noProof/>
          <w:szCs w:val="24"/>
        </w:rPr>
        <w:t>ред</w:t>
      </w:r>
      <w:r w:rsidRPr="00643A32">
        <w:rPr>
          <w:noProof/>
          <w:szCs w:val="24"/>
          <w:lang w:val="en-US"/>
        </w:rPr>
        <w:t>. A.R. Bodenham. – – Oxford, UK: Wiley-Blackwell, 2009.</w:t>
      </w:r>
    </w:p>
    <w:p w14:paraId="6F450B6E" w14:textId="77777777" w:rsidR="00643A32" w:rsidRPr="00643A32" w:rsidRDefault="00643A32" w:rsidP="00643A32">
      <w:pPr>
        <w:widowControl w:val="0"/>
        <w:autoSpaceDE w:val="0"/>
        <w:autoSpaceDN w:val="0"/>
        <w:adjustRightInd w:val="0"/>
        <w:rPr>
          <w:noProof/>
          <w:szCs w:val="24"/>
          <w:lang w:val="en-US"/>
        </w:rPr>
      </w:pPr>
      <w:r w:rsidRPr="00643A32">
        <w:rPr>
          <w:noProof/>
          <w:szCs w:val="24"/>
          <w:lang w:val="en-US"/>
        </w:rPr>
        <w:t>5. Lee A.Y.Y. Epidemiology and prevention of catheter-related thrombosis in patients with cancer / A. Y. Y. Lee, P. W. Kamphuisen // J. Thromb. Haemost. – 2012. – № 10 – 1491–1499</w:t>
      </w:r>
      <w:r w:rsidRPr="00440A23">
        <w:rPr>
          <w:noProof/>
          <w:szCs w:val="24"/>
        </w:rPr>
        <w:t>с</w:t>
      </w:r>
      <w:r w:rsidRPr="00643A32">
        <w:rPr>
          <w:noProof/>
          <w:szCs w:val="24"/>
          <w:lang w:val="en-US"/>
        </w:rPr>
        <w:t>.</w:t>
      </w:r>
    </w:p>
    <w:p w14:paraId="46D4673B" w14:textId="77777777" w:rsidR="00643A32" w:rsidRPr="00643A32" w:rsidRDefault="00643A32" w:rsidP="00643A32">
      <w:pPr>
        <w:widowControl w:val="0"/>
        <w:autoSpaceDE w:val="0"/>
        <w:autoSpaceDN w:val="0"/>
        <w:adjustRightInd w:val="0"/>
        <w:rPr>
          <w:noProof/>
          <w:szCs w:val="24"/>
          <w:lang w:val="en-US"/>
        </w:rPr>
      </w:pPr>
      <w:r w:rsidRPr="00643A32">
        <w:rPr>
          <w:noProof/>
          <w:szCs w:val="24"/>
          <w:lang w:val="en-US"/>
        </w:rPr>
        <w:t xml:space="preserve">6. Linder L.E. Material thrombogenicity in central venous catheterization: a comparison between soft, antebrachial catheters of silicone elastomer and polyurethane. / L. E. Linder, I. Curelaru, B. Gustavsson, H. A. Hansson, O. Stenqvist, J. Wojciechowski // JPEN. J. Parenter. Enteral Nutr. – </w:t>
      </w:r>
      <w:r w:rsidRPr="00643A32">
        <w:rPr>
          <w:noProof/>
          <w:szCs w:val="24"/>
          <w:lang w:val="en-US"/>
        </w:rPr>
        <w:lastRenderedPageBreak/>
        <w:t xml:space="preserve">1984. – </w:t>
      </w:r>
      <w:r w:rsidRPr="00440A23">
        <w:rPr>
          <w:noProof/>
          <w:szCs w:val="24"/>
        </w:rPr>
        <w:t>Т</w:t>
      </w:r>
      <w:r w:rsidRPr="00643A32">
        <w:rPr>
          <w:noProof/>
          <w:szCs w:val="24"/>
          <w:lang w:val="en-US"/>
        </w:rPr>
        <w:t>. 8 – № 4 – 399–406</w:t>
      </w:r>
      <w:r w:rsidRPr="00440A23">
        <w:rPr>
          <w:noProof/>
          <w:szCs w:val="24"/>
        </w:rPr>
        <w:t>с</w:t>
      </w:r>
      <w:r w:rsidRPr="00643A32">
        <w:rPr>
          <w:noProof/>
          <w:szCs w:val="24"/>
          <w:lang w:val="en-US"/>
        </w:rPr>
        <w:t>.</w:t>
      </w:r>
    </w:p>
    <w:p w14:paraId="5D892E67" w14:textId="77777777" w:rsidR="00643A32" w:rsidRPr="00643A32" w:rsidRDefault="00643A32" w:rsidP="00643A32">
      <w:pPr>
        <w:widowControl w:val="0"/>
        <w:autoSpaceDE w:val="0"/>
        <w:autoSpaceDN w:val="0"/>
        <w:adjustRightInd w:val="0"/>
        <w:rPr>
          <w:noProof/>
          <w:szCs w:val="24"/>
          <w:lang w:val="en-US"/>
        </w:rPr>
      </w:pPr>
      <w:r w:rsidRPr="00643A32">
        <w:rPr>
          <w:noProof/>
          <w:szCs w:val="24"/>
          <w:lang w:val="en-US"/>
        </w:rPr>
        <w:t xml:space="preserve">7. Linenberger M.L. Catheter-related thrombosis: risks, diagnosis, and management. / M. L. Linenberger // J. Natl. Compr. Canc. Netw. – 2006. – </w:t>
      </w:r>
      <w:r w:rsidRPr="00440A23">
        <w:rPr>
          <w:noProof/>
          <w:szCs w:val="24"/>
        </w:rPr>
        <w:t>Т</w:t>
      </w:r>
      <w:r w:rsidRPr="00643A32">
        <w:rPr>
          <w:noProof/>
          <w:szCs w:val="24"/>
          <w:lang w:val="en-US"/>
        </w:rPr>
        <w:t>. 4 – № 9 – 889–901</w:t>
      </w:r>
      <w:r w:rsidRPr="00440A23">
        <w:rPr>
          <w:noProof/>
          <w:szCs w:val="24"/>
        </w:rPr>
        <w:t>с</w:t>
      </w:r>
      <w:r w:rsidRPr="00643A32">
        <w:rPr>
          <w:noProof/>
          <w:szCs w:val="24"/>
          <w:lang w:val="en-US"/>
        </w:rPr>
        <w:t>.</w:t>
      </w:r>
    </w:p>
    <w:p w14:paraId="72C61BCD" w14:textId="77777777" w:rsidR="00643A32" w:rsidRPr="00643A32" w:rsidRDefault="00643A32" w:rsidP="00643A32">
      <w:pPr>
        <w:widowControl w:val="0"/>
        <w:autoSpaceDE w:val="0"/>
        <w:autoSpaceDN w:val="0"/>
        <w:adjustRightInd w:val="0"/>
        <w:rPr>
          <w:noProof/>
          <w:szCs w:val="24"/>
          <w:lang w:val="en-US"/>
        </w:rPr>
      </w:pPr>
      <w:r w:rsidRPr="00643A32">
        <w:rPr>
          <w:noProof/>
          <w:szCs w:val="24"/>
          <w:lang w:val="en-US"/>
        </w:rPr>
        <w:t xml:space="preserve">8. Lobato E.B. Cross-sectional area of the right and left internal jugular veins. / E. B. Lobato, C. A. Sulek, R. L. Moody, T. E. Morey // J. Cardiothorac. Vasc. Anesth. – 1999. – </w:t>
      </w:r>
      <w:r w:rsidRPr="00440A23">
        <w:rPr>
          <w:noProof/>
          <w:szCs w:val="24"/>
        </w:rPr>
        <w:t>Т</w:t>
      </w:r>
      <w:r w:rsidRPr="00643A32">
        <w:rPr>
          <w:noProof/>
          <w:szCs w:val="24"/>
          <w:lang w:val="en-US"/>
        </w:rPr>
        <w:t>. 13 – № 2 – 136–8</w:t>
      </w:r>
      <w:r w:rsidRPr="00440A23">
        <w:rPr>
          <w:noProof/>
          <w:szCs w:val="24"/>
        </w:rPr>
        <w:t>с</w:t>
      </w:r>
      <w:r w:rsidRPr="00643A32">
        <w:rPr>
          <w:noProof/>
          <w:szCs w:val="24"/>
          <w:lang w:val="en-US"/>
        </w:rPr>
        <w:t>.</w:t>
      </w:r>
    </w:p>
    <w:p w14:paraId="35258760" w14:textId="77777777" w:rsidR="00643A32" w:rsidRPr="00643A32" w:rsidRDefault="00643A32" w:rsidP="00643A32">
      <w:pPr>
        <w:widowControl w:val="0"/>
        <w:autoSpaceDE w:val="0"/>
        <w:autoSpaceDN w:val="0"/>
        <w:adjustRightInd w:val="0"/>
        <w:rPr>
          <w:noProof/>
          <w:szCs w:val="24"/>
          <w:lang w:val="en-US"/>
        </w:rPr>
      </w:pPr>
      <w:r w:rsidRPr="00643A32">
        <w:rPr>
          <w:noProof/>
          <w:szCs w:val="24"/>
          <w:lang w:val="en-US"/>
        </w:rPr>
        <w:t xml:space="preserve">9. Maki D.G. The Risk of Bloodstream Infection in Adults With Different Intravascular Devices: A Systematic Review of 200 Published Prospective Studies / D. G. Maki, D. M. Kluger, C. J. Crnich // Mayo Clin. Proc. – 2006. – </w:t>
      </w:r>
      <w:r w:rsidRPr="00440A23">
        <w:rPr>
          <w:noProof/>
          <w:szCs w:val="24"/>
        </w:rPr>
        <w:t>Т</w:t>
      </w:r>
      <w:r w:rsidRPr="00643A32">
        <w:rPr>
          <w:noProof/>
          <w:szCs w:val="24"/>
          <w:lang w:val="en-US"/>
        </w:rPr>
        <w:t>. 81 – № 9 – 1159–1171</w:t>
      </w:r>
      <w:r w:rsidRPr="00440A23">
        <w:rPr>
          <w:noProof/>
          <w:szCs w:val="24"/>
        </w:rPr>
        <w:t>с</w:t>
      </w:r>
      <w:r w:rsidRPr="00643A32">
        <w:rPr>
          <w:noProof/>
          <w:szCs w:val="24"/>
          <w:lang w:val="en-US"/>
        </w:rPr>
        <w:t>.</w:t>
      </w:r>
    </w:p>
    <w:p w14:paraId="7BC74A1C" w14:textId="77777777" w:rsidR="00643A32" w:rsidRPr="00643A32" w:rsidRDefault="00643A32" w:rsidP="00643A32">
      <w:pPr>
        <w:widowControl w:val="0"/>
        <w:autoSpaceDE w:val="0"/>
        <w:autoSpaceDN w:val="0"/>
        <w:adjustRightInd w:val="0"/>
        <w:rPr>
          <w:noProof/>
          <w:szCs w:val="24"/>
          <w:lang w:val="en-US"/>
        </w:rPr>
      </w:pPr>
      <w:r w:rsidRPr="00643A32">
        <w:rPr>
          <w:noProof/>
          <w:szCs w:val="24"/>
          <w:lang w:val="en-US"/>
        </w:rPr>
        <w:t xml:space="preserve">10. Milling T.J. Randomized, controlled clinical trial of point-of-care limited ultrasonography assistance of central venous cannulation: The Third Sonography Outcomes Assessment Program (SOAP-3) Trial* / T. J. Milling, J. Rose, W. M. Briggs, R. Birkhahn, T. J. Gaeta, J. J. Bove, L. A. Melniker // Crit. Care Med. – 2005. – </w:t>
      </w:r>
      <w:r w:rsidRPr="00440A23">
        <w:rPr>
          <w:noProof/>
          <w:szCs w:val="24"/>
        </w:rPr>
        <w:t>Т</w:t>
      </w:r>
      <w:r w:rsidRPr="00643A32">
        <w:rPr>
          <w:noProof/>
          <w:szCs w:val="24"/>
          <w:lang w:val="en-US"/>
        </w:rPr>
        <w:t>. 33 – № 8 – 1764–1769</w:t>
      </w:r>
      <w:r w:rsidRPr="00440A23">
        <w:rPr>
          <w:noProof/>
          <w:szCs w:val="24"/>
        </w:rPr>
        <w:t>с</w:t>
      </w:r>
      <w:r w:rsidRPr="00643A32">
        <w:rPr>
          <w:noProof/>
          <w:szCs w:val="24"/>
          <w:lang w:val="en-US"/>
        </w:rPr>
        <w:t>.</w:t>
      </w:r>
    </w:p>
    <w:p w14:paraId="27730504" w14:textId="77777777" w:rsidR="00643A32" w:rsidRPr="00643A32" w:rsidRDefault="00643A32" w:rsidP="00643A32">
      <w:pPr>
        <w:widowControl w:val="0"/>
        <w:autoSpaceDE w:val="0"/>
        <w:autoSpaceDN w:val="0"/>
        <w:adjustRightInd w:val="0"/>
        <w:rPr>
          <w:noProof/>
          <w:szCs w:val="24"/>
          <w:lang w:val="en-US"/>
        </w:rPr>
      </w:pPr>
      <w:r w:rsidRPr="00643A32">
        <w:rPr>
          <w:noProof/>
          <w:szCs w:val="24"/>
          <w:lang w:val="en-US"/>
        </w:rPr>
        <w:t xml:space="preserve">11. Pluschnig U. Extravasation emergencies: state-of-the-art management and progress in clinical research. / U. Pluschnig, W. Haslik, R. Bartsch, R. M. Mader // Memo – 2016. – </w:t>
      </w:r>
      <w:r w:rsidRPr="00440A23">
        <w:rPr>
          <w:noProof/>
          <w:szCs w:val="24"/>
        </w:rPr>
        <w:t>Т</w:t>
      </w:r>
      <w:r w:rsidRPr="00643A32">
        <w:rPr>
          <w:noProof/>
          <w:szCs w:val="24"/>
          <w:lang w:val="en-US"/>
        </w:rPr>
        <w:t>. 9 – № 4 – 226–230</w:t>
      </w:r>
      <w:r w:rsidRPr="00440A23">
        <w:rPr>
          <w:noProof/>
          <w:szCs w:val="24"/>
        </w:rPr>
        <w:t>с</w:t>
      </w:r>
      <w:r w:rsidRPr="00643A32">
        <w:rPr>
          <w:noProof/>
          <w:szCs w:val="24"/>
          <w:lang w:val="en-US"/>
        </w:rPr>
        <w:t>.</w:t>
      </w:r>
    </w:p>
    <w:p w14:paraId="02943310" w14:textId="77777777" w:rsidR="00643A32" w:rsidRPr="00643A32" w:rsidRDefault="00643A32" w:rsidP="00643A32">
      <w:pPr>
        <w:widowControl w:val="0"/>
        <w:autoSpaceDE w:val="0"/>
        <w:autoSpaceDN w:val="0"/>
        <w:adjustRightInd w:val="0"/>
        <w:rPr>
          <w:noProof/>
          <w:szCs w:val="24"/>
          <w:lang w:val="en-US"/>
        </w:rPr>
      </w:pPr>
      <w:r w:rsidRPr="00643A32">
        <w:rPr>
          <w:noProof/>
          <w:szCs w:val="24"/>
          <w:lang w:val="en-US"/>
        </w:rPr>
        <w:t xml:space="preserve">12. Roca-Tey R. Permanent Arteriovenous Fistula or Catheter Dialysis for Heart Failure Patients / R. Roca-Tey // J. Vasc. Access – 2016. – </w:t>
      </w:r>
      <w:r w:rsidRPr="00440A23">
        <w:rPr>
          <w:noProof/>
          <w:szCs w:val="24"/>
        </w:rPr>
        <w:t>Т</w:t>
      </w:r>
      <w:r w:rsidRPr="00643A32">
        <w:rPr>
          <w:noProof/>
          <w:szCs w:val="24"/>
          <w:lang w:val="en-US"/>
        </w:rPr>
        <w:t>. 17  – № 1_suppl – 23–29</w:t>
      </w:r>
      <w:r w:rsidRPr="00440A23">
        <w:rPr>
          <w:noProof/>
          <w:szCs w:val="24"/>
        </w:rPr>
        <w:t>с</w:t>
      </w:r>
      <w:r w:rsidRPr="00643A32">
        <w:rPr>
          <w:noProof/>
          <w:szCs w:val="24"/>
          <w:lang w:val="en-US"/>
        </w:rPr>
        <w:t>.</w:t>
      </w:r>
    </w:p>
    <w:p w14:paraId="0A77A0AB" w14:textId="77777777" w:rsidR="00643A32" w:rsidRPr="00643A32" w:rsidRDefault="00643A32" w:rsidP="00643A32">
      <w:pPr>
        <w:widowControl w:val="0"/>
        <w:autoSpaceDE w:val="0"/>
        <w:autoSpaceDN w:val="0"/>
        <w:adjustRightInd w:val="0"/>
        <w:rPr>
          <w:noProof/>
          <w:szCs w:val="24"/>
          <w:lang w:val="en-US"/>
        </w:rPr>
      </w:pPr>
      <w:r w:rsidRPr="00643A32">
        <w:rPr>
          <w:noProof/>
          <w:szCs w:val="24"/>
          <w:lang w:val="en-US"/>
        </w:rPr>
        <w:t xml:space="preserve">13. SPIRIN M. Central venous access in lymphoma patients (pts) with superior vena cava syndrome (SVCS) / M. SPIRIN, G. GALSTYAN, M. DROKOV // INTENSIVE CARE Med. Exp. – 2019. – </w:t>
      </w:r>
      <w:r w:rsidRPr="00440A23">
        <w:rPr>
          <w:noProof/>
          <w:szCs w:val="24"/>
        </w:rPr>
        <w:t>Т</w:t>
      </w:r>
      <w:r w:rsidRPr="00643A32">
        <w:rPr>
          <w:noProof/>
          <w:szCs w:val="24"/>
          <w:lang w:val="en-US"/>
        </w:rPr>
        <w:t>. 7  – № Suppl. 3:001341 – 388–389</w:t>
      </w:r>
      <w:r w:rsidRPr="00440A23">
        <w:rPr>
          <w:noProof/>
          <w:szCs w:val="24"/>
        </w:rPr>
        <w:t>с</w:t>
      </w:r>
      <w:r w:rsidRPr="00643A32">
        <w:rPr>
          <w:noProof/>
          <w:szCs w:val="24"/>
          <w:lang w:val="en-US"/>
        </w:rPr>
        <w:t>.</w:t>
      </w:r>
    </w:p>
    <w:p w14:paraId="2A5B67E9" w14:textId="77777777" w:rsidR="00643A32" w:rsidRPr="00643A32" w:rsidRDefault="00643A32" w:rsidP="00643A32">
      <w:pPr>
        <w:widowControl w:val="0"/>
        <w:autoSpaceDE w:val="0"/>
        <w:autoSpaceDN w:val="0"/>
        <w:adjustRightInd w:val="0"/>
        <w:rPr>
          <w:noProof/>
          <w:szCs w:val="24"/>
          <w:lang w:val="en-US"/>
        </w:rPr>
      </w:pPr>
      <w:r w:rsidRPr="00643A32">
        <w:rPr>
          <w:noProof/>
          <w:szCs w:val="24"/>
          <w:lang w:val="en-US"/>
        </w:rPr>
        <w:t xml:space="preserve">14. Taal M.W. Venography at insertion of tunnelled internal jugular vein dialysis catheters reveals significant occult stenosis / M. W. Taal, L. J. Chesterton, C. W. McIntyre // Nephrol. Dial. Transplant. – 2004. – </w:t>
      </w:r>
      <w:r w:rsidRPr="00440A23">
        <w:rPr>
          <w:noProof/>
          <w:szCs w:val="24"/>
        </w:rPr>
        <w:t>Т</w:t>
      </w:r>
      <w:r w:rsidRPr="00643A32">
        <w:rPr>
          <w:noProof/>
          <w:szCs w:val="24"/>
          <w:lang w:val="en-US"/>
        </w:rPr>
        <w:t>. 19 – № 6 – 1542–1545</w:t>
      </w:r>
      <w:r w:rsidRPr="00440A23">
        <w:rPr>
          <w:noProof/>
          <w:szCs w:val="24"/>
        </w:rPr>
        <w:t>с</w:t>
      </w:r>
      <w:r w:rsidRPr="00643A32">
        <w:rPr>
          <w:noProof/>
          <w:szCs w:val="24"/>
          <w:lang w:val="en-US"/>
        </w:rPr>
        <w:t>.</w:t>
      </w:r>
    </w:p>
    <w:p w14:paraId="0FAE316D" w14:textId="77777777" w:rsidR="00643A32" w:rsidRPr="00643A32" w:rsidRDefault="00643A32" w:rsidP="00643A32">
      <w:pPr>
        <w:widowControl w:val="0"/>
        <w:autoSpaceDE w:val="0"/>
        <w:autoSpaceDN w:val="0"/>
        <w:adjustRightInd w:val="0"/>
        <w:rPr>
          <w:noProof/>
          <w:szCs w:val="24"/>
          <w:lang w:val="en-US"/>
        </w:rPr>
      </w:pPr>
      <w:r w:rsidRPr="00643A32">
        <w:rPr>
          <w:noProof/>
          <w:szCs w:val="24"/>
          <w:lang w:val="en-US"/>
        </w:rPr>
        <w:t xml:space="preserve">15. Tordoir J. EBPG on Vascular Access / J. Tordoir, B. Canaud, P. Haage, K. Konner, A. Basci, D. Fouque, J. Kooman, A. Martin-Malo, L. Pedrini, F. Pizzarelli, J. Tattersall, M. Vennegoor, C. Wanner, P. ter Wee, R. Vanholder // Nephrol. Dial. Transplant. – 2007. – </w:t>
      </w:r>
      <w:r w:rsidRPr="00440A23">
        <w:rPr>
          <w:noProof/>
          <w:szCs w:val="24"/>
        </w:rPr>
        <w:t>Т</w:t>
      </w:r>
      <w:r w:rsidRPr="00643A32">
        <w:rPr>
          <w:noProof/>
          <w:szCs w:val="24"/>
          <w:lang w:val="en-US"/>
        </w:rPr>
        <w:t>. 22  – № Supplement 2 – ii88–ii117</w:t>
      </w:r>
      <w:r w:rsidRPr="00440A23">
        <w:rPr>
          <w:noProof/>
          <w:szCs w:val="24"/>
        </w:rPr>
        <w:t>с</w:t>
      </w:r>
      <w:r w:rsidRPr="00643A32">
        <w:rPr>
          <w:noProof/>
          <w:szCs w:val="24"/>
          <w:lang w:val="en-US"/>
        </w:rPr>
        <w:t>.</w:t>
      </w:r>
    </w:p>
    <w:p w14:paraId="28AADA62" w14:textId="77777777" w:rsidR="00643A32" w:rsidRPr="00643A32" w:rsidRDefault="00643A32" w:rsidP="00643A32">
      <w:pPr>
        <w:widowControl w:val="0"/>
        <w:autoSpaceDE w:val="0"/>
        <w:autoSpaceDN w:val="0"/>
        <w:adjustRightInd w:val="0"/>
        <w:rPr>
          <w:noProof/>
          <w:szCs w:val="24"/>
          <w:lang w:val="en-US"/>
        </w:rPr>
      </w:pPr>
      <w:r w:rsidRPr="00643A32">
        <w:rPr>
          <w:noProof/>
          <w:szCs w:val="24"/>
          <w:lang w:val="en-US"/>
        </w:rPr>
        <w:t xml:space="preserve">16. Watters V.A. Use of Electrocardiogram to Position Right Atrial Catheters During Surgery / V. A. Watters, J. P. Grant // Ann. Surg. – </w:t>
      </w:r>
      <w:r w:rsidRPr="00440A23">
        <w:rPr>
          <w:noProof/>
          <w:szCs w:val="24"/>
        </w:rPr>
        <w:t>Т</w:t>
      </w:r>
      <w:r w:rsidRPr="00643A32">
        <w:rPr>
          <w:noProof/>
          <w:szCs w:val="24"/>
          <w:lang w:val="en-US"/>
        </w:rPr>
        <w:t>. 225 – № 2 – 165–171</w:t>
      </w:r>
      <w:r w:rsidRPr="00440A23">
        <w:rPr>
          <w:noProof/>
          <w:szCs w:val="24"/>
        </w:rPr>
        <w:t>с</w:t>
      </w:r>
      <w:r w:rsidRPr="00643A32">
        <w:rPr>
          <w:noProof/>
          <w:szCs w:val="24"/>
          <w:lang w:val="en-US"/>
        </w:rPr>
        <w:t>.</w:t>
      </w:r>
    </w:p>
    <w:p w14:paraId="3D88B123" w14:textId="77777777" w:rsidR="00643A32" w:rsidRPr="00643A32" w:rsidRDefault="00643A32" w:rsidP="00643A32">
      <w:pPr>
        <w:widowControl w:val="0"/>
        <w:autoSpaceDE w:val="0"/>
        <w:autoSpaceDN w:val="0"/>
        <w:adjustRightInd w:val="0"/>
        <w:rPr>
          <w:noProof/>
          <w:szCs w:val="24"/>
          <w:lang w:val="en-US"/>
        </w:rPr>
      </w:pPr>
      <w:r w:rsidRPr="00643A32">
        <w:rPr>
          <w:noProof/>
          <w:szCs w:val="24"/>
          <w:lang w:val="en-US"/>
        </w:rPr>
        <w:t xml:space="preserve">17. Yeral M. Tunnelled central venous catheter-related problems in the early phase of </w:t>
      </w:r>
      <w:r w:rsidRPr="00643A32">
        <w:rPr>
          <w:noProof/>
          <w:szCs w:val="24"/>
          <w:lang w:val="en-US"/>
        </w:rPr>
        <w:lastRenderedPageBreak/>
        <w:t xml:space="preserve">haematopoietic stem cell transplantation and effects on transplant outcome. / M. Yeral, C. Boğa, L. Oğuzkurt, H. E. Alışkan, H. Özdoğu, Y. Z. Demiroğlu // Turkish J. Haematol.  Off. J. Turkish Soc. Haematol. – 2015. – </w:t>
      </w:r>
      <w:r w:rsidRPr="00440A23">
        <w:rPr>
          <w:noProof/>
          <w:szCs w:val="24"/>
        </w:rPr>
        <w:t>Т</w:t>
      </w:r>
      <w:r w:rsidRPr="00643A32">
        <w:rPr>
          <w:noProof/>
          <w:szCs w:val="24"/>
          <w:lang w:val="en-US"/>
        </w:rPr>
        <w:t>. 32 – № 1 – 51–7</w:t>
      </w:r>
      <w:r w:rsidRPr="00440A23">
        <w:rPr>
          <w:noProof/>
          <w:szCs w:val="24"/>
        </w:rPr>
        <w:t>с</w:t>
      </w:r>
      <w:r w:rsidRPr="00643A32">
        <w:rPr>
          <w:noProof/>
          <w:szCs w:val="24"/>
          <w:lang w:val="en-US"/>
        </w:rPr>
        <w:t>.</w:t>
      </w:r>
    </w:p>
    <w:p w14:paraId="40007181" w14:textId="77777777" w:rsidR="00643A32" w:rsidRPr="00643A32" w:rsidRDefault="00643A32" w:rsidP="00643A32">
      <w:pPr>
        <w:widowControl w:val="0"/>
        <w:autoSpaceDE w:val="0"/>
        <w:autoSpaceDN w:val="0"/>
        <w:adjustRightInd w:val="0"/>
        <w:rPr>
          <w:noProof/>
          <w:szCs w:val="24"/>
          <w:lang w:val="en-US"/>
        </w:rPr>
      </w:pPr>
      <w:r w:rsidRPr="00643A32">
        <w:rPr>
          <w:noProof/>
          <w:szCs w:val="24"/>
          <w:lang w:val="en-US"/>
        </w:rPr>
        <w:t xml:space="preserve">18. Zeidler K. Optimal preprocedural platelet transfusion threshold for central venous catheter insertions in patients with thrombocytopenia. / K. Zeidler, K. Arn, O. Senn, U. Schanz, G. Stussi // Transfusion – 2011. – </w:t>
      </w:r>
      <w:r w:rsidRPr="00440A23">
        <w:rPr>
          <w:noProof/>
          <w:szCs w:val="24"/>
        </w:rPr>
        <w:t>Т</w:t>
      </w:r>
      <w:r w:rsidRPr="00643A32">
        <w:rPr>
          <w:noProof/>
          <w:szCs w:val="24"/>
          <w:lang w:val="en-US"/>
        </w:rPr>
        <w:t>. 51 – № 11 – 2269–76</w:t>
      </w:r>
      <w:r w:rsidRPr="00440A23">
        <w:rPr>
          <w:noProof/>
          <w:szCs w:val="24"/>
        </w:rPr>
        <w:t>с</w:t>
      </w:r>
      <w:r w:rsidRPr="00643A32">
        <w:rPr>
          <w:noProof/>
          <w:szCs w:val="24"/>
          <w:lang w:val="en-US"/>
        </w:rPr>
        <w:t>.</w:t>
      </w:r>
    </w:p>
    <w:p w14:paraId="6C0F45AA" w14:textId="77777777" w:rsidR="00643A32" w:rsidRPr="00643A32" w:rsidRDefault="00643A32" w:rsidP="00643A32">
      <w:pPr>
        <w:widowControl w:val="0"/>
        <w:autoSpaceDE w:val="0"/>
        <w:autoSpaceDN w:val="0"/>
        <w:adjustRightInd w:val="0"/>
        <w:rPr>
          <w:noProof/>
          <w:szCs w:val="24"/>
          <w:lang w:val="en-US"/>
        </w:rPr>
      </w:pPr>
      <w:r w:rsidRPr="00643A32">
        <w:rPr>
          <w:noProof/>
          <w:szCs w:val="24"/>
          <w:lang w:val="en-US"/>
        </w:rPr>
        <w:t xml:space="preserve">19. Zerati A.E. Totally implantable venous catheters : history , implantation technique and complications. / A. E. Zerati, N. Wolosker, N. de Luccia, P. Puech-Leão // J Vasc Bras. – 2017. – </w:t>
      </w:r>
      <w:r w:rsidRPr="00440A23">
        <w:rPr>
          <w:noProof/>
          <w:szCs w:val="24"/>
        </w:rPr>
        <w:t>Т</w:t>
      </w:r>
      <w:r w:rsidRPr="00643A32">
        <w:rPr>
          <w:noProof/>
          <w:szCs w:val="24"/>
          <w:lang w:val="en-US"/>
        </w:rPr>
        <w:t>. 16 – № 2 – 128–139</w:t>
      </w:r>
      <w:r w:rsidRPr="00440A23">
        <w:rPr>
          <w:noProof/>
          <w:szCs w:val="24"/>
        </w:rPr>
        <w:t>с</w:t>
      </w:r>
      <w:r w:rsidRPr="00643A32">
        <w:rPr>
          <w:noProof/>
          <w:szCs w:val="24"/>
          <w:lang w:val="en-US"/>
        </w:rPr>
        <w:t>.</w:t>
      </w:r>
    </w:p>
    <w:p w14:paraId="20F088DD" w14:textId="77777777" w:rsidR="00643A32" w:rsidRPr="00440A23" w:rsidRDefault="00643A32" w:rsidP="00643A32">
      <w:pPr>
        <w:widowControl w:val="0"/>
        <w:autoSpaceDE w:val="0"/>
        <w:autoSpaceDN w:val="0"/>
        <w:adjustRightInd w:val="0"/>
        <w:rPr>
          <w:noProof/>
          <w:szCs w:val="24"/>
        </w:rPr>
      </w:pPr>
      <w:r w:rsidRPr="00440A23">
        <w:rPr>
          <w:noProof/>
          <w:szCs w:val="24"/>
        </w:rPr>
        <w:t>20. Багирова Н.С. Инфекции, связанные с внутрисосудистыми устройствами: терминология, диагностика, профилактика и терапия / Н. С. Багирова // Злокачественные опухоли – 2014. – № 3 – 164–171с.</w:t>
      </w:r>
    </w:p>
    <w:p w14:paraId="46BF54BC" w14:textId="77777777" w:rsidR="00643A32" w:rsidRPr="00440A23" w:rsidRDefault="00643A32" w:rsidP="00643A32">
      <w:pPr>
        <w:widowControl w:val="0"/>
        <w:autoSpaceDE w:val="0"/>
        <w:autoSpaceDN w:val="0"/>
        <w:adjustRightInd w:val="0"/>
        <w:rPr>
          <w:noProof/>
          <w:szCs w:val="24"/>
        </w:rPr>
      </w:pPr>
      <w:r w:rsidRPr="00440A23">
        <w:rPr>
          <w:noProof/>
          <w:szCs w:val="24"/>
        </w:rPr>
        <w:t xml:space="preserve">21. Галстян Г.М. </w:t>
      </w:r>
      <w:r>
        <w:rPr>
          <w:noProof/>
          <w:szCs w:val="24"/>
        </w:rPr>
        <w:t>Н</w:t>
      </w:r>
      <w:r w:rsidRPr="00440A23">
        <w:rPr>
          <w:noProof/>
          <w:szCs w:val="24"/>
        </w:rPr>
        <w:t>арушения гемостаза, обусловленные дефицитом витамин к-зависимых факторов свертывания крови — патогенез, способы коррекции и рекомендации по лечению. / Г. М. Галстян // Гематология и трансфузиология. – 2012. – Т. 27 – № 2 – 7–21с.</w:t>
      </w:r>
    </w:p>
    <w:p w14:paraId="352290F5" w14:textId="77777777" w:rsidR="00643A32" w:rsidRPr="00440A23" w:rsidRDefault="00643A32" w:rsidP="00643A32">
      <w:pPr>
        <w:widowControl w:val="0"/>
        <w:autoSpaceDE w:val="0"/>
        <w:autoSpaceDN w:val="0"/>
        <w:adjustRightInd w:val="0"/>
        <w:rPr>
          <w:noProof/>
          <w:szCs w:val="24"/>
        </w:rPr>
      </w:pPr>
      <w:r w:rsidRPr="00440A23">
        <w:rPr>
          <w:noProof/>
          <w:szCs w:val="24"/>
        </w:rPr>
        <w:t>22. Зозуля Н.И. Протокол диагностики и лечения гемофилии. / под ред. В.Г. Савченко. Москва, 2018. Вып. Практика – 333–358с.</w:t>
      </w:r>
    </w:p>
    <w:p w14:paraId="0A1FC69F" w14:textId="77777777" w:rsidR="00643A32" w:rsidRPr="00440A23" w:rsidRDefault="00643A32" w:rsidP="00643A32">
      <w:pPr>
        <w:widowControl w:val="0"/>
        <w:autoSpaceDE w:val="0"/>
        <w:autoSpaceDN w:val="0"/>
        <w:adjustRightInd w:val="0"/>
        <w:rPr>
          <w:noProof/>
          <w:szCs w:val="24"/>
        </w:rPr>
      </w:pPr>
      <w:r w:rsidRPr="00440A23">
        <w:rPr>
          <w:noProof/>
          <w:szCs w:val="24"/>
        </w:rPr>
        <w:t>23. Цепенщинков Л.. Периферически имплантируемый центральный венозный катетер: обзор литераутры. / Л</w:t>
      </w:r>
      <w:r>
        <w:rPr>
          <w:noProof/>
          <w:szCs w:val="24"/>
        </w:rPr>
        <w:t xml:space="preserve">. </w:t>
      </w:r>
      <w:r w:rsidRPr="00440A23">
        <w:rPr>
          <w:noProof/>
          <w:szCs w:val="24"/>
        </w:rPr>
        <w:t>Цепенщинков, В. К. Лядов // Клиническая онкогематология – 2014. – Т. 7 – № 2 – 220–228с.</w:t>
      </w:r>
    </w:p>
    <w:p w14:paraId="00137D69" w14:textId="77777777" w:rsidR="00643A32" w:rsidRPr="00440A23" w:rsidRDefault="00643A32" w:rsidP="00643A32">
      <w:pPr>
        <w:widowControl w:val="0"/>
        <w:autoSpaceDE w:val="0"/>
        <w:autoSpaceDN w:val="0"/>
        <w:adjustRightInd w:val="0"/>
        <w:rPr>
          <w:noProof/>
        </w:rPr>
      </w:pPr>
      <w:r w:rsidRPr="00440A23">
        <w:rPr>
          <w:noProof/>
          <w:szCs w:val="24"/>
        </w:rPr>
        <w:t>24. Червонцева А.М. Повреждение сосудистого эндотелия в процессе лечения острых миелоидных лейкозов // – 2008.</w:t>
      </w:r>
    </w:p>
    <w:p w14:paraId="6A3CEE12" w14:textId="7ED15F53" w:rsidR="00266EEA" w:rsidRDefault="00643A32" w:rsidP="00D9248B">
      <w:pPr>
        <w:spacing w:before="0" w:after="0"/>
      </w:pPr>
      <w:r>
        <w:fldChar w:fldCharType="end"/>
      </w:r>
      <w:r w:rsidR="00266EEA">
        <w:br w:type="page"/>
      </w:r>
    </w:p>
    <w:p w14:paraId="34E110DF" w14:textId="5D7B1D06" w:rsidR="00622062" w:rsidRDefault="00266EEA" w:rsidP="00266EEA">
      <w:pPr>
        <w:pStyle w:val="1"/>
      </w:pPr>
      <w:bookmarkStart w:id="83" w:name="_Toc53140929"/>
      <w:r w:rsidRPr="003E0025">
        <w:lastRenderedPageBreak/>
        <w:t>Приложение Г</w:t>
      </w:r>
      <w:r>
        <w:t xml:space="preserve">9. </w:t>
      </w:r>
      <w:r w:rsidRPr="00266EEA">
        <w:t>«</w:t>
      </w:r>
      <w:r w:rsidR="0072112C" w:rsidRPr="0072112C">
        <w:t>Сопроводительная терапия при введении моноклональных антител</w:t>
      </w:r>
      <w:r>
        <w:t>»</w:t>
      </w:r>
      <w:bookmarkEnd w:id="83"/>
    </w:p>
    <w:p w14:paraId="69FA8FD1" w14:textId="3AACD887" w:rsidR="00622062" w:rsidRPr="00622062" w:rsidRDefault="00622062" w:rsidP="00622062">
      <w:pPr>
        <w:pStyle w:val="Normal1"/>
        <w:numPr>
          <w:ilvl w:val="3"/>
          <w:numId w:val="13"/>
        </w:numPr>
        <w:spacing w:before="0" w:line="360" w:lineRule="auto"/>
        <w:ind w:left="567" w:hanging="567"/>
        <w:jc w:val="both"/>
        <w:rPr>
          <w:rFonts w:cs="Times New Roman"/>
          <w:b/>
          <w:shd w:val="clear" w:color="auto" w:fill="FFFFFF"/>
        </w:rPr>
      </w:pPr>
      <w:r w:rsidRPr="00622062">
        <w:rPr>
          <w:rFonts w:cs="Times New Roman"/>
          <w:b/>
        </w:rPr>
        <w:t xml:space="preserve">Общие сведения </w:t>
      </w:r>
    </w:p>
    <w:p w14:paraId="4C6C401C" w14:textId="77777777" w:rsidR="00622062" w:rsidRPr="00622062" w:rsidRDefault="00622062" w:rsidP="00622062">
      <w:pPr>
        <w:pStyle w:val="Normal1"/>
        <w:tabs>
          <w:tab w:val="left" w:pos="0"/>
          <w:tab w:val="left" w:pos="993"/>
        </w:tabs>
        <w:spacing w:before="0" w:line="360" w:lineRule="auto"/>
        <w:ind w:left="0" w:firstLine="567"/>
        <w:jc w:val="both"/>
        <w:rPr>
          <w:rFonts w:cs="Times New Roman"/>
        </w:rPr>
      </w:pPr>
      <w:r w:rsidRPr="00622062">
        <w:rPr>
          <w:rFonts w:cs="Times New Roman"/>
          <w:bCs/>
        </w:rPr>
        <w:t>Моноклональные антитела</w:t>
      </w:r>
      <w:r w:rsidRPr="00622062">
        <w:rPr>
          <w:rFonts w:cs="Times New Roman"/>
        </w:rPr>
        <w:t> — это класс препаратов, которые обладают высокой селективностью в отношении молекулярной мишени, являющейся, как правило, одним из ключевых компонентов патологического процесса. Антитела обладают способностью точно связываться с антигеном благодаря специальным антигенсвязывающим участкам, имеющим к нему высокую специфичность.</w:t>
      </w:r>
    </w:p>
    <w:p w14:paraId="6FE43D53" w14:textId="77777777" w:rsidR="00622062" w:rsidRPr="00622062" w:rsidRDefault="00622062" w:rsidP="00622062">
      <w:pPr>
        <w:pStyle w:val="Normal1"/>
        <w:tabs>
          <w:tab w:val="left" w:pos="0"/>
          <w:tab w:val="left" w:pos="993"/>
        </w:tabs>
        <w:spacing w:before="0" w:line="360" w:lineRule="auto"/>
        <w:ind w:left="0" w:firstLine="567"/>
        <w:jc w:val="both"/>
        <w:rPr>
          <w:rFonts w:cs="Times New Roman"/>
        </w:rPr>
      </w:pPr>
      <w:r w:rsidRPr="00622062">
        <w:rPr>
          <w:rFonts w:cs="Times New Roman"/>
        </w:rPr>
        <w:t>В последнее десятилетие методы таргетного воздействия на опухолевые клетки при злокачественных новообразованиях крови показали свою высокую эффективность и были включены в многочисленные национальные рекомендации по лечению гемобластозов, как при рецидиве, так и впервой линии терапии.</w:t>
      </w:r>
    </w:p>
    <w:p w14:paraId="22117A1D" w14:textId="77777777" w:rsidR="00622062" w:rsidRPr="00622062" w:rsidRDefault="00622062" w:rsidP="00622062">
      <w:pPr>
        <w:pStyle w:val="Normal1"/>
        <w:tabs>
          <w:tab w:val="left" w:pos="0"/>
          <w:tab w:val="left" w:pos="993"/>
        </w:tabs>
        <w:spacing w:before="0" w:line="360" w:lineRule="auto"/>
        <w:ind w:left="0" w:firstLine="567"/>
        <w:jc w:val="both"/>
        <w:rPr>
          <w:rFonts w:cs="Times New Roman"/>
        </w:rPr>
      </w:pPr>
      <w:r w:rsidRPr="00622062">
        <w:rPr>
          <w:rFonts w:cs="Times New Roman"/>
        </w:rPr>
        <w:t xml:space="preserve">Учитывая, что моноклональные антитела представлены белковой молекулой, способной вызывать нежелательные реакции, главным образом инфузионные, разработан алгоритм, позволяющий упразднить побочные явления, связанные с введением терапевтических моноклональных антител. </w:t>
      </w:r>
    </w:p>
    <w:p w14:paraId="2510A7EB" w14:textId="180CC97E" w:rsidR="00622062" w:rsidRPr="00622062" w:rsidRDefault="00622062" w:rsidP="00622062">
      <w:pPr>
        <w:pStyle w:val="Normal1"/>
        <w:tabs>
          <w:tab w:val="left" w:pos="0"/>
          <w:tab w:val="left" w:pos="993"/>
        </w:tabs>
        <w:spacing w:before="0" w:line="360" w:lineRule="auto"/>
        <w:ind w:left="0" w:firstLine="567"/>
        <w:jc w:val="both"/>
        <w:rPr>
          <w:rFonts w:cs="Times New Roman"/>
        </w:rPr>
      </w:pPr>
      <w:r>
        <w:rPr>
          <w:rFonts w:cs="Times New Roman"/>
        </w:rPr>
        <w:t>Н</w:t>
      </w:r>
      <w:r w:rsidRPr="00622062">
        <w:rPr>
          <w:rFonts w:cs="Times New Roman"/>
        </w:rPr>
        <w:t>аиболее частыми побочными эффектами терапии даратумумабом, изатуксимабом и элотузумабом были: инфузионные реакции, цитопении, инфекционные осложнения (Herpes zoster). Для предупреждения развития инфузионных реакций непосредственно перед введением моноклональных антител рекомендовано проведение премедикации.</w:t>
      </w:r>
    </w:p>
    <w:p w14:paraId="0B06ADD4" w14:textId="08D75B97" w:rsidR="00622062" w:rsidRPr="00622062" w:rsidRDefault="00622062" w:rsidP="00622062">
      <w:pPr>
        <w:pStyle w:val="Normal1"/>
        <w:tabs>
          <w:tab w:val="left" w:pos="0"/>
          <w:tab w:val="left" w:pos="993"/>
        </w:tabs>
        <w:spacing w:before="0" w:line="360" w:lineRule="auto"/>
        <w:ind w:left="0" w:firstLine="567"/>
        <w:jc w:val="both"/>
        <w:rPr>
          <w:rFonts w:cs="Times New Roman"/>
        </w:rPr>
      </w:pPr>
      <w:r w:rsidRPr="00622062">
        <w:rPr>
          <w:rFonts w:cs="Times New Roman"/>
        </w:rPr>
        <w:t>В данном приложении представлен алгоритм действий медицинского персонала при использовании моноклональных антител у больных множественной миеломой.</w:t>
      </w:r>
    </w:p>
    <w:p w14:paraId="030140B7" w14:textId="77C17F80" w:rsidR="00622062" w:rsidRPr="00622062" w:rsidRDefault="00622062" w:rsidP="00622062">
      <w:pPr>
        <w:pStyle w:val="a6"/>
        <w:numPr>
          <w:ilvl w:val="3"/>
          <w:numId w:val="13"/>
        </w:numPr>
        <w:tabs>
          <w:tab w:val="left" w:pos="0"/>
        </w:tabs>
        <w:spacing w:before="0" w:after="0"/>
        <w:ind w:left="0" w:firstLine="0"/>
        <w:rPr>
          <w:b/>
          <w:szCs w:val="24"/>
          <w:lang w:eastAsia="ru-RU"/>
        </w:rPr>
      </w:pPr>
      <w:r w:rsidRPr="00622062">
        <w:rPr>
          <w:b/>
          <w:szCs w:val="24"/>
          <w:lang w:eastAsia="ru-RU"/>
        </w:rPr>
        <w:t>Элотузумаб</w:t>
      </w:r>
    </w:p>
    <w:p w14:paraId="621C6C64" w14:textId="77777777" w:rsidR="00622062" w:rsidRPr="00622062" w:rsidRDefault="00622062" w:rsidP="00622062">
      <w:pPr>
        <w:tabs>
          <w:tab w:val="left" w:pos="0"/>
        </w:tabs>
        <w:spacing w:before="0" w:after="0"/>
        <w:ind w:firstLine="567"/>
        <w:rPr>
          <w:szCs w:val="24"/>
        </w:rPr>
      </w:pPr>
      <w:r w:rsidRPr="00622062">
        <w:rPr>
          <w:szCs w:val="24"/>
        </w:rPr>
        <w:t xml:space="preserve">Элотузумаб является человеческим иммуностимулирующим моноклональным IgG1 антителом, которое специфически связывается с белком SLAMF7 (представитель в семействе сигнальных молекул активации лимфоцитов). SLAMF7 в большом количестве экспрессируется на миеломных клетках, а также на натуральных киллерах и некоторых других иммунных клетках. SLAMF7 не обнаруживается на клетках здоровых тканей и гемопоэтических стволовых клетках. </w:t>
      </w:r>
    </w:p>
    <w:p w14:paraId="77773635" w14:textId="77777777" w:rsidR="00622062" w:rsidRPr="00622062" w:rsidRDefault="00622062" w:rsidP="00622062">
      <w:pPr>
        <w:tabs>
          <w:tab w:val="left" w:pos="0"/>
        </w:tabs>
        <w:spacing w:before="0" w:after="0"/>
        <w:ind w:firstLine="567"/>
        <w:rPr>
          <w:szCs w:val="24"/>
        </w:rPr>
      </w:pPr>
      <w:r w:rsidRPr="00622062">
        <w:rPr>
          <w:szCs w:val="24"/>
        </w:rPr>
        <w:t xml:space="preserve">Элотузумаб обладает двойным механизмом действия. Во-первых, напрямую активирует натуральные киллеры, связываясь с SLAMF7. Во-вторых, элотузумаб связывается с SLAMF7 на миеломных клетках, что способствует их взаимодействию с </w:t>
      </w:r>
      <w:r w:rsidRPr="00622062">
        <w:rPr>
          <w:szCs w:val="24"/>
        </w:rPr>
        <w:lastRenderedPageBreak/>
        <w:t xml:space="preserve">натуральными киллерами и уничтожению миеломных клеток посредством антитело- зависимой клеточной цитотоксичности. </w:t>
      </w:r>
    </w:p>
    <w:p w14:paraId="33678617" w14:textId="77777777" w:rsidR="00622062" w:rsidRPr="00622062" w:rsidRDefault="00622062" w:rsidP="00622062">
      <w:pPr>
        <w:tabs>
          <w:tab w:val="left" w:pos="0"/>
        </w:tabs>
        <w:spacing w:before="0" w:after="0"/>
        <w:ind w:firstLine="567"/>
        <w:rPr>
          <w:szCs w:val="24"/>
        </w:rPr>
      </w:pPr>
      <w:r w:rsidRPr="00622062">
        <w:rPr>
          <w:szCs w:val="24"/>
        </w:rPr>
        <w:t>В клиническом исследовании с участием пациентов с множественной миеломой инфузионные реакции были отмечены примерно у 10% пациентов, прошедших премедикацию и получавших терапию элотузумабом в сочетании с леналидомидом и дексаметазоном (N=318). Частота возникновения инфузионных реакций от легкой до средней степени тяжести составила &gt;50% среди пациентов, которые не прошли премедикацию. Все отчеты по инфузионным реакциям относились к реакциям 3-й степени и ниже. Инфузионные реакции 3-й степени отмечались у 1% пациентов. К наиболее часто отмечаемым симптомам инфузионной реакции относились жар, озноб, гипертензия. Для 5% пациентов требовалось прерывание введения элотузумаба в среднем на 25-й минуте ввиду инфузионной реакции, а 1% пациентов прекратил лечение ввиду появления инфузионных реакций. У 70% (23/33) пациентов, у которых была отмечена инфузионная реакция, отмечалось развитие реакции во время получения первой дозы.</w:t>
      </w:r>
    </w:p>
    <w:p w14:paraId="258FFD58" w14:textId="3942E870" w:rsidR="00622062" w:rsidRPr="00622062" w:rsidRDefault="00622062" w:rsidP="00622062">
      <w:pPr>
        <w:pStyle w:val="Normal1"/>
        <w:tabs>
          <w:tab w:val="left" w:pos="0"/>
        </w:tabs>
        <w:spacing w:before="0" w:line="360" w:lineRule="auto"/>
        <w:ind w:firstLine="557"/>
        <w:jc w:val="both"/>
        <w:rPr>
          <w:rFonts w:cs="Times New Roman"/>
        </w:rPr>
      </w:pPr>
      <w:r>
        <w:rPr>
          <w:rFonts w:cs="Times New Roman"/>
          <w:b/>
        </w:rPr>
        <w:t>2</w:t>
      </w:r>
      <w:r w:rsidRPr="00622062">
        <w:rPr>
          <w:rFonts w:cs="Times New Roman"/>
          <w:b/>
        </w:rPr>
        <w:t>.1.</w:t>
      </w:r>
      <w:r w:rsidRPr="00622062">
        <w:rPr>
          <w:rFonts w:cs="Times New Roman"/>
        </w:rPr>
        <w:t xml:space="preserve"> </w:t>
      </w:r>
      <w:r w:rsidRPr="00622062">
        <w:rPr>
          <w:rFonts w:cs="Times New Roman"/>
          <w:b/>
        </w:rPr>
        <w:t>Способ применения и дозы</w:t>
      </w:r>
    </w:p>
    <w:p w14:paraId="1FF6DC68" w14:textId="77777777" w:rsidR="00622062" w:rsidRPr="00622062" w:rsidRDefault="00622062" w:rsidP="00622062">
      <w:pPr>
        <w:tabs>
          <w:tab w:val="left" w:pos="0"/>
        </w:tabs>
        <w:spacing w:before="0" w:after="0"/>
        <w:ind w:firstLine="567"/>
        <w:rPr>
          <w:szCs w:val="24"/>
        </w:rPr>
      </w:pPr>
      <w:r w:rsidRPr="00622062">
        <w:rPr>
          <w:szCs w:val="24"/>
        </w:rPr>
        <w:t>В комбинации с леналидомидом и дексаметазоном рекомендуемая доза элотузумаба составляет 10 мг/кг в виде внутривенной инфузии в дни 1,8, 15, 22 в течение первых двух 28-дневных циклов и каждые две недели в последующих циклах в дни 1 и 15.</w:t>
      </w:r>
    </w:p>
    <w:p w14:paraId="5C72478A" w14:textId="77777777" w:rsidR="00622062" w:rsidRPr="00622062" w:rsidRDefault="00622062" w:rsidP="00622062">
      <w:pPr>
        <w:tabs>
          <w:tab w:val="left" w:pos="0"/>
        </w:tabs>
        <w:spacing w:before="0" w:after="0"/>
        <w:ind w:firstLine="567"/>
        <w:rPr>
          <w:szCs w:val="24"/>
        </w:rPr>
      </w:pPr>
      <w:r w:rsidRPr="00622062">
        <w:rPr>
          <w:szCs w:val="24"/>
        </w:rPr>
        <w:t>Перед введением каждой дозы препарата элотузумаба пациенты должны получать премедикацию. Премедикация проводится за 45-90 минут до введения элотузумаба следующими препаратами: 8 мг дексаметазона внутривенно, блокатор Н1-гистаминовых рецепторов: дифенгидрамин (25-50 мг внутрь или внутривенно) или аналогичный препарат; блокатор Н2-гистаминовых рецепторов: ранитидин (50 мг внутривенно или 150 мг внутрь) или аналогичный препарат; парацетамол (650-1000 мг внутрь или внутривенно).</w:t>
      </w:r>
    </w:p>
    <w:p w14:paraId="272F5718" w14:textId="77777777" w:rsidR="00622062" w:rsidRPr="00622062" w:rsidRDefault="00622062" w:rsidP="00622062">
      <w:pPr>
        <w:tabs>
          <w:tab w:val="left" w:pos="0"/>
        </w:tabs>
        <w:spacing w:before="0" w:after="0"/>
        <w:ind w:firstLine="567"/>
        <w:rPr>
          <w:szCs w:val="24"/>
        </w:rPr>
      </w:pPr>
      <w:r w:rsidRPr="00622062">
        <w:rPr>
          <w:szCs w:val="24"/>
        </w:rPr>
        <w:t>Доза элотузумаба на одно введение составляет 10 мг/кг. Скорость введения препарата увеличивается последовательно от 0.5 до 5 мл/мин, при скорости введения 5 мл/мин продолжительность инфузии составляет менее часа</w:t>
      </w:r>
    </w:p>
    <w:p w14:paraId="578C9D9D" w14:textId="45D44380" w:rsidR="00622062" w:rsidRPr="00622062" w:rsidRDefault="00622062" w:rsidP="00622062">
      <w:pPr>
        <w:tabs>
          <w:tab w:val="left" w:pos="0"/>
        </w:tabs>
        <w:spacing w:before="0" w:after="0"/>
        <w:ind w:firstLine="567"/>
        <w:rPr>
          <w:b/>
          <w:szCs w:val="24"/>
          <w:lang w:eastAsia="ru-RU"/>
        </w:rPr>
      </w:pPr>
      <w:r>
        <w:rPr>
          <w:b/>
          <w:szCs w:val="24"/>
          <w:lang w:eastAsia="ru-RU"/>
        </w:rPr>
        <w:t>3</w:t>
      </w:r>
      <w:r w:rsidRPr="00622062">
        <w:rPr>
          <w:b/>
          <w:szCs w:val="24"/>
          <w:lang w:eastAsia="ru-RU"/>
        </w:rPr>
        <w:t>. Даратумумаб</w:t>
      </w:r>
    </w:p>
    <w:p w14:paraId="48878047" w14:textId="77777777" w:rsidR="00622062" w:rsidRPr="00622062" w:rsidRDefault="00622062" w:rsidP="00622062">
      <w:pPr>
        <w:tabs>
          <w:tab w:val="left" w:pos="0"/>
        </w:tabs>
        <w:spacing w:before="0" w:after="0"/>
        <w:ind w:firstLine="567"/>
        <w:rPr>
          <w:szCs w:val="24"/>
        </w:rPr>
      </w:pPr>
      <w:r w:rsidRPr="00622062">
        <w:rPr>
          <w:szCs w:val="24"/>
        </w:rPr>
        <w:t xml:space="preserve">Даратумумаб является человеческим иммуноглобулином (IgG1), моноклональным антителом, которое связывается с CD38, антигеном, экспрессируемым на поверхности миеломных клеток. Действие даратумумаба на опухоль реализуется через несколько CD38-опосредованных иммунных механизмов (комплемент-зависимая цитотоксичность, </w:t>
      </w:r>
      <w:r w:rsidRPr="00622062">
        <w:rPr>
          <w:szCs w:val="24"/>
        </w:rPr>
        <w:lastRenderedPageBreak/>
        <w:t>антителозависимая клеточно-опосредованная цитотоксичность и антителозависимый фагоцитоз), апоптоз и модуляцию ферментативной активности CD38.</w:t>
      </w:r>
    </w:p>
    <w:p w14:paraId="11510FC5" w14:textId="77777777" w:rsidR="00622062" w:rsidRPr="00622062" w:rsidRDefault="00622062" w:rsidP="00622062">
      <w:pPr>
        <w:tabs>
          <w:tab w:val="left" w:pos="0"/>
        </w:tabs>
        <w:spacing w:before="0" w:after="0"/>
        <w:ind w:firstLine="567"/>
        <w:rPr>
          <w:szCs w:val="24"/>
        </w:rPr>
      </w:pPr>
      <w:r w:rsidRPr="00622062">
        <w:rPr>
          <w:szCs w:val="24"/>
        </w:rPr>
        <w:t>Нормальные лимфоидные, миелоидные и некоторые негемопоэтические клетки и ткани экспрессируют низкие уровни CD38, тем не менее, именно миеломные клетки сверхэкспрессируют этот белок, что создает клиническое обоснование использования даратумумаба в качестве терапевтической мишени при множественной миеломе. Даратумумаб также оказывает иммуномодулирующий эффект, который минимизирует иммунносупрессивные функции CD38-положительных клеток-супрессоров миелоидного происхождения, регуляторных T- и B-лимфоцитов, и увеличивает клональную экспансию Т-лимфоцитов.</w:t>
      </w:r>
    </w:p>
    <w:p w14:paraId="6DD6A239" w14:textId="77777777" w:rsidR="00622062" w:rsidRPr="00622062" w:rsidRDefault="00622062" w:rsidP="00622062">
      <w:pPr>
        <w:tabs>
          <w:tab w:val="left" w:pos="0"/>
        </w:tabs>
        <w:spacing w:before="0" w:after="0"/>
        <w:ind w:firstLine="567"/>
        <w:rPr>
          <w:szCs w:val="24"/>
        </w:rPr>
      </w:pPr>
      <w:r w:rsidRPr="00622062">
        <w:rPr>
          <w:szCs w:val="24"/>
        </w:rPr>
        <w:t>Даратумумаб может вызвать серьезные инфузионные реакции, включая анафилактические.</w:t>
      </w:r>
    </w:p>
    <w:p w14:paraId="5E1A649C" w14:textId="77777777" w:rsidR="00622062" w:rsidRPr="00622062" w:rsidRDefault="00622062" w:rsidP="00622062">
      <w:pPr>
        <w:tabs>
          <w:tab w:val="left" w:pos="0"/>
        </w:tabs>
        <w:spacing w:before="0" w:after="0"/>
        <w:ind w:firstLine="567"/>
        <w:rPr>
          <w:szCs w:val="24"/>
        </w:rPr>
      </w:pPr>
      <w:r w:rsidRPr="00622062">
        <w:rPr>
          <w:szCs w:val="24"/>
        </w:rPr>
        <w:t>В ходе клинических исследований было сообщено о развитии инфузионных реакций примерно у половины пациентов, которым вводился даратумумаб.</w:t>
      </w:r>
    </w:p>
    <w:p w14:paraId="359290E9" w14:textId="77777777" w:rsidR="00622062" w:rsidRPr="00622062" w:rsidRDefault="00622062" w:rsidP="00622062">
      <w:pPr>
        <w:tabs>
          <w:tab w:val="left" w:pos="0"/>
        </w:tabs>
        <w:spacing w:before="0" w:after="0"/>
        <w:ind w:firstLine="567"/>
        <w:rPr>
          <w:szCs w:val="24"/>
        </w:rPr>
      </w:pPr>
      <w:r w:rsidRPr="00622062">
        <w:rPr>
          <w:szCs w:val="24"/>
        </w:rPr>
        <w:t>В большинстве случаев инфузионные реакции развивались при первой инфузии и были 1–2-й степени. У 4% пациентов инфузионные реакции наблюдались в ходе более чем одной инфузии. Развивались также серьезные реакции, включая бронхоспазм, гипоксию, одышку, гипертензию, отек гортани и отек легких. Клинические проявления могут быть представлены респираторными симптомами, например заложенностью носа, кашлем, першением в горле, а также ознобом, рвотой и тошнотой. Менее частые симптомы были представлены свистящим дыханием, аллергическим ринитом, повышением температуры тела, дискомфортом в грудной клетке, зудом и артериальной гипотензией.</w:t>
      </w:r>
    </w:p>
    <w:p w14:paraId="52CE051F" w14:textId="77777777" w:rsidR="00622062" w:rsidRPr="00622062" w:rsidRDefault="00622062" w:rsidP="00622062">
      <w:pPr>
        <w:tabs>
          <w:tab w:val="left" w:pos="0"/>
        </w:tabs>
        <w:spacing w:before="0" w:after="0"/>
        <w:ind w:firstLine="567"/>
        <w:rPr>
          <w:szCs w:val="24"/>
        </w:rPr>
      </w:pPr>
      <w:r w:rsidRPr="00622062">
        <w:rPr>
          <w:szCs w:val="24"/>
        </w:rPr>
        <w:t>Для снижения риска инфузионных реакций при лечении даратумумабом пациентам необходимо назначить премедикацию с использованием антигистаминных, жаропонижающих лекарственные средства и кортикостероидов. При развитии инфузионных реакций любой степени тяжести введение даратумумаба необходимо приостановить и при необходимости начать соответствующее медикаментозное и поддерживающее лечение. Пациентам, у которых развились инфузионные реакции 1, 2 или 3-й степени, следует снизить скорость введения при возобновлении инфузии. При развитии анафилактической реакции или жизнеугрожающей инфузионной реакции 4-й степени необходимо окончательно прекратить введение даратумумаба и оказать необходимую экстренную помощь.</w:t>
      </w:r>
    </w:p>
    <w:p w14:paraId="44A7653B" w14:textId="77777777" w:rsidR="00622062" w:rsidRPr="00622062" w:rsidRDefault="00622062" w:rsidP="00622062">
      <w:pPr>
        <w:tabs>
          <w:tab w:val="left" w:pos="0"/>
        </w:tabs>
        <w:spacing w:before="0" w:after="0"/>
        <w:ind w:firstLine="567"/>
        <w:rPr>
          <w:szCs w:val="24"/>
        </w:rPr>
      </w:pPr>
      <w:r w:rsidRPr="00622062">
        <w:rPr>
          <w:szCs w:val="24"/>
        </w:rPr>
        <w:lastRenderedPageBreak/>
        <w:t>Для снижения риска развития отсроченных инфузионных реакций следует назначить пероральные кортикостероиды всем пациентам, получающим инфузию даратумумаба. Кроме того, пациентам с хронической обструктивной болезнью легких в анамнезе для терапии легочных осложнений в случае их развития следует дополнительно решить вопрос о применении дополнительных ЛС после инфузии (например ингаляционные кортикостероиды, короткодействующие и длительнодействующие бронходилататоры).</w:t>
      </w:r>
    </w:p>
    <w:p w14:paraId="64E362A5" w14:textId="77777777" w:rsidR="00622062" w:rsidRPr="00622062" w:rsidRDefault="00622062" w:rsidP="00622062">
      <w:pPr>
        <w:tabs>
          <w:tab w:val="left" w:pos="0"/>
        </w:tabs>
        <w:spacing w:before="0" w:after="0"/>
        <w:ind w:firstLine="567"/>
        <w:rPr>
          <w:szCs w:val="24"/>
        </w:rPr>
      </w:pPr>
      <w:r w:rsidRPr="00622062">
        <w:rPr>
          <w:szCs w:val="24"/>
        </w:rPr>
        <w:t>Известно, что CD38 экспрессируется на эритроцитах в малых количествах; при связывании даратумумаба с CD38 в непрямой реакции Кумбса при подготовке к переливанию крови наблюдают панагглютинацию или CD38-положительную агглютинацию. Даратумумаб не влияет на определение антигенов в реакциях прямой агглютинации, в которых применяют реактивы с полными (IgM) антителами (систем ABO, Резус, Келл, MNS, Кидд). Методов устранения влияния даратумумаба на результаты серологических тестов несколько: нейтрализация анти-CD38 антител в плазме или сыворотке больного антиидиотипическими антителами к даратумумабу; денатурация CD38 эритроцитов сульфоредуцентами (дитиотреитолом). Другие стратегии – расширенное фенотипирование – определение антигенов эритроцитов с использованием моно- или поликлональных антител до введения даратумумаба. Генотипирование – типирование генов эритроцитарных антигенов (предпочтительно, если фенотипирование невозможно).</w:t>
      </w:r>
    </w:p>
    <w:p w14:paraId="024C4876" w14:textId="3D571AEA" w:rsidR="00622062" w:rsidRPr="00622062" w:rsidRDefault="00622062" w:rsidP="00622062">
      <w:pPr>
        <w:pStyle w:val="Normal1"/>
        <w:tabs>
          <w:tab w:val="left" w:pos="0"/>
        </w:tabs>
        <w:spacing w:before="0" w:line="360" w:lineRule="auto"/>
        <w:ind w:firstLine="557"/>
        <w:jc w:val="both"/>
        <w:rPr>
          <w:rFonts w:cs="Times New Roman"/>
          <w:b/>
        </w:rPr>
      </w:pPr>
      <w:r>
        <w:rPr>
          <w:rFonts w:cs="Times New Roman"/>
          <w:b/>
        </w:rPr>
        <w:t>2</w:t>
      </w:r>
      <w:r w:rsidRPr="00622062">
        <w:rPr>
          <w:rFonts w:cs="Times New Roman"/>
          <w:b/>
        </w:rPr>
        <w:t>.1.</w:t>
      </w:r>
      <w:r w:rsidRPr="00622062">
        <w:rPr>
          <w:rFonts w:cs="Times New Roman"/>
        </w:rPr>
        <w:t xml:space="preserve"> </w:t>
      </w:r>
      <w:r w:rsidRPr="00622062">
        <w:rPr>
          <w:rFonts w:cs="Times New Roman"/>
          <w:b/>
        </w:rPr>
        <w:t>Способ применения и дозы</w:t>
      </w:r>
    </w:p>
    <w:p w14:paraId="4384754A" w14:textId="77777777" w:rsidR="00622062" w:rsidRPr="00622062" w:rsidRDefault="00622062" w:rsidP="00622062">
      <w:pPr>
        <w:pStyle w:val="Normal1"/>
        <w:tabs>
          <w:tab w:val="left" w:pos="0"/>
        </w:tabs>
        <w:spacing w:before="0" w:line="360" w:lineRule="auto"/>
        <w:ind w:firstLine="557"/>
        <w:jc w:val="both"/>
        <w:rPr>
          <w:rFonts w:cs="Times New Roman"/>
        </w:rPr>
      </w:pPr>
      <w:r w:rsidRPr="00622062">
        <w:rPr>
          <w:rFonts w:cs="Times New Roman"/>
        </w:rPr>
        <w:t>Даратумумаб вводится внутривенно в виде пролонгированной инфузии в дозе 16 мг/кг, в монорежиме введение осуществляется в 1,8,15,22 дни 28 дневного курса - первые 2 курса, затем в 1 и 15 дни 28 дневного курса - с 3 по 6 курс, затем в 1 день 28 дневного курса – начиная с 7 курса до прогрессии.</w:t>
      </w:r>
    </w:p>
    <w:p w14:paraId="4B9467FC" w14:textId="77777777" w:rsidR="00622062" w:rsidRPr="00622062" w:rsidRDefault="00622062" w:rsidP="00622062">
      <w:pPr>
        <w:pStyle w:val="Normal1"/>
        <w:tabs>
          <w:tab w:val="left" w:pos="0"/>
        </w:tabs>
        <w:spacing w:before="0" w:line="360" w:lineRule="auto"/>
        <w:ind w:firstLine="557"/>
        <w:jc w:val="both"/>
        <w:rPr>
          <w:rFonts w:cs="Times New Roman"/>
        </w:rPr>
      </w:pPr>
      <w:r w:rsidRPr="00622062">
        <w:rPr>
          <w:rFonts w:cs="Times New Roman"/>
        </w:rPr>
        <w:t>Рекомендуемый режим введения даратумумаба представлен в таблице 1.</w:t>
      </w:r>
    </w:p>
    <w:p w14:paraId="1765FFB2" w14:textId="77777777" w:rsidR="00622062" w:rsidRPr="00622062" w:rsidRDefault="00622062" w:rsidP="00622062">
      <w:pPr>
        <w:pStyle w:val="Normal1"/>
        <w:tabs>
          <w:tab w:val="left" w:pos="0"/>
        </w:tabs>
        <w:spacing w:before="0" w:line="360" w:lineRule="auto"/>
        <w:ind w:firstLine="557"/>
        <w:jc w:val="both"/>
        <w:rPr>
          <w:rFonts w:cs="Times New Roman"/>
        </w:rPr>
      </w:pPr>
      <w:r w:rsidRPr="00622062">
        <w:rPr>
          <w:rFonts w:cs="Times New Roman"/>
          <w:b/>
        </w:rPr>
        <w:t>Таблица 1 . Скорость введения даратумумаба</w:t>
      </w:r>
    </w:p>
    <w:tbl>
      <w:tblPr>
        <w:tblW w:w="9498" w:type="dxa"/>
        <w:tblInd w:w="108" w:type="dxa"/>
        <w:tblLayout w:type="fixed"/>
        <w:tblCellMar>
          <w:left w:w="0" w:type="dxa"/>
          <w:right w:w="0" w:type="dxa"/>
        </w:tblCellMar>
        <w:tblLook w:val="0420" w:firstRow="1" w:lastRow="0" w:firstColumn="0" w:lastColumn="0" w:noHBand="0" w:noVBand="1"/>
      </w:tblPr>
      <w:tblGrid>
        <w:gridCol w:w="1701"/>
        <w:gridCol w:w="1701"/>
        <w:gridCol w:w="1701"/>
        <w:gridCol w:w="1701"/>
        <w:gridCol w:w="1276"/>
        <w:gridCol w:w="1418"/>
      </w:tblGrid>
      <w:tr w:rsidR="00622062" w:rsidRPr="00622062" w14:paraId="199F5203" w14:textId="77777777" w:rsidTr="00622062">
        <w:trPr>
          <w:trHeight w:val="1391"/>
        </w:trPr>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3F0F1EA4" w14:textId="77777777" w:rsidR="00622062" w:rsidRPr="00622062" w:rsidRDefault="00622062" w:rsidP="00622062">
            <w:pPr>
              <w:spacing w:before="0" w:after="0" w:line="240" w:lineRule="auto"/>
              <w:rPr>
                <w:rFonts w:eastAsia="Times New Roman"/>
                <w:szCs w:val="24"/>
                <w:lang w:eastAsia="ru-RU"/>
              </w:rPr>
            </w:pP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42173E4A" w14:textId="77777777" w:rsidR="00622062" w:rsidRPr="00622062" w:rsidRDefault="00622062" w:rsidP="00622062">
            <w:pPr>
              <w:spacing w:before="0" w:after="0"/>
              <w:rPr>
                <w:rFonts w:eastAsia="Times New Roman"/>
                <w:szCs w:val="24"/>
                <w:lang w:eastAsia="ru-RU"/>
              </w:rPr>
            </w:pPr>
            <w:r w:rsidRPr="00622062">
              <w:rPr>
                <w:bCs/>
                <w:color w:val="000000" w:themeColor="text1"/>
                <w:kern w:val="24"/>
                <w:szCs w:val="24"/>
                <w:lang w:eastAsia="ru-RU"/>
              </w:rPr>
              <w:t>Объем растворителя</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10BD6604" w14:textId="77777777" w:rsidR="00622062" w:rsidRPr="00622062" w:rsidRDefault="00622062" w:rsidP="00622062">
            <w:pPr>
              <w:spacing w:before="0" w:after="0"/>
              <w:rPr>
                <w:rFonts w:eastAsia="Times New Roman"/>
                <w:szCs w:val="24"/>
                <w:lang w:eastAsia="ru-RU"/>
              </w:rPr>
            </w:pPr>
            <w:r w:rsidRPr="00622062">
              <w:rPr>
                <w:rFonts w:eastAsia="Times New Roman"/>
                <w:bCs/>
                <w:color w:val="000000" w:themeColor="text1"/>
                <w:kern w:val="24"/>
                <w:szCs w:val="24"/>
                <w:lang w:eastAsia="ru-RU"/>
              </w:rPr>
              <w:t>Начальная скорость</w:t>
            </w:r>
          </w:p>
          <w:p w14:paraId="4CFF65B8" w14:textId="77777777" w:rsidR="00622062" w:rsidRPr="00622062" w:rsidRDefault="00622062" w:rsidP="00622062">
            <w:pPr>
              <w:spacing w:before="0" w:after="0"/>
              <w:rPr>
                <w:rFonts w:eastAsia="Times New Roman"/>
                <w:szCs w:val="24"/>
                <w:lang w:eastAsia="ru-RU"/>
              </w:rPr>
            </w:pPr>
            <w:r w:rsidRPr="00622062">
              <w:rPr>
                <w:bCs/>
                <w:color w:val="000000" w:themeColor="text1"/>
                <w:kern w:val="24"/>
                <w:szCs w:val="24"/>
                <w:lang w:val="en-US" w:eastAsia="ru-RU"/>
              </w:rPr>
              <w:t>(</w:t>
            </w:r>
            <w:r w:rsidRPr="00622062">
              <w:rPr>
                <w:bCs/>
                <w:color w:val="000000" w:themeColor="text1"/>
                <w:kern w:val="24"/>
                <w:szCs w:val="24"/>
                <w:lang w:eastAsia="ru-RU"/>
              </w:rPr>
              <w:t>первый час</w:t>
            </w:r>
            <w:r w:rsidRPr="00622062">
              <w:rPr>
                <w:bCs/>
                <w:color w:val="000000" w:themeColor="text1"/>
                <w:kern w:val="24"/>
                <w:szCs w:val="24"/>
                <w:lang w:val="en-US" w:eastAsia="ru-RU"/>
              </w:rPr>
              <w:t>)</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7CEE1B82" w14:textId="77777777" w:rsidR="00622062" w:rsidRPr="00622062" w:rsidRDefault="00622062" w:rsidP="00622062">
            <w:pPr>
              <w:spacing w:before="0" w:after="0"/>
              <w:rPr>
                <w:rFonts w:eastAsia="Times New Roman"/>
                <w:szCs w:val="24"/>
                <w:lang w:eastAsia="ru-RU"/>
              </w:rPr>
            </w:pPr>
            <w:r w:rsidRPr="00622062">
              <w:rPr>
                <w:bCs/>
                <w:color w:val="000000" w:themeColor="text1"/>
                <w:kern w:val="24"/>
                <w:szCs w:val="24"/>
                <w:lang w:eastAsia="ru-RU"/>
              </w:rPr>
              <w:t>Увеличение дозы</w:t>
            </w:r>
          </w:p>
        </w:tc>
        <w:tc>
          <w:tcPr>
            <w:tcW w:w="1276"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55A237FF" w14:textId="77777777" w:rsidR="00622062" w:rsidRPr="00622062" w:rsidRDefault="00622062" w:rsidP="00622062">
            <w:pPr>
              <w:spacing w:before="0" w:after="0"/>
              <w:rPr>
                <w:rFonts w:eastAsia="Times New Roman"/>
                <w:szCs w:val="24"/>
                <w:lang w:eastAsia="ru-RU"/>
              </w:rPr>
            </w:pPr>
            <w:r w:rsidRPr="00622062">
              <w:rPr>
                <w:bCs/>
                <w:color w:val="000000" w:themeColor="text1"/>
                <w:kern w:val="24"/>
                <w:szCs w:val="24"/>
                <w:lang w:eastAsia="ru-RU"/>
              </w:rPr>
              <w:t>Макс. скорость</w:t>
            </w:r>
          </w:p>
        </w:tc>
        <w:tc>
          <w:tcPr>
            <w:tcW w:w="1418"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4B4B0F86" w14:textId="77777777" w:rsidR="00622062" w:rsidRPr="00622062" w:rsidRDefault="00622062" w:rsidP="00622062">
            <w:pPr>
              <w:spacing w:before="0" w:after="0"/>
              <w:rPr>
                <w:rFonts w:eastAsia="Times New Roman"/>
                <w:szCs w:val="24"/>
                <w:lang w:eastAsia="ru-RU"/>
              </w:rPr>
            </w:pPr>
            <w:r w:rsidRPr="00622062">
              <w:rPr>
                <w:bCs/>
                <w:color w:val="000000" w:themeColor="text1"/>
                <w:kern w:val="24"/>
                <w:szCs w:val="24"/>
                <w:lang w:eastAsia="ru-RU"/>
              </w:rPr>
              <w:t>Время введения</w:t>
            </w:r>
          </w:p>
        </w:tc>
      </w:tr>
      <w:tr w:rsidR="00622062" w:rsidRPr="00622062" w14:paraId="54AE80EB" w14:textId="77777777" w:rsidTr="00622062">
        <w:trPr>
          <w:trHeight w:val="1450"/>
        </w:trPr>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1019F7C3" w14:textId="77777777" w:rsidR="00622062" w:rsidRPr="00622062" w:rsidRDefault="00622062" w:rsidP="00622062">
            <w:pPr>
              <w:spacing w:before="0" w:after="0"/>
              <w:rPr>
                <w:rFonts w:eastAsia="Times New Roman"/>
                <w:szCs w:val="24"/>
                <w:lang w:eastAsia="ru-RU"/>
              </w:rPr>
            </w:pPr>
            <w:r w:rsidRPr="00622062">
              <w:rPr>
                <w:rFonts w:eastAsia="Times New Roman"/>
                <w:bCs/>
                <w:color w:val="000000" w:themeColor="text1"/>
                <w:kern w:val="24"/>
                <w:szCs w:val="24"/>
                <w:lang w:eastAsia="ru-RU"/>
              </w:rPr>
              <w:t>Первое введение</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4F42AFEF" w14:textId="77777777" w:rsidR="00622062" w:rsidRPr="00622062" w:rsidRDefault="00622062" w:rsidP="00622062">
            <w:pPr>
              <w:spacing w:before="0" w:after="0"/>
              <w:rPr>
                <w:rFonts w:eastAsia="Times New Roman"/>
                <w:szCs w:val="24"/>
                <w:lang w:eastAsia="ru-RU"/>
              </w:rPr>
            </w:pPr>
            <w:r w:rsidRPr="00622062">
              <w:rPr>
                <w:rFonts w:eastAsia="Times New Roman"/>
                <w:color w:val="000000" w:themeColor="text1"/>
                <w:kern w:val="24"/>
                <w:szCs w:val="24"/>
                <w:lang w:val="en-US" w:eastAsia="ru-RU"/>
              </w:rPr>
              <w:t xml:space="preserve">1000 </w:t>
            </w:r>
            <w:r w:rsidRPr="00622062">
              <w:rPr>
                <w:rFonts w:eastAsia="Times New Roman"/>
                <w:color w:val="000000" w:themeColor="text1"/>
                <w:kern w:val="24"/>
                <w:szCs w:val="24"/>
                <w:lang w:eastAsia="ru-RU"/>
              </w:rPr>
              <w:t>мл</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4C64313A" w14:textId="77777777" w:rsidR="00622062" w:rsidRPr="00622062" w:rsidRDefault="00622062" w:rsidP="00622062">
            <w:pPr>
              <w:spacing w:before="0" w:after="0"/>
              <w:rPr>
                <w:rFonts w:eastAsia="Times New Roman"/>
                <w:szCs w:val="24"/>
                <w:lang w:eastAsia="ru-RU"/>
              </w:rPr>
            </w:pPr>
            <w:r w:rsidRPr="00622062">
              <w:rPr>
                <w:rFonts w:eastAsia="Times New Roman"/>
                <w:color w:val="000000" w:themeColor="text1"/>
                <w:kern w:val="24"/>
                <w:szCs w:val="24"/>
                <w:lang w:val="en-US" w:eastAsia="ru-RU"/>
              </w:rPr>
              <w:t xml:space="preserve">50 </w:t>
            </w:r>
            <w:r w:rsidRPr="00622062">
              <w:rPr>
                <w:rFonts w:eastAsia="Times New Roman"/>
                <w:color w:val="000000" w:themeColor="text1"/>
                <w:kern w:val="24"/>
                <w:szCs w:val="24"/>
                <w:lang w:eastAsia="ru-RU"/>
              </w:rPr>
              <w:t>мл</w:t>
            </w:r>
            <w:r w:rsidRPr="00622062">
              <w:rPr>
                <w:rFonts w:eastAsia="Times New Roman"/>
                <w:color w:val="000000" w:themeColor="text1"/>
                <w:kern w:val="24"/>
                <w:szCs w:val="24"/>
                <w:lang w:val="en-US" w:eastAsia="ru-RU"/>
              </w:rPr>
              <w:t>/</w:t>
            </w:r>
            <w:r w:rsidRPr="00622062">
              <w:rPr>
                <w:rFonts w:eastAsia="Times New Roman"/>
                <w:color w:val="000000" w:themeColor="text1"/>
                <w:kern w:val="24"/>
                <w:szCs w:val="24"/>
                <w:lang w:eastAsia="ru-RU"/>
              </w:rPr>
              <w:t>час</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3AC149E6" w14:textId="77777777" w:rsidR="00622062" w:rsidRPr="00622062" w:rsidRDefault="00622062" w:rsidP="00622062">
            <w:pPr>
              <w:spacing w:before="0" w:after="0"/>
              <w:rPr>
                <w:rFonts w:eastAsia="Times New Roman"/>
                <w:szCs w:val="24"/>
                <w:lang w:eastAsia="ru-RU"/>
              </w:rPr>
            </w:pPr>
            <w:r w:rsidRPr="00622062">
              <w:rPr>
                <w:color w:val="000000" w:themeColor="text1"/>
                <w:kern w:val="24"/>
                <w:szCs w:val="24"/>
                <w:lang w:val="en-US" w:eastAsia="ru-RU"/>
              </w:rPr>
              <w:t xml:space="preserve">50 </w:t>
            </w:r>
            <w:r w:rsidRPr="00622062">
              <w:rPr>
                <w:rFonts w:eastAsia="Times New Roman"/>
                <w:color w:val="000000" w:themeColor="text1"/>
                <w:kern w:val="24"/>
                <w:szCs w:val="24"/>
                <w:lang w:eastAsia="ru-RU"/>
              </w:rPr>
              <w:t>мл</w:t>
            </w:r>
            <w:r w:rsidRPr="00622062">
              <w:rPr>
                <w:rFonts w:eastAsia="Times New Roman"/>
                <w:color w:val="000000" w:themeColor="text1"/>
                <w:kern w:val="24"/>
                <w:szCs w:val="24"/>
                <w:lang w:val="en-US" w:eastAsia="ru-RU"/>
              </w:rPr>
              <w:t>/</w:t>
            </w:r>
            <w:r w:rsidRPr="00622062">
              <w:rPr>
                <w:rFonts w:eastAsia="Times New Roman"/>
                <w:color w:val="000000" w:themeColor="text1"/>
                <w:kern w:val="24"/>
                <w:szCs w:val="24"/>
                <w:lang w:eastAsia="ru-RU"/>
              </w:rPr>
              <w:t>час</w:t>
            </w:r>
          </w:p>
          <w:p w14:paraId="243CCF81" w14:textId="77777777" w:rsidR="00622062" w:rsidRPr="00622062" w:rsidRDefault="00622062" w:rsidP="00622062">
            <w:pPr>
              <w:spacing w:before="0" w:after="0"/>
              <w:rPr>
                <w:rFonts w:eastAsia="Times New Roman"/>
                <w:szCs w:val="24"/>
                <w:lang w:eastAsia="ru-RU"/>
              </w:rPr>
            </w:pPr>
            <w:r w:rsidRPr="00622062">
              <w:rPr>
                <w:color w:val="000000" w:themeColor="text1"/>
                <w:kern w:val="24"/>
                <w:szCs w:val="24"/>
                <w:lang w:eastAsia="ru-RU"/>
              </w:rPr>
              <w:t>каждый час</w:t>
            </w:r>
          </w:p>
        </w:tc>
        <w:tc>
          <w:tcPr>
            <w:tcW w:w="1276"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4BF13E43" w14:textId="77777777" w:rsidR="00622062" w:rsidRPr="00622062" w:rsidRDefault="00622062" w:rsidP="00622062">
            <w:pPr>
              <w:spacing w:before="0" w:after="0"/>
              <w:rPr>
                <w:rFonts w:eastAsia="Times New Roman"/>
                <w:szCs w:val="24"/>
                <w:lang w:eastAsia="ru-RU"/>
              </w:rPr>
            </w:pPr>
            <w:r w:rsidRPr="00622062">
              <w:rPr>
                <w:color w:val="000000" w:themeColor="text1"/>
                <w:kern w:val="24"/>
                <w:szCs w:val="24"/>
                <w:lang w:val="en-US" w:eastAsia="ru-RU"/>
              </w:rPr>
              <w:t xml:space="preserve">200 </w:t>
            </w:r>
            <w:r w:rsidRPr="00622062">
              <w:rPr>
                <w:rFonts w:eastAsia="Times New Roman"/>
                <w:color w:val="000000" w:themeColor="text1"/>
                <w:kern w:val="24"/>
                <w:szCs w:val="24"/>
                <w:lang w:eastAsia="ru-RU"/>
              </w:rPr>
              <w:t>мл</w:t>
            </w:r>
            <w:r w:rsidRPr="00622062">
              <w:rPr>
                <w:rFonts w:eastAsia="Times New Roman"/>
                <w:color w:val="000000" w:themeColor="text1"/>
                <w:kern w:val="24"/>
                <w:szCs w:val="24"/>
                <w:lang w:val="en-US" w:eastAsia="ru-RU"/>
              </w:rPr>
              <w:t>/</w:t>
            </w:r>
            <w:r w:rsidRPr="00622062">
              <w:rPr>
                <w:rFonts w:eastAsia="Times New Roman"/>
                <w:color w:val="000000" w:themeColor="text1"/>
                <w:kern w:val="24"/>
                <w:szCs w:val="24"/>
                <w:lang w:eastAsia="ru-RU"/>
              </w:rPr>
              <w:t>час</w:t>
            </w:r>
          </w:p>
        </w:tc>
        <w:tc>
          <w:tcPr>
            <w:tcW w:w="1418"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00EE653D" w14:textId="77777777" w:rsidR="00622062" w:rsidRPr="00622062" w:rsidRDefault="00622062" w:rsidP="00622062">
            <w:pPr>
              <w:spacing w:before="0" w:after="0"/>
              <w:rPr>
                <w:rFonts w:eastAsia="Times New Roman"/>
                <w:szCs w:val="24"/>
                <w:lang w:eastAsia="ru-RU"/>
              </w:rPr>
            </w:pPr>
            <w:r w:rsidRPr="00622062">
              <w:rPr>
                <w:color w:val="000000" w:themeColor="text1"/>
                <w:kern w:val="24"/>
                <w:szCs w:val="24"/>
                <w:lang w:eastAsia="ru-RU"/>
              </w:rPr>
              <w:t xml:space="preserve">7 ч </w:t>
            </w:r>
          </w:p>
        </w:tc>
      </w:tr>
      <w:tr w:rsidR="00622062" w:rsidRPr="00622062" w14:paraId="72C99D64" w14:textId="77777777" w:rsidTr="00622062">
        <w:trPr>
          <w:trHeight w:val="1450"/>
        </w:trPr>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45949435" w14:textId="77777777" w:rsidR="00622062" w:rsidRPr="00622062" w:rsidRDefault="00622062" w:rsidP="00622062">
            <w:pPr>
              <w:spacing w:before="0" w:after="0"/>
              <w:rPr>
                <w:rFonts w:eastAsia="Times New Roman"/>
                <w:szCs w:val="24"/>
                <w:lang w:eastAsia="ru-RU"/>
              </w:rPr>
            </w:pPr>
            <w:r w:rsidRPr="00622062">
              <w:rPr>
                <w:bCs/>
                <w:color w:val="000000" w:themeColor="text1"/>
                <w:kern w:val="24"/>
                <w:szCs w:val="24"/>
                <w:lang w:eastAsia="ru-RU"/>
              </w:rPr>
              <w:lastRenderedPageBreak/>
              <w:t>Второе введение</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70069C94" w14:textId="77777777" w:rsidR="00622062" w:rsidRPr="00622062" w:rsidRDefault="00622062" w:rsidP="00622062">
            <w:pPr>
              <w:spacing w:before="0" w:after="0"/>
              <w:rPr>
                <w:rFonts w:eastAsia="Times New Roman"/>
                <w:szCs w:val="24"/>
                <w:lang w:eastAsia="ru-RU"/>
              </w:rPr>
            </w:pPr>
            <w:r w:rsidRPr="00622062">
              <w:rPr>
                <w:color w:val="000000" w:themeColor="text1"/>
                <w:kern w:val="24"/>
                <w:szCs w:val="24"/>
                <w:lang w:val="en-US" w:eastAsia="ru-RU"/>
              </w:rPr>
              <w:t xml:space="preserve">500 </w:t>
            </w:r>
            <w:r w:rsidRPr="00622062">
              <w:rPr>
                <w:color w:val="000000" w:themeColor="text1"/>
                <w:kern w:val="24"/>
                <w:szCs w:val="24"/>
                <w:lang w:eastAsia="ru-RU"/>
              </w:rPr>
              <w:t>мл</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48B1C61D" w14:textId="77777777" w:rsidR="00622062" w:rsidRPr="00622062" w:rsidRDefault="00622062" w:rsidP="00622062">
            <w:pPr>
              <w:spacing w:before="0" w:after="0"/>
              <w:rPr>
                <w:rFonts w:eastAsia="Times New Roman"/>
                <w:szCs w:val="24"/>
                <w:lang w:eastAsia="ru-RU"/>
              </w:rPr>
            </w:pPr>
            <w:r w:rsidRPr="00622062">
              <w:rPr>
                <w:rFonts w:eastAsia="Times New Roman"/>
                <w:color w:val="000000" w:themeColor="text1"/>
                <w:kern w:val="24"/>
                <w:szCs w:val="24"/>
                <w:lang w:val="en-US" w:eastAsia="ru-RU"/>
              </w:rPr>
              <w:t xml:space="preserve">50 </w:t>
            </w:r>
            <w:r w:rsidRPr="00622062">
              <w:rPr>
                <w:rFonts w:eastAsia="Times New Roman"/>
                <w:color w:val="000000" w:themeColor="text1"/>
                <w:kern w:val="24"/>
                <w:szCs w:val="24"/>
                <w:lang w:eastAsia="ru-RU"/>
              </w:rPr>
              <w:t>мл</w:t>
            </w:r>
            <w:r w:rsidRPr="00622062">
              <w:rPr>
                <w:rFonts w:eastAsia="Times New Roman"/>
                <w:color w:val="000000" w:themeColor="text1"/>
                <w:kern w:val="24"/>
                <w:szCs w:val="24"/>
                <w:lang w:val="en-US" w:eastAsia="ru-RU"/>
              </w:rPr>
              <w:t>/</w:t>
            </w:r>
            <w:r w:rsidRPr="00622062">
              <w:rPr>
                <w:rFonts w:eastAsia="Times New Roman"/>
                <w:color w:val="000000" w:themeColor="text1"/>
                <w:kern w:val="24"/>
                <w:szCs w:val="24"/>
                <w:lang w:eastAsia="ru-RU"/>
              </w:rPr>
              <w:t>час</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670A1309" w14:textId="77777777" w:rsidR="00622062" w:rsidRPr="00622062" w:rsidRDefault="00622062" w:rsidP="00622062">
            <w:pPr>
              <w:spacing w:before="0" w:after="0"/>
              <w:rPr>
                <w:rFonts w:eastAsia="Times New Roman"/>
                <w:szCs w:val="24"/>
                <w:lang w:eastAsia="ru-RU"/>
              </w:rPr>
            </w:pPr>
            <w:r w:rsidRPr="00622062">
              <w:rPr>
                <w:rFonts w:eastAsia="Times New Roman"/>
                <w:color w:val="000000" w:themeColor="text1"/>
                <w:kern w:val="24"/>
                <w:szCs w:val="24"/>
                <w:lang w:val="en-US" w:eastAsia="ru-RU"/>
              </w:rPr>
              <w:t xml:space="preserve">50 </w:t>
            </w:r>
            <w:r w:rsidRPr="00622062">
              <w:rPr>
                <w:rFonts w:eastAsia="Times New Roman"/>
                <w:color w:val="000000" w:themeColor="text1"/>
                <w:kern w:val="24"/>
                <w:szCs w:val="24"/>
                <w:lang w:eastAsia="ru-RU"/>
              </w:rPr>
              <w:t>мл</w:t>
            </w:r>
            <w:r w:rsidRPr="00622062">
              <w:rPr>
                <w:rFonts w:eastAsia="Times New Roman"/>
                <w:color w:val="000000" w:themeColor="text1"/>
                <w:kern w:val="24"/>
                <w:szCs w:val="24"/>
                <w:lang w:val="en-US" w:eastAsia="ru-RU"/>
              </w:rPr>
              <w:t>/</w:t>
            </w:r>
            <w:r w:rsidRPr="00622062">
              <w:rPr>
                <w:rFonts w:eastAsia="Times New Roman"/>
                <w:color w:val="000000" w:themeColor="text1"/>
                <w:kern w:val="24"/>
                <w:szCs w:val="24"/>
                <w:lang w:eastAsia="ru-RU"/>
              </w:rPr>
              <w:t>час</w:t>
            </w:r>
          </w:p>
          <w:p w14:paraId="08892B92" w14:textId="77777777" w:rsidR="00622062" w:rsidRPr="00622062" w:rsidRDefault="00622062" w:rsidP="00622062">
            <w:pPr>
              <w:spacing w:before="0" w:after="0"/>
              <w:rPr>
                <w:rFonts w:eastAsia="Times New Roman"/>
                <w:szCs w:val="24"/>
                <w:lang w:eastAsia="ru-RU"/>
              </w:rPr>
            </w:pPr>
            <w:r w:rsidRPr="00622062">
              <w:rPr>
                <w:color w:val="000000" w:themeColor="text1"/>
                <w:kern w:val="24"/>
                <w:szCs w:val="24"/>
                <w:lang w:eastAsia="ru-RU"/>
              </w:rPr>
              <w:t>каждый час</w:t>
            </w:r>
          </w:p>
        </w:tc>
        <w:tc>
          <w:tcPr>
            <w:tcW w:w="1276"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115937B7" w14:textId="77777777" w:rsidR="00622062" w:rsidRPr="00622062" w:rsidRDefault="00622062" w:rsidP="00622062">
            <w:pPr>
              <w:spacing w:before="0" w:after="0"/>
              <w:rPr>
                <w:rFonts w:eastAsia="Times New Roman"/>
                <w:szCs w:val="24"/>
                <w:lang w:eastAsia="ru-RU"/>
              </w:rPr>
            </w:pPr>
            <w:r w:rsidRPr="00622062">
              <w:rPr>
                <w:rFonts w:eastAsia="Times New Roman"/>
                <w:color w:val="000000" w:themeColor="text1"/>
                <w:kern w:val="24"/>
                <w:szCs w:val="24"/>
                <w:lang w:val="en-US" w:eastAsia="ru-RU"/>
              </w:rPr>
              <w:t xml:space="preserve">200 </w:t>
            </w:r>
            <w:r w:rsidRPr="00622062">
              <w:rPr>
                <w:rFonts w:eastAsia="Times New Roman"/>
                <w:color w:val="000000" w:themeColor="text1"/>
                <w:kern w:val="24"/>
                <w:szCs w:val="24"/>
                <w:lang w:eastAsia="ru-RU"/>
              </w:rPr>
              <w:t>мл</w:t>
            </w:r>
            <w:r w:rsidRPr="00622062">
              <w:rPr>
                <w:rFonts w:eastAsia="Times New Roman"/>
                <w:color w:val="000000" w:themeColor="text1"/>
                <w:kern w:val="24"/>
                <w:szCs w:val="24"/>
                <w:lang w:val="en-US" w:eastAsia="ru-RU"/>
              </w:rPr>
              <w:t>/</w:t>
            </w:r>
            <w:r w:rsidRPr="00622062">
              <w:rPr>
                <w:rFonts w:eastAsia="Times New Roman"/>
                <w:color w:val="000000" w:themeColor="text1"/>
                <w:kern w:val="24"/>
                <w:szCs w:val="24"/>
                <w:lang w:eastAsia="ru-RU"/>
              </w:rPr>
              <w:t>час</w:t>
            </w:r>
          </w:p>
        </w:tc>
        <w:tc>
          <w:tcPr>
            <w:tcW w:w="1418"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26BB1962" w14:textId="77777777" w:rsidR="00622062" w:rsidRPr="00622062" w:rsidRDefault="00622062" w:rsidP="00622062">
            <w:pPr>
              <w:spacing w:before="0" w:after="0"/>
              <w:rPr>
                <w:rFonts w:eastAsia="Times New Roman"/>
                <w:szCs w:val="24"/>
                <w:lang w:eastAsia="ru-RU"/>
              </w:rPr>
            </w:pPr>
            <w:r w:rsidRPr="00622062">
              <w:rPr>
                <w:rFonts w:eastAsia="Times New Roman"/>
                <w:color w:val="000000" w:themeColor="text1"/>
                <w:kern w:val="24"/>
                <w:szCs w:val="24"/>
                <w:lang w:eastAsia="ru-RU"/>
              </w:rPr>
              <w:t>4 ч 30 мин</w:t>
            </w:r>
          </w:p>
        </w:tc>
      </w:tr>
      <w:tr w:rsidR="00622062" w:rsidRPr="00622062" w14:paraId="2BBB3053" w14:textId="77777777" w:rsidTr="00622062">
        <w:trPr>
          <w:trHeight w:val="1470"/>
        </w:trPr>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3BA7E889" w14:textId="77777777" w:rsidR="00622062" w:rsidRPr="00622062" w:rsidRDefault="00622062" w:rsidP="00622062">
            <w:pPr>
              <w:spacing w:before="0" w:after="0"/>
              <w:rPr>
                <w:rFonts w:eastAsia="Times New Roman"/>
                <w:szCs w:val="24"/>
                <w:lang w:eastAsia="ru-RU"/>
              </w:rPr>
            </w:pPr>
            <w:r w:rsidRPr="00622062">
              <w:rPr>
                <w:bCs/>
                <w:color w:val="000000" w:themeColor="text1"/>
                <w:kern w:val="24"/>
                <w:szCs w:val="24"/>
                <w:lang w:eastAsia="ru-RU"/>
              </w:rPr>
              <w:t>Последующие введения</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33909621" w14:textId="77777777" w:rsidR="00622062" w:rsidRPr="00622062" w:rsidRDefault="00622062" w:rsidP="00622062">
            <w:pPr>
              <w:spacing w:before="0" w:after="0"/>
              <w:rPr>
                <w:rFonts w:eastAsia="Times New Roman"/>
                <w:szCs w:val="24"/>
                <w:lang w:eastAsia="ru-RU"/>
              </w:rPr>
            </w:pPr>
            <w:r w:rsidRPr="00622062">
              <w:rPr>
                <w:color w:val="000000" w:themeColor="text1"/>
                <w:kern w:val="24"/>
                <w:szCs w:val="24"/>
                <w:lang w:val="en-US" w:eastAsia="ru-RU"/>
              </w:rPr>
              <w:t xml:space="preserve">500 </w:t>
            </w:r>
            <w:r w:rsidRPr="00622062">
              <w:rPr>
                <w:color w:val="000000" w:themeColor="text1"/>
                <w:kern w:val="24"/>
                <w:szCs w:val="24"/>
                <w:lang w:eastAsia="ru-RU"/>
              </w:rPr>
              <w:t>мл</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4CDC38F8" w14:textId="77777777" w:rsidR="00622062" w:rsidRPr="00622062" w:rsidRDefault="00622062" w:rsidP="00622062">
            <w:pPr>
              <w:spacing w:before="0" w:after="0"/>
              <w:rPr>
                <w:rFonts w:eastAsia="Times New Roman"/>
                <w:szCs w:val="24"/>
                <w:lang w:eastAsia="ru-RU"/>
              </w:rPr>
            </w:pPr>
            <w:r w:rsidRPr="00622062">
              <w:rPr>
                <w:color w:val="000000" w:themeColor="text1"/>
                <w:kern w:val="24"/>
                <w:szCs w:val="24"/>
                <w:lang w:val="en-US" w:eastAsia="ru-RU"/>
              </w:rPr>
              <w:t xml:space="preserve">100 </w:t>
            </w:r>
            <w:r w:rsidRPr="00622062">
              <w:rPr>
                <w:color w:val="000000" w:themeColor="text1"/>
                <w:kern w:val="24"/>
                <w:szCs w:val="24"/>
                <w:lang w:eastAsia="ru-RU"/>
              </w:rPr>
              <w:t>мл</w:t>
            </w:r>
            <w:r w:rsidRPr="00622062">
              <w:rPr>
                <w:color w:val="000000" w:themeColor="text1"/>
                <w:kern w:val="24"/>
                <w:szCs w:val="24"/>
                <w:lang w:val="en-US" w:eastAsia="ru-RU"/>
              </w:rPr>
              <w:t>/</w:t>
            </w:r>
            <w:r w:rsidRPr="00622062">
              <w:rPr>
                <w:color w:val="000000" w:themeColor="text1"/>
                <w:kern w:val="24"/>
                <w:szCs w:val="24"/>
                <w:lang w:eastAsia="ru-RU"/>
              </w:rPr>
              <w:t>час</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378258C9" w14:textId="77777777" w:rsidR="00622062" w:rsidRPr="00622062" w:rsidRDefault="00622062" w:rsidP="00622062">
            <w:pPr>
              <w:spacing w:before="0" w:after="0"/>
              <w:rPr>
                <w:rFonts w:eastAsia="Times New Roman"/>
                <w:szCs w:val="24"/>
                <w:lang w:eastAsia="ru-RU"/>
              </w:rPr>
            </w:pPr>
            <w:r w:rsidRPr="00622062">
              <w:rPr>
                <w:color w:val="000000" w:themeColor="text1"/>
                <w:kern w:val="24"/>
                <w:szCs w:val="24"/>
                <w:lang w:val="en-US" w:eastAsia="ru-RU"/>
              </w:rPr>
              <w:t xml:space="preserve">50 </w:t>
            </w:r>
            <w:r w:rsidRPr="00622062">
              <w:rPr>
                <w:rFonts w:eastAsia="Times New Roman"/>
                <w:color w:val="000000" w:themeColor="text1"/>
                <w:kern w:val="24"/>
                <w:szCs w:val="24"/>
                <w:lang w:eastAsia="ru-RU"/>
              </w:rPr>
              <w:t>мл</w:t>
            </w:r>
            <w:r w:rsidRPr="00622062">
              <w:rPr>
                <w:rFonts w:eastAsia="Times New Roman"/>
                <w:color w:val="000000" w:themeColor="text1"/>
                <w:kern w:val="24"/>
                <w:szCs w:val="24"/>
                <w:lang w:val="en-US" w:eastAsia="ru-RU"/>
              </w:rPr>
              <w:t>/</w:t>
            </w:r>
            <w:r w:rsidRPr="00622062">
              <w:rPr>
                <w:rFonts w:eastAsia="Times New Roman"/>
                <w:color w:val="000000" w:themeColor="text1"/>
                <w:kern w:val="24"/>
                <w:szCs w:val="24"/>
                <w:lang w:eastAsia="ru-RU"/>
              </w:rPr>
              <w:t>час</w:t>
            </w:r>
          </w:p>
          <w:p w14:paraId="1E94F6EE" w14:textId="77777777" w:rsidR="00622062" w:rsidRPr="00622062" w:rsidRDefault="00622062" w:rsidP="00622062">
            <w:pPr>
              <w:spacing w:before="0" w:after="0"/>
              <w:rPr>
                <w:rFonts w:eastAsia="Times New Roman"/>
                <w:szCs w:val="24"/>
                <w:lang w:eastAsia="ru-RU"/>
              </w:rPr>
            </w:pPr>
            <w:r w:rsidRPr="00622062">
              <w:rPr>
                <w:color w:val="000000" w:themeColor="text1"/>
                <w:kern w:val="24"/>
                <w:szCs w:val="24"/>
                <w:lang w:eastAsia="ru-RU"/>
              </w:rPr>
              <w:t>каждый час</w:t>
            </w:r>
          </w:p>
        </w:tc>
        <w:tc>
          <w:tcPr>
            <w:tcW w:w="1276"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53D1CF1E" w14:textId="77777777" w:rsidR="00622062" w:rsidRPr="00622062" w:rsidRDefault="00622062" w:rsidP="00622062">
            <w:pPr>
              <w:spacing w:before="0" w:after="0"/>
              <w:rPr>
                <w:rFonts w:eastAsia="Times New Roman"/>
                <w:szCs w:val="24"/>
                <w:lang w:eastAsia="ru-RU"/>
              </w:rPr>
            </w:pPr>
            <w:r w:rsidRPr="00622062">
              <w:rPr>
                <w:color w:val="000000" w:themeColor="text1"/>
                <w:kern w:val="24"/>
                <w:szCs w:val="24"/>
                <w:lang w:val="en-US" w:eastAsia="ru-RU"/>
              </w:rPr>
              <w:t xml:space="preserve">200 </w:t>
            </w:r>
            <w:r w:rsidRPr="00622062">
              <w:rPr>
                <w:rFonts w:eastAsia="Times New Roman"/>
                <w:color w:val="000000" w:themeColor="text1"/>
                <w:kern w:val="24"/>
                <w:szCs w:val="24"/>
                <w:lang w:eastAsia="ru-RU"/>
              </w:rPr>
              <w:t>мл</w:t>
            </w:r>
            <w:r w:rsidRPr="00622062">
              <w:rPr>
                <w:rFonts w:eastAsia="Times New Roman"/>
                <w:color w:val="000000" w:themeColor="text1"/>
                <w:kern w:val="24"/>
                <w:szCs w:val="24"/>
                <w:lang w:val="en-US" w:eastAsia="ru-RU"/>
              </w:rPr>
              <w:t>/</w:t>
            </w:r>
            <w:r w:rsidRPr="00622062">
              <w:rPr>
                <w:rFonts w:eastAsia="Times New Roman"/>
                <w:color w:val="000000" w:themeColor="text1"/>
                <w:kern w:val="24"/>
                <w:szCs w:val="24"/>
                <w:lang w:eastAsia="ru-RU"/>
              </w:rPr>
              <w:t>час</w:t>
            </w:r>
          </w:p>
        </w:tc>
        <w:tc>
          <w:tcPr>
            <w:tcW w:w="1418"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14:paraId="330396C1" w14:textId="77777777" w:rsidR="00622062" w:rsidRPr="00622062" w:rsidRDefault="00622062" w:rsidP="00622062">
            <w:pPr>
              <w:spacing w:before="0" w:after="0"/>
              <w:rPr>
                <w:rFonts w:eastAsia="Times New Roman"/>
                <w:szCs w:val="24"/>
                <w:lang w:eastAsia="ru-RU"/>
              </w:rPr>
            </w:pPr>
            <w:r w:rsidRPr="00622062">
              <w:rPr>
                <w:color w:val="000000" w:themeColor="text1"/>
                <w:kern w:val="24"/>
                <w:szCs w:val="24"/>
                <w:lang w:eastAsia="ru-RU"/>
              </w:rPr>
              <w:t>3 ч 20 мин</w:t>
            </w:r>
          </w:p>
        </w:tc>
      </w:tr>
    </w:tbl>
    <w:p w14:paraId="47399B32" w14:textId="77777777" w:rsidR="00622062" w:rsidRPr="00622062" w:rsidRDefault="00622062" w:rsidP="00622062">
      <w:pPr>
        <w:pStyle w:val="Normal1"/>
        <w:tabs>
          <w:tab w:val="left" w:pos="0"/>
        </w:tabs>
        <w:spacing w:before="0" w:line="360" w:lineRule="auto"/>
        <w:ind w:firstLine="557"/>
        <w:jc w:val="both"/>
        <w:rPr>
          <w:rFonts w:cs="Times New Roman"/>
        </w:rPr>
      </w:pPr>
      <w:r w:rsidRPr="00622062">
        <w:rPr>
          <w:rFonts w:cs="Times New Roman"/>
        </w:rPr>
        <w:t>Схема стандартной премедикации включает в себя введение за 1 час ± 15мин до инфузии следующих препаратов: метилпреднизолон 100 мг (или эквивалент) в/в для 2 первых инфузий и 60 мг для последующих инфузий, ацетаминофен (парацетамол) 650-1000мг, дифенгидрамин (димедрол) 25-50мг (или эквивалентный антигистаминный препарат). В последующие два дня после инфузии даратумумаба осуществляется прием метилпреднизолона 20мг (или эквивалент).</w:t>
      </w:r>
    </w:p>
    <w:p w14:paraId="0803AC1A" w14:textId="77777777" w:rsidR="00622062" w:rsidRPr="00622062" w:rsidRDefault="00622062" w:rsidP="00622062">
      <w:pPr>
        <w:pStyle w:val="Normal1"/>
        <w:tabs>
          <w:tab w:val="left" w:pos="0"/>
        </w:tabs>
        <w:spacing w:before="0" w:line="360" w:lineRule="auto"/>
        <w:ind w:firstLine="557"/>
        <w:jc w:val="both"/>
        <w:rPr>
          <w:rFonts w:cs="Times New Roman"/>
        </w:rPr>
      </w:pPr>
      <w:r w:rsidRPr="00622062">
        <w:rPr>
          <w:rFonts w:cs="Times New Roman"/>
        </w:rPr>
        <w:t xml:space="preserve">При возникновении инфузионных реакций: заложенность носа, кашель, аллергический ринит, озноб, першение в горле, одышка, тошнота - любой степени тяжести, следует немедленно прекратить введение и устранить возникшие симптомы путем введения глюкокортикостероидов, кислорода, бронходилататоров, антигистаминных препаратов. </w:t>
      </w:r>
    </w:p>
    <w:p w14:paraId="0FEE1A3F" w14:textId="004F25E4" w:rsidR="00622062" w:rsidRPr="00622062" w:rsidRDefault="00622062" w:rsidP="00622062">
      <w:pPr>
        <w:pStyle w:val="Normal1"/>
        <w:tabs>
          <w:tab w:val="left" w:pos="0"/>
        </w:tabs>
        <w:spacing w:line="360" w:lineRule="auto"/>
        <w:ind w:firstLine="557"/>
        <w:jc w:val="both"/>
        <w:rPr>
          <w:rFonts w:cs="Times New Roman"/>
          <w:b/>
          <w:lang w:val="en-US"/>
        </w:rPr>
      </w:pPr>
      <w:r w:rsidRPr="00622062">
        <w:rPr>
          <w:rFonts w:cs="Times New Roman"/>
          <w:b/>
        </w:rPr>
        <w:t>4</w:t>
      </w:r>
      <w:r w:rsidRPr="00622062">
        <w:rPr>
          <w:rFonts w:cs="Times New Roman"/>
          <w:b/>
          <w:lang w:val="en-US"/>
        </w:rPr>
        <w:t xml:space="preserve">. </w:t>
      </w:r>
      <w:r w:rsidRPr="00622062">
        <w:rPr>
          <w:rFonts w:cs="Times New Roman"/>
          <w:b/>
        </w:rPr>
        <w:t>Список</w:t>
      </w:r>
      <w:r w:rsidRPr="00622062">
        <w:rPr>
          <w:rFonts w:cs="Times New Roman"/>
          <w:b/>
          <w:lang w:val="en-US"/>
        </w:rPr>
        <w:t xml:space="preserve"> </w:t>
      </w:r>
      <w:r w:rsidRPr="00622062">
        <w:rPr>
          <w:rFonts w:cs="Times New Roman"/>
          <w:b/>
        </w:rPr>
        <w:t>литературы</w:t>
      </w:r>
      <w:r w:rsidRPr="00622062">
        <w:rPr>
          <w:rFonts w:cs="Times New Roman"/>
          <w:b/>
          <w:lang w:val="en-US"/>
        </w:rPr>
        <w:t>.</w:t>
      </w:r>
    </w:p>
    <w:p w14:paraId="6AD09468" w14:textId="77777777" w:rsidR="00622062" w:rsidRPr="00E62088" w:rsidRDefault="00622062" w:rsidP="00CE6C1C">
      <w:pPr>
        <w:pStyle w:val="a6"/>
        <w:numPr>
          <w:ilvl w:val="0"/>
          <w:numId w:val="104"/>
        </w:numPr>
        <w:tabs>
          <w:tab w:val="left" w:pos="-142"/>
          <w:tab w:val="left" w:pos="709"/>
        </w:tabs>
        <w:spacing w:before="0" w:after="0"/>
        <w:ind w:left="0" w:firstLine="0"/>
        <w:rPr>
          <w:szCs w:val="24"/>
          <w:lang w:val="en-US"/>
        </w:rPr>
      </w:pPr>
      <w:r w:rsidRPr="00E62088">
        <w:rPr>
          <w:szCs w:val="24"/>
          <w:lang w:val="en-US"/>
        </w:rPr>
        <w:t>Baldo BA. Monoclonal Antibodies Approved for Cancer Therapy. Safety of Biologics Therapy. 2016 Aug 13:57–140.</w:t>
      </w:r>
    </w:p>
    <w:p w14:paraId="5EDA429B" w14:textId="77777777" w:rsidR="00622062" w:rsidRPr="006F119F" w:rsidRDefault="00622062" w:rsidP="00CE6C1C">
      <w:pPr>
        <w:pStyle w:val="a6"/>
        <w:numPr>
          <w:ilvl w:val="0"/>
          <w:numId w:val="104"/>
        </w:numPr>
        <w:tabs>
          <w:tab w:val="left" w:pos="-142"/>
          <w:tab w:val="left" w:pos="709"/>
        </w:tabs>
        <w:spacing w:before="0" w:after="0"/>
        <w:ind w:left="0" w:firstLine="0"/>
        <w:rPr>
          <w:szCs w:val="24"/>
          <w:lang w:val="en-US"/>
        </w:rPr>
      </w:pPr>
      <w:r w:rsidRPr="00E62088">
        <w:rPr>
          <w:szCs w:val="24"/>
          <w:lang w:val="en-US"/>
        </w:rPr>
        <w:t xml:space="preserve">Boyle EM, Petillon M-O, Herbaux C, et al. Daratumumab in combination with dexamethasone in resistant or refractory multiple myeloma: primary results of the IFM2014-04 Trial. </w:t>
      </w:r>
      <w:r w:rsidRPr="003972AA">
        <w:rPr>
          <w:szCs w:val="24"/>
          <w:lang w:val="en-US"/>
        </w:rPr>
        <w:t xml:space="preserve">Blood. </w:t>
      </w:r>
      <w:r w:rsidRPr="006F119F">
        <w:rPr>
          <w:szCs w:val="24"/>
          <w:lang w:val="en-US"/>
        </w:rPr>
        <w:t>2016;128 (22):2138–2138.</w:t>
      </w:r>
    </w:p>
    <w:p w14:paraId="763A12A4" w14:textId="77777777" w:rsidR="00622062" w:rsidRPr="003972AA" w:rsidRDefault="00622062" w:rsidP="00CE6C1C">
      <w:pPr>
        <w:pStyle w:val="a6"/>
        <w:numPr>
          <w:ilvl w:val="0"/>
          <w:numId w:val="104"/>
        </w:numPr>
        <w:tabs>
          <w:tab w:val="left" w:pos="-142"/>
          <w:tab w:val="left" w:pos="709"/>
        </w:tabs>
        <w:spacing w:before="0" w:after="0"/>
        <w:ind w:left="0" w:firstLine="0"/>
        <w:rPr>
          <w:szCs w:val="24"/>
          <w:lang w:val="en-US"/>
        </w:rPr>
      </w:pPr>
      <w:r w:rsidRPr="00E62088">
        <w:rPr>
          <w:szCs w:val="24"/>
          <w:lang w:val="en-US"/>
        </w:rPr>
        <w:t>Dimopoulos MA, Oriol A, Nahi H, et al. Daratumumab, lenalidomide, and dexamethasone for multiple myeloma. N Engl J Med. 2016;375(14):1319–1331</w:t>
      </w:r>
    </w:p>
    <w:p w14:paraId="2CEA11B8" w14:textId="77777777" w:rsidR="00622062" w:rsidRPr="00E62088" w:rsidRDefault="00622062" w:rsidP="00CE6C1C">
      <w:pPr>
        <w:pStyle w:val="a6"/>
        <w:numPr>
          <w:ilvl w:val="0"/>
          <w:numId w:val="104"/>
        </w:numPr>
        <w:tabs>
          <w:tab w:val="left" w:pos="-142"/>
          <w:tab w:val="left" w:pos="709"/>
        </w:tabs>
        <w:spacing w:before="0" w:after="0"/>
        <w:ind w:left="0" w:firstLine="0"/>
        <w:rPr>
          <w:szCs w:val="24"/>
          <w:lang w:val="en-US"/>
        </w:rPr>
      </w:pPr>
      <w:r w:rsidRPr="00E62088">
        <w:rPr>
          <w:szCs w:val="24"/>
          <w:lang w:val="en-US"/>
        </w:rPr>
        <w:t>Hirayama F. Current understanding of allergic transfusion reactions: incidence, pathogenesis, laboratory tests, prevention and treatment. Br J Haematol (2013), 160: 434-444.</w:t>
      </w:r>
    </w:p>
    <w:p w14:paraId="2AB68827" w14:textId="77777777" w:rsidR="00622062" w:rsidRPr="00E62088" w:rsidRDefault="00622062" w:rsidP="00CE6C1C">
      <w:pPr>
        <w:pStyle w:val="a6"/>
        <w:numPr>
          <w:ilvl w:val="0"/>
          <w:numId w:val="104"/>
        </w:numPr>
        <w:tabs>
          <w:tab w:val="left" w:pos="-142"/>
          <w:tab w:val="left" w:pos="709"/>
        </w:tabs>
        <w:spacing w:before="0" w:after="0"/>
        <w:ind w:left="0" w:firstLine="0"/>
        <w:rPr>
          <w:szCs w:val="24"/>
          <w:lang w:val="en-US"/>
        </w:rPr>
      </w:pPr>
      <w:r w:rsidRPr="00E62088">
        <w:rPr>
          <w:szCs w:val="24"/>
          <w:lang w:val="en-US"/>
        </w:rPr>
        <w:t>Hoering A., Durie B., Wang H., et al. End points and statistical considerations in immuno-oncology trials: impact on multiple myeloma Future Oncol 2017;13:1181–93</w:t>
      </w:r>
    </w:p>
    <w:p w14:paraId="3791FE82" w14:textId="77777777" w:rsidR="00622062" w:rsidRPr="003539F1" w:rsidRDefault="00622062" w:rsidP="00CE6C1C">
      <w:pPr>
        <w:pStyle w:val="a6"/>
        <w:numPr>
          <w:ilvl w:val="0"/>
          <w:numId w:val="104"/>
        </w:numPr>
        <w:tabs>
          <w:tab w:val="left" w:pos="-142"/>
          <w:tab w:val="left" w:pos="709"/>
        </w:tabs>
        <w:spacing w:before="0" w:after="0"/>
        <w:ind w:left="0" w:firstLine="0"/>
        <w:rPr>
          <w:szCs w:val="24"/>
          <w:lang w:val="en-US"/>
        </w:rPr>
      </w:pPr>
      <w:r w:rsidRPr="00E62088">
        <w:rPr>
          <w:szCs w:val="24"/>
          <w:lang w:val="en-US"/>
        </w:rPr>
        <w:t>Lokhorst HM, Plesner T, Laubach JP, et al. Targeting CD38 with daratumumab monotherapy in multiple myeloma. N Engl J Med. 2015;373(13): 1207-1219.</w:t>
      </w:r>
    </w:p>
    <w:p w14:paraId="76DD9FDC" w14:textId="77777777" w:rsidR="00622062" w:rsidRPr="003539F1" w:rsidRDefault="00622062" w:rsidP="00CE6C1C">
      <w:pPr>
        <w:pStyle w:val="a6"/>
        <w:numPr>
          <w:ilvl w:val="0"/>
          <w:numId w:val="104"/>
        </w:numPr>
        <w:tabs>
          <w:tab w:val="left" w:pos="-142"/>
          <w:tab w:val="left" w:pos="709"/>
        </w:tabs>
        <w:spacing w:before="0" w:after="0"/>
        <w:ind w:left="0" w:firstLine="0"/>
        <w:rPr>
          <w:szCs w:val="24"/>
          <w:lang w:val="en-US"/>
        </w:rPr>
      </w:pPr>
      <w:r w:rsidRPr="00E62088">
        <w:rPr>
          <w:szCs w:val="24"/>
          <w:lang w:val="en-US"/>
        </w:rPr>
        <w:lastRenderedPageBreak/>
        <w:t>Lonial S., Vij R., Harousseau J.L., et al. Elotuzumab in combination with lenalidomide and low-dose dexamethasone in relapsed or refractory multiple myeloma. J Clin Oncol. 2012; 30(16):1953–59. doi: 10.1200/JCO.2011.37.2649.</w:t>
      </w:r>
    </w:p>
    <w:p w14:paraId="2F4AA492" w14:textId="77777777" w:rsidR="00622062" w:rsidRPr="00E62088" w:rsidRDefault="00622062" w:rsidP="00CE6C1C">
      <w:pPr>
        <w:pStyle w:val="a6"/>
        <w:numPr>
          <w:ilvl w:val="0"/>
          <w:numId w:val="104"/>
        </w:numPr>
        <w:tabs>
          <w:tab w:val="left" w:pos="-142"/>
        </w:tabs>
        <w:spacing w:before="0" w:after="0"/>
        <w:ind w:left="0" w:firstLine="0"/>
        <w:rPr>
          <w:szCs w:val="24"/>
          <w:lang w:val="en-US"/>
        </w:rPr>
      </w:pPr>
      <w:r w:rsidRPr="00E62088">
        <w:rPr>
          <w:szCs w:val="24"/>
          <w:lang w:val="en-US"/>
        </w:rPr>
        <w:t>Tinegate H., Birchall J., Gray A., Haggas R., Massey E., Norfolk D., Pinchon D., Sewell C., Wells A., Allard S. Guideline on the investigation and management of acute transfusion reactions Prepared by the BCSH Blood Transfusion Task Force. Br J Haematol (2012), 159: 143-153.</w:t>
      </w:r>
    </w:p>
    <w:p w14:paraId="5D985339" w14:textId="77777777" w:rsidR="00622062" w:rsidRPr="00E62088" w:rsidRDefault="00622062" w:rsidP="00CE6C1C">
      <w:pPr>
        <w:pStyle w:val="a6"/>
        <w:numPr>
          <w:ilvl w:val="0"/>
          <w:numId w:val="104"/>
        </w:numPr>
        <w:tabs>
          <w:tab w:val="left" w:pos="-142"/>
        </w:tabs>
        <w:spacing w:before="0" w:after="0"/>
        <w:ind w:left="0" w:firstLine="0"/>
        <w:rPr>
          <w:szCs w:val="24"/>
          <w:lang w:val="en-US"/>
        </w:rPr>
      </w:pPr>
      <w:r>
        <w:rPr>
          <w:szCs w:val="24"/>
          <w:lang w:val="en-US"/>
        </w:rPr>
        <w:t>V</w:t>
      </w:r>
      <w:r w:rsidRPr="00E62088">
        <w:rPr>
          <w:szCs w:val="24"/>
          <w:lang w:val="en-US"/>
        </w:rPr>
        <w:t>an der Donk NW, Moreau P, Plesner T, et al. Clinical efficacy and management of monoclonal antibodies targeting CD38 and SLAMF7 in multiple myeloma. Blood. 2016;127:681–95.</w:t>
      </w:r>
    </w:p>
    <w:p w14:paraId="37BD97E9" w14:textId="77777777" w:rsidR="00622062" w:rsidRPr="00E62088" w:rsidRDefault="00622062" w:rsidP="00CE6C1C">
      <w:pPr>
        <w:pStyle w:val="a6"/>
        <w:numPr>
          <w:ilvl w:val="0"/>
          <w:numId w:val="104"/>
        </w:numPr>
        <w:tabs>
          <w:tab w:val="left" w:pos="-142"/>
        </w:tabs>
        <w:spacing w:before="0" w:after="0"/>
        <w:ind w:left="0" w:firstLine="0"/>
        <w:rPr>
          <w:szCs w:val="24"/>
          <w:lang w:val="en-US"/>
        </w:rPr>
      </w:pPr>
      <w:r w:rsidRPr="00E62088">
        <w:rPr>
          <w:szCs w:val="24"/>
          <w:lang w:val="en-US"/>
        </w:rPr>
        <w:t>Vogel WH. Infusion reactions: diagnosis, assessment, and management. Clin J Oncol Nurs. 2010;14(2):E10</w:t>
      </w:r>
      <w:r w:rsidRPr="00E62088">
        <w:rPr>
          <w:rFonts w:ascii="Cambria Math" w:hAnsi="Cambria Math" w:cs="Cambria Math"/>
          <w:szCs w:val="24"/>
          <w:lang w:val="en-US"/>
        </w:rPr>
        <w:t>‐</w:t>
      </w:r>
      <w:r w:rsidRPr="00E62088">
        <w:rPr>
          <w:szCs w:val="24"/>
          <w:lang w:val="en-US"/>
        </w:rPr>
        <w:t>E21.</w:t>
      </w:r>
    </w:p>
    <w:p w14:paraId="7F799630" w14:textId="77777777" w:rsidR="00622062" w:rsidRDefault="00622062" w:rsidP="00CE6C1C">
      <w:pPr>
        <w:pStyle w:val="a6"/>
        <w:numPr>
          <w:ilvl w:val="0"/>
          <w:numId w:val="104"/>
        </w:numPr>
        <w:tabs>
          <w:tab w:val="left" w:pos="-142"/>
        </w:tabs>
        <w:spacing w:before="0" w:after="0"/>
        <w:ind w:left="0" w:firstLine="0"/>
        <w:rPr>
          <w:szCs w:val="24"/>
          <w:lang w:val="en-US"/>
        </w:rPr>
      </w:pPr>
      <w:r w:rsidRPr="003544AB">
        <w:rPr>
          <w:szCs w:val="24"/>
          <w:lang w:val="en-US"/>
        </w:rPr>
        <w:t>Lamb YN. Elotuzumab: A Review in Relapsed and/or Refractory Multiple Myeloma. Drugs. 2018;78(14):1481-1488. doi:10.1007/s40265-018-0969-4</w:t>
      </w:r>
    </w:p>
    <w:p w14:paraId="7683B9C1" w14:textId="77777777" w:rsidR="00622062" w:rsidRDefault="00622062" w:rsidP="00CE6C1C">
      <w:pPr>
        <w:pStyle w:val="a6"/>
        <w:numPr>
          <w:ilvl w:val="0"/>
          <w:numId w:val="104"/>
        </w:numPr>
        <w:tabs>
          <w:tab w:val="left" w:pos="-142"/>
        </w:tabs>
        <w:spacing w:before="0" w:after="0"/>
        <w:ind w:left="0" w:firstLine="0"/>
        <w:rPr>
          <w:szCs w:val="24"/>
          <w:lang w:val="en-US"/>
        </w:rPr>
      </w:pPr>
      <w:r w:rsidRPr="003544AB">
        <w:rPr>
          <w:szCs w:val="24"/>
          <w:lang w:val="en-US"/>
        </w:rPr>
        <w:t>Taniwaki M, Yoshida M, Matsumoto Y, Shimura K, Kuroda J, Kaneko H. Elotuzumab for the Treatment of Relapsed or Refractory Multiple Myeloma, with Special Reference to its Modes of Action and SLAMF7 Signaling. Mediterr J Hematol Infect Dis. 2018;10(1):e2018014. Published 2018 Feb 15. doi:10.4084/MJHID.2018.014</w:t>
      </w:r>
    </w:p>
    <w:p w14:paraId="57155F6C" w14:textId="776D4795" w:rsidR="00622062" w:rsidRDefault="00622062">
      <w:pPr>
        <w:spacing w:before="0" w:after="0" w:line="240" w:lineRule="auto"/>
        <w:jc w:val="left"/>
      </w:pPr>
      <w:r>
        <w:br w:type="page"/>
      </w:r>
    </w:p>
    <w:p w14:paraId="6E1C866E" w14:textId="698DC3FA" w:rsidR="00622062" w:rsidRPr="00D563D9" w:rsidRDefault="00622062" w:rsidP="00D563D9">
      <w:pPr>
        <w:pStyle w:val="1"/>
      </w:pPr>
      <w:bookmarkStart w:id="84" w:name="_Toc53140930"/>
      <w:r w:rsidRPr="003E0025">
        <w:lastRenderedPageBreak/>
        <w:t>Приложение Г</w:t>
      </w:r>
      <w:r>
        <w:t xml:space="preserve">10. </w:t>
      </w:r>
      <w:r w:rsidRPr="00266EEA">
        <w:t>«</w:t>
      </w:r>
      <w:r w:rsidR="00D563D9" w:rsidRPr="00D563D9">
        <w:t>Профилактика, диагностика и лечение тромботических осложнений</w:t>
      </w:r>
      <w:r>
        <w:t>»</w:t>
      </w:r>
      <w:bookmarkEnd w:id="84"/>
    </w:p>
    <w:p w14:paraId="6EE775D8" w14:textId="77777777" w:rsidR="00D563D9" w:rsidRPr="005613CA" w:rsidRDefault="00D563D9" w:rsidP="00D563D9">
      <w:pPr>
        <w:pStyle w:val="a6"/>
        <w:spacing w:before="0" w:after="0"/>
        <w:ind w:left="360"/>
        <w:rPr>
          <w:rFonts w:eastAsia="Times New Roman"/>
          <w:b/>
          <w:i/>
          <w:szCs w:val="24"/>
          <w:lang w:eastAsia="ru-RU"/>
        </w:rPr>
      </w:pPr>
      <w:r w:rsidRPr="005613CA">
        <w:rPr>
          <w:rFonts w:eastAsia="Times New Roman"/>
          <w:b/>
          <w:i/>
          <w:szCs w:val="24"/>
          <w:lang w:eastAsia="ru-RU"/>
        </w:rPr>
        <w:t>Список сокращений</w:t>
      </w:r>
    </w:p>
    <w:p w14:paraId="40A0CA05" w14:textId="77777777" w:rsidR="00D563D9" w:rsidRPr="00D80337" w:rsidRDefault="00D563D9" w:rsidP="00D563D9">
      <w:pPr>
        <w:pStyle w:val="a6"/>
        <w:spacing w:before="0" w:after="0"/>
        <w:ind w:left="360"/>
        <w:rPr>
          <w:szCs w:val="24"/>
        </w:rPr>
      </w:pPr>
      <w:r>
        <w:rPr>
          <w:szCs w:val="24"/>
        </w:rPr>
        <w:t xml:space="preserve">АВТ – </w:t>
      </w:r>
      <w:r w:rsidRPr="00D80337">
        <w:rPr>
          <w:szCs w:val="24"/>
        </w:rPr>
        <w:t xml:space="preserve">абдоминальные венозные тромбозы </w:t>
      </w:r>
    </w:p>
    <w:p w14:paraId="7372F775" w14:textId="77777777" w:rsidR="00D563D9" w:rsidRPr="00D80337" w:rsidRDefault="00D563D9" w:rsidP="00D563D9">
      <w:pPr>
        <w:pStyle w:val="a6"/>
        <w:spacing w:before="0" w:after="0"/>
        <w:ind w:left="360"/>
        <w:rPr>
          <w:szCs w:val="24"/>
        </w:rPr>
      </w:pPr>
      <w:r>
        <w:rPr>
          <w:szCs w:val="24"/>
        </w:rPr>
        <w:t xml:space="preserve">аГУС – </w:t>
      </w:r>
      <w:r w:rsidRPr="00D80337">
        <w:rPr>
          <w:szCs w:val="24"/>
        </w:rPr>
        <w:t xml:space="preserve">атипичный гемолитико-уремический синдром </w:t>
      </w:r>
    </w:p>
    <w:p w14:paraId="1C8C34F3" w14:textId="77777777" w:rsidR="00D563D9" w:rsidRPr="00D80337" w:rsidRDefault="00D563D9" w:rsidP="00D563D9">
      <w:pPr>
        <w:pStyle w:val="a6"/>
        <w:spacing w:before="0" w:after="0"/>
        <w:ind w:left="360"/>
        <w:rPr>
          <w:szCs w:val="24"/>
        </w:rPr>
      </w:pPr>
      <w:r>
        <w:rPr>
          <w:szCs w:val="24"/>
        </w:rPr>
        <w:t xml:space="preserve">АЧТВ – </w:t>
      </w:r>
      <w:r w:rsidRPr="00D80337">
        <w:rPr>
          <w:szCs w:val="24"/>
        </w:rPr>
        <w:t xml:space="preserve">активированное частичное тромбопластиновое время </w:t>
      </w:r>
    </w:p>
    <w:p w14:paraId="49D801E7" w14:textId="77777777" w:rsidR="00D563D9" w:rsidRPr="00D80337" w:rsidRDefault="00D563D9" w:rsidP="00D563D9">
      <w:pPr>
        <w:pStyle w:val="a6"/>
        <w:spacing w:before="0" w:after="0"/>
        <w:ind w:left="360"/>
        <w:rPr>
          <w:szCs w:val="24"/>
        </w:rPr>
      </w:pPr>
      <w:r>
        <w:rPr>
          <w:szCs w:val="24"/>
        </w:rPr>
        <w:t xml:space="preserve">АТ </w:t>
      </w:r>
      <w:r>
        <w:rPr>
          <w:szCs w:val="24"/>
          <w:lang w:val="en-US"/>
        </w:rPr>
        <w:t>III</w:t>
      </w:r>
      <w:r>
        <w:rPr>
          <w:szCs w:val="24"/>
        </w:rPr>
        <w:t xml:space="preserve"> – </w:t>
      </w:r>
      <w:r w:rsidRPr="00D80337">
        <w:rPr>
          <w:szCs w:val="24"/>
        </w:rPr>
        <w:t xml:space="preserve">антитромбин III </w:t>
      </w:r>
    </w:p>
    <w:p w14:paraId="3A453E31" w14:textId="77777777" w:rsidR="00D563D9" w:rsidRPr="00D80337" w:rsidRDefault="00D563D9" w:rsidP="00D563D9">
      <w:pPr>
        <w:pStyle w:val="a6"/>
        <w:spacing w:before="0" w:after="0"/>
        <w:ind w:left="360"/>
        <w:rPr>
          <w:szCs w:val="24"/>
        </w:rPr>
      </w:pPr>
      <w:r>
        <w:rPr>
          <w:szCs w:val="24"/>
        </w:rPr>
        <w:t xml:space="preserve">ВВИГ – </w:t>
      </w:r>
      <w:r w:rsidRPr="00D80337">
        <w:rPr>
          <w:szCs w:val="24"/>
        </w:rPr>
        <w:t xml:space="preserve">внутривенный иммуноглобулин  </w:t>
      </w:r>
    </w:p>
    <w:p w14:paraId="0D6FACDB" w14:textId="77777777" w:rsidR="00D563D9" w:rsidRPr="00D80337" w:rsidRDefault="00D563D9" w:rsidP="00D563D9">
      <w:pPr>
        <w:pStyle w:val="a6"/>
        <w:spacing w:before="0" w:after="0"/>
        <w:ind w:left="360"/>
        <w:rPr>
          <w:szCs w:val="24"/>
        </w:rPr>
      </w:pPr>
      <w:r>
        <w:rPr>
          <w:szCs w:val="24"/>
        </w:rPr>
        <w:t>ВТЭО – венозные тромбоэмболические осложнения</w:t>
      </w:r>
    </w:p>
    <w:p w14:paraId="1046F2E0" w14:textId="77777777" w:rsidR="00D563D9" w:rsidRPr="00D80337" w:rsidRDefault="00D563D9" w:rsidP="00D563D9">
      <w:pPr>
        <w:pStyle w:val="a6"/>
        <w:spacing w:before="0" w:after="0"/>
        <w:ind w:left="360"/>
        <w:rPr>
          <w:rFonts w:eastAsia="Times New Roman"/>
          <w:szCs w:val="24"/>
          <w:lang w:eastAsia="ru-RU"/>
        </w:rPr>
      </w:pPr>
      <w:r>
        <w:rPr>
          <w:rFonts w:eastAsia="Times New Roman"/>
          <w:szCs w:val="24"/>
          <w:lang w:eastAsia="ru-RU"/>
        </w:rPr>
        <w:t xml:space="preserve">ГИТ – </w:t>
      </w:r>
      <w:r w:rsidRPr="00D80337">
        <w:rPr>
          <w:rFonts w:eastAsia="Times New Roman"/>
          <w:szCs w:val="24"/>
          <w:lang w:eastAsia="ru-RU"/>
        </w:rPr>
        <w:t xml:space="preserve">гепарин-индуцированная тромбоцитопения  </w:t>
      </w:r>
    </w:p>
    <w:p w14:paraId="1212D49C" w14:textId="77777777" w:rsidR="00D563D9" w:rsidRPr="00D80337" w:rsidRDefault="00D563D9" w:rsidP="00D563D9">
      <w:pPr>
        <w:pStyle w:val="a6"/>
        <w:spacing w:before="0" w:after="0"/>
        <w:ind w:left="360"/>
        <w:rPr>
          <w:szCs w:val="24"/>
        </w:rPr>
      </w:pPr>
      <w:r>
        <w:rPr>
          <w:szCs w:val="24"/>
        </w:rPr>
        <w:t xml:space="preserve">ИТП – </w:t>
      </w:r>
      <w:r w:rsidRPr="00D80337">
        <w:rPr>
          <w:szCs w:val="24"/>
        </w:rPr>
        <w:t xml:space="preserve">иммунная тромбоцитопения </w:t>
      </w:r>
    </w:p>
    <w:p w14:paraId="77731273" w14:textId="77777777" w:rsidR="00D563D9" w:rsidRPr="00D80337" w:rsidRDefault="00D563D9" w:rsidP="00D563D9">
      <w:pPr>
        <w:pStyle w:val="a6"/>
        <w:spacing w:before="0" w:after="0"/>
        <w:ind w:left="360"/>
        <w:rPr>
          <w:szCs w:val="24"/>
        </w:rPr>
      </w:pPr>
      <w:r>
        <w:rPr>
          <w:szCs w:val="24"/>
        </w:rPr>
        <w:t xml:space="preserve">ИМТ – </w:t>
      </w:r>
      <w:r w:rsidRPr="00D80337">
        <w:rPr>
          <w:szCs w:val="24"/>
        </w:rPr>
        <w:t xml:space="preserve">индекс массы тела  </w:t>
      </w:r>
    </w:p>
    <w:p w14:paraId="1D792106" w14:textId="77777777" w:rsidR="00D563D9" w:rsidRPr="00D80337" w:rsidRDefault="00D563D9" w:rsidP="00D563D9">
      <w:pPr>
        <w:pStyle w:val="a6"/>
        <w:spacing w:before="0" w:after="0"/>
        <w:ind w:left="360"/>
        <w:rPr>
          <w:szCs w:val="24"/>
        </w:rPr>
      </w:pPr>
      <w:r>
        <w:rPr>
          <w:szCs w:val="24"/>
        </w:rPr>
        <w:t xml:space="preserve">КТ – </w:t>
      </w:r>
      <w:r w:rsidRPr="00D80337">
        <w:rPr>
          <w:szCs w:val="24"/>
        </w:rPr>
        <w:t xml:space="preserve">компьютерная томография  </w:t>
      </w:r>
    </w:p>
    <w:p w14:paraId="24025FAE" w14:textId="77777777" w:rsidR="00D563D9" w:rsidRPr="00D80337" w:rsidRDefault="00D563D9" w:rsidP="00D563D9">
      <w:pPr>
        <w:pStyle w:val="a6"/>
        <w:spacing w:before="0" w:after="0"/>
        <w:ind w:left="360"/>
        <w:rPr>
          <w:szCs w:val="24"/>
        </w:rPr>
      </w:pPr>
      <w:r>
        <w:rPr>
          <w:szCs w:val="24"/>
        </w:rPr>
        <w:t xml:space="preserve">МРТ – </w:t>
      </w:r>
      <w:r w:rsidRPr="00D80337">
        <w:rPr>
          <w:szCs w:val="24"/>
        </w:rPr>
        <w:t xml:space="preserve">магнитно-резонансная томография </w:t>
      </w:r>
    </w:p>
    <w:p w14:paraId="0A1D5B4C" w14:textId="77777777" w:rsidR="00D563D9" w:rsidRPr="00872B17" w:rsidRDefault="00D563D9" w:rsidP="00D563D9">
      <w:pPr>
        <w:pStyle w:val="a6"/>
        <w:spacing w:before="0" w:after="0"/>
        <w:ind w:left="360"/>
        <w:rPr>
          <w:szCs w:val="24"/>
        </w:rPr>
      </w:pPr>
      <w:r>
        <w:rPr>
          <w:szCs w:val="24"/>
        </w:rPr>
        <w:t>МНО –</w:t>
      </w:r>
      <w:r w:rsidRPr="00872B17">
        <w:rPr>
          <w:szCs w:val="24"/>
        </w:rPr>
        <w:t xml:space="preserve">международное нормализованное отношение </w:t>
      </w:r>
    </w:p>
    <w:p w14:paraId="0B2D8C5F" w14:textId="77777777" w:rsidR="00D563D9" w:rsidRPr="00872B17" w:rsidRDefault="00D563D9" w:rsidP="00D563D9">
      <w:pPr>
        <w:pStyle w:val="a6"/>
        <w:spacing w:before="0" w:after="0"/>
        <w:ind w:left="360"/>
        <w:rPr>
          <w:szCs w:val="24"/>
        </w:rPr>
      </w:pPr>
      <w:r>
        <w:rPr>
          <w:szCs w:val="24"/>
        </w:rPr>
        <w:t xml:space="preserve">ММ – </w:t>
      </w:r>
      <w:r w:rsidRPr="00872B17">
        <w:rPr>
          <w:szCs w:val="24"/>
        </w:rPr>
        <w:t xml:space="preserve">множественная миелома </w:t>
      </w:r>
    </w:p>
    <w:p w14:paraId="6D6ECBAF" w14:textId="77777777" w:rsidR="00D563D9" w:rsidRPr="00872B17" w:rsidRDefault="00D563D9" w:rsidP="00D563D9">
      <w:pPr>
        <w:pStyle w:val="a6"/>
        <w:spacing w:before="0" w:after="0"/>
        <w:ind w:left="360"/>
        <w:rPr>
          <w:szCs w:val="24"/>
        </w:rPr>
      </w:pPr>
      <w:r>
        <w:rPr>
          <w:szCs w:val="24"/>
        </w:rPr>
        <w:t xml:space="preserve">НФГ – </w:t>
      </w:r>
      <w:r w:rsidRPr="00872B17">
        <w:rPr>
          <w:szCs w:val="24"/>
        </w:rPr>
        <w:t xml:space="preserve">нефракционированный гепарин </w:t>
      </w:r>
    </w:p>
    <w:p w14:paraId="4E88FB19" w14:textId="77777777" w:rsidR="00D563D9" w:rsidRPr="00872B17" w:rsidRDefault="00D563D9" w:rsidP="00D563D9">
      <w:pPr>
        <w:pStyle w:val="a6"/>
        <w:spacing w:before="0" w:after="0"/>
        <w:ind w:left="360"/>
        <w:rPr>
          <w:szCs w:val="24"/>
        </w:rPr>
      </w:pPr>
      <w:r>
        <w:rPr>
          <w:szCs w:val="24"/>
        </w:rPr>
        <w:t xml:space="preserve">НХЛ – </w:t>
      </w:r>
      <w:r w:rsidRPr="00872B17">
        <w:rPr>
          <w:szCs w:val="24"/>
        </w:rPr>
        <w:t xml:space="preserve">неходжкинская лимфома </w:t>
      </w:r>
    </w:p>
    <w:p w14:paraId="7815D7F4" w14:textId="77777777" w:rsidR="00D563D9" w:rsidRPr="00872B17" w:rsidRDefault="00D563D9" w:rsidP="00D563D9">
      <w:pPr>
        <w:pStyle w:val="a6"/>
        <w:spacing w:before="0" w:after="0"/>
        <w:ind w:left="360"/>
        <w:rPr>
          <w:szCs w:val="24"/>
        </w:rPr>
      </w:pPr>
      <w:r>
        <w:rPr>
          <w:szCs w:val="24"/>
        </w:rPr>
        <w:t xml:space="preserve">НМГ – </w:t>
      </w:r>
      <w:r w:rsidRPr="00872B17">
        <w:rPr>
          <w:szCs w:val="24"/>
        </w:rPr>
        <w:t xml:space="preserve">низкомолекулярные гепарины </w:t>
      </w:r>
    </w:p>
    <w:p w14:paraId="4C198EAD" w14:textId="77777777" w:rsidR="00D563D9" w:rsidRPr="00872B17" w:rsidRDefault="00D563D9" w:rsidP="00D563D9">
      <w:pPr>
        <w:pStyle w:val="a6"/>
        <w:spacing w:before="0" w:after="0"/>
        <w:ind w:left="360"/>
        <w:rPr>
          <w:rFonts w:eastAsia="Times New Roman"/>
          <w:szCs w:val="24"/>
          <w:lang w:eastAsia="ru-RU"/>
        </w:rPr>
      </w:pPr>
      <w:r w:rsidRPr="00D80337">
        <w:rPr>
          <w:rFonts w:eastAsia="Times New Roman"/>
          <w:szCs w:val="24"/>
          <w:lang w:eastAsia="ru-RU"/>
        </w:rPr>
        <w:t>п/к</w:t>
      </w:r>
      <w:r>
        <w:rPr>
          <w:rFonts w:eastAsia="Times New Roman"/>
          <w:szCs w:val="24"/>
          <w:lang w:eastAsia="ru-RU"/>
        </w:rPr>
        <w:t xml:space="preserve"> – </w:t>
      </w:r>
      <w:r w:rsidRPr="00872B17">
        <w:rPr>
          <w:rFonts w:eastAsia="Times New Roman"/>
          <w:szCs w:val="24"/>
          <w:lang w:eastAsia="ru-RU"/>
        </w:rPr>
        <w:t xml:space="preserve">подкожно </w:t>
      </w:r>
    </w:p>
    <w:p w14:paraId="0B836335" w14:textId="77777777" w:rsidR="00D563D9" w:rsidRPr="00872B17" w:rsidRDefault="00D563D9" w:rsidP="00D563D9">
      <w:pPr>
        <w:pStyle w:val="a6"/>
        <w:spacing w:before="0" w:after="0"/>
        <w:ind w:left="360"/>
        <w:rPr>
          <w:szCs w:val="24"/>
        </w:rPr>
      </w:pPr>
      <w:r>
        <w:rPr>
          <w:szCs w:val="24"/>
        </w:rPr>
        <w:t xml:space="preserve">ПЭТ – </w:t>
      </w:r>
      <w:r w:rsidRPr="00872B17">
        <w:rPr>
          <w:szCs w:val="24"/>
        </w:rPr>
        <w:t xml:space="preserve">позитронно-эмиссионная томография </w:t>
      </w:r>
    </w:p>
    <w:p w14:paraId="4A81B25C" w14:textId="77777777" w:rsidR="00D563D9" w:rsidRPr="00872B17" w:rsidRDefault="00D563D9" w:rsidP="00D563D9">
      <w:pPr>
        <w:pStyle w:val="a6"/>
        <w:spacing w:before="0" w:after="0"/>
        <w:ind w:left="360"/>
        <w:rPr>
          <w:szCs w:val="24"/>
        </w:rPr>
      </w:pPr>
      <w:r>
        <w:rPr>
          <w:szCs w:val="24"/>
        </w:rPr>
        <w:t xml:space="preserve">СЗП – </w:t>
      </w:r>
      <w:r w:rsidRPr="00872B17">
        <w:rPr>
          <w:szCs w:val="24"/>
        </w:rPr>
        <w:t xml:space="preserve">свежезамороженная плазма  </w:t>
      </w:r>
    </w:p>
    <w:p w14:paraId="6CA43F8C" w14:textId="77777777" w:rsidR="00D563D9" w:rsidRPr="00872B17" w:rsidRDefault="00D563D9" w:rsidP="00D563D9">
      <w:pPr>
        <w:pStyle w:val="a6"/>
        <w:spacing w:before="0" w:after="0"/>
        <w:ind w:left="360"/>
        <w:rPr>
          <w:szCs w:val="24"/>
        </w:rPr>
      </w:pPr>
      <w:r>
        <w:rPr>
          <w:szCs w:val="24"/>
        </w:rPr>
        <w:t xml:space="preserve">ДВС-синдром – </w:t>
      </w:r>
      <w:r w:rsidRPr="00872B17">
        <w:rPr>
          <w:szCs w:val="24"/>
        </w:rPr>
        <w:t>синдром диссеминированного внутрисосудистого свертывания</w:t>
      </w:r>
    </w:p>
    <w:p w14:paraId="7426CCAD" w14:textId="77777777" w:rsidR="00D563D9" w:rsidRPr="00872B17" w:rsidRDefault="00D563D9" w:rsidP="00D563D9">
      <w:pPr>
        <w:pStyle w:val="a6"/>
        <w:spacing w:before="0" w:after="0"/>
        <w:ind w:left="360"/>
        <w:rPr>
          <w:szCs w:val="24"/>
        </w:rPr>
      </w:pPr>
      <w:r>
        <w:rPr>
          <w:szCs w:val="24"/>
        </w:rPr>
        <w:t xml:space="preserve">ТВ – </w:t>
      </w:r>
      <w:r w:rsidRPr="00872B17">
        <w:rPr>
          <w:szCs w:val="24"/>
        </w:rPr>
        <w:t>тромбиновое время</w:t>
      </w:r>
    </w:p>
    <w:p w14:paraId="0F86FB91" w14:textId="77777777" w:rsidR="00D563D9" w:rsidRPr="00872B17" w:rsidRDefault="00D563D9" w:rsidP="00D563D9">
      <w:pPr>
        <w:pStyle w:val="a6"/>
        <w:spacing w:before="0" w:after="0"/>
        <w:ind w:left="360"/>
        <w:rPr>
          <w:szCs w:val="24"/>
        </w:rPr>
      </w:pPr>
      <w:r>
        <w:rPr>
          <w:szCs w:val="24"/>
        </w:rPr>
        <w:t xml:space="preserve">ТМА – </w:t>
      </w:r>
      <w:r w:rsidRPr="00872B17">
        <w:rPr>
          <w:szCs w:val="24"/>
        </w:rPr>
        <w:t xml:space="preserve">тромботическая микроангиопатия </w:t>
      </w:r>
    </w:p>
    <w:p w14:paraId="486DA0BF" w14:textId="77777777" w:rsidR="00D563D9" w:rsidRPr="00872B17" w:rsidRDefault="00D563D9" w:rsidP="00D563D9">
      <w:pPr>
        <w:pStyle w:val="a6"/>
        <w:spacing w:before="0" w:after="0"/>
        <w:ind w:left="360"/>
        <w:rPr>
          <w:szCs w:val="24"/>
        </w:rPr>
      </w:pPr>
      <w:r>
        <w:rPr>
          <w:szCs w:val="24"/>
        </w:rPr>
        <w:t xml:space="preserve">ТТП – </w:t>
      </w:r>
      <w:r w:rsidRPr="00872B17">
        <w:rPr>
          <w:szCs w:val="24"/>
        </w:rPr>
        <w:t xml:space="preserve">тромботическая тромбоцитопеническая пурпура </w:t>
      </w:r>
    </w:p>
    <w:p w14:paraId="30BCACA2" w14:textId="77777777" w:rsidR="00D563D9" w:rsidRPr="00872B17" w:rsidRDefault="00D563D9" w:rsidP="00D563D9">
      <w:pPr>
        <w:pStyle w:val="a6"/>
        <w:spacing w:before="0" w:after="0"/>
        <w:ind w:left="360"/>
        <w:rPr>
          <w:szCs w:val="24"/>
        </w:rPr>
      </w:pPr>
      <w:r>
        <w:rPr>
          <w:szCs w:val="24"/>
        </w:rPr>
        <w:t xml:space="preserve">ТЭЛА – </w:t>
      </w:r>
      <w:r w:rsidRPr="00872B17">
        <w:rPr>
          <w:szCs w:val="24"/>
        </w:rPr>
        <w:t xml:space="preserve">тромбоэмболия легочной артерии  </w:t>
      </w:r>
    </w:p>
    <w:p w14:paraId="5137963F" w14:textId="77777777" w:rsidR="00D563D9" w:rsidRPr="00872B17" w:rsidRDefault="00D563D9" w:rsidP="00D563D9">
      <w:pPr>
        <w:pStyle w:val="a6"/>
        <w:spacing w:before="0" w:after="0"/>
        <w:ind w:left="360"/>
        <w:rPr>
          <w:szCs w:val="24"/>
        </w:rPr>
      </w:pPr>
      <w:r>
        <w:rPr>
          <w:szCs w:val="24"/>
        </w:rPr>
        <w:t xml:space="preserve">УЗДГ – </w:t>
      </w:r>
      <w:r w:rsidRPr="00872B17">
        <w:rPr>
          <w:szCs w:val="24"/>
        </w:rPr>
        <w:t xml:space="preserve">ультразвуковая доплерография </w:t>
      </w:r>
    </w:p>
    <w:p w14:paraId="5C8BCF18" w14:textId="77777777" w:rsidR="00D563D9" w:rsidRPr="00872B17" w:rsidRDefault="00D563D9" w:rsidP="00D563D9">
      <w:pPr>
        <w:pStyle w:val="a6"/>
        <w:spacing w:before="0" w:after="0"/>
        <w:ind w:left="360"/>
        <w:rPr>
          <w:szCs w:val="24"/>
        </w:rPr>
      </w:pPr>
      <w:r>
        <w:rPr>
          <w:szCs w:val="24"/>
        </w:rPr>
        <w:t xml:space="preserve">УЗИ – </w:t>
      </w:r>
      <w:r w:rsidRPr="00872B17">
        <w:rPr>
          <w:szCs w:val="24"/>
        </w:rPr>
        <w:t xml:space="preserve">ультразвуковое исследование  </w:t>
      </w:r>
    </w:p>
    <w:p w14:paraId="34EDA19F" w14:textId="77777777" w:rsidR="00D563D9" w:rsidRPr="003469F0" w:rsidRDefault="00D563D9" w:rsidP="00D563D9">
      <w:pPr>
        <w:pStyle w:val="a6"/>
        <w:spacing w:before="0" w:after="0"/>
        <w:ind w:left="360"/>
        <w:rPr>
          <w:szCs w:val="24"/>
        </w:rPr>
      </w:pPr>
      <w:r>
        <w:rPr>
          <w:szCs w:val="24"/>
        </w:rPr>
        <w:t xml:space="preserve">ФЛ – </w:t>
      </w:r>
      <w:r w:rsidRPr="003469F0">
        <w:rPr>
          <w:szCs w:val="24"/>
        </w:rPr>
        <w:t xml:space="preserve">фолликулярная лимфома </w:t>
      </w:r>
    </w:p>
    <w:p w14:paraId="1B5E1878" w14:textId="77777777" w:rsidR="00D563D9" w:rsidRPr="003469F0" w:rsidRDefault="00D563D9" w:rsidP="00D563D9">
      <w:pPr>
        <w:pStyle w:val="a6"/>
        <w:spacing w:before="0" w:after="0"/>
        <w:ind w:left="360"/>
        <w:rPr>
          <w:szCs w:val="24"/>
        </w:rPr>
      </w:pPr>
      <w:r>
        <w:rPr>
          <w:szCs w:val="24"/>
        </w:rPr>
        <w:t xml:space="preserve">ХТ – </w:t>
      </w:r>
      <w:r w:rsidRPr="003469F0">
        <w:rPr>
          <w:szCs w:val="24"/>
        </w:rPr>
        <w:t>химиотерапия</w:t>
      </w:r>
    </w:p>
    <w:p w14:paraId="03DD86EB" w14:textId="77777777" w:rsidR="00D563D9" w:rsidRPr="003469F0" w:rsidRDefault="00D563D9" w:rsidP="00D563D9">
      <w:pPr>
        <w:pStyle w:val="a6"/>
        <w:spacing w:before="0" w:after="0"/>
        <w:ind w:left="360"/>
        <w:rPr>
          <w:szCs w:val="24"/>
        </w:rPr>
      </w:pPr>
      <w:r>
        <w:rPr>
          <w:szCs w:val="24"/>
        </w:rPr>
        <w:t xml:space="preserve">ХБП – </w:t>
      </w:r>
      <w:r w:rsidRPr="003469F0">
        <w:rPr>
          <w:szCs w:val="24"/>
        </w:rPr>
        <w:t xml:space="preserve">хроническая болезнь почек </w:t>
      </w:r>
    </w:p>
    <w:p w14:paraId="648D983F" w14:textId="77777777" w:rsidR="00D563D9" w:rsidRPr="0042005C" w:rsidRDefault="00D563D9" w:rsidP="00D563D9">
      <w:pPr>
        <w:pStyle w:val="a6"/>
        <w:spacing w:before="0" w:after="0"/>
        <w:ind w:left="360"/>
        <w:rPr>
          <w:szCs w:val="24"/>
        </w:rPr>
      </w:pPr>
      <w:r>
        <w:rPr>
          <w:szCs w:val="24"/>
        </w:rPr>
        <w:t xml:space="preserve">ЦВК – </w:t>
      </w:r>
      <w:r w:rsidRPr="0042005C">
        <w:rPr>
          <w:szCs w:val="24"/>
        </w:rPr>
        <w:t xml:space="preserve">центральный венозный катетер </w:t>
      </w:r>
    </w:p>
    <w:p w14:paraId="27168F8A" w14:textId="77777777" w:rsidR="00D563D9" w:rsidRDefault="00D563D9" w:rsidP="00D563D9">
      <w:pPr>
        <w:pStyle w:val="a6"/>
        <w:spacing w:before="0" w:after="0"/>
        <w:ind w:left="360"/>
        <w:rPr>
          <w:szCs w:val="24"/>
        </w:rPr>
      </w:pPr>
      <w:r>
        <w:rPr>
          <w:szCs w:val="24"/>
        </w:rPr>
        <w:lastRenderedPageBreak/>
        <w:t xml:space="preserve">ЦНС – </w:t>
      </w:r>
      <w:r w:rsidRPr="0042005C">
        <w:rPr>
          <w:szCs w:val="24"/>
        </w:rPr>
        <w:t xml:space="preserve">центральная нервная система </w:t>
      </w:r>
    </w:p>
    <w:p w14:paraId="278D7521" w14:textId="77777777" w:rsidR="00D563D9" w:rsidRPr="001F2553" w:rsidRDefault="00D563D9" w:rsidP="00D563D9">
      <w:pPr>
        <w:pStyle w:val="a6"/>
        <w:spacing w:before="0" w:after="0"/>
        <w:ind w:left="360"/>
        <w:rPr>
          <w:iCs/>
          <w:szCs w:val="24"/>
        </w:rPr>
      </w:pPr>
      <w:r w:rsidRPr="001B510F">
        <w:rPr>
          <w:iCs/>
          <w:szCs w:val="24"/>
        </w:rPr>
        <w:t>Э</w:t>
      </w:r>
      <w:r>
        <w:rPr>
          <w:iCs/>
          <w:szCs w:val="24"/>
        </w:rPr>
        <w:t>ГДС – э</w:t>
      </w:r>
      <w:r w:rsidRPr="001F2553">
        <w:rPr>
          <w:iCs/>
          <w:szCs w:val="24"/>
        </w:rPr>
        <w:t>зофагогастрод</w:t>
      </w:r>
      <w:r>
        <w:rPr>
          <w:iCs/>
          <w:szCs w:val="24"/>
        </w:rPr>
        <w:t>уоденоскопия</w:t>
      </w:r>
    </w:p>
    <w:p w14:paraId="78D33E37" w14:textId="77777777" w:rsidR="00D563D9" w:rsidRPr="0042005C" w:rsidRDefault="00D563D9" w:rsidP="00D563D9">
      <w:pPr>
        <w:pStyle w:val="a6"/>
        <w:spacing w:before="0" w:after="0"/>
        <w:ind w:left="360"/>
        <w:rPr>
          <w:szCs w:val="24"/>
        </w:rPr>
      </w:pPr>
      <w:r>
        <w:rPr>
          <w:szCs w:val="24"/>
        </w:rPr>
        <w:t xml:space="preserve">ЭТ – </w:t>
      </w:r>
      <w:r w:rsidRPr="0042005C">
        <w:rPr>
          <w:szCs w:val="24"/>
        </w:rPr>
        <w:t>эссенциальная тромбоцитемия</w:t>
      </w:r>
    </w:p>
    <w:p w14:paraId="5B06ABE8" w14:textId="5A1E38B8" w:rsidR="00D563D9" w:rsidRPr="00FD15FE" w:rsidRDefault="00D563D9" w:rsidP="00FD15FE">
      <w:pPr>
        <w:pStyle w:val="a6"/>
        <w:numPr>
          <w:ilvl w:val="6"/>
          <w:numId w:val="13"/>
        </w:numPr>
        <w:ind w:left="284" w:hanging="284"/>
        <w:rPr>
          <w:b/>
          <w:lang w:val="x-none" w:eastAsia="ru-RU"/>
        </w:rPr>
      </w:pPr>
      <w:r w:rsidRPr="00FD15FE">
        <w:rPr>
          <w:b/>
          <w:lang w:eastAsia="ru-RU"/>
        </w:rPr>
        <w:t>Общие сведения о тромботических осложнениях.</w:t>
      </w:r>
    </w:p>
    <w:p w14:paraId="05F12413" w14:textId="2A814B81" w:rsidR="00D563D9" w:rsidRDefault="00D563D9" w:rsidP="00D563D9">
      <w:pPr>
        <w:spacing w:before="0" w:after="0"/>
        <w:ind w:firstLine="567"/>
        <w:rPr>
          <w:szCs w:val="24"/>
          <w:lang w:eastAsia="ru-RU"/>
        </w:rPr>
      </w:pPr>
      <w:r>
        <w:rPr>
          <w:szCs w:val="24"/>
          <w:lang w:eastAsia="ru-RU"/>
        </w:rPr>
        <w:t>При гематологических заболеваниях как первично, так и в процессе их лечения возникают тромботические осложнения, требующие обязат</w:t>
      </w:r>
      <w:r w:rsidR="004569A5">
        <w:rPr>
          <w:szCs w:val="24"/>
          <w:lang w:eastAsia="ru-RU"/>
        </w:rPr>
        <w:t xml:space="preserve">ельной профилактики и терапии. </w:t>
      </w:r>
      <w:r>
        <w:rPr>
          <w:szCs w:val="24"/>
          <w:lang w:eastAsia="ru-RU"/>
        </w:rPr>
        <w:t xml:space="preserve">Частота тромботических нарушений при опухолях системы крови различна. </w:t>
      </w:r>
    </w:p>
    <w:p w14:paraId="0F01B0B7" w14:textId="77777777" w:rsidR="00D563D9" w:rsidRDefault="00D563D9" w:rsidP="00D563D9">
      <w:pPr>
        <w:spacing w:before="0" w:after="0"/>
        <w:ind w:firstLine="567"/>
        <w:rPr>
          <w:rFonts w:eastAsia="Times New Roman"/>
          <w:szCs w:val="24"/>
          <w:lang w:eastAsia="ru-RU"/>
        </w:rPr>
      </w:pPr>
      <w:r>
        <w:rPr>
          <w:rFonts w:eastAsia="Times New Roman"/>
          <w:szCs w:val="24"/>
          <w:lang w:eastAsia="ru-RU"/>
        </w:rPr>
        <w:t>Причинами тромбозов у больных онкогематологическими заболеваниями могут быть:</w:t>
      </w:r>
    </w:p>
    <w:p w14:paraId="4EE51EB7" w14:textId="7A69254B" w:rsidR="00D563D9" w:rsidRDefault="00D563D9" w:rsidP="00D563D9">
      <w:pPr>
        <w:pStyle w:val="Numlist"/>
        <w:spacing w:line="360" w:lineRule="auto"/>
        <w:ind w:firstLine="0"/>
        <w:jc w:val="both"/>
      </w:pPr>
      <w:r>
        <w:t xml:space="preserve">1) механические факторы (сдавление опухолью кровеносного сосуда, центральный или </w:t>
      </w:r>
      <w:r w:rsidRPr="004C0C25">
        <w:t>периферический венозные катетеры, нарушение целостности эндотелия некоторыми химио</w:t>
      </w:r>
      <w:r w:rsidR="0036326F" w:rsidRPr="004C0C25">
        <w:t xml:space="preserve">терапевтическими </w:t>
      </w:r>
      <w:r w:rsidRPr="004C0C25">
        <w:t>препаратами и др.);</w:t>
      </w:r>
    </w:p>
    <w:p w14:paraId="46D84233" w14:textId="77777777" w:rsidR="00D563D9" w:rsidRDefault="00D563D9" w:rsidP="00D563D9">
      <w:pPr>
        <w:pStyle w:val="Numlist"/>
        <w:spacing w:line="360" w:lineRule="auto"/>
        <w:ind w:firstLine="0"/>
        <w:jc w:val="both"/>
      </w:pPr>
      <w:r>
        <w:t>2) коагулогические</w:t>
      </w:r>
      <w:r w:rsidRPr="00A6492E">
        <w:t xml:space="preserve"> </w:t>
      </w:r>
      <w:r>
        <w:t>факторы (повышение или снижение активности факторов свертывания крови, повышение агрегационных свойств тромбоцитов и гипертромбоцитоз);</w:t>
      </w:r>
    </w:p>
    <w:p w14:paraId="717071B2" w14:textId="77777777" w:rsidR="00D563D9" w:rsidRDefault="00D563D9" w:rsidP="00D563D9">
      <w:pPr>
        <w:pStyle w:val="Numlist"/>
        <w:spacing w:line="360" w:lineRule="auto"/>
        <w:ind w:firstLine="0"/>
        <w:jc w:val="both"/>
      </w:pPr>
      <w:r>
        <w:t>3) реологические</w:t>
      </w:r>
      <w:r w:rsidRPr="00A6492E">
        <w:t xml:space="preserve"> </w:t>
      </w:r>
      <w:r>
        <w:t xml:space="preserve">факторы (в том числе за счет гиперлейкоцитоза, эритроцитоза, гипертромбоцитоза); </w:t>
      </w:r>
    </w:p>
    <w:p w14:paraId="01C6AB56" w14:textId="77777777" w:rsidR="00D563D9" w:rsidRDefault="00D563D9" w:rsidP="00D563D9">
      <w:pPr>
        <w:pStyle w:val="Numlist"/>
        <w:spacing w:line="360" w:lineRule="auto"/>
        <w:ind w:firstLine="0"/>
        <w:jc w:val="both"/>
      </w:pPr>
      <w:r>
        <w:t>4) химиолучевая терапия.</w:t>
      </w:r>
    </w:p>
    <w:p w14:paraId="3DA7A47C" w14:textId="77777777" w:rsidR="00D563D9" w:rsidRDefault="00D563D9" w:rsidP="00D563D9">
      <w:pPr>
        <w:spacing w:before="0" w:after="0"/>
        <w:ind w:firstLine="567"/>
        <w:rPr>
          <w:rFonts w:eastAsia="Times New Roman"/>
          <w:szCs w:val="24"/>
          <w:lang w:eastAsia="ru-RU"/>
        </w:rPr>
      </w:pPr>
      <w:r>
        <w:rPr>
          <w:rFonts w:eastAsia="Times New Roman"/>
          <w:szCs w:val="24"/>
          <w:lang w:eastAsia="ru-RU"/>
        </w:rPr>
        <w:t>Эти факторы очень часто сочетаются друг с другом.</w:t>
      </w:r>
    </w:p>
    <w:p w14:paraId="2DE72DC6" w14:textId="7D66340E" w:rsidR="00D563D9" w:rsidRDefault="00D563D9" w:rsidP="00D563D9">
      <w:pPr>
        <w:spacing w:before="0" w:after="0"/>
        <w:ind w:firstLine="567"/>
        <w:rPr>
          <w:szCs w:val="24"/>
        </w:rPr>
      </w:pPr>
      <w:r>
        <w:rPr>
          <w:szCs w:val="24"/>
        </w:rPr>
        <w:t xml:space="preserve">К заболеваниям, при которых наиболее часто возникают тромбозы, относятся миелопролиферативные заболевания, </w:t>
      </w:r>
      <w:r w:rsidR="0036326F" w:rsidRPr="004C0C25">
        <w:rPr>
          <w:szCs w:val="24"/>
        </w:rPr>
        <w:t xml:space="preserve">множественная </w:t>
      </w:r>
      <w:r w:rsidRPr="004C0C25">
        <w:rPr>
          <w:szCs w:val="24"/>
        </w:rPr>
        <w:t>миелома</w:t>
      </w:r>
      <w:r>
        <w:rPr>
          <w:szCs w:val="24"/>
        </w:rPr>
        <w:t xml:space="preserve"> (ММ), лимфопролиферативные заболевания, тромботическая микроангиопатия (ТМА), в том числе атипичный гемолитико-уремический синдром (аГУС), тромботическая тромбоцитопеническая пурпура (ТТП). </w:t>
      </w:r>
    </w:p>
    <w:p w14:paraId="28B0067F" w14:textId="18D3D302" w:rsidR="00D563D9" w:rsidRPr="00FD15FE" w:rsidRDefault="00D563D9" w:rsidP="00FD15FE">
      <w:pPr>
        <w:pStyle w:val="a6"/>
        <w:numPr>
          <w:ilvl w:val="6"/>
          <w:numId w:val="13"/>
        </w:numPr>
        <w:ind w:left="284" w:hanging="284"/>
        <w:rPr>
          <w:b/>
          <w:lang w:eastAsia="ru-RU"/>
        </w:rPr>
      </w:pPr>
      <w:r w:rsidRPr="00FD15FE">
        <w:rPr>
          <w:b/>
          <w:lang w:eastAsia="ru-RU"/>
        </w:rPr>
        <w:t>Клинические проявления тромботических осложнений.</w:t>
      </w:r>
    </w:p>
    <w:p w14:paraId="03F5F1DC" w14:textId="77777777" w:rsidR="00D563D9" w:rsidRDefault="00D563D9" w:rsidP="00D563D9">
      <w:pPr>
        <w:spacing w:before="0" w:after="0"/>
        <w:ind w:firstLine="709"/>
        <w:rPr>
          <w:rFonts w:eastAsia="Times New Roman"/>
          <w:szCs w:val="24"/>
          <w:lang w:eastAsia="ru-RU"/>
        </w:rPr>
      </w:pPr>
      <w:r>
        <w:rPr>
          <w:rFonts w:eastAsia="Times New Roman"/>
          <w:szCs w:val="24"/>
          <w:lang w:eastAsia="ru-RU"/>
        </w:rPr>
        <w:t xml:space="preserve">Тромботические осложнения имеют гетерогенные проявления и подтверждаются различными лабораторными (коагулологическими, молекулярно-генетическими, биохимическими, цитологическими) и инструментальными методами. </w:t>
      </w:r>
    </w:p>
    <w:p w14:paraId="0D4C2F7C" w14:textId="77777777" w:rsidR="00D563D9" w:rsidRDefault="00D563D9" w:rsidP="00D563D9">
      <w:pPr>
        <w:spacing w:before="0" w:after="0"/>
        <w:ind w:firstLine="709"/>
        <w:rPr>
          <w:rFonts w:eastAsia="Times New Roman"/>
          <w:szCs w:val="24"/>
          <w:lang w:eastAsia="ru-RU"/>
        </w:rPr>
      </w:pPr>
      <w:r>
        <w:rPr>
          <w:rFonts w:eastAsia="Times New Roman"/>
          <w:szCs w:val="24"/>
          <w:lang w:eastAsia="ru-RU"/>
        </w:rPr>
        <w:t xml:space="preserve">Для тромбозов характерны следующие признаки: </w:t>
      </w:r>
    </w:p>
    <w:p w14:paraId="3EC6621E" w14:textId="77777777" w:rsidR="00D563D9" w:rsidRDefault="00D563D9" w:rsidP="00CE6C1C">
      <w:pPr>
        <w:numPr>
          <w:ilvl w:val="0"/>
          <w:numId w:val="112"/>
        </w:numPr>
        <w:spacing w:before="0" w:after="0"/>
        <w:rPr>
          <w:rFonts w:eastAsia="Times New Roman"/>
          <w:szCs w:val="24"/>
          <w:lang w:eastAsia="ru-RU"/>
        </w:rPr>
      </w:pPr>
      <w:r>
        <w:rPr>
          <w:rFonts w:eastAsia="Times New Roman"/>
          <w:szCs w:val="24"/>
          <w:lang w:eastAsia="ru-RU"/>
        </w:rPr>
        <w:t>отек на месте тромбоза (венозный тромбоз);</w:t>
      </w:r>
    </w:p>
    <w:p w14:paraId="5BAEE9F8" w14:textId="77777777" w:rsidR="00D563D9" w:rsidRDefault="00D563D9" w:rsidP="00CE6C1C">
      <w:pPr>
        <w:numPr>
          <w:ilvl w:val="0"/>
          <w:numId w:val="112"/>
        </w:numPr>
        <w:spacing w:before="0" w:after="0"/>
        <w:rPr>
          <w:rFonts w:eastAsia="Times New Roman"/>
          <w:szCs w:val="24"/>
          <w:lang w:eastAsia="ru-RU"/>
        </w:rPr>
      </w:pPr>
      <w:r>
        <w:rPr>
          <w:rFonts w:eastAsia="Times New Roman"/>
          <w:szCs w:val="24"/>
          <w:lang w:eastAsia="ru-RU"/>
        </w:rPr>
        <w:t>умеренные болевые ощущения - чувство распирания, постоянные локальные боли (венозные и артериальные тромбозы);</w:t>
      </w:r>
    </w:p>
    <w:p w14:paraId="6052BD76" w14:textId="77777777" w:rsidR="00D563D9" w:rsidRDefault="00D563D9" w:rsidP="00CE6C1C">
      <w:pPr>
        <w:numPr>
          <w:ilvl w:val="0"/>
          <w:numId w:val="112"/>
        </w:numPr>
        <w:spacing w:before="0" w:after="0"/>
        <w:rPr>
          <w:rFonts w:eastAsia="Times New Roman"/>
          <w:szCs w:val="24"/>
          <w:lang w:eastAsia="ru-RU"/>
        </w:rPr>
      </w:pPr>
      <w:r>
        <w:rPr>
          <w:rFonts w:eastAsia="Times New Roman"/>
          <w:szCs w:val="24"/>
          <w:lang w:eastAsia="ru-RU"/>
        </w:rPr>
        <w:t xml:space="preserve">повышение кожной температуры непосредственно в области тромбоза (венозные тромбозы); </w:t>
      </w:r>
    </w:p>
    <w:p w14:paraId="613B470F" w14:textId="77777777" w:rsidR="00D563D9" w:rsidRDefault="00D563D9" w:rsidP="00CE6C1C">
      <w:pPr>
        <w:numPr>
          <w:ilvl w:val="0"/>
          <w:numId w:val="112"/>
        </w:numPr>
        <w:spacing w:before="0" w:after="0"/>
        <w:rPr>
          <w:rFonts w:eastAsia="Times New Roman"/>
          <w:szCs w:val="24"/>
          <w:lang w:eastAsia="ru-RU"/>
        </w:rPr>
      </w:pPr>
      <w:r>
        <w:rPr>
          <w:rFonts w:eastAsia="Times New Roman"/>
          <w:szCs w:val="24"/>
          <w:lang w:eastAsia="ru-RU"/>
        </w:rPr>
        <w:lastRenderedPageBreak/>
        <w:t>резкая болезненность, цианоз (синюшность), снижение температуры в области тромбообразования и прилежащих тканях (артериальные тромбозы);</w:t>
      </w:r>
    </w:p>
    <w:p w14:paraId="3A21F992" w14:textId="77777777" w:rsidR="00D563D9" w:rsidRDefault="00D563D9" w:rsidP="00CE6C1C">
      <w:pPr>
        <w:numPr>
          <w:ilvl w:val="0"/>
          <w:numId w:val="112"/>
        </w:numPr>
        <w:spacing w:before="0" w:after="0"/>
        <w:rPr>
          <w:rFonts w:eastAsia="Times New Roman"/>
          <w:szCs w:val="24"/>
          <w:lang w:eastAsia="ru-RU"/>
        </w:rPr>
      </w:pPr>
      <w:r>
        <w:rPr>
          <w:rFonts w:eastAsia="Times New Roman"/>
          <w:szCs w:val="24"/>
          <w:lang w:eastAsia="ru-RU"/>
        </w:rPr>
        <w:t>перемежающаяся хромота (артериальные тромбозы);</w:t>
      </w:r>
    </w:p>
    <w:p w14:paraId="447017D3" w14:textId="77777777" w:rsidR="00D563D9" w:rsidRDefault="00D563D9" w:rsidP="00CE6C1C">
      <w:pPr>
        <w:numPr>
          <w:ilvl w:val="0"/>
          <w:numId w:val="112"/>
        </w:numPr>
        <w:spacing w:before="0" w:after="0"/>
        <w:rPr>
          <w:rFonts w:eastAsia="Times New Roman"/>
          <w:szCs w:val="24"/>
          <w:lang w:eastAsia="ru-RU"/>
        </w:rPr>
      </w:pPr>
      <w:r>
        <w:rPr>
          <w:rFonts w:eastAsia="Times New Roman"/>
          <w:szCs w:val="24"/>
          <w:lang w:eastAsia="ru-RU"/>
        </w:rPr>
        <w:t>при незначительных неокклюзирующих венозных и артериальных тромбозах клинические проявления могут быть минимальными или отсутствовать;</w:t>
      </w:r>
    </w:p>
    <w:p w14:paraId="1B4EE5ED" w14:textId="77777777" w:rsidR="00D563D9" w:rsidRDefault="00D563D9" w:rsidP="00CE6C1C">
      <w:pPr>
        <w:numPr>
          <w:ilvl w:val="0"/>
          <w:numId w:val="112"/>
        </w:numPr>
        <w:spacing w:before="0" w:after="0"/>
        <w:rPr>
          <w:rFonts w:eastAsia="Times New Roman"/>
          <w:szCs w:val="24"/>
          <w:lang w:eastAsia="ru-RU"/>
        </w:rPr>
      </w:pPr>
      <w:r>
        <w:rPr>
          <w:rFonts w:eastAsia="Times New Roman"/>
          <w:szCs w:val="24"/>
          <w:lang w:eastAsia="ru-RU"/>
        </w:rPr>
        <w:t>головные боли, неврологическая симптоматика, нарушение сознания (признаки ишемического инсульта).</w:t>
      </w:r>
    </w:p>
    <w:p w14:paraId="3CD77AA2" w14:textId="77777777" w:rsidR="00D563D9" w:rsidRDefault="00D563D9" w:rsidP="00CE6C1C">
      <w:pPr>
        <w:numPr>
          <w:ilvl w:val="0"/>
          <w:numId w:val="112"/>
        </w:numPr>
        <w:spacing w:before="0" w:after="0"/>
        <w:rPr>
          <w:rFonts w:eastAsia="Times New Roman"/>
          <w:szCs w:val="24"/>
          <w:lang w:eastAsia="ru-RU"/>
        </w:rPr>
      </w:pPr>
      <w:r>
        <w:rPr>
          <w:szCs w:val="24"/>
        </w:rPr>
        <w:t>синдром сдавления венозного ствола или вены;</w:t>
      </w:r>
    </w:p>
    <w:p w14:paraId="318861E8" w14:textId="77777777" w:rsidR="00D563D9" w:rsidRDefault="00D563D9" w:rsidP="00CE6C1C">
      <w:pPr>
        <w:numPr>
          <w:ilvl w:val="0"/>
          <w:numId w:val="112"/>
        </w:numPr>
        <w:spacing w:before="0" w:after="0"/>
        <w:rPr>
          <w:rFonts w:eastAsia="Times New Roman"/>
          <w:szCs w:val="24"/>
          <w:lang w:eastAsia="ru-RU"/>
        </w:rPr>
      </w:pPr>
      <w:r>
        <w:rPr>
          <w:szCs w:val="24"/>
        </w:rPr>
        <w:t>расширение венозной сети;</w:t>
      </w:r>
    </w:p>
    <w:p w14:paraId="5820DEF1" w14:textId="77777777" w:rsidR="00D563D9" w:rsidRDefault="00D563D9" w:rsidP="00CE6C1C">
      <w:pPr>
        <w:numPr>
          <w:ilvl w:val="0"/>
          <w:numId w:val="112"/>
        </w:numPr>
        <w:spacing w:before="0" w:after="0"/>
        <w:rPr>
          <w:rFonts w:eastAsia="Times New Roman"/>
          <w:szCs w:val="24"/>
          <w:lang w:eastAsia="ru-RU"/>
        </w:rPr>
      </w:pPr>
      <w:r>
        <w:rPr>
          <w:szCs w:val="24"/>
        </w:rPr>
        <w:t xml:space="preserve"> признаки дыхательной недостаточности при тромбоэмболии легочной артерии (ТЭЛА).</w:t>
      </w:r>
    </w:p>
    <w:p w14:paraId="588E93A3" w14:textId="77777777" w:rsidR="00D563D9" w:rsidRDefault="00D563D9" w:rsidP="00D563D9">
      <w:pPr>
        <w:spacing w:before="0" w:after="0"/>
        <w:ind w:firstLine="360"/>
        <w:rPr>
          <w:rFonts w:eastAsia="Times New Roman"/>
          <w:szCs w:val="24"/>
          <w:lang w:eastAsia="ru-RU"/>
        </w:rPr>
      </w:pPr>
      <w:r>
        <w:rPr>
          <w:szCs w:val="24"/>
        </w:rPr>
        <w:t xml:space="preserve">Для оценки риска развития тромботических нарушений и их рецидивов необходим тщательный сбор анамнеза с уточнением наличия тромбозов у пациента и родственников первой линии, а также оценка общего состояния пациента и выявление сопутствующих заболеваний. </w:t>
      </w:r>
    </w:p>
    <w:p w14:paraId="70C2B58C" w14:textId="77777777" w:rsidR="00D563D9" w:rsidRDefault="00D563D9" w:rsidP="00D563D9">
      <w:pPr>
        <w:pStyle w:val="Numlist"/>
        <w:spacing w:line="360" w:lineRule="auto"/>
        <w:ind w:firstLine="360"/>
        <w:jc w:val="both"/>
      </w:pPr>
      <w:r>
        <w:rPr>
          <w:b/>
        </w:rPr>
        <w:t xml:space="preserve">3. Лабораторная диагностика </w:t>
      </w:r>
      <w:r>
        <w:t xml:space="preserve">тромботических осложнений должна включать следующие исследования: </w:t>
      </w:r>
    </w:p>
    <w:p w14:paraId="78BBA176" w14:textId="77777777" w:rsidR="00D563D9" w:rsidRDefault="00D563D9" w:rsidP="00D563D9">
      <w:pPr>
        <w:spacing w:before="0" w:after="0"/>
      </w:pPr>
      <w:r>
        <w:t xml:space="preserve">1) </w:t>
      </w:r>
      <w:r>
        <w:rPr>
          <w:szCs w:val="24"/>
        </w:rPr>
        <w:t>Исследование периферической крови с подсчетом количества эритроцитов, гемоглобина и гематокрита, тромбоцитов (с подсчетом в мазке по Фонио), лейкоцитов, лейкоцитарной формулы – обязательно при диагностике, далее по показаниям с целью оценки динамики гематологических показателей и для контроля эффективности  лечения</w:t>
      </w:r>
      <w:r>
        <w:t>.</w:t>
      </w:r>
    </w:p>
    <w:p w14:paraId="512E1165" w14:textId="77777777" w:rsidR="00D563D9" w:rsidRDefault="00D563D9" w:rsidP="00D563D9">
      <w:pPr>
        <w:spacing w:before="0" w:after="0"/>
        <w:rPr>
          <w:szCs w:val="24"/>
        </w:rPr>
      </w:pPr>
      <w:r>
        <w:rPr>
          <w:szCs w:val="24"/>
        </w:rPr>
        <w:t>2) Коагулограмма с определением следующих показателей:</w:t>
      </w:r>
    </w:p>
    <w:p w14:paraId="6F5E2E53" w14:textId="77777777" w:rsidR="00D563D9" w:rsidRDefault="00D563D9" w:rsidP="00CE6C1C">
      <w:pPr>
        <w:pStyle w:val="a6"/>
        <w:widowControl w:val="0"/>
        <w:numPr>
          <w:ilvl w:val="0"/>
          <w:numId w:val="110"/>
        </w:numPr>
        <w:spacing w:before="0" w:after="0"/>
        <w:ind w:left="567" w:hanging="567"/>
        <w:rPr>
          <w:szCs w:val="24"/>
        </w:rPr>
      </w:pPr>
      <w:r>
        <w:rPr>
          <w:szCs w:val="24"/>
        </w:rPr>
        <w:t>активированное частичное тромбопластиновое время (АЧТВ);</w:t>
      </w:r>
    </w:p>
    <w:p w14:paraId="0B240FCE" w14:textId="77777777" w:rsidR="00D563D9" w:rsidRDefault="00D563D9" w:rsidP="00CE6C1C">
      <w:pPr>
        <w:pStyle w:val="a6"/>
        <w:widowControl w:val="0"/>
        <w:numPr>
          <w:ilvl w:val="0"/>
          <w:numId w:val="110"/>
        </w:numPr>
        <w:spacing w:before="0" w:after="0"/>
        <w:ind w:left="567" w:hanging="567"/>
        <w:rPr>
          <w:szCs w:val="24"/>
        </w:rPr>
      </w:pPr>
      <w:r>
        <w:rPr>
          <w:szCs w:val="24"/>
        </w:rPr>
        <w:t>тромбиновое время (ТВ);</w:t>
      </w:r>
    </w:p>
    <w:p w14:paraId="017F09A9" w14:textId="77777777" w:rsidR="00D563D9" w:rsidRDefault="00D563D9" w:rsidP="00CE6C1C">
      <w:pPr>
        <w:pStyle w:val="a6"/>
        <w:widowControl w:val="0"/>
        <w:numPr>
          <w:ilvl w:val="0"/>
          <w:numId w:val="110"/>
        </w:numPr>
        <w:spacing w:before="0" w:after="0"/>
        <w:ind w:left="567" w:hanging="567"/>
        <w:rPr>
          <w:szCs w:val="24"/>
        </w:rPr>
      </w:pPr>
      <w:r>
        <w:rPr>
          <w:szCs w:val="24"/>
        </w:rPr>
        <w:t>протромбин по Квику (международное нормализованное отношение - МНО);</w:t>
      </w:r>
    </w:p>
    <w:p w14:paraId="01A2583D" w14:textId="77777777" w:rsidR="00D563D9" w:rsidRDefault="00D563D9" w:rsidP="00CE6C1C">
      <w:pPr>
        <w:pStyle w:val="a6"/>
        <w:widowControl w:val="0"/>
        <w:numPr>
          <w:ilvl w:val="0"/>
          <w:numId w:val="110"/>
        </w:numPr>
        <w:spacing w:before="0" w:after="0"/>
        <w:ind w:left="567" w:hanging="567"/>
        <w:rPr>
          <w:szCs w:val="24"/>
        </w:rPr>
      </w:pPr>
      <w:r>
        <w:rPr>
          <w:szCs w:val="24"/>
        </w:rPr>
        <w:t>плазменная концентрация фибриногена;</w:t>
      </w:r>
    </w:p>
    <w:p w14:paraId="4C1FC658" w14:textId="77777777" w:rsidR="00D563D9" w:rsidRDefault="00D563D9" w:rsidP="00CE6C1C">
      <w:pPr>
        <w:pStyle w:val="a6"/>
        <w:widowControl w:val="0"/>
        <w:numPr>
          <w:ilvl w:val="0"/>
          <w:numId w:val="110"/>
        </w:numPr>
        <w:spacing w:before="0" w:after="0"/>
        <w:ind w:left="567" w:hanging="567"/>
        <w:rPr>
          <w:szCs w:val="24"/>
        </w:rPr>
      </w:pPr>
      <w:r>
        <w:rPr>
          <w:szCs w:val="24"/>
        </w:rPr>
        <w:t xml:space="preserve">плазменная концентрация антитромбина III (АТ </w:t>
      </w:r>
      <w:r>
        <w:rPr>
          <w:szCs w:val="24"/>
          <w:lang w:val="en-US"/>
        </w:rPr>
        <w:t>III</w:t>
      </w:r>
      <w:r>
        <w:rPr>
          <w:szCs w:val="24"/>
        </w:rPr>
        <w:t>), особенно для групп высокого риска, в частности, получающих L-аспарагиназу;</w:t>
      </w:r>
    </w:p>
    <w:p w14:paraId="7A090D6B" w14:textId="77777777" w:rsidR="00D563D9" w:rsidRDefault="00D563D9" w:rsidP="00CE6C1C">
      <w:pPr>
        <w:pStyle w:val="a6"/>
        <w:widowControl w:val="0"/>
        <w:numPr>
          <w:ilvl w:val="0"/>
          <w:numId w:val="110"/>
        </w:numPr>
        <w:spacing w:before="0" w:after="0"/>
        <w:ind w:left="567" w:hanging="567"/>
        <w:rPr>
          <w:szCs w:val="24"/>
        </w:rPr>
      </w:pPr>
      <w:r>
        <w:rPr>
          <w:szCs w:val="24"/>
        </w:rPr>
        <w:t>агрегация тромбоцитов, индуцированная АДФ и адреналином для пациентов, получающих терапию, соответственно клопидогрелом или ацетилсалициловой кислотой;</w:t>
      </w:r>
    </w:p>
    <w:p w14:paraId="4854C598" w14:textId="77777777" w:rsidR="00D563D9" w:rsidRDefault="00D563D9" w:rsidP="00CE6C1C">
      <w:pPr>
        <w:pStyle w:val="a6"/>
        <w:widowControl w:val="0"/>
        <w:numPr>
          <w:ilvl w:val="0"/>
          <w:numId w:val="110"/>
        </w:numPr>
        <w:spacing w:before="0" w:after="0"/>
        <w:ind w:left="567" w:hanging="567"/>
        <w:rPr>
          <w:szCs w:val="24"/>
        </w:rPr>
      </w:pPr>
      <w:r>
        <w:rPr>
          <w:szCs w:val="24"/>
        </w:rPr>
        <w:t>D-димер;</w:t>
      </w:r>
    </w:p>
    <w:p w14:paraId="772D3E7E" w14:textId="77777777" w:rsidR="00D563D9" w:rsidRDefault="00D563D9" w:rsidP="00CE6C1C">
      <w:pPr>
        <w:pStyle w:val="a6"/>
        <w:widowControl w:val="0"/>
        <w:numPr>
          <w:ilvl w:val="0"/>
          <w:numId w:val="110"/>
        </w:numPr>
        <w:spacing w:before="0" w:after="0"/>
        <w:ind w:left="567" w:hanging="567"/>
        <w:rPr>
          <w:szCs w:val="24"/>
        </w:rPr>
      </w:pPr>
      <w:r>
        <w:rPr>
          <w:szCs w:val="24"/>
        </w:rPr>
        <w:t>протеин С;</w:t>
      </w:r>
    </w:p>
    <w:p w14:paraId="1DC365A8" w14:textId="77777777" w:rsidR="00D563D9" w:rsidRDefault="00D563D9" w:rsidP="00CE6C1C">
      <w:pPr>
        <w:pStyle w:val="a6"/>
        <w:widowControl w:val="0"/>
        <w:numPr>
          <w:ilvl w:val="0"/>
          <w:numId w:val="110"/>
        </w:numPr>
        <w:spacing w:before="0" w:after="0"/>
        <w:ind w:left="567" w:hanging="567"/>
        <w:rPr>
          <w:szCs w:val="24"/>
        </w:rPr>
      </w:pPr>
      <w:r>
        <w:rPr>
          <w:szCs w:val="24"/>
        </w:rPr>
        <w:t xml:space="preserve">протеин </w:t>
      </w:r>
      <w:r>
        <w:rPr>
          <w:szCs w:val="24"/>
          <w:lang w:val="en-US"/>
        </w:rPr>
        <w:t>S</w:t>
      </w:r>
      <w:r>
        <w:rPr>
          <w:szCs w:val="24"/>
        </w:rPr>
        <w:t>;</w:t>
      </w:r>
    </w:p>
    <w:p w14:paraId="6C1F9780" w14:textId="77777777" w:rsidR="00D563D9" w:rsidRDefault="00D563D9" w:rsidP="00CE6C1C">
      <w:pPr>
        <w:pStyle w:val="a6"/>
        <w:widowControl w:val="0"/>
        <w:numPr>
          <w:ilvl w:val="0"/>
          <w:numId w:val="110"/>
        </w:numPr>
        <w:spacing w:before="0" w:after="0"/>
        <w:ind w:left="567" w:hanging="567"/>
        <w:rPr>
          <w:szCs w:val="24"/>
        </w:rPr>
      </w:pPr>
      <w:r>
        <w:rPr>
          <w:szCs w:val="24"/>
        </w:rPr>
        <w:lastRenderedPageBreak/>
        <w:t>XIIa-зависимый фибринолиз;</w:t>
      </w:r>
    </w:p>
    <w:p w14:paraId="1303EF8E" w14:textId="011D1748" w:rsidR="00D563D9" w:rsidRDefault="00D563D9" w:rsidP="00D563D9">
      <w:pPr>
        <w:widowControl w:val="0"/>
        <w:spacing w:before="0" w:after="0"/>
        <w:ind w:firstLine="567"/>
        <w:rPr>
          <w:szCs w:val="24"/>
        </w:rPr>
      </w:pPr>
      <w:r>
        <w:rPr>
          <w:szCs w:val="24"/>
        </w:rPr>
        <w:t>Для исследования показателей гемостаза забор крови производят строго натощак, с помощью вакуумных пробирок. Забор крови из катетеров запрещен. Кровь набирают в пробирки, содержащие 3,2% цитрат натрия в соотношении 1:9. Исследование должно проводиться в течение</w:t>
      </w:r>
      <w:r w:rsidR="000368F4">
        <w:rPr>
          <w:szCs w:val="24"/>
        </w:rPr>
        <w:t xml:space="preserve"> 2-х часов после забора крови. </w:t>
      </w:r>
      <w:r>
        <w:rPr>
          <w:szCs w:val="24"/>
        </w:rPr>
        <w:t>Достоверность результатов агрегабельности тромбоцитов можно оценить только при содержании в крови тромбоцитов ≥ 100 х 10</w:t>
      </w:r>
      <w:r>
        <w:rPr>
          <w:szCs w:val="24"/>
          <w:vertAlign w:val="superscript"/>
        </w:rPr>
        <w:t>9</w:t>
      </w:r>
      <w:r>
        <w:rPr>
          <w:szCs w:val="24"/>
        </w:rPr>
        <w:t>/л.</w:t>
      </w:r>
    </w:p>
    <w:p w14:paraId="1909DD33" w14:textId="77777777" w:rsidR="00D563D9" w:rsidRDefault="00D563D9" w:rsidP="00D563D9">
      <w:pPr>
        <w:widowControl w:val="0"/>
        <w:spacing w:before="0" w:after="0"/>
        <w:ind w:firstLine="567"/>
        <w:rPr>
          <w:szCs w:val="24"/>
        </w:rPr>
      </w:pPr>
      <w:r>
        <w:rPr>
          <w:szCs w:val="24"/>
        </w:rPr>
        <w:t xml:space="preserve">Повышенная концентрация </w:t>
      </w:r>
      <w:r>
        <w:rPr>
          <w:szCs w:val="24"/>
          <w:lang w:val="en-US"/>
        </w:rPr>
        <w:t>D</w:t>
      </w:r>
      <w:r>
        <w:rPr>
          <w:szCs w:val="24"/>
        </w:rPr>
        <w:t xml:space="preserve">-димера у онкогематологических больных встречается при различных ситуациях, не всегда обусловленных венозными тромбо-эмболическими осложнениями (ВТЭО): синдром диссеминированного внутрисосудистого свертывания (ДВС-синдром), гиперфибринолиз, сепсис, поражения печени, серповидноклеточная анемия и др. Поэтому не рекомендуется начинать тромбопрофилактику ориентируясь только на повышенную концентрацию </w:t>
      </w:r>
      <w:r>
        <w:rPr>
          <w:szCs w:val="24"/>
          <w:lang w:val="en-US"/>
        </w:rPr>
        <w:t>D</w:t>
      </w:r>
      <w:r>
        <w:rPr>
          <w:szCs w:val="24"/>
        </w:rPr>
        <w:t>-димера. При концентрации D-димера выше порогового значения рекомендуется дополнительное проведение инструментальных методов обследования.</w:t>
      </w:r>
    </w:p>
    <w:p w14:paraId="2A77B35D" w14:textId="77777777" w:rsidR="00D563D9" w:rsidRDefault="00D563D9" w:rsidP="00D563D9">
      <w:pPr>
        <w:spacing w:before="0" w:after="0"/>
        <w:rPr>
          <w:szCs w:val="24"/>
        </w:rPr>
      </w:pPr>
      <w:r>
        <w:rPr>
          <w:szCs w:val="24"/>
        </w:rPr>
        <w:t xml:space="preserve">3) Биохимический анализ крови: общий белок, альбумины, общий и прямой/непрямой билирубин, АСТ, АЛТ, ЛДГ, мочевая кислота, мочевина, креатинин, щелочная фосфатаза, </w:t>
      </w:r>
    </w:p>
    <w:p w14:paraId="4D28B55A" w14:textId="77777777" w:rsidR="00D563D9" w:rsidRDefault="00D563D9" w:rsidP="00D563D9">
      <w:pPr>
        <w:spacing w:before="0" w:after="0"/>
        <w:rPr>
          <w:szCs w:val="24"/>
        </w:rPr>
      </w:pPr>
      <w:r w:rsidRPr="002B7BF0">
        <w:rPr>
          <w:szCs w:val="24"/>
        </w:rPr>
        <w:t xml:space="preserve">холестерин, триглицериды, индекс атерогенности </w:t>
      </w:r>
      <w:r>
        <w:rPr>
          <w:szCs w:val="24"/>
        </w:rPr>
        <w:t xml:space="preserve">– на этапе диагностике, далее по показаниям. </w:t>
      </w:r>
    </w:p>
    <w:p w14:paraId="2DC20ADF" w14:textId="77777777" w:rsidR="00D563D9" w:rsidRDefault="00D563D9" w:rsidP="00D563D9">
      <w:pPr>
        <w:spacing w:before="0" w:after="0"/>
        <w:rPr>
          <w:i/>
          <w:szCs w:val="24"/>
        </w:rPr>
      </w:pPr>
      <w:r w:rsidRPr="00D563D9">
        <w:rPr>
          <w:rStyle w:val="ac"/>
          <w:b w:val="0"/>
          <w:szCs w:val="24"/>
          <w:shd w:val="clear" w:color="auto" w:fill="FFFFFF"/>
        </w:rPr>
        <w:t>В</w:t>
      </w:r>
      <w:r w:rsidRPr="00D563D9">
        <w:rPr>
          <w:rStyle w:val="a5"/>
          <w:szCs w:val="24"/>
        </w:rPr>
        <w:t>ы</w:t>
      </w:r>
      <w:r>
        <w:rPr>
          <w:rStyle w:val="a5"/>
          <w:szCs w:val="24"/>
        </w:rPr>
        <w:t xml:space="preserve">полнение биохимического анализа крови необходимо для уточнения функциональной способности печени, что важно для выбора адекватной терапии. </w:t>
      </w:r>
    </w:p>
    <w:p w14:paraId="01E4C703" w14:textId="23BF7C91" w:rsidR="00D563D9" w:rsidRDefault="00D563D9" w:rsidP="00D563D9">
      <w:pPr>
        <w:pStyle w:val="Numlist"/>
        <w:spacing w:line="360" w:lineRule="auto"/>
        <w:ind w:firstLine="0"/>
        <w:jc w:val="both"/>
      </w:pPr>
      <w:r>
        <w:t xml:space="preserve">4) Исследование мутации генов факторов, участвующих в гемостазе (протромбина G20210A, фактора V Лейден, </w:t>
      </w:r>
      <w:r w:rsidRPr="00A042E1">
        <w:t>метилентетрагидрофолатредуктазы</w:t>
      </w:r>
      <w:r>
        <w:t>), важно для верификации формы и варианта наследственных тромбофилий, определяется по показаниям.</w:t>
      </w:r>
    </w:p>
    <w:p w14:paraId="6AA74B6A" w14:textId="6329FC39" w:rsidR="00D563D9" w:rsidRDefault="00D563D9" w:rsidP="00D563D9">
      <w:pPr>
        <w:pStyle w:val="Numlist"/>
        <w:spacing w:line="360" w:lineRule="auto"/>
        <w:ind w:firstLine="0"/>
        <w:jc w:val="both"/>
      </w:pPr>
      <w:r>
        <w:t xml:space="preserve">5) Тромбоэластография, пространственная тромбодинамика и определение тромбинового потенциала – по показаниям. </w:t>
      </w:r>
    </w:p>
    <w:p w14:paraId="54E07A6E" w14:textId="77777777" w:rsidR="00D563D9" w:rsidRDefault="00D563D9" w:rsidP="00D563D9">
      <w:pPr>
        <w:spacing w:before="0" w:after="0"/>
        <w:rPr>
          <w:szCs w:val="24"/>
        </w:rPr>
      </w:pPr>
      <w:r>
        <w:rPr>
          <w:b/>
          <w:szCs w:val="24"/>
        </w:rPr>
        <w:t>4. Инструментальная диагностика</w:t>
      </w:r>
      <w:r>
        <w:rPr>
          <w:szCs w:val="24"/>
        </w:rPr>
        <w:t xml:space="preserve"> рекомендуется для определения выраженности и уточнения локализации тромботических осложнений. Выбор метода зависит от клинической картины и данных лабораторного обследования. Проводятся следующие виды исследования:</w:t>
      </w:r>
    </w:p>
    <w:p w14:paraId="42C5AE18" w14:textId="4445E5D0" w:rsidR="00D563D9" w:rsidRDefault="00D563D9" w:rsidP="00CE6C1C">
      <w:pPr>
        <w:pStyle w:val="a6"/>
        <w:numPr>
          <w:ilvl w:val="0"/>
          <w:numId w:val="117"/>
        </w:numPr>
        <w:spacing w:before="0" w:after="0"/>
        <w:rPr>
          <w:szCs w:val="24"/>
        </w:rPr>
      </w:pPr>
      <w:r>
        <w:rPr>
          <w:szCs w:val="24"/>
        </w:rPr>
        <w:t>Ультразвуковое исследование (УЗИ) сосудов, при котором определяются локализация тромбоза, размеры тромба, окклюзирующий или неокклюзирующий характер тромбоза, флотирующий или нефлотирующий характер тромба.</w:t>
      </w:r>
    </w:p>
    <w:p w14:paraId="34B4AA48" w14:textId="77777777" w:rsidR="00D563D9" w:rsidRDefault="00D563D9" w:rsidP="00CE6C1C">
      <w:pPr>
        <w:pStyle w:val="a6"/>
        <w:numPr>
          <w:ilvl w:val="0"/>
          <w:numId w:val="117"/>
        </w:numPr>
        <w:spacing w:before="0" w:after="0"/>
        <w:rPr>
          <w:bCs/>
          <w:szCs w:val="24"/>
        </w:rPr>
      </w:pPr>
      <w:r>
        <w:rPr>
          <w:bCs/>
          <w:szCs w:val="24"/>
        </w:rPr>
        <w:lastRenderedPageBreak/>
        <w:t xml:space="preserve">УЗИ органов брюшной полости (размеры печени, селезенки, </w:t>
      </w:r>
      <w:r w:rsidRPr="00A042E1">
        <w:rPr>
          <w:bCs/>
          <w:szCs w:val="24"/>
        </w:rPr>
        <w:t>вены портальной системы и собственные вены печени</w:t>
      </w:r>
      <w:r>
        <w:rPr>
          <w:bCs/>
          <w:szCs w:val="24"/>
        </w:rPr>
        <w:t>), гемодинамические критерии портальной гипертензии при органомегалии и подозрении на тромбоз.</w:t>
      </w:r>
    </w:p>
    <w:p w14:paraId="11F564A6" w14:textId="77777777" w:rsidR="00D563D9" w:rsidRPr="0065075D" w:rsidRDefault="00D563D9" w:rsidP="00CE6C1C">
      <w:pPr>
        <w:pStyle w:val="a6"/>
        <w:numPr>
          <w:ilvl w:val="0"/>
          <w:numId w:val="117"/>
        </w:numPr>
        <w:spacing w:before="0" w:after="0"/>
        <w:rPr>
          <w:bCs/>
          <w:szCs w:val="24"/>
        </w:rPr>
      </w:pPr>
      <w:r w:rsidRPr="0065075D">
        <w:rPr>
          <w:iCs/>
          <w:szCs w:val="24"/>
        </w:rPr>
        <w:t xml:space="preserve">Компьютерная томография (КТ) </w:t>
      </w:r>
      <w:r w:rsidRPr="0065075D">
        <w:rPr>
          <w:bCs/>
          <w:szCs w:val="24"/>
        </w:rPr>
        <w:t xml:space="preserve">органов грудной клетки и брюшной полости с внутривенным контрастным </w:t>
      </w:r>
      <w:r>
        <w:rPr>
          <w:bCs/>
          <w:szCs w:val="24"/>
        </w:rPr>
        <w:t xml:space="preserve">усилением </w:t>
      </w:r>
      <w:r w:rsidRPr="0065075D">
        <w:rPr>
          <w:bCs/>
          <w:szCs w:val="24"/>
        </w:rPr>
        <w:t>для диагностики ТЭЛА, тромбоза вен и артерий брюшной полости, инфарктов паренхиматозных органов, оценки коллатералей.</w:t>
      </w:r>
    </w:p>
    <w:p w14:paraId="0E22FBA4" w14:textId="77777777" w:rsidR="00D563D9" w:rsidRDefault="00D563D9" w:rsidP="00CE6C1C">
      <w:pPr>
        <w:pStyle w:val="a6"/>
        <w:numPr>
          <w:ilvl w:val="0"/>
          <w:numId w:val="118"/>
        </w:numPr>
        <w:spacing w:before="0" w:after="0"/>
        <w:rPr>
          <w:szCs w:val="24"/>
        </w:rPr>
      </w:pPr>
      <w:r w:rsidRPr="00A042E1">
        <w:rPr>
          <w:iCs/>
          <w:color w:val="000000"/>
          <w:szCs w:val="24"/>
        </w:rPr>
        <w:t>Магнитно-резонансная томография (МРТ)</w:t>
      </w:r>
      <w:r w:rsidRPr="00A042E1">
        <w:rPr>
          <w:i/>
          <w:iCs/>
          <w:color w:val="000000"/>
          <w:szCs w:val="24"/>
        </w:rPr>
        <w:t xml:space="preserve"> </w:t>
      </w:r>
      <w:r>
        <w:rPr>
          <w:szCs w:val="24"/>
        </w:rPr>
        <w:t>с внутривенным контрастным усилением головного мозга для выявления тромботических изменений в сосудах головного мозга, ишемических инсультов, кровоизлияний в головной мозг. МРТ органов грудной клетки и брюшной полости – при невозможности проведения КТ.</w:t>
      </w:r>
    </w:p>
    <w:p w14:paraId="6F1C730E" w14:textId="77777777" w:rsidR="00D563D9" w:rsidRDefault="00D563D9" w:rsidP="00CE6C1C">
      <w:pPr>
        <w:pStyle w:val="a6"/>
        <w:numPr>
          <w:ilvl w:val="0"/>
          <w:numId w:val="118"/>
        </w:numPr>
        <w:spacing w:before="0" w:after="0"/>
        <w:rPr>
          <w:szCs w:val="24"/>
        </w:rPr>
      </w:pPr>
      <w:r>
        <w:rPr>
          <w:iCs/>
          <w:szCs w:val="24"/>
        </w:rPr>
        <w:t xml:space="preserve">Эзофагогастродуоденоскопия (ЭГДС) </w:t>
      </w:r>
      <w:r>
        <w:rPr>
          <w:szCs w:val="24"/>
        </w:rPr>
        <w:t>с целью определения наличия варикозно расширенных вен пищевода и желудка даже при отсутствии симптоматики портальной гипертензии (в том числе и портальной гипертензионной гастропатии). Этот метод исследования может носить как диагностический, так и лечебный характер в отношении источника возникшего кровотечения. Желудочно-кишечное кровотечение, в том числе и анамнестическое, должно рассматриваться как абсолютное показание к неотложному эндоскопическому исследованию, которое тем эффективнее, чем раньше выполнено от начала кровотечения. Очень важным моментом диагностической ЭГДС является определение источника кровотечения: варикозно расширенные вены пищевода и/или язвы желудка или двенадцатиперстной кишки, а</w:t>
      </w:r>
      <w:r>
        <w:rPr>
          <w:i/>
          <w:color w:val="4472C4" w:themeColor="accent5"/>
          <w:szCs w:val="24"/>
        </w:rPr>
        <w:t xml:space="preserve"> </w:t>
      </w:r>
      <w:r>
        <w:rPr>
          <w:szCs w:val="24"/>
        </w:rPr>
        <w:t>также оценка степени</w:t>
      </w:r>
      <w:r>
        <w:rPr>
          <w:i/>
          <w:color w:val="4472C4" w:themeColor="accent5"/>
          <w:szCs w:val="24"/>
        </w:rPr>
        <w:t xml:space="preserve"> </w:t>
      </w:r>
      <w:r>
        <w:rPr>
          <w:szCs w:val="24"/>
        </w:rPr>
        <w:t>устойчивости гемостаза из обнаруженных источников. Исследование выполняется всем пациентам на этапе диагностики, далее проводится мониторинг при выявлении патологии каждые 6 месяцев, и по показаниям.</w:t>
      </w:r>
    </w:p>
    <w:p w14:paraId="3176CDEF" w14:textId="77777777" w:rsidR="00D563D9" w:rsidRDefault="00D563D9" w:rsidP="00CE6C1C">
      <w:pPr>
        <w:pStyle w:val="a6"/>
        <w:numPr>
          <w:ilvl w:val="0"/>
          <w:numId w:val="118"/>
        </w:numPr>
        <w:spacing w:before="0" w:after="0"/>
        <w:rPr>
          <w:szCs w:val="24"/>
        </w:rPr>
      </w:pPr>
      <w:r>
        <w:rPr>
          <w:iCs/>
          <w:szCs w:val="24"/>
        </w:rPr>
        <w:t xml:space="preserve">Рентгенологическое исследование пищевода и желудка </w:t>
      </w:r>
      <w:r>
        <w:rPr>
          <w:szCs w:val="24"/>
        </w:rPr>
        <w:t xml:space="preserve">позволяет определить протяжённость варикозного расширения вен по длине пищевода, состояние нижнего пищеводного сфинктера и его функциональные возможности (по показаниям).  </w:t>
      </w:r>
    </w:p>
    <w:p w14:paraId="35C7083E" w14:textId="77777777" w:rsidR="00D563D9" w:rsidRDefault="00D563D9" w:rsidP="00CE6C1C">
      <w:pPr>
        <w:pStyle w:val="a6"/>
        <w:numPr>
          <w:ilvl w:val="0"/>
          <w:numId w:val="118"/>
        </w:numPr>
        <w:spacing w:before="0" w:after="0"/>
        <w:rPr>
          <w:szCs w:val="24"/>
        </w:rPr>
      </w:pPr>
      <w:r>
        <w:rPr>
          <w:szCs w:val="24"/>
        </w:rPr>
        <w:t>Контрастные артерио- и венографии выявляют локализацию и анатомические особенности тромботических процессов.</w:t>
      </w:r>
    </w:p>
    <w:p w14:paraId="2F93F1C4" w14:textId="77777777" w:rsidR="00D563D9" w:rsidRDefault="00D563D9" w:rsidP="00CE6C1C">
      <w:pPr>
        <w:pStyle w:val="a6"/>
        <w:numPr>
          <w:ilvl w:val="0"/>
          <w:numId w:val="118"/>
        </w:numPr>
        <w:spacing w:before="0" w:after="0"/>
        <w:rPr>
          <w:szCs w:val="24"/>
        </w:rPr>
      </w:pPr>
      <w:r>
        <w:rPr>
          <w:szCs w:val="24"/>
        </w:rPr>
        <w:t>ЭхоКГ для оценки легочной гипертензии.</w:t>
      </w:r>
    </w:p>
    <w:p w14:paraId="59AEAB5E" w14:textId="77777777" w:rsidR="00D563D9" w:rsidRDefault="00D563D9" w:rsidP="00CE6C1C">
      <w:pPr>
        <w:pStyle w:val="Numlist"/>
        <w:numPr>
          <w:ilvl w:val="0"/>
          <w:numId w:val="118"/>
        </w:numPr>
        <w:autoSpaceDE/>
        <w:autoSpaceDN/>
        <w:adjustRightInd/>
        <w:spacing w:line="360" w:lineRule="auto"/>
        <w:jc w:val="both"/>
      </w:pPr>
      <w:r>
        <w:t>Для установления объема опухолевого поражения и степени компрессии сосудов опухолью возможно проведение по показаниям КТ и УЗИ органов и полостей.</w:t>
      </w:r>
    </w:p>
    <w:p w14:paraId="678DE96F" w14:textId="77777777" w:rsidR="00D563D9" w:rsidRDefault="00D563D9" w:rsidP="00D563D9">
      <w:pPr>
        <w:pStyle w:val="Numlist"/>
        <w:spacing w:line="360" w:lineRule="auto"/>
        <w:ind w:firstLine="0"/>
        <w:jc w:val="both"/>
      </w:pPr>
      <w:r w:rsidRPr="00FC468F">
        <w:rPr>
          <w:b/>
        </w:rPr>
        <w:lastRenderedPageBreak/>
        <w:t>5. Консультации специалистов</w:t>
      </w:r>
      <w:r>
        <w:t xml:space="preserve"> проводятся при необходимости уточнения тактики ведения пациентов с тромботическими осложнениями. По показаниям возможны консультации: ангиохирурга, травматолога-ортопеда, хирурга, уролога, невролога, кардиолога, ревматолога, оториноларинголога, гепатолога и др. специалистов.</w:t>
      </w:r>
    </w:p>
    <w:p w14:paraId="4A4129A1" w14:textId="77777777" w:rsidR="00D563D9" w:rsidRDefault="00D563D9" w:rsidP="00FD15FE">
      <w:pPr>
        <w:spacing w:before="0" w:after="0"/>
        <w:rPr>
          <w:b/>
          <w:szCs w:val="24"/>
        </w:rPr>
      </w:pPr>
      <w:r>
        <w:rPr>
          <w:b/>
          <w:szCs w:val="24"/>
        </w:rPr>
        <w:t xml:space="preserve">6. Общие принципы профилактики ВТЭО у гематологических больных. </w:t>
      </w:r>
    </w:p>
    <w:p w14:paraId="40E6EB51" w14:textId="77777777" w:rsidR="00D563D9" w:rsidRDefault="00D563D9" w:rsidP="00D563D9">
      <w:pPr>
        <w:pStyle w:val="Numlist"/>
        <w:spacing w:line="360" w:lineRule="auto"/>
        <w:jc w:val="both"/>
      </w:pPr>
      <w:r>
        <w:t>Риск тромботических осложнений при проведении ХТ может быть высоким и низким. На высокий риск развития тромботических нарушений указывают тромбозы в анамнезе; привычное невынашивание беременности; одновременное выявление трех и более показателей, характеризующих гиперкоагуляционное состояние, а именно укорочение (замедление) АЧТВ, повышение концентрации протромбина, фибриногена, D-димера, угнетение (замедление) XIIa-зависимого фибринолиза; повышение количества тромбоцитов и их агрегабельности; гиперкоагуляция при тромбоэластографии, тромбодинамике, в тесте определения тромбинового потенциала; генетические тромбофилии (мутации генов протромбина G20210A, фактора V Лейден); дефицит АТ III, протеина С и протеина S; гипергомоцистеинемия; наличие АФС; применение овариопротекторов и глюкокортикоидов.</w:t>
      </w:r>
    </w:p>
    <w:p w14:paraId="75DE567E" w14:textId="77777777" w:rsidR="00D563D9" w:rsidRPr="00F855C8" w:rsidRDefault="00D563D9" w:rsidP="00D563D9">
      <w:pPr>
        <w:spacing w:before="0" w:after="0"/>
        <w:rPr>
          <w:szCs w:val="24"/>
        </w:rPr>
      </w:pPr>
      <w:r>
        <w:rPr>
          <w:b/>
          <w:szCs w:val="24"/>
        </w:rPr>
        <w:tab/>
      </w:r>
      <w:r>
        <w:rPr>
          <w:szCs w:val="24"/>
        </w:rPr>
        <w:t>С целью определения тактики ведения пациента у</w:t>
      </w:r>
      <w:r w:rsidRPr="00F855C8">
        <w:rPr>
          <w:szCs w:val="24"/>
        </w:rPr>
        <w:t xml:space="preserve"> каждого больного должна быть оценена степень риска развития ВТЭО; у больных, получающих лекарственную противоопухолевую терапию, следует учитывать до</w:t>
      </w:r>
      <w:r>
        <w:rPr>
          <w:szCs w:val="24"/>
        </w:rPr>
        <w:t>полнительные факторы риска ВТЭО.</w:t>
      </w:r>
      <w:r w:rsidRPr="00F855C8">
        <w:rPr>
          <w:szCs w:val="24"/>
        </w:rPr>
        <w:t xml:space="preserve"> </w:t>
      </w:r>
    </w:p>
    <w:p w14:paraId="6DA91855" w14:textId="77777777" w:rsidR="00D563D9" w:rsidRPr="00D563D9" w:rsidRDefault="00D563D9" w:rsidP="00D563D9">
      <w:pPr>
        <w:spacing w:before="0" w:after="0"/>
        <w:rPr>
          <w:szCs w:val="24"/>
        </w:rPr>
      </w:pPr>
      <w:r w:rsidRPr="00D563D9">
        <w:rPr>
          <w:szCs w:val="24"/>
        </w:rPr>
        <w:t>Профилактические мероприятия следует проводить у всех больных, относящихся к группам риска:</w:t>
      </w:r>
    </w:p>
    <w:p w14:paraId="0B1758C3" w14:textId="77777777" w:rsidR="00D563D9" w:rsidRDefault="00D563D9" w:rsidP="00CE6C1C">
      <w:pPr>
        <w:pStyle w:val="a6"/>
        <w:numPr>
          <w:ilvl w:val="0"/>
          <w:numId w:val="106"/>
        </w:numPr>
        <w:spacing w:before="0" w:after="0"/>
        <w:ind w:left="426"/>
        <w:rPr>
          <w:szCs w:val="24"/>
        </w:rPr>
      </w:pPr>
      <w:r>
        <w:rPr>
          <w:szCs w:val="24"/>
        </w:rPr>
        <w:t>обеспечение максимально возможной активности мышц нижних конечностей пациентов, находящихся на длительном постельном режиме, местные процедуры, увеличивающие объемный поток крови через глубокие вены нижних конечностей (эластическая компрессия нижних конечностей, перемежающаяся пневмокомпрессия, венозный насос для стопы);</w:t>
      </w:r>
    </w:p>
    <w:p w14:paraId="19B4E943" w14:textId="77777777" w:rsidR="00D563D9" w:rsidRDefault="00D563D9" w:rsidP="00CE6C1C">
      <w:pPr>
        <w:pStyle w:val="a6"/>
        <w:numPr>
          <w:ilvl w:val="0"/>
          <w:numId w:val="106"/>
        </w:numPr>
        <w:spacing w:before="0" w:after="0"/>
        <w:ind w:left="426"/>
        <w:rPr>
          <w:szCs w:val="24"/>
        </w:rPr>
      </w:pPr>
      <w:r>
        <w:rPr>
          <w:szCs w:val="24"/>
        </w:rPr>
        <w:t>массаж, активные и пассивные нагрузки на верхние конечности, улучшающие циркуляцию крови; механические способы профилактики (компрессионный трикотаж, перемежающаяся пневматическая компрессия);</w:t>
      </w:r>
    </w:p>
    <w:p w14:paraId="4C658090" w14:textId="77777777" w:rsidR="00D563D9" w:rsidRPr="0019724D" w:rsidRDefault="00D563D9" w:rsidP="00CE6C1C">
      <w:pPr>
        <w:pStyle w:val="a6"/>
        <w:numPr>
          <w:ilvl w:val="0"/>
          <w:numId w:val="106"/>
        </w:numPr>
        <w:spacing w:before="0" w:after="0"/>
        <w:ind w:left="426"/>
        <w:rPr>
          <w:szCs w:val="24"/>
        </w:rPr>
      </w:pPr>
      <w:r>
        <w:rPr>
          <w:szCs w:val="24"/>
        </w:rPr>
        <w:t>о</w:t>
      </w:r>
      <w:r w:rsidRPr="0019724D">
        <w:rPr>
          <w:szCs w:val="24"/>
        </w:rPr>
        <w:t xml:space="preserve">собенно важно применять механические способы профилактики при наличии противопоказаний к использованию антикоагулянтов; </w:t>
      </w:r>
    </w:p>
    <w:p w14:paraId="6D01EA41" w14:textId="77777777" w:rsidR="00D563D9" w:rsidRDefault="00D563D9" w:rsidP="00CE6C1C">
      <w:pPr>
        <w:pStyle w:val="a6"/>
        <w:numPr>
          <w:ilvl w:val="0"/>
          <w:numId w:val="106"/>
        </w:numPr>
        <w:spacing w:before="0" w:after="0"/>
        <w:ind w:left="426"/>
        <w:rPr>
          <w:szCs w:val="24"/>
        </w:rPr>
      </w:pPr>
      <w:r>
        <w:rPr>
          <w:szCs w:val="24"/>
        </w:rPr>
        <w:t>у больных с крайне высоким риском ВТЭО медикаментозная и механическая профилактика должны сочетаться;</w:t>
      </w:r>
    </w:p>
    <w:p w14:paraId="7D84A690" w14:textId="77777777" w:rsidR="00D563D9" w:rsidRDefault="00D563D9" w:rsidP="00CE6C1C">
      <w:pPr>
        <w:pStyle w:val="a6"/>
        <w:numPr>
          <w:ilvl w:val="0"/>
          <w:numId w:val="106"/>
        </w:numPr>
        <w:spacing w:before="0" w:after="0"/>
        <w:ind w:left="426"/>
        <w:rPr>
          <w:szCs w:val="24"/>
        </w:rPr>
      </w:pPr>
      <w:r>
        <w:rPr>
          <w:szCs w:val="24"/>
        </w:rPr>
        <w:lastRenderedPageBreak/>
        <w:t xml:space="preserve">проведение лекарственной тромбопрофилактики прямыми (парентеральными и пероральными) и непрямыми антикоагулянтами; </w:t>
      </w:r>
    </w:p>
    <w:p w14:paraId="64F6D22E" w14:textId="77777777" w:rsidR="00D563D9" w:rsidRDefault="00D563D9" w:rsidP="00CE6C1C">
      <w:pPr>
        <w:pStyle w:val="a6"/>
        <w:numPr>
          <w:ilvl w:val="0"/>
          <w:numId w:val="106"/>
        </w:numPr>
        <w:spacing w:before="0" w:after="0"/>
        <w:ind w:left="426"/>
        <w:rPr>
          <w:szCs w:val="24"/>
        </w:rPr>
      </w:pPr>
      <w:r>
        <w:rPr>
          <w:szCs w:val="24"/>
        </w:rPr>
        <w:t xml:space="preserve">наличие острого кровотечения является абсолютным противопоказанием к назначению препаратов антикоагулянтного, антитромботического и антиагрегантного действия; </w:t>
      </w:r>
    </w:p>
    <w:p w14:paraId="6BEA0FE4" w14:textId="77777777" w:rsidR="00D563D9" w:rsidRDefault="00D563D9" w:rsidP="00CE6C1C">
      <w:pPr>
        <w:pStyle w:val="a6"/>
        <w:numPr>
          <w:ilvl w:val="0"/>
          <w:numId w:val="106"/>
        </w:numPr>
        <w:spacing w:before="0" w:after="0"/>
        <w:ind w:left="426"/>
        <w:rPr>
          <w:szCs w:val="24"/>
        </w:rPr>
      </w:pPr>
      <w:r>
        <w:rPr>
          <w:szCs w:val="24"/>
        </w:rPr>
        <w:t xml:space="preserve">установка кава-фильтра в нижней полой вене при повторных ТЭЛА при применении адекватной схемы антикоагулянтной лекарственной профилактики;  </w:t>
      </w:r>
    </w:p>
    <w:p w14:paraId="0D708E39" w14:textId="77777777" w:rsidR="00D563D9" w:rsidRDefault="00D563D9" w:rsidP="00CE6C1C">
      <w:pPr>
        <w:pStyle w:val="a6"/>
        <w:numPr>
          <w:ilvl w:val="0"/>
          <w:numId w:val="106"/>
        </w:numPr>
        <w:spacing w:before="0" w:after="0"/>
        <w:ind w:left="426"/>
        <w:rPr>
          <w:szCs w:val="24"/>
        </w:rPr>
      </w:pPr>
      <w:r>
        <w:rPr>
          <w:szCs w:val="24"/>
        </w:rPr>
        <w:t xml:space="preserve">у пациентов после оперативных вмешательств - максимальная и возможно более ранняя активизация, включая методы пассивной нагрузки. </w:t>
      </w:r>
    </w:p>
    <w:p w14:paraId="320CE5DE" w14:textId="77777777" w:rsidR="00D563D9" w:rsidRDefault="00D563D9" w:rsidP="00CE6C1C">
      <w:pPr>
        <w:pStyle w:val="a6"/>
        <w:numPr>
          <w:ilvl w:val="0"/>
          <w:numId w:val="105"/>
        </w:numPr>
        <w:spacing w:before="0" w:after="0"/>
        <w:ind w:left="426"/>
        <w:rPr>
          <w:szCs w:val="24"/>
        </w:rPr>
      </w:pPr>
      <w:r>
        <w:rPr>
          <w:szCs w:val="24"/>
        </w:rPr>
        <w:t>Проводить профилактику следует до тех пор, пока сохраняется высокий риск развития тромботических осложнений (месяцы и годы).</w:t>
      </w:r>
    </w:p>
    <w:p w14:paraId="7D8876F8" w14:textId="7F8B8338" w:rsidR="00D563D9" w:rsidRPr="00D903CB" w:rsidRDefault="00D563D9" w:rsidP="00D903CB">
      <w:pPr>
        <w:pStyle w:val="a6"/>
        <w:numPr>
          <w:ilvl w:val="0"/>
          <w:numId w:val="102"/>
        </w:numPr>
        <w:spacing w:before="0" w:after="0"/>
        <w:ind w:left="0" w:firstLine="360"/>
        <w:rPr>
          <w:rFonts w:eastAsia="Times New Roman"/>
          <w:szCs w:val="24"/>
          <w:lang w:eastAsia="ru-RU"/>
        </w:rPr>
      </w:pPr>
      <w:r w:rsidRPr="00D903CB">
        <w:rPr>
          <w:b/>
          <w:szCs w:val="24"/>
        </w:rPr>
        <w:t>Профилактика и лечение тромботических нарушений.</w:t>
      </w:r>
      <w:r w:rsidR="00D903CB" w:rsidRPr="00D903CB">
        <w:rPr>
          <w:b/>
          <w:szCs w:val="24"/>
        </w:rPr>
        <w:t xml:space="preserve"> </w:t>
      </w:r>
      <w:r w:rsidRPr="00D903CB">
        <w:rPr>
          <w:rFonts w:eastAsia="Times New Roman"/>
          <w:szCs w:val="24"/>
          <w:lang w:eastAsia="ru-RU"/>
        </w:rPr>
        <w:t>При выявлении ВТЭО и определении его давности, локализации, распространенности, назначается соответствующая терапия. Терапия должна проводиться в течение всего периода проведения специфической терапии основного гематологического заболевания в стационарных и/или амбулаторных условиях. Пациенты с острыми тромбозами чаще всего нуждаются в госпитализации в стационар.</w:t>
      </w:r>
    </w:p>
    <w:p w14:paraId="7749085E" w14:textId="77777777" w:rsidR="00D563D9" w:rsidRDefault="00D563D9" w:rsidP="00D563D9">
      <w:pPr>
        <w:spacing w:before="0" w:after="0"/>
        <w:ind w:firstLine="360"/>
        <w:rPr>
          <w:rFonts w:eastAsia="Times New Roman"/>
          <w:szCs w:val="24"/>
          <w:u w:val="single"/>
          <w:lang w:eastAsia="ru-RU"/>
        </w:rPr>
      </w:pPr>
      <w:r w:rsidRPr="008017CF">
        <w:rPr>
          <w:rFonts w:eastAsia="Times New Roman"/>
          <w:szCs w:val="24"/>
          <w:u w:val="single"/>
          <w:lang w:eastAsia="ru-RU"/>
        </w:rPr>
        <w:t>7</w:t>
      </w:r>
      <w:r>
        <w:rPr>
          <w:rFonts w:eastAsia="Times New Roman"/>
          <w:szCs w:val="24"/>
          <w:u w:val="single"/>
          <w:lang w:eastAsia="ru-RU"/>
        </w:rPr>
        <w:t>.1 Медикаментозная терапия.</w:t>
      </w:r>
    </w:p>
    <w:p w14:paraId="47D2FD27" w14:textId="77777777" w:rsidR="00D563D9" w:rsidRPr="00A4634E" w:rsidRDefault="00D563D9" w:rsidP="00D563D9">
      <w:pPr>
        <w:spacing w:before="0" w:after="0"/>
        <w:ind w:firstLine="708"/>
        <w:rPr>
          <w:rFonts w:eastAsia="Times New Roman"/>
          <w:szCs w:val="24"/>
          <w:u w:val="single"/>
          <w:lang w:eastAsia="ru-RU"/>
        </w:rPr>
      </w:pPr>
      <w:r w:rsidRPr="00A4634E">
        <w:rPr>
          <w:rFonts w:eastAsia="Times New Roman"/>
          <w:szCs w:val="24"/>
          <w:u w:val="single"/>
          <w:lang w:eastAsia="ru-RU"/>
        </w:rPr>
        <w:t>7.1.1 Антикоагулянтная терапия:</w:t>
      </w:r>
    </w:p>
    <w:p w14:paraId="04469684" w14:textId="77777777" w:rsidR="00D563D9" w:rsidRDefault="00D563D9" w:rsidP="00D563D9">
      <w:pPr>
        <w:widowControl w:val="0"/>
        <w:spacing w:before="0" w:after="0"/>
        <w:ind w:firstLine="294"/>
        <w:rPr>
          <w:rFonts w:eastAsia="Times New Roman"/>
          <w:szCs w:val="24"/>
          <w:lang w:eastAsia="ru-RU"/>
        </w:rPr>
      </w:pPr>
      <w:r>
        <w:rPr>
          <w:rFonts w:eastAsia="Times New Roman"/>
          <w:szCs w:val="24"/>
          <w:lang w:eastAsia="ru-RU"/>
        </w:rPr>
        <w:t xml:space="preserve">1. Осуществляется лечение нефракционированным гепарином (НФГ), предпочтительно путем постоянного внутривенного введения при помощи инфузомата. Доза гепарина подбирается по АЧТВ, которое должно составлять 1,5-2 нормы. Начальная доза гепарина составляет 1000 МЕ/час. Профилактические и лечебные режимы введения НФГ представлены в таблицах 1 и 2. </w:t>
      </w:r>
    </w:p>
    <w:p w14:paraId="2308F529" w14:textId="77777777" w:rsidR="00D563D9" w:rsidRDefault="00D563D9" w:rsidP="00D563D9">
      <w:pPr>
        <w:widowControl w:val="0"/>
        <w:spacing w:before="0" w:after="0"/>
        <w:ind w:firstLine="294"/>
        <w:rPr>
          <w:szCs w:val="24"/>
        </w:rPr>
      </w:pPr>
      <w:r>
        <w:rPr>
          <w:rFonts w:eastAsia="Times New Roman"/>
          <w:szCs w:val="24"/>
          <w:lang w:eastAsia="ru-RU"/>
        </w:rPr>
        <w:t>Если количество тромбоцитов в крови меньше 100 </w:t>
      </w:r>
      <w:r>
        <w:rPr>
          <w:szCs w:val="24"/>
        </w:rPr>
        <w:t>х 1</w:t>
      </w:r>
      <w:r>
        <w:rPr>
          <w:rFonts w:eastAsia="Times New Roman"/>
          <w:szCs w:val="24"/>
          <w:lang w:eastAsia="ru-RU"/>
        </w:rPr>
        <w:t>0</w:t>
      </w:r>
      <w:r>
        <w:rPr>
          <w:rFonts w:eastAsia="Times New Roman"/>
          <w:szCs w:val="24"/>
          <w:vertAlign w:val="superscript"/>
          <w:lang w:eastAsia="ru-RU"/>
        </w:rPr>
        <w:t>9</w:t>
      </w:r>
      <w:r>
        <w:rPr>
          <w:rFonts w:eastAsia="Times New Roman"/>
          <w:szCs w:val="24"/>
          <w:lang w:eastAsia="ru-RU"/>
        </w:rPr>
        <w:t>/л, дозу НФГ снижают вдвое; если меньше 50</w:t>
      </w:r>
      <w:r>
        <w:rPr>
          <w:szCs w:val="24"/>
        </w:rPr>
        <w:t>х1</w:t>
      </w:r>
      <w:r>
        <w:rPr>
          <w:rFonts w:eastAsia="Times New Roman"/>
          <w:szCs w:val="24"/>
          <w:lang w:eastAsia="ru-RU"/>
        </w:rPr>
        <w:t>0</w:t>
      </w:r>
      <w:r>
        <w:rPr>
          <w:rFonts w:eastAsia="Times New Roman"/>
          <w:szCs w:val="24"/>
          <w:vertAlign w:val="superscript"/>
          <w:lang w:eastAsia="ru-RU"/>
        </w:rPr>
        <w:t>9</w:t>
      </w:r>
      <w:r>
        <w:rPr>
          <w:rFonts w:eastAsia="Times New Roman"/>
          <w:szCs w:val="24"/>
          <w:lang w:eastAsia="ru-RU"/>
        </w:rPr>
        <w:t>/л, НФГ отменяют. При развитии геморрагического синдрома любой тяжести введение НФГ прекращают и вводят протамина сульфат или СЗП (10</w:t>
      </w:r>
      <w:r>
        <w:rPr>
          <w:i/>
          <w:szCs w:val="24"/>
        </w:rPr>
        <w:t>—</w:t>
      </w:r>
      <w:r>
        <w:rPr>
          <w:rFonts w:eastAsia="Times New Roman"/>
          <w:szCs w:val="24"/>
          <w:lang w:eastAsia="ru-RU"/>
        </w:rPr>
        <w:t xml:space="preserve">15 мл на кг массы тела). При гепаринотерапии обязателен контроль количества тромбоцитов в крови каждые 2-3 дня. В случае развития гепарин-индуцированной тромбоцитопении </w:t>
      </w:r>
      <w:r>
        <w:rPr>
          <w:rFonts w:eastAsia="Times New Roman"/>
          <w:szCs w:val="24"/>
          <w:lang w:val="en-US" w:eastAsia="ru-RU"/>
        </w:rPr>
        <w:t>II</w:t>
      </w:r>
      <w:r>
        <w:rPr>
          <w:rFonts w:eastAsia="Times New Roman"/>
          <w:szCs w:val="24"/>
          <w:lang w:eastAsia="ru-RU"/>
        </w:rPr>
        <w:t xml:space="preserve"> типа (ГИТ </w:t>
      </w:r>
      <w:r>
        <w:rPr>
          <w:rFonts w:eastAsia="Times New Roman"/>
          <w:szCs w:val="24"/>
          <w:lang w:val="en-US" w:eastAsia="ru-RU"/>
        </w:rPr>
        <w:t>II</w:t>
      </w:r>
      <w:r>
        <w:rPr>
          <w:rFonts w:eastAsia="Times New Roman"/>
          <w:szCs w:val="24"/>
          <w:lang w:eastAsia="ru-RU"/>
        </w:rPr>
        <w:t>) любые формы гепарина отменяются, не допускается промывка гепарином катетеров. При этом с антикоагулянтной целью применяются фондапаринукс или прямые оральные антикоагулянты (</w:t>
      </w:r>
      <w:r>
        <w:rPr>
          <w:szCs w:val="24"/>
        </w:rPr>
        <w:t xml:space="preserve">ривароксабан, дабигатран, апиксабан). </w:t>
      </w:r>
    </w:p>
    <w:p w14:paraId="296B067A" w14:textId="77777777" w:rsidR="00D563D9" w:rsidRDefault="00D563D9" w:rsidP="00D563D9">
      <w:pPr>
        <w:widowControl w:val="0"/>
        <w:spacing w:before="0" w:after="0"/>
        <w:ind w:firstLine="294"/>
        <w:rPr>
          <w:rFonts w:eastAsia="Times New Roman"/>
          <w:szCs w:val="24"/>
          <w:lang w:eastAsia="ru-RU"/>
        </w:rPr>
      </w:pPr>
      <w:r>
        <w:rPr>
          <w:szCs w:val="24"/>
        </w:rPr>
        <w:t xml:space="preserve">2. </w:t>
      </w:r>
      <w:r>
        <w:rPr>
          <w:rFonts w:eastAsia="Times New Roman"/>
          <w:szCs w:val="24"/>
          <w:lang w:eastAsia="ru-RU"/>
        </w:rPr>
        <w:t>Альтернативой НФГ является подкожное введение низкомолекулярного гепарина (НМГ). Доза подбирается из расчета 100 анти-</w:t>
      </w:r>
      <w:r>
        <w:rPr>
          <w:rFonts w:eastAsia="Times New Roman"/>
          <w:szCs w:val="24"/>
          <w:lang w:val="en-US" w:eastAsia="ru-RU"/>
        </w:rPr>
        <w:t>Xa</w:t>
      </w:r>
      <w:r>
        <w:rPr>
          <w:rFonts w:eastAsia="Times New Roman"/>
          <w:szCs w:val="24"/>
          <w:lang w:eastAsia="ru-RU"/>
        </w:rPr>
        <w:t xml:space="preserve"> МЕ на кг массы тела. Препарат НМГ </w:t>
      </w:r>
      <w:r>
        <w:rPr>
          <w:rFonts w:eastAsia="Times New Roman"/>
          <w:szCs w:val="24"/>
          <w:lang w:eastAsia="ru-RU"/>
        </w:rPr>
        <w:lastRenderedPageBreak/>
        <w:t xml:space="preserve">вводится подкожно 1-2 раза в день. Профилактические и лечебные режимы введения НМГ представлены в таблицах 1 и 2. </w:t>
      </w:r>
    </w:p>
    <w:p w14:paraId="09E42F32" w14:textId="77777777" w:rsidR="00D563D9" w:rsidRDefault="00D563D9" w:rsidP="00D563D9">
      <w:pPr>
        <w:spacing w:before="0" w:after="0"/>
        <w:ind w:firstLine="709"/>
        <w:rPr>
          <w:rFonts w:eastAsia="Times New Roman"/>
          <w:szCs w:val="24"/>
          <w:lang w:eastAsia="ru-RU"/>
        </w:rPr>
      </w:pPr>
      <w:r>
        <w:rPr>
          <w:rFonts w:eastAsia="Times New Roman"/>
          <w:szCs w:val="24"/>
          <w:lang w:eastAsia="ru-RU"/>
        </w:rPr>
        <w:t>Для контроля используется анти-</w:t>
      </w:r>
      <w:r>
        <w:rPr>
          <w:rFonts w:eastAsia="Times New Roman"/>
          <w:szCs w:val="24"/>
          <w:lang w:val="en-US" w:eastAsia="ru-RU"/>
        </w:rPr>
        <w:t>X</w:t>
      </w:r>
      <w:r>
        <w:rPr>
          <w:rFonts w:eastAsia="Times New Roman"/>
          <w:szCs w:val="24"/>
          <w:lang w:eastAsia="ru-RU"/>
        </w:rPr>
        <w:t>а активность, максимальный пик которой должен составлять 0,3-1,0 МЕ/мл через 3-4 часа после введения НМГ, а именно:</w:t>
      </w:r>
    </w:p>
    <w:p w14:paraId="11F33F79" w14:textId="77777777" w:rsidR="00D563D9" w:rsidRDefault="00D563D9" w:rsidP="00CE6C1C">
      <w:pPr>
        <w:pStyle w:val="a6"/>
        <w:numPr>
          <w:ilvl w:val="0"/>
          <w:numId w:val="105"/>
        </w:numPr>
        <w:spacing w:before="0" w:after="0"/>
        <w:rPr>
          <w:szCs w:val="24"/>
        </w:rPr>
      </w:pPr>
      <w:r>
        <w:rPr>
          <w:szCs w:val="24"/>
        </w:rPr>
        <w:t xml:space="preserve">при профилактической дозе НМГ – 0,3-0,4 МЕ/мл плазмы, </w:t>
      </w:r>
    </w:p>
    <w:p w14:paraId="3BD6C22D" w14:textId="77777777" w:rsidR="00D563D9" w:rsidRDefault="00D563D9" w:rsidP="00CE6C1C">
      <w:pPr>
        <w:pStyle w:val="a6"/>
        <w:numPr>
          <w:ilvl w:val="0"/>
          <w:numId w:val="107"/>
        </w:numPr>
        <w:spacing w:before="0" w:after="0"/>
        <w:rPr>
          <w:szCs w:val="24"/>
        </w:rPr>
      </w:pPr>
      <w:r>
        <w:rPr>
          <w:szCs w:val="24"/>
        </w:rPr>
        <w:t>при лечебной дозе НМГ при введении 2 р/сут – 0,5-1,0 МЕ/мл плазмы,</w:t>
      </w:r>
    </w:p>
    <w:p w14:paraId="38E3FB2F" w14:textId="77777777" w:rsidR="00D563D9" w:rsidRDefault="00D563D9" w:rsidP="00CE6C1C">
      <w:pPr>
        <w:pStyle w:val="a6"/>
        <w:numPr>
          <w:ilvl w:val="0"/>
          <w:numId w:val="107"/>
        </w:numPr>
        <w:spacing w:before="0" w:after="0"/>
        <w:rPr>
          <w:szCs w:val="24"/>
        </w:rPr>
      </w:pPr>
      <w:r>
        <w:rPr>
          <w:szCs w:val="24"/>
        </w:rPr>
        <w:t>при лечебной дозе НМГ при введении 1 р/сут – 1,0-2,0 МЕ/мл плазмы.</w:t>
      </w:r>
    </w:p>
    <w:p w14:paraId="25B34821" w14:textId="77777777" w:rsidR="00D563D9" w:rsidRPr="00D563D9" w:rsidRDefault="00D563D9" w:rsidP="00D563D9">
      <w:pPr>
        <w:spacing w:before="0" w:after="0"/>
        <w:rPr>
          <w:b/>
          <w:bCs/>
          <w:szCs w:val="24"/>
        </w:rPr>
      </w:pPr>
      <w:r w:rsidRPr="00D563D9">
        <w:rPr>
          <w:b/>
          <w:bCs/>
          <w:szCs w:val="24"/>
        </w:rPr>
        <w:t xml:space="preserve">Таблица 1. Дозы антикоагулянтных препаратов </w:t>
      </w:r>
      <w:r w:rsidRPr="00D563D9">
        <w:rPr>
          <w:b/>
          <w:bCs/>
          <w:iCs/>
          <w:szCs w:val="24"/>
        </w:rPr>
        <w:t xml:space="preserve">для профилактики </w:t>
      </w:r>
      <w:r w:rsidRPr="00D563D9">
        <w:rPr>
          <w:b/>
          <w:bCs/>
          <w:szCs w:val="24"/>
        </w:rPr>
        <w:t>тромботических осложнений</w:t>
      </w:r>
    </w:p>
    <w:tbl>
      <w:tblPr>
        <w:tblStyle w:val="16"/>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998"/>
        <w:gridCol w:w="4678"/>
      </w:tblGrid>
      <w:tr w:rsidR="00D563D9" w:rsidRPr="00B46409" w14:paraId="3FD9CF2A" w14:textId="77777777" w:rsidTr="00D563D9">
        <w:trPr>
          <w:trHeight w:val="452"/>
        </w:trPr>
        <w:tc>
          <w:tcPr>
            <w:tcW w:w="3998" w:type="dxa"/>
            <w:shd w:val="clear" w:color="auto" w:fill="auto"/>
          </w:tcPr>
          <w:p w14:paraId="69E2E849" w14:textId="77777777" w:rsidR="00D563D9" w:rsidRPr="00B46409" w:rsidRDefault="00D563D9" w:rsidP="00D563D9">
            <w:pPr>
              <w:spacing w:before="0" w:after="0"/>
              <w:jc w:val="center"/>
              <w:rPr>
                <w:rFonts w:cs="Times New Roman"/>
                <w:bCs/>
                <w:szCs w:val="24"/>
              </w:rPr>
            </w:pPr>
            <w:r w:rsidRPr="00B46409">
              <w:rPr>
                <w:rFonts w:eastAsiaTheme="majorEastAsia" w:cs="Times New Roman"/>
                <w:bCs/>
                <w:szCs w:val="24"/>
              </w:rPr>
              <w:t>Терапия</w:t>
            </w:r>
          </w:p>
        </w:tc>
        <w:tc>
          <w:tcPr>
            <w:tcW w:w="4678" w:type="dxa"/>
            <w:shd w:val="clear" w:color="auto" w:fill="auto"/>
          </w:tcPr>
          <w:p w14:paraId="40F6319B" w14:textId="77777777" w:rsidR="00D563D9" w:rsidRPr="00B46409" w:rsidRDefault="00D563D9" w:rsidP="00D563D9">
            <w:pPr>
              <w:spacing w:before="0" w:after="0"/>
              <w:jc w:val="center"/>
              <w:rPr>
                <w:rFonts w:cs="Times New Roman"/>
                <w:bCs/>
                <w:szCs w:val="24"/>
              </w:rPr>
            </w:pPr>
            <w:r w:rsidRPr="00B46409">
              <w:rPr>
                <w:rFonts w:eastAsiaTheme="majorEastAsia" w:cs="Times New Roman"/>
                <w:bCs/>
                <w:szCs w:val="24"/>
              </w:rPr>
              <w:t>Дозы</w:t>
            </w:r>
          </w:p>
        </w:tc>
      </w:tr>
      <w:tr w:rsidR="00D563D9" w:rsidRPr="00B46409" w14:paraId="101B20AE" w14:textId="77777777" w:rsidTr="00D563D9">
        <w:trPr>
          <w:trHeight w:val="452"/>
        </w:trPr>
        <w:tc>
          <w:tcPr>
            <w:tcW w:w="3998" w:type="dxa"/>
            <w:shd w:val="clear" w:color="auto" w:fill="auto"/>
          </w:tcPr>
          <w:p w14:paraId="21ED5F84" w14:textId="77777777" w:rsidR="00D563D9" w:rsidRPr="00B46409" w:rsidRDefault="00D563D9" w:rsidP="00D563D9">
            <w:pPr>
              <w:spacing w:before="0" w:after="0"/>
              <w:rPr>
                <w:rFonts w:cs="Times New Roman"/>
                <w:bCs/>
                <w:szCs w:val="24"/>
              </w:rPr>
            </w:pPr>
            <w:r w:rsidRPr="00B46409">
              <w:rPr>
                <w:rFonts w:eastAsiaTheme="majorEastAsia" w:cs="Times New Roman"/>
                <w:bCs/>
                <w:szCs w:val="24"/>
              </w:rPr>
              <w:t>Нефракционированный гепарин</w:t>
            </w:r>
          </w:p>
        </w:tc>
        <w:tc>
          <w:tcPr>
            <w:tcW w:w="4678" w:type="dxa"/>
            <w:shd w:val="clear" w:color="auto" w:fill="auto"/>
          </w:tcPr>
          <w:p w14:paraId="2A761BF4" w14:textId="77777777" w:rsidR="00D563D9" w:rsidRPr="00B46409" w:rsidRDefault="00D563D9" w:rsidP="00D563D9">
            <w:pPr>
              <w:spacing w:before="0" w:after="0"/>
              <w:rPr>
                <w:rFonts w:cs="Times New Roman"/>
                <w:bCs/>
                <w:szCs w:val="24"/>
              </w:rPr>
            </w:pPr>
            <w:r>
              <w:rPr>
                <w:rFonts w:eastAsiaTheme="majorEastAsia" w:cs="Times New Roman"/>
                <w:bCs/>
                <w:szCs w:val="24"/>
              </w:rPr>
              <w:t>500 МЕ/час</w:t>
            </w:r>
            <w:r w:rsidRPr="00B46409">
              <w:rPr>
                <w:rFonts w:eastAsiaTheme="majorEastAsia" w:cs="Times New Roman"/>
                <w:bCs/>
                <w:szCs w:val="24"/>
              </w:rPr>
              <w:t xml:space="preserve"> </w:t>
            </w:r>
            <w:r>
              <w:rPr>
                <w:rFonts w:eastAsiaTheme="majorEastAsia" w:cs="Times New Roman"/>
                <w:bCs/>
                <w:szCs w:val="24"/>
              </w:rPr>
              <w:t>в/в непрерывно</w:t>
            </w:r>
            <w:r w:rsidRPr="00A4634E">
              <w:rPr>
                <w:rFonts w:eastAsia="Times New Roman" w:cs="Times New Roman"/>
                <w:bCs/>
                <w:color w:val="000000" w:themeColor="dark1" w:themeShade="BF"/>
                <w:kern w:val="2"/>
                <w:szCs w:val="24"/>
                <w:lang w:eastAsia="ru-RU"/>
              </w:rPr>
              <w:t xml:space="preserve"> под контролем АЧТВ</w:t>
            </w:r>
          </w:p>
        </w:tc>
      </w:tr>
      <w:tr w:rsidR="00D563D9" w:rsidRPr="00B46409" w14:paraId="4C52BFE3" w14:textId="77777777" w:rsidTr="00D563D9">
        <w:trPr>
          <w:trHeight w:val="452"/>
        </w:trPr>
        <w:tc>
          <w:tcPr>
            <w:tcW w:w="3998" w:type="dxa"/>
            <w:shd w:val="clear" w:color="auto" w:fill="auto"/>
          </w:tcPr>
          <w:p w14:paraId="7BC18029" w14:textId="77777777" w:rsidR="00D563D9" w:rsidRPr="00B46409" w:rsidRDefault="00D563D9" w:rsidP="00D563D9">
            <w:pPr>
              <w:spacing w:before="0" w:after="0"/>
              <w:rPr>
                <w:rFonts w:cs="Times New Roman"/>
                <w:bCs/>
                <w:szCs w:val="24"/>
              </w:rPr>
            </w:pPr>
            <w:r w:rsidRPr="00B46409">
              <w:rPr>
                <w:rFonts w:eastAsiaTheme="majorEastAsia" w:cs="Times New Roman"/>
                <w:bCs/>
                <w:szCs w:val="24"/>
              </w:rPr>
              <w:t>Дальтепарин натрия</w:t>
            </w:r>
          </w:p>
        </w:tc>
        <w:tc>
          <w:tcPr>
            <w:tcW w:w="4678" w:type="dxa"/>
            <w:shd w:val="clear" w:color="auto" w:fill="auto"/>
          </w:tcPr>
          <w:p w14:paraId="495E93A3" w14:textId="77777777" w:rsidR="00D563D9" w:rsidRPr="00B46409" w:rsidRDefault="00D563D9" w:rsidP="00D563D9">
            <w:pPr>
              <w:spacing w:before="0" w:after="0"/>
              <w:rPr>
                <w:rFonts w:cs="Times New Roman"/>
                <w:bCs/>
                <w:szCs w:val="24"/>
              </w:rPr>
            </w:pPr>
            <w:r w:rsidRPr="00B46409">
              <w:rPr>
                <w:rFonts w:eastAsiaTheme="majorEastAsia" w:cs="Times New Roman"/>
                <w:bCs/>
                <w:szCs w:val="24"/>
              </w:rPr>
              <w:t>5000 МЕ 1 раз в день, п/к</w:t>
            </w:r>
          </w:p>
        </w:tc>
      </w:tr>
      <w:tr w:rsidR="00D563D9" w:rsidRPr="00B46409" w14:paraId="1A422222" w14:textId="77777777" w:rsidTr="00D563D9">
        <w:trPr>
          <w:trHeight w:val="452"/>
        </w:trPr>
        <w:tc>
          <w:tcPr>
            <w:tcW w:w="3998" w:type="dxa"/>
            <w:shd w:val="clear" w:color="auto" w:fill="auto"/>
          </w:tcPr>
          <w:p w14:paraId="1D9841FB" w14:textId="77777777" w:rsidR="00D563D9" w:rsidRPr="00B46409" w:rsidRDefault="00D563D9" w:rsidP="00D563D9">
            <w:pPr>
              <w:spacing w:before="0" w:after="0"/>
              <w:rPr>
                <w:rFonts w:cs="Times New Roman"/>
                <w:bCs/>
                <w:szCs w:val="24"/>
              </w:rPr>
            </w:pPr>
            <w:r w:rsidRPr="00B46409">
              <w:rPr>
                <w:rFonts w:eastAsiaTheme="majorEastAsia" w:cs="Times New Roman"/>
                <w:bCs/>
                <w:szCs w:val="24"/>
              </w:rPr>
              <w:t>Эноксапарин натрия</w:t>
            </w:r>
          </w:p>
        </w:tc>
        <w:tc>
          <w:tcPr>
            <w:tcW w:w="4678" w:type="dxa"/>
            <w:shd w:val="clear" w:color="auto" w:fill="auto"/>
          </w:tcPr>
          <w:p w14:paraId="7527FDD7" w14:textId="77777777" w:rsidR="00D563D9" w:rsidRPr="00B46409" w:rsidRDefault="00D563D9" w:rsidP="00D563D9">
            <w:pPr>
              <w:spacing w:before="0" w:after="0"/>
              <w:rPr>
                <w:rFonts w:cs="Times New Roman"/>
                <w:bCs/>
                <w:szCs w:val="24"/>
              </w:rPr>
            </w:pPr>
            <w:r w:rsidRPr="00B46409">
              <w:rPr>
                <w:rFonts w:eastAsiaTheme="majorEastAsia" w:cs="Times New Roman"/>
                <w:bCs/>
                <w:szCs w:val="24"/>
              </w:rPr>
              <w:t>0,4 мл 1 раз в день, п/к</w:t>
            </w:r>
          </w:p>
        </w:tc>
      </w:tr>
      <w:tr w:rsidR="00D563D9" w:rsidRPr="00B46409" w14:paraId="4FE20C5F" w14:textId="77777777" w:rsidTr="00D563D9">
        <w:trPr>
          <w:trHeight w:val="452"/>
        </w:trPr>
        <w:tc>
          <w:tcPr>
            <w:tcW w:w="3998" w:type="dxa"/>
            <w:shd w:val="clear" w:color="auto" w:fill="auto"/>
          </w:tcPr>
          <w:p w14:paraId="762443F2" w14:textId="77777777" w:rsidR="00D563D9" w:rsidRPr="00B46409" w:rsidRDefault="00D563D9" w:rsidP="00D563D9">
            <w:pPr>
              <w:spacing w:before="0" w:after="0"/>
              <w:rPr>
                <w:rFonts w:cs="Times New Roman"/>
                <w:bCs/>
                <w:szCs w:val="24"/>
              </w:rPr>
            </w:pPr>
            <w:r w:rsidRPr="00B46409">
              <w:rPr>
                <w:rFonts w:eastAsiaTheme="majorEastAsia" w:cs="Times New Roman"/>
                <w:bCs/>
                <w:szCs w:val="24"/>
              </w:rPr>
              <w:t>Надропарин кальция</w:t>
            </w:r>
          </w:p>
        </w:tc>
        <w:tc>
          <w:tcPr>
            <w:tcW w:w="4678" w:type="dxa"/>
            <w:shd w:val="clear" w:color="auto" w:fill="auto"/>
          </w:tcPr>
          <w:p w14:paraId="684F93B2" w14:textId="77777777" w:rsidR="00D563D9" w:rsidRPr="00B46409" w:rsidRDefault="00D563D9" w:rsidP="00D563D9">
            <w:pPr>
              <w:spacing w:before="0" w:after="0"/>
              <w:rPr>
                <w:rFonts w:cs="Times New Roman"/>
                <w:bCs/>
                <w:szCs w:val="24"/>
              </w:rPr>
            </w:pPr>
            <w:r w:rsidRPr="00B46409">
              <w:rPr>
                <w:rFonts w:eastAsiaTheme="majorEastAsia" w:cs="Times New Roman"/>
                <w:bCs/>
                <w:szCs w:val="24"/>
              </w:rPr>
              <w:t>0,3 мл 1 раз в день, п/к</w:t>
            </w:r>
          </w:p>
        </w:tc>
      </w:tr>
      <w:tr w:rsidR="00D563D9" w:rsidRPr="00B46409" w14:paraId="0347BAAA" w14:textId="77777777" w:rsidTr="00D563D9">
        <w:trPr>
          <w:trHeight w:val="452"/>
        </w:trPr>
        <w:tc>
          <w:tcPr>
            <w:tcW w:w="3998" w:type="dxa"/>
            <w:shd w:val="clear" w:color="auto" w:fill="auto"/>
          </w:tcPr>
          <w:p w14:paraId="2E018A41" w14:textId="77777777" w:rsidR="00D563D9" w:rsidRPr="00B46409" w:rsidRDefault="00D563D9" w:rsidP="00D563D9">
            <w:pPr>
              <w:spacing w:before="0" w:after="0"/>
              <w:rPr>
                <w:rFonts w:cs="Times New Roman"/>
                <w:bCs/>
                <w:szCs w:val="24"/>
              </w:rPr>
            </w:pPr>
            <w:r w:rsidRPr="00B46409">
              <w:rPr>
                <w:rFonts w:eastAsiaTheme="majorEastAsia" w:cs="Times New Roman"/>
                <w:bCs/>
                <w:szCs w:val="24"/>
              </w:rPr>
              <w:t>Фондапаринукс натрия</w:t>
            </w:r>
          </w:p>
        </w:tc>
        <w:tc>
          <w:tcPr>
            <w:tcW w:w="4678" w:type="dxa"/>
            <w:shd w:val="clear" w:color="auto" w:fill="auto"/>
          </w:tcPr>
          <w:p w14:paraId="0C21AF1E" w14:textId="77777777" w:rsidR="00D563D9" w:rsidRPr="00B46409" w:rsidRDefault="00D563D9" w:rsidP="00D563D9">
            <w:pPr>
              <w:spacing w:before="0" w:after="0"/>
              <w:rPr>
                <w:rFonts w:cs="Times New Roman"/>
                <w:bCs/>
                <w:szCs w:val="24"/>
              </w:rPr>
            </w:pPr>
            <w:r w:rsidRPr="00B46409">
              <w:rPr>
                <w:rFonts w:eastAsiaTheme="majorEastAsia" w:cs="Times New Roman"/>
                <w:bCs/>
                <w:szCs w:val="24"/>
              </w:rPr>
              <w:t>2,5 мг 1 раз в день, п/к</w:t>
            </w:r>
          </w:p>
        </w:tc>
      </w:tr>
      <w:tr w:rsidR="00D563D9" w:rsidRPr="00B46409" w14:paraId="59ED5CCE" w14:textId="77777777" w:rsidTr="00D563D9">
        <w:trPr>
          <w:trHeight w:val="452"/>
        </w:trPr>
        <w:tc>
          <w:tcPr>
            <w:tcW w:w="3998" w:type="dxa"/>
            <w:shd w:val="clear" w:color="auto" w:fill="auto"/>
          </w:tcPr>
          <w:p w14:paraId="71D0B80A" w14:textId="77777777" w:rsidR="00D563D9" w:rsidRPr="00A4634E" w:rsidRDefault="00D563D9" w:rsidP="00D563D9">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Варфарин</w:t>
            </w:r>
          </w:p>
        </w:tc>
        <w:tc>
          <w:tcPr>
            <w:tcW w:w="4678" w:type="dxa"/>
            <w:shd w:val="clear" w:color="auto" w:fill="auto"/>
          </w:tcPr>
          <w:p w14:paraId="6F313EE2" w14:textId="77777777" w:rsidR="00D563D9" w:rsidRPr="00A4634E" w:rsidRDefault="00D563D9" w:rsidP="00D563D9">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 xml:space="preserve">Перорально, </w:t>
            </w:r>
            <w:r>
              <w:rPr>
                <w:rFonts w:eastAsia="Times New Roman" w:cs="Times New Roman"/>
                <w:bCs/>
                <w:color w:val="000000" w:themeColor="dark1" w:themeShade="BF"/>
                <w:kern w:val="2"/>
                <w:szCs w:val="24"/>
                <w:lang w:eastAsia="ru-RU"/>
              </w:rPr>
              <w:t>под контролем МНО (ц</w:t>
            </w:r>
            <w:r w:rsidRPr="00A4634E">
              <w:rPr>
                <w:rFonts w:eastAsia="Times New Roman" w:cs="Times New Roman"/>
                <w:bCs/>
                <w:color w:val="000000" w:themeColor="dark1" w:themeShade="BF"/>
                <w:kern w:val="2"/>
                <w:szCs w:val="24"/>
                <w:lang w:eastAsia="ru-RU"/>
              </w:rPr>
              <w:t>елевые значе</w:t>
            </w:r>
            <w:r>
              <w:rPr>
                <w:rFonts w:eastAsia="Times New Roman" w:cs="Times New Roman"/>
                <w:bCs/>
                <w:color w:val="000000" w:themeColor="dark1" w:themeShade="BF"/>
                <w:kern w:val="2"/>
                <w:szCs w:val="24"/>
                <w:lang w:eastAsia="ru-RU"/>
              </w:rPr>
              <w:t>ния МНО: 2.0-2.5)</w:t>
            </w:r>
            <w:r w:rsidRPr="00A4634E">
              <w:rPr>
                <w:rFonts w:eastAsia="Times New Roman" w:cs="Times New Roman"/>
                <w:bCs/>
                <w:color w:val="000000" w:themeColor="dark1" w:themeShade="BF"/>
                <w:kern w:val="2"/>
                <w:szCs w:val="24"/>
                <w:lang w:eastAsia="ru-RU"/>
              </w:rPr>
              <w:t xml:space="preserve">, </w:t>
            </w:r>
          </w:p>
          <w:p w14:paraId="4F466068" w14:textId="77777777" w:rsidR="00D563D9" w:rsidRPr="00A4634E" w:rsidRDefault="00D563D9" w:rsidP="00D563D9">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после НМГ или НФГ</w:t>
            </w:r>
          </w:p>
        </w:tc>
      </w:tr>
      <w:tr w:rsidR="00D563D9" w:rsidRPr="00B46409" w14:paraId="56882565" w14:textId="77777777" w:rsidTr="00D563D9">
        <w:trPr>
          <w:trHeight w:val="452"/>
        </w:trPr>
        <w:tc>
          <w:tcPr>
            <w:tcW w:w="3998" w:type="dxa"/>
            <w:shd w:val="clear" w:color="auto" w:fill="auto"/>
          </w:tcPr>
          <w:p w14:paraId="020E41AD" w14:textId="77777777" w:rsidR="00D563D9" w:rsidRPr="00A4634E" w:rsidRDefault="00D563D9" w:rsidP="00D563D9">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Ривароксабан</w:t>
            </w:r>
          </w:p>
        </w:tc>
        <w:tc>
          <w:tcPr>
            <w:tcW w:w="4678" w:type="dxa"/>
            <w:shd w:val="clear" w:color="auto" w:fill="auto"/>
          </w:tcPr>
          <w:p w14:paraId="77FA4078" w14:textId="77777777" w:rsidR="00D563D9" w:rsidRPr="00A4634E" w:rsidRDefault="00D563D9" w:rsidP="00D563D9">
            <w:pPr>
              <w:spacing w:before="0" w:after="0"/>
              <w:rPr>
                <w:rFonts w:eastAsia="Times New Roman" w:cs="Times New Roman"/>
                <w:szCs w:val="24"/>
                <w:lang w:eastAsia="ru-RU"/>
              </w:rPr>
            </w:pPr>
            <w:r>
              <w:rPr>
                <w:rFonts w:eastAsia="Times New Roman" w:cs="Times New Roman"/>
                <w:bCs/>
                <w:color w:val="000000" w:themeColor="dark1" w:themeShade="BF"/>
                <w:kern w:val="2"/>
                <w:szCs w:val="24"/>
                <w:lang w:eastAsia="ru-RU"/>
              </w:rPr>
              <w:t>10-</w:t>
            </w:r>
            <w:r w:rsidRPr="00A4634E">
              <w:rPr>
                <w:rFonts w:eastAsia="Times New Roman" w:cs="Times New Roman"/>
                <w:bCs/>
                <w:color w:val="000000" w:themeColor="dark1" w:themeShade="BF"/>
                <w:kern w:val="2"/>
                <w:szCs w:val="24"/>
                <w:lang w:eastAsia="ru-RU"/>
              </w:rPr>
              <w:t>20 мг утром, перорально</w:t>
            </w:r>
          </w:p>
        </w:tc>
      </w:tr>
      <w:tr w:rsidR="00D563D9" w:rsidRPr="00B46409" w14:paraId="44BAAC80" w14:textId="77777777" w:rsidTr="00D563D9">
        <w:trPr>
          <w:trHeight w:val="452"/>
        </w:trPr>
        <w:tc>
          <w:tcPr>
            <w:tcW w:w="3998" w:type="dxa"/>
            <w:shd w:val="clear" w:color="auto" w:fill="auto"/>
          </w:tcPr>
          <w:p w14:paraId="400F7061" w14:textId="77777777" w:rsidR="00D563D9" w:rsidRPr="00A4634E" w:rsidRDefault="00D563D9" w:rsidP="00D563D9">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Апиксабан</w:t>
            </w:r>
          </w:p>
        </w:tc>
        <w:tc>
          <w:tcPr>
            <w:tcW w:w="4678" w:type="dxa"/>
            <w:shd w:val="clear" w:color="auto" w:fill="auto"/>
          </w:tcPr>
          <w:p w14:paraId="2B57072A" w14:textId="77777777" w:rsidR="00D563D9" w:rsidRPr="00A4634E" w:rsidRDefault="00D563D9" w:rsidP="00D563D9">
            <w:pPr>
              <w:spacing w:before="0" w:after="0"/>
              <w:rPr>
                <w:rFonts w:eastAsia="Times New Roman" w:cs="Times New Roman"/>
                <w:szCs w:val="24"/>
                <w:lang w:eastAsia="ru-RU"/>
              </w:rPr>
            </w:pPr>
            <w:r>
              <w:rPr>
                <w:rFonts w:eastAsia="Times New Roman" w:cs="Times New Roman"/>
                <w:bCs/>
                <w:color w:val="000000" w:themeColor="dark1" w:themeShade="BF"/>
                <w:kern w:val="2"/>
                <w:szCs w:val="24"/>
                <w:lang w:eastAsia="ru-RU"/>
              </w:rPr>
              <w:t>2,5</w:t>
            </w:r>
            <w:r w:rsidRPr="00A4634E">
              <w:rPr>
                <w:rFonts w:eastAsia="Times New Roman" w:cs="Times New Roman"/>
                <w:bCs/>
                <w:color w:val="000000" w:themeColor="dark1" w:themeShade="BF"/>
                <w:kern w:val="2"/>
                <w:szCs w:val="24"/>
                <w:lang w:eastAsia="ru-RU"/>
              </w:rPr>
              <w:t xml:space="preserve"> мг х 2 р/сутки, перорально</w:t>
            </w:r>
          </w:p>
        </w:tc>
      </w:tr>
      <w:tr w:rsidR="00D563D9" w:rsidRPr="00B46409" w14:paraId="39B22A5B" w14:textId="77777777" w:rsidTr="00D563D9">
        <w:trPr>
          <w:trHeight w:val="452"/>
        </w:trPr>
        <w:tc>
          <w:tcPr>
            <w:tcW w:w="3998" w:type="dxa"/>
            <w:shd w:val="clear" w:color="auto" w:fill="auto"/>
          </w:tcPr>
          <w:p w14:paraId="487886F6" w14:textId="77777777" w:rsidR="00D563D9" w:rsidRPr="00A4634E" w:rsidRDefault="00D563D9" w:rsidP="00D563D9">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Дабигатран этексилат</w:t>
            </w:r>
          </w:p>
        </w:tc>
        <w:tc>
          <w:tcPr>
            <w:tcW w:w="4678" w:type="dxa"/>
            <w:shd w:val="clear" w:color="auto" w:fill="auto"/>
          </w:tcPr>
          <w:p w14:paraId="52DE6AC0" w14:textId="77777777" w:rsidR="00D563D9" w:rsidRPr="00A4634E" w:rsidRDefault="00D563D9" w:rsidP="00D563D9">
            <w:pPr>
              <w:spacing w:before="0" w:after="0"/>
              <w:rPr>
                <w:rFonts w:eastAsia="Times New Roman" w:cs="Times New Roman"/>
                <w:szCs w:val="24"/>
                <w:lang w:eastAsia="ru-RU"/>
              </w:rPr>
            </w:pPr>
            <w:r>
              <w:rPr>
                <w:rFonts w:eastAsia="Times New Roman" w:cs="Times New Roman"/>
                <w:bCs/>
                <w:color w:val="000000" w:themeColor="dark1" w:themeShade="BF"/>
                <w:kern w:val="2"/>
                <w:szCs w:val="24"/>
                <w:lang w:eastAsia="ru-RU"/>
              </w:rPr>
              <w:t>110-</w:t>
            </w:r>
            <w:r w:rsidRPr="00A4634E">
              <w:rPr>
                <w:rFonts w:eastAsia="Times New Roman" w:cs="Times New Roman"/>
                <w:bCs/>
                <w:color w:val="000000" w:themeColor="dark1" w:themeShade="BF"/>
                <w:kern w:val="2"/>
                <w:szCs w:val="24"/>
                <w:lang w:eastAsia="ru-RU"/>
              </w:rPr>
              <w:t>150 мг х 2р/сутки, перорально</w:t>
            </w:r>
          </w:p>
        </w:tc>
      </w:tr>
    </w:tbl>
    <w:p w14:paraId="030FC066" w14:textId="77777777" w:rsidR="00D563D9" w:rsidRDefault="00D563D9" w:rsidP="00D563D9">
      <w:pPr>
        <w:spacing w:before="0" w:after="0"/>
        <w:rPr>
          <w:b/>
          <w:bCs/>
          <w:szCs w:val="24"/>
        </w:rPr>
      </w:pPr>
    </w:p>
    <w:p w14:paraId="0E54CCA5" w14:textId="77777777" w:rsidR="00D563D9" w:rsidRPr="00D563D9" w:rsidRDefault="00D563D9" w:rsidP="00D563D9">
      <w:pPr>
        <w:spacing w:before="0" w:after="0"/>
        <w:ind w:left="708"/>
        <w:rPr>
          <w:b/>
          <w:szCs w:val="24"/>
        </w:rPr>
      </w:pPr>
      <w:r w:rsidRPr="00D563D9">
        <w:rPr>
          <w:b/>
          <w:bCs/>
          <w:szCs w:val="24"/>
        </w:rPr>
        <w:t xml:space="preserve">Таблица 2. Режимы антикоагулянтной терапии </w:t>
      </w:r>
      <w:r w:rsidRPr="00D563D9">
        <w:rPr>
          <w:b/>
          <w:bCs/>
          <w:iCs/>
          <w:szCs w:val="24"/>
        </w:rPr>
        <w:t xml:space="preserve">для лечения </w:t>
      </w:r>
      <w:r w:rsidRPr="00D563D9">
        <w:rPr>
          <w:b/>
          <w:bCs/>
          <w:szCs w:val="24"/>
        </w:rPr>
        <w:t>тромботических осложнений</w:t>
      </w:r>
    </w:p>
    <w:tbl>
      <w:tblPr>
        <w:tblStyle w:val="16"/>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573"/>
        <w:gridCol w:w="5103"/>
      </w:tblGrid>
      <w:tr w:rsidR="00D563D9" w:rsidRPr="00A4634E" w14:paraId="5DC0FE26" w14:textId="77777777" w:rsidTr="00D563D9">
        <w:trPr>
          <w:trHeight w:val="333"/>
        </w:trPr>
        <w:tc>
          <w:tcPr>
            <w:tcW w:w="3573" w:type="dxa"/>
            <w:shd w:val="clear" w:color="auto" w:fill="auto"/>
          </w:tcPr>
          <w:p w14:paraId="663B8346" w14:textId="77777777" w:rsidR="00D563D9" w:rsidRPr="00A4634E" w:rsidRDefault="00D563D9" w:rsidP="00D563D9">
            <w:pPr>
              <w:spacing w:before="0" w:after="0"/>
              <w:jc w:val="center"/>
              <w:rPr>
                <w:rFonts w:eastAsia="Times New Roman" w:cs="Times New Roman"/>
                <w:szCs w:val="24"/>
                <w:lang w:eastAsia="ru-RU"/>
              </w:rPr>
            </w:pPr>
            <w:r>
              <w:rPr>
                <w:rFonts w:eastAsia="Times New Roman" w:cs="Times New Roman"/>
                <w:bCs/>
                <w:color w:val="000000" w:themeColor="text1" w:themeShade="BF"/>
                <w:kern w:val="2"/>
                <w:szCs w:val="24"/>
                <w:lang w:eastAsia="ru-RU"/>
              </w:rPr>
              <w:t>Препарат</w:t>
            </w:r>
          </w:p>
        </w:tc>
        <w:tc>
          <w:tcPr>
            <w:tcW w:w="5103" w:type="dxa"/>
            <w:shd w:val="clear" w:color="auto" w:fill="auto"/>
          </w:tcPr>
          <w:p w14:paraId="14280127" w14:textId="77777777" w:rsidR="00D563D9" w:rsidRPr="00A4634E" w:rsidRDefault="00D563D9" w:rsidP="00D563D9">
            <w:pPr>
              <w:spacing w:before="0" w:after="0"/>
              <w:jc w:val="center"/>
              <w:rPr>
                <w:rFonts w:eastAsia="Times New Roman" w:cs="Times New Roman"/>
                <w:szCs w:val="24"/>
                <w:lang w:eastAsia="ru-RU"/>
              </w:rPr>
            </w:pPr>
            <w:r w:rsidRPr="00A4634E">
              <w:rPr>
                <w:rFonts w:eastAsia="Times New Roman" w:cs="Times New Roman"/>
                <w:bCs/>
                <w:color w:val="000000" w:themeColor="text1" w:themeShade="BF"/>
                <w:kern w:val="2"/>
                <w:szCs w:val="24"/>
                <w:lang w:eastAsia="ru-RU"/>
              </w:rPr>
              <w:t>Доза</w:t>
            </w:r>
          </w:p>
        </w:tc>
      </w:tr>
      <w:tr w:rsidR="00D563D9" w:rsidRPr="00A4634E" w14:paraId="0F3F9905" w14:textId="77777777" w:rsidTr="00D563D9">
        <w:trPr>
          <w:trHeight w:val="574"/>
        </w:trPr>
        <w:tc>
          <w:tcPr>
            <w:tcW w:w="3573" w:type="dxa"/>
            <w:shd w:val="clear" w:color="auto" w:fill="auto"/>
          </w:tcPr>
          <w:p w14:paraId="4FE2CE7F" w14:textId="77777777" w:rsidR="00D563D9" w:rsidRPr="00A4634E" w:rsidRDefault="00D563D9" w:rsidP="00D563D9">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Нефракционированный гепарин</w:t>
            </w:r>
          </w:p>
        </w:tc>
        <w:tc>
          <w:tcPr>
            <w:tcW w:w="5103" w:type="dxa"/>
            <w:shd w:val="clear" w:color="auto" w:fill="auto"/>
          </w:tcPr>
          <w:p w14:paraId="4B18BE0B" w14:textId="77777777" w:rsidR="00D563D9" w:rsidRPr="00A4634E" w:rsidRDefault="00D563D9" w:rsidP="00D563D9">
            <w:pPr>
              <w:spacing w:before="0" w:after="0"/>
              <w:rPr>
                <w:rFonts w:eastAsia="Times New Roman" w:cs="Times New Roman"/>
                <w:szCs w:val="24"/>
                <w:lang w:eastAsia="ru-RU"/>
              </w:rPr>
            </w:pPr>
            <w:r>
              <w:rPr>
                <w:rFonts w:eastAsia="Times New Roman" w:cs="Times New Roman"/>
                <w:bCs/>
                <w:color w:val="000000" w:themeColor="dark1" w:themeShade="BF"/>
                <w:kern w:val="2"/>
                <w:szCs w:val="24"/>
                <w:lang w:eastAsia="ru-RU"/>
              </w:rPr>
              <w:t>1000 МЕ/час в/в непрерывно</w:t>
            </w:r>
            <w:r w:rsidRPr="00A4634E">
              <w:rPr>
                <w:rFonts w:eastAsia="Times New Roman" w:cs="Times New Roman"/>
                <w:bCs/>
                <w:color w:val="000000" w:themeColor="dark1" w:themeShade="BF"/>
                <w:kern w:val="2"/>
                <w:szCs w:val="24"/>
                <w:lang w:eastAsia="ru-RU"/>
              </w:rPr>
              <w:t xml:space="preserve"> под контролем АЧТВ</w:t>
            </w:r>
          </w:p>
        </w:tc>
      </w:tr>
      <w:tr w:rsidR="00D563D9" w:rsidRPr="00A4634E" w14:paraId="66AC3CB0" w14:textId="77777777" w:rsidTr="00D563D9">
        <w:trPr>
          <w:trHeight w:val="574"/>
        </w:trPr>
        <w:tc>
          <w:tcPr>
            <w:tcW w:w="3573" w:type="dxa"/>
            <w:shd w:val="clear" w:color="auto" w:fill="auto"/>
          </w:tcPr>
          <w:p w14:paraId="15DE134F" w14:textId="77777777" w:rsidR="00D563D9" w:rsidRPr="00A4634E" w:rsidRDefault="00D563D9" w:rsidP="00D563D9">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Дальтепарин натрия</w:t>
            </w:r>
          </w:p>
        </w:tc>
        <w:tc>
          <w:tcPr>
            <w:tcW w:w="5103" w:type="dxa"/>
            <w:shd w:val="clear" w:color="auto" w:fill="auto"/>
          </w:tcPr>
          <w:p w14:paraId="039783E9" w14:textId="77777777" w:rsidR="00D563D9" w:rsidRPr="00A4634E" w:rsidRDefault="00D563D9" w:rsidP="00D563D9">
            <w:pPr>
              <w:spacing w:before="0" w:after="0"/>
              <w:rPr>
                <w:rFonts w:eastAsia="Times New Roman" w:cs="Times New Roman"/>
                <w:szCs w:val="24"/>
                <w:lang w:eastAsia="ru-RU"/>
              </w:rPr>
            </w:pPr>
            <w:r>
              <w:rPr>
                <w:rFonts w:eastAsia="Times New Roman" w:cs="Times New Roman"/>
                <w:bCs/>
                <w:color w:val="000000" w:themeColor="dark1" w:themeShade="BF"/>
                <w:kern w:val="2"/>
                <w:szCs w:val="24"/>
                <w:lang w:eastAsia="ru-RU"/>
              </w:rPr>
              <w:t xml:space="preserve">100 МЕ/кг каждые 12 ч или 200 МЕ/кг 1 раз в день, </w:t>
            </w:r>
            <w:r w:rsidRPr="00A4634E">
              <w:rPr>
                <w:rFonts w:eastAsia="Times New Roman" w:cs="Times New Roman"/>
                <w:bCs/>
                <w:color w:val="000000" w:themeColor="dark1" w:themeShade="BF"/>
                <w:kern w:val="2"/>
                <w:szCs w:val="24"/>
                <w:lang w:eastAsia="ru-RU"/>
              </w:rPr>
              <w:t>п/к</w:t>
            </w:r>
          </w:p>
        </w:tc>
      </w:tr>
      <w:tr w:rsidR="00D563D9" w:rsidRPr="00A4634E" w14:paraId="6AB321AF" w14:textId="77777777" w:rsidTr="00D563D9">
        <w:trPr>
          <w:trHeight w:val="333"/>
        </w:trPr>
        <w:tc>
          <w:tcPr>
            <w:tcW w:w="3573" w:type="dxa"/>
            <w:shd w:val="clear" w:color="auto" w:fill="auto"/>
          </w:tcPr>
          <w:p w14:paraId="78A10ADE" w14:textId="77777777" w:rsidR="00D563D9" w:rsidRPr="00A4634E" w:rsidRDefault="00D563D9" w:rsidP="00D563D9">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Эноксапарин натрия</w:t>
            </w:r>
          </w:p>
        </w:tc>
        <w:tc>
          <w:tcPr>
            <w:tcW w:w="5103" w:type="dxa"/>
            <w:shd w:val="clear" w:color="auto" w:fill="auto"/>
          </w:tcPr>
          <w:p w14:paraId="552AEC2B" w14:textId="77777777" w:rsidR="00D563D9" w:rsidRPr="00A4634E" w:rsidRDefault="00D563D9" w:rsidP="00D563D9">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 xml:space="preserve">100 МЕ/кг каждые 12 ч </w:t>
            </w:r>
            <w:r>
              <w:rPr>
                <w:rFonts w:eastAsia="Times New Roman" w:cs="Times New Roman"/>
                <w:bCs/>
                <w:color w:val="000000" w:themeColor="dark1" w:themeShade="BF"/>
                <w:kern w:val="2"/>
                <w:szCs w:val="24"/>
                <w:lang w:eastAsia="ru-RU"/>
              </w:rPr>
              <w:t>или</w:t>
            </w:r>
            <w:r w:rsidRPr="00A4634E">
              <w:rPr>
                <w:rFonts w:eastAsia="Times New Roman" w:cs="Times New Roman"/>
                <w:bCs/>
                <w:color w:val="000000" w:themeColor="dark1" w:themeShade="BF"/>
                <w:kern w:val="2"/>
                <w:szCs w:val="24"/>
                <w:lang w:eastAsia="ru-RU"/>
              </w:rPr>
              <w:t xml:space="preserve"> 1,5 мг/кг 1 раз в день, п/к</w:t>
            </w:r>
          </w:p>
        </w:tc>
      </w:tr>
      <w:tr w:rsidR="00D563D9" w:rsidRPr="00A4634E" w14:paraId="7A1837F2" w14:textId="77777777" w:rsidTr="00D563D9">
        <w:trPr>
          <w:trHeight w:val="333"/>
        </w:trPr>
        <w:tc>
          <w:tcPr>
            <w:tcW w:w="3573" w:type="dxa"/>
            <w:shd w:val="clear" w:color="auto" w:fill="auto"/>
          </w:tcPr>
          <w:p w14:paraId="75201E46" w14:textId="77777777" w:rsidR="00D563D9" w:rsidRPr="00A4634E" w:rsidRDefault="00D563D9" w:rsidP="00D563D9">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lastRenderedPageBreak/>
              <w:t>Надропарин кальция</w:t>
            </w:r>
          </w:p>
        </w:tc>
        <w:tc>
          <w:tcPr>
            <w:tcW w:w="5103" w:type="dxa"/>
            <w:shd w:val="clear" w:color="auto" w:fill="auto"/>
          </w:tcPr>
          <w:p w14:paraId="6C364C41" w14:textId="77777777" w:rsidR="00D563D9" w:rsidRPr="00A4634E" w:rsidRDefault="00D563D9" w:rsidP="00D563D9">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86 МЕ/кг х 2 раза в день, п/к</w:t>
            </w:r>
          </w:p>
        </w:tc>
      </w:tr>
      <w:tr w:rsidR="00D563D9" w:rsidRPr="00A4634E" w14:paraId="128F30A3" w14:textId="77777777" w:rsidTr="00D563D9">
        <w:trPr>
          <w:trHeight w:val="821"/>
        </w:trPr>
        <w:tc>
          <w:tcPr>
            <w:tcW w:w="3573" w:type="dxa"/>
            <w:shd w:val="clear" w:color="auto" w:fill="auto"/>
          </w:tcPr>
          <w:p w14:paraId="0E273322" w14:textId="77777777" w:rsidR="00D563D9" w:rsidRPr="00A4634E" w:rsidRDefault="00D563D9" w:rsidP="00D563D9">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Фондапаринукс натрия</w:t>
            </w:r>
          </w:p>
        </w:tc>
        <w:tc>
          <w:tcPr>
            <w:tcW w:w="5103" w:type="dxa"/>
            <w:shd w:val="clear" w:color="auto" w:fill="auto"/>
          </w:tcPr>
          <w:p w14:paraId="10E14857" w14:textId="77777777" w:rsidR="00D563D9" w:rsidRPr="00A4634E" w:rsidRDefault="00D563D9" w:rsidP="00D563D9">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менее 50 кг: 5 мг 1 раз в день</w:t>
            </w:r>
            <w:r>
              <w:rPr>
                <w:rFonts w:eastAsia="Times New Roman" w:cs="Times New Roman"/>
                <w:bCs/>
                <w:color w:val="000000" w:themeColor="dark1" w:themeShade="BF"/>
                <w:kern w:val="2"/>
                <w:szCs w:val="24"/>
                <w:lang w:eastAsia="ru-RU"/>
              </w:rPr>
              <w:t>, п/к</w:t>
            </w:r>
          </w:p>
          <w:p w14:paraId="2DA0F2CB" w14:textId="77777777" w:rsidR="00D563D9" w:rsidRPr="00A4634E" w:rsidRDefault="00D563D9" w:rsidP="00D563D9">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50—100 кг: 7,5 мг 1 раз в д</w:t>
            </w:r>
            <w:r>
              <w:rPr>
                <w:rFonts w:eastAsia="Times New Roman" w:cs="Times New Roman"/>
                <w:bCs/>
                <w:color w:val="000000" w:themeColor="dark1" w:themeShade="BF"/>
                <w:kern w:val="2"/>
                <w:szCs w:val="24"/>
                <w:lang w:eastAsia="ru-RU"/>
              </w:rPr>
              <w:t xml:space="preserve">ень, п/к                         </w:t>
            </w:r>
            <w:r w:rsidRPr="00A4634E">
              <w:rPr>
                <w:rFonts w:eastAsia="Times New Roman" w:cs="Times New Roman"/>
                <w:bCs/>
                <w:color w:val="000000" w:themeColor="dark1" w:themeShade="BF"/>
                <w:kern w:val="2"/>
                <w:szCs w:val="24"/>
                <w:lang w:eastAsia="ru-RU"/>
              </w:rPr>
              <w:t>более 100 кг: 10 мг 1 раз в день</w:t>
            </w:r>
            <w:r>
              <w:rPr>
                <w:rFonts w:eastAsia="Times New Roman" w:cs="Times New Roman"/>
                <w:bCs/>
                <w:color w:val="000000" w:themeColor="dark1" w:themeShade="BF"/>
                <w:kern w:val="2"/>
                <w:szCs w:val="24"/>
                <w:lang w:eastAsia="ru-RU"/>
              </w:rPr>
              <w:t>, п/к</w:t>
            </w:r>
          </w:p>
        </w:tc>
      </w:tr>
      <w:tr w:rsidR="00D563D9" w:rsidRPr="00A4634E" w14:paraId="0DEB4954" w14:textId="77777777" w:rsidTr="00D563D9">
        <w:trPr>
          <w:trHeight w:val="821"/>
        </w:trPr>
        <w:tc>
          <w:tcPr>
            <w:tcW w:w="3573" w:type="dxa"/>
            <w:shd w:val="clear" w:color="auto" w:fill="auto"/>
          </w:tcPr>
          <w:p w14:paraId="1A499D5B" w14:textId="77777777" w:rsidR="00D563D9" w:rsidRPr="00A4634E" w:rsidRDefault="00D563D9" w:rsidP="00D563D9">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Варфарин</w:t>
            </w:r>
          </w:p>
        </w:tc>
        <w:tc>
          <w:tcPr>
            <w:tcW w:w="5103" w:type="dxa"/>
            <w:shd w:val="clear" w:color="auto" w:fill="auto"/>
          </w:tcPr>
          <w:p w14:paraId="1526721F" w14:textId="77777777" w:rsidR="00D563D9" w:rsidRPr="00A4634E" w:rsidRDefault="00D563D9" w:rsidP="00D563D9">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 xml:space="preserve">Перорально, целевые значения МНО: 2.0—3.0, </w:t>
            </w:r>
          </w:p>
          <w:p w14:paraId="7EF4BC5D" w14:textId="77777777" w:rsidR="00D563D9" w:rsidRPr="00A4634E" w:rsidRDefault="00D563D9" w:rsidP="00D563D9">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после НМГ или НФГ</w:t>
            </w:r>
          </w:p>
        </w:tc>
      </w:tr>
      <w:tr w:rsidR="00D563D9" w:rsidRPr="00A4634E" w14:paraId="69803D86" w14:textId="77777777" w:rsidTr="00D563D9">
        <w:trPr>
          <w:trHeight w:val="387"/>
        </w:trPr>
        <w:tc>
          <w:tcPr>
            <w:tcW w:w="3573" w:type="dxa"/>
            <w:shd w:val="clear" w:color="auto" w:fill="auto"/>
          </w:tcPr>
          <w:p w14:paraId="1668D3A4" w14:textId="77777777" w:rsidR="00D563D9" w:rsidRPr="00A4634E" w:rsidRDefault="00D563D9" w:rsidP="00D563D9">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Ривароксабан</w:t>
            </w:r>
          </w:p>
        </w:tc>
        <w:tc>
          <w:tcPr>
            <w:tcW w:w="5103" w:type="dxa"/>
            <w:shd w:val="clear" w:color="auto" w:fill="auto"/>
          </w:tcPr>
          <w:p w14:paraId="4E8BEFED" w14:textId="77777777" w:rsidR="00D563D9" w:rsidRPr="00A4634E" w:rsidRDefault="00D563D9" w:rsidP="00D563D9">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15 мг х 2 р/сутки в течение 21 дня, далее 20 мг утром, перорально</w:t>
            </w:r>
          </w:p>
        </w:tc>
      </w:tr>
      <w:tr w:rsidR="00D563D9" w:rsidRPr="00A4634E" w14:paraId="4BCE526D" w14:textId="77777777" w:rsidTr="00D563D9">
        <w:trPr>
          <w:trHeight w:val="333"/>
        </w:trPr>
        <w:tc>
          <w:tcPr>
            <w:tcW w:w="3573" w:type="dxa"/>
            <w:shd w:val="clear" w:color="auto" w:fill="auto"/>
          </w:tcPr>
          <w:p w14:paraId="77C52321" w14:textId="77777777" w:rsidR="00D563D9" w:rsidRPr="00A4634E" w:rsidRDefault="00D563D9" w:rsidP="00D563D9">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Апиксабан</w:t>
            </w:r>
          </w:p>
        </w:tc>
        <w:tc>
          <w:tcPr>
            <w:tcW w:w="5103" w:type="dxa"/>
            <w:shd w:val="clear" w:color="auto" w:fill="auto"/>
          </w:tcPr>
          <w:p w14:paraId="60E1A6F1" w14:textId="77777777" w:rsidR="00D563D9" w:rsidRPr="00A4634E" w:rsidRDefault="00D563D9" w:rsidP="00D563D9">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5,0 мг х 2 р/сутки, перорально</w:t>
            </w:r>
          </w:p>
        </w:tc>
      </w:tr>
      <w:tr w:rsidR="00D563D9" w:rsidRPr="00A4634E" w14:paraId="16B539D6" w14:textId="77777777" w:rsidTr="00D563D9">
        <w:trPr>
          <w:trHeight w:val="333"/>
        </w:trPr>
        <w:tc>
          <w:tcPr>
            <w:tcW w:w="3573" w:type="dxa"/>
            <w:shd w:val="clear" w:color="auto" w:fill="auto"/>
          </w:tcPr>
          <w:p w14:paraId="453D087F" w14:textId="77777777" w:rsidR="00D563D9" w:rsidRPr="00A4634E" w:rsidRDefault="00D563D9" w:rsidP="00D563D9">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Дабигатран этексилат</w:t>
            </w:r>
          </w:p>
        </w:tc>
        <w:tc>
          <w:tcPr>
            <w:tcW w:w="5103" w:type="dxa"/>
            <w:shd w:val="clear" w:color="auto" w:fill="auto"/>
          </w:tcPr>
          <w:p w14:paraId="517BD55D" w14:textId="77777777" w:rsidR="00D563D9" w:rsidRPr="00A4634E" w:rsidRDefault="00D563D9" w:rsidP="00D563D9">
            <w:pPr>
              <w:spacing w:before="0" w:after="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150 мг х 2р/сутки, перорально</w:t>
            </w:r>
          </w:p>
        </w:tc>
      </w:tr>
    </w:tbl>
    <w:p w14:paraId="4178938B" w14:textId="77777777" w:rsidR="00D563D9" w:rsidRDefault="00D563D9" w:rsidP="00D563D9">
      <w:pPr>
        <w:spacing w:before="0" w:after="0"/>
        <w:rPr>
          <w:szCs w:val="24"/>
        </w:rPr>
      </w:pPr>
    </w:p>
    <w:p w14:paraId="1067A9E4" w14:textId="77777777" w:rsidR="00D563D9" w:rsidRDefault="00D563D9" w:rsidP="00D563D9">
      <w:pPr>
        <w:spacing w:before="0" w:after="0"/>
        <w:ind w:firstLine="360"/>
        <w:rPr>
          <w:szCs w:val="24"/>
        </w:rPr>
      </w:pPr>
      <w:r>
        <w:rPr>
          <w:rFonts w:eastAsia="Times New Roman"/>
          <w:szCs w:val="24"/>
          <w:lang w:eastAsia="ru-RU"/>
        </w:rPr>
        <w:t>При длительной терапии НМГ рекомендуется мониторинг анти-Ха активности и коррекция дозы НМГ (при необходимости) один раз в месяц.</w:t>
      </w:r>
    </w:p>
    <w:p w14:paraId="73ED433A" w14:textId="77777777" w:rsidR="00D563D9" w:rsidRDefault="00D563D9" w:rsidP="00D563D9">
      <w:pPr>
        <w:spacing w:before="0" w:after="0"/>
        <w:ind w:firstLine="360"/>
        <w:rPr>
          <w:rFonts w:eastAsia="Times New Roman"/>
          <w:szCs w:val="24"/>
          <w:lang w:eastAsia="ru-RU"/>
        </w:rPr>
      </w:pPr>
      <w:r>
        <w:rPr>
          <w:szCs w:val="24"/>
        </w:rPr>
        <w:t xml:space="preserve">Мониторинг анти-Ха активности абсолютно необходим в случае рецидивирующего тромбоза при использовании терапевтических доз НМГ или у пациентов с почечной недостаточностью. </w:t>
      </w:r>
      <w:r>
        <w:rPr>
          <w:rFonts w:eastAsia="Times New Roman"/>
          <w:szCs w:val="24"/>
          <w:lang w:eastAsia="ru-RU"/>
        </w:rPr>
        <w:t>Больным с нарушением функции почек рекомендуется коррекция дозы НМГ и мониторинг анти-Ха активности с частотой один раз в неделю. Для больных с клинически выраженной почечной недостаточностью (клиренс креатинина &lt;30 мл/мин) дозу НМГ корректируют таким образом, чтобы она соответствовала уровню анти-Ха 0,2</w:t>
      </w:r>
      <w:r>
        <w:rPr>
          <w:i/>
          <w:szCs w:val="24"/>
        </w:rPr>
        <w:t>—</w:t>
      </w:r>
      <w:r>
        <w:rPr>
          <w:rFonts w:eastAsia="Times New Roman"/>
          <w:szCs w:val="24"/>
          <w:lang w:eastAsia="ru-RU"/>
        </w:rPr>
        <w:t xml:space="preserve">0,3 </w:t>
      </w:r>
      <w:r>
        <w:rPr>
          <w:szCs w:val="24"/>
        </w:rPr>
        <w:t>анти-</w:t>
      </w:r>
      <w:r>
        <w:rPr>
          <w:szCs w:val="24"/>
          <w:lang w:val="en-US"/>
        </w:rPr>
        <w:t>Xa</w:t>
      </w:r>
      <w:r>
        <w:rPr>
          <w:szCs w:val="24"/>
        </w:rPr>
        <w:t xml:space="preserve"> МЕ</w:t>
      </w:r>
      <w:r>
        <w:rPr>
          <w:rFonts w:eastAsia="Times New Roman"/>
          <w:szCs w:val="24"/>
          <w:lang w:eastAsia="ru-RU"/>
        </w:rPr>
        <w:t xml:space="preserve">/мл. </w:t>
      </w:r>
    </w:p>
    <w:p w14:paraId="7038F922" w14:textId="77777777" w:rsidR="00D563D9" w:rsidRDefault="00D563D9" w:rsidP="00D563D9">
      <w:pPr>
        <w:spacing w:before="0" w:after="0"/>
        <w:ind w:firstLine="360"/>
        <w:rPr>
          <w:szCs w:val="24"/>
        </w:rPr>
      </w:pPr>
      <w:r>
        <w:rPr>
          <w:szCs w:val="24"/>
        </w:rPr>
        <w:t>Для выявления возможного накопления НМГ после нескольких введений следует проанализировать анти-Ха активность через 4 часа после третьего введения, если НМГ вводится дважды в день, или через 4 часа после второго введения, если препарат вводится один раз в сутки.</w:t>
      </w:r>
    </w:p>
    <w:p w14:paraId="54BA914D" w14:textId="0C588FC8" w:rsidR="00D563D9" w:rsidRDefault="00D563D9" w:rsidP="00D563D9">
      <w:pPr>
        <w:spacing w:before="0" w:after="0"/>
        <w:ind w:firstLine="360"/>
        <w:rPr>
          <w:szCs w:val="24"/>
        </w:rPr>
      </w:pPr>
      <w:r>
        <w:rPr>
          <w:szCs w:val="24"/>
        </w:rPr>
        <w:t>Коррекция дозы НМГ в связи с высоким риском кровотечений по причине тромбоцитопений заключается в двукратном снижении дозы при количестве тромбоцитов &lt;70×10</w:t>
      </w:r>
      <w:r>
        <w:rPr>
          <w:szCs w:val="24"/>
          <w:vertAlign w:val="superscript"/>
        </w:rPr>
        <w:t>9</w:t>
      </w:r>
      <w:r>
        <w:rPr>
          <w:szCs w:val="24"/>
        </w:rPr>
        <w:t>/л; временная отмена НМГ при количестве тромбоцитов &lt;30×10</w:t>
      </w:r>
      <w:r>
        <w:rPr>
          <w:szCs w:val="24"/>
          <w:vertAlign w:val="superscript"/>
        </w:rPr>
        <w:t>9</w:t>
      </w:r>
      <w:r>
        <w:rPr>
          <w:szCs w:val="24"/>
        </w:rPr>
        <w:t>/л. При острых тромбозах и тромбоцитопении в отсутствии геморрагических проявлений целесообразно использовать внутривенное с помощью инфузомата введение НФГ под контролем АЧТВ.</w:t>
      </w:r>
    </w:p>
    <w:p w14:paraId="038515C6" w14:textId="16186BCA" w:rsidR="00D563D9" w:rsidRDefault="00D563D9" w:rsidP="00D563D9">
      <w:pPr>
        <w:spacing w:before="0" w:after="0"/>
        <w:ind w:firstLine="709"/>
        <w:rPr>
          <w:rFonts w:eastAsia="Times New Roman"/>
          <w:szCs w:val="24"/>
          <w:lang w:eastAsia="ru-RU"/>
        </w:rPr>
      </w:pPr>
      <w:r>
        <w:rPr>
          <w:rFonts w:eastAsia="Times New Roman"/>
          <w:szCs w:val="24"/>
          <w:lang w:eastAsia="ru-RU"/>
        </w:rPr>
        <w:t xml:space="preserve">3) Прямые оральные антикоагулянты (ПОАК): </w:t>
      </w:r>
    </w:p>
    <w:p w14:paraId="23A10368" w14:textId="77777777" w:rsidR="00D563D9" w:rsidRDefault="00D563D9" w:rsidP="00D563D9">
      <w:pPr>
        <w:spacing w:before="0" w:after="0"/>
        <w:ind w:firstLine="708"/>
        <w:rPr>
          <w:szCs w:val="24"/>
        </w:rPr>
      </w:pPr>
      <w:r>
        <w:rPr>
          <w:szCs w:val="24"/>
        </w:rPr>
        <w:t>- ривароксабан в дозе 15 мг 2 раза в сутки во время еды в первые 3 недели, затем в дозе 20 мг 1 раз в сутки во время еды. Доза ривароксабана должна быть скорректирована у пациентов с нарушенной выделительной функцией почек. Следует помнить, что протромбиновое время и АЧТВ не отражают истинной концентрации и эффект ПОАК;</w:t>
      </w:r>
    </w:p>
    <w:p w14:paraId="730C6247" w14:textId="77777777" w:rsidR="00D563D9" w:rsidRDefault="00D563D9" w:rsidP="00D563D9">
      <w:pPr>
        <w:spacing w:before="0" w:after="0"/>
        <w:ind w:firstLine="567"/>
        <w:rPr>
          <w:rFonts w:eastAsia="Times New Roman"/>
          <w:szCs w:val="24"/>
          <w:lang w:eastAsia="ru-RU"/>
        </w:rPr>
      </w:pPr>
      <w:r>
        <w:rPr>
          <w:rFonts w:eastAsia="Times New Roman"/>
          <w:szCs w:val="24"/>
          <w:lang w:eastAsia="ru-RU"/>
        </w:rPr>
        <w:lastRenderedPageBreak/>
        <w:t>- дабигатрана этексилат назначают в дозе 150 г 2 раза в сутки; исследование тромбинового времени помогает подбирать необходимую дозу дабигатрана этексилата. При его удлинении более 120</w:t>
      </w:r>
      <w:r>
        <w:rPr>
          <w:i/>
          <w:szCs w:val="24"/>
        </w:rPr>
        <w:t>—</w:t>
      </w:r>
      <w:r>
        <w:rPr>
          <w:rFonts w:eastAsia="Times New Roman"/>
          <w:szCs w:val="24"/>
          <w:lang w:eastAsia="ru-RU"/>
        </w:rPr>
        <w:t xml:space="preserve">150 сек дозу препарата уменьшают до 110 мг 2 раза в сутки. Больным старше 75 лет дабигатрана этексилата назначают в дозе 75 мг 2 раза в сутки; </w:t>
      </w:r>
    </w:p>
    <w:p w14:paraId="3D233228" w14:textId="77777777" w:rsidR="00D563D9" w:rsidRDefault="00D563D9" w:rsidP="00D563D9">
      <w:pPr>
        <w:spacing w:before="0" w:after="0"/>
        <w:ind w:firstLine="567"/>
        <w:rPr>
          <w:rFonts w:eastAsia="Times New Roman"/>
          <w:szCs w:val="24"/>
          <w:lang w:eastAsia="ru-RU"/>
        </w:rPr>
      </w:pPr>
      <w:r>
        <w:rPr>
          <w:rFonts w:eastAsia="Times New Roman"/>
          <w:szCs w:val="24"/>
          <w:lang w:eastAsia="ru-RU"/>
        </w:rPr>
        <w:t>- апиксабан применяют в дозе 5 мг 2 раза в сутки. Больным старше 75 лет апиксабан назначают в дозе 2,5 мг 2 раза в сутки. Лабораторный контроль не проводится;</w:t>
      </w:r>
    </w:p>
    <w:p w14:paraId="0A4805D2" w14:textId="77777777" w:rsidR="00D563D9" w:rsidRDefault="00D563D9" w:rsidP="00D563D9">
      <w:pPr>
        <w:spacing w:before="0" w:after="0"/>
        <w:ind w:firstLine="567"/>
        <w:rPr>
          <w:rFonts w:eastAsia="Times New Roman"/>
          <w:szCs w:val="24"/>
          <w:lang w:eastAsia="ru-RU"/>
        </w:rPr>
      </w:pPr>
      <w:r>
        <w:rPr>
          <w:rFonts w:eastAsia="Times New Roman"/>
          <w:szCs w:val="24"/>
          <w:lang w:eastAsia="ru-RU"/>
        </w:rPr>
        <w:t>- сулодексид 250 ЛЕ х 2 раза в день.</w:t>
      </w:r>
    </w:p>
    <w:p w14:paraId="0814023D" w14:textId="11F56B61" w:rsidR="00D563D9" w:rsidRDefault="00D563D9" w:rsidP="00D563D9">
      <w:pPr>
        <w:spacing w:before="0" w:after="0"/>
        <w:ind w:firstLine="709"/>
        <w:rPr>
          <w:szCs w:val="24"/>
        </w:rPr>
      </w:pPr>
      <w:r>
        <w:rPr>
          <w:rFonts w:eastAsia="Times New Roman"/>
          <w:szCs w:val="24"/>
          <w:lang w:eastAsia="ru-RU"/>
        </w:rPr>
        <w:t xml:space="preserve">4) Антагонист витамина К (АВК) – варфарин. </w:t>
      </w:r>
      <w:r>
        <w:rPr>
          <w:szCs w:val="24"/>
        </w:rPr>
        <w:t>Препарат следует принимать один раз в день в фиксированное время (предпочтительнее вечером) после еды. Доза варфарина корригируется по показателю МНО</w:t>
      </w:r>
      <w:r>
        <w:rPr>
          <w:rFonts w:eastAsia="Times New Roman"/>
          <w:szCs w:val="24"/>
          <w:lang w:eastAsia="ru-RU"/>
        </w:rPr>
        <w:t>. Целевые значения МНО при лечении варфарином составляют 2-2,5. У пациентов с искусственными клапанами сердца МНО на терапии варфарином должно составлять 3.0-4.0.</w:t>
      </w:r>
      <w:r>
        <w:rPr>
          <w:rFonts w:ascii="Arial" w:eastAsia="Times New Roman" w:hAnsi="Arial" w:cs="Arial"/>
          <w:color w:val="FF0000"/>
          <w:szCs w:val="24"/>
          <w:lang w:eastAsia="ru-RU"/>
        </w:rPr>
        <w:t xml:space="preserve"> </w:t>
      </w:r>
      <w:r>
        <w:rPr>
          <w:szCs w:val="24"/>
        </w:rPr>
        <w:t xml:space="preserve">Начальная доза препарата для пациентов, которые ранее не применяли варфарин, составляет 2,5-5,0 мг/сут. Для пациентов, которые ранее применяли варфарин, рекомендуемая стартовая доза составляет двойную дозу известной поддерживающей дозы препарата и назначается в течение первых 2-х дней. В случае необходимости перевода пациента с инъекций НМГ на длительный прием АВК, рекомендуется в течение первых 4-5 дней приема варфарина продолжать инъекции НМГ в профилактической дозе во избежание тромботических осложнений вследствие угнетения активности протеина С АВК. Первый контроль MHO следует проводить через 24-48 часов после начала приема варфарина. На протяжении первой недели определение MHO рекомендуется проводить ежедневно. </w:t>
      </w:r>
      <w:r>
        <w:rPr>
          <w:rFonts w:eastAsia="Times New Roman"/>
          <w:szCs w:val="24"/>
          <w:lang w:eastAsia="ru-RU"/>
        </w:rPr>
        <w:t xml:space="preserve">Через 3-4 дня одновременного применения варфарина и гепарина проводят исследование МНО. При достижении МНО 2,0 и более - гепарин отменяется. Если МНО меньше 2,0, то дозу варфарина увеличивают на 0,5 таблетки и продолжают одновременные применение варфарина и гепарина в течение 3 дней. Вновь проводят исследование МНО. Если МНО 2,0 и более, то гепарин отменяется. </w:t>
      </w:r>
      <w:r>
        <w:rPr>
          <w:szCs w:val="24"/>
        </w:rPr>
        <w:t>Схема подбора дозы варфарина представлена в таблице 3. В дальнейшем лабораторный контроль проводят регулярно каждые 4-8 недель.</w:t>
      </w:r>
    </w:p>
    <w:p w14:paraId="4B72E8C8" w14:textId="77777777" w:rsidR="00D563D9" w:rsidRPr="00BC50A4" w:rsidRDefault="00D563D9" w:rsidP="00D563D9">
      <w:pPr>
        <w:spacing w:before="0" w:after="0"/>
        <w:ind w:firstLine="708"/>
        <w:rPr>
          <w:b/>
          <w:szCs w:val="24"/>
        </w:rPr>
      </w:pPr>
      <w:r w:rsidRPr="00BC50A4">
        <w:rPr>
          <w:b/>
          <w:szCs w:val="24"/>
        </w:rPr>
        <w:t xml:space="preserve">Таблица 3. </w:t>
      </w:r>
      <w:r w:rsidRPr="00BC50A4">
        <w:rPr>
          <w:b/>
          <w:bCs/>
          <w:szCs w:val="24"/>
        </w:rPr>
        <w:t>Коррекция дозы варфарина в зависимости от МНО</w:t>
      </w:r>
    </w:p>
    <w:tbl>
      <w:tblPr>
        <w:tblStyle w:val="16"/>
        <w:tblW w:w="89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394"/>
        <w:gridCol w:w="4570"/>
      </w:tblGrid>
      <w:tr w:rsidR="00D563D9" w14:paraId="3F5072ED" w14:textId="77777777" w:rsidTr="00D563D9">
        <w:trPr>
          <w:trHeight w:val="374"/>
        </w:trPr>
        <w:tc>
          <w:tcPr>
            <w:tcW w:w="4394" w:type="dxa"/>
            <w:shd w:val="clear" w:color="auto" w:fill="auto"/>
          </w:tcPr>
          <w:p w14:paraId="12592A3C" w14:textId="77777777" w:rsidR="00D563D9" w:rsidRPr="007C4816" w:rsidRDefault="00D563D9" w:rsidP="00D563D9">
            <w:pPr>
              <w:spacing w:before="0" w:after="0"/>
              <w:jc w:val="center"/>
              <w:rPr>
                <w:rFonts w:cs="Times New Roman"/>
                <w:szCs w:val="24"/>
              </w:rPr>
            </w:pPr>
            <w:r w:rsidRPr="007C4816">
              <w:rPr>
                <w:rFonts w:eastAsiaTheme="majorEastAsia" w:cs="Times New Roman"/>
                <w:bCs/>
                <w:szCs w:val="24"/>
              </w:rPr>
              <w:t xml:space="preserve"> </w:t>
            </w:r>
            <w:r>
              <w:rPr>
                <w:rFonts w:eastAsiaTheme="majorEastAsia" w:cs="Times New Roman"/>
                <w:bCs/>
                <w:szCs w:val="24"/>
              </w:rPr>
              <w:t>Дни приема варфарина 2-5</w:t>
            </w:r>
          </w:p>
        </w:tc>
        <w:tc>
          <w:tcPr>
            <w:tcW w:w="4570" w:type="dxa"/>
            <w:shd w:val="clear" w:color="auto" w:fill="auto"/>
          </w:tcPr>
          <w:p w14:paraId="01B607A8" w14:textId="77777777" w:rsidR="00D563D9" w:rsidRPr="007C4816" w:rsidRDefault="00D563D9" w:rsidP="00D563D9">
            <w:pPr>
              <w:spacing w:before="0" w:after="0"/>
              <w:jc w:val="center"/>
              <w:rPr>
                <w:rFonts w:cs="Times New Roman"/>
                <w:szCs w:val="24"/>
              </w:rPr>
            </w:pPr>
            <w:r w:rsidRPr="007C4816">
              <w:rPr>
                <w:rFonts w:eastAsiaTheme="majorEastAsia" w:cs="Times New Roman"/>
                <w:bCs/>
                <w:szCs w:val="24"/>
              </w:rPr>
              <w:t xml:space="preserve"> </w:t>
            </w:r>
            <w:r>
              <w:rPr>
                <w:rFonts w:eastAsiaTheme="majorEastAsia" w:cs="Times New Roman"/>
                <w:bCs/>
                <w:szCs w:val="24"/>
              </w:rPr>
              <w:t>Дни приема варфарина 6 и далее</w:t>
            </w:r>
          </w:p>
        </w:tc>
      </w:tr>
      <w:tr w:rsidR="00D563D9" w14:paraId="64D86182" w14:textId="77777777" w:rsidTr="00D563D9">
        <w:trPr>
          <w:trHeight w:val="714"/>
        </w:trPr>
        <w:tc>
          <w:tcPr>
            <w:tcW w:w="4394" w:type="dxa"/>
            <w:shd w:val="clear" w:color="auto" w:fill="auto"/>
          </w:tcPr>
          <w:p w14:paraId="0C55BF1A" w14:textId="77777777" w:rsidR="00D563D9" w:rsidRPr="007C4816" w:rsidRDefault="00D563D9" w:rsidP="00D563D9">
            <w:pPr>
              <w:spacing w:before="0" w:after="0" w:line="240" w:lineRule="auto"/>
              <w:rPr>
                <w:rFonts w:cs="Times New Roman"/>
                <w:szCs w:val="24"/>
              </w:rPr>
            </w:pPr>
            <w:r w:rsidRPr="007C4816">
              <w:rPr>
                <w:rFonts w:eastAsiaTheme="majorEastAsia" w:cs="Times New Roman"/>
                <w:bCs/>
                <w:szCs w:val="24"/>
              </w:rPr>
              <w:t>МНО</w:t>
            </w:r>
            <w:r>
              <w:rPr>
                <w:rFonts w:eastAsiaTheme="majorEastAsia" w:cs="Times New Roman"/>
                <w:bCs/>
                <w:szCs w:val="24"/>
              </w:rPr>
              <w:t xml:space="preserve"> 1.1–</w:t>
            </w:r>
            <w:r w:rsidRPr="007C4816">
              <w:rPr>
                <w:rFonts w:eastAsiaTheme="majorEastAsia" w:cs="Times New Roman"/>
                <w:bCs/>
                <w:szCs w:val="24"/>
              </w:rPr>
              <w:t>1.3 – повторить инициальную дозу</w:t>
            </w:r>
          </w:p>
        </w:tc>
        <w:tc>
          <w:tcPr>
            <w:tcW w:w="4570" w:type="dxa"/>
            <w:shd w:val="clear" w:color="auto" w:fill="auto"/>
          </w:tcPr>
          <w:p w14:paraId="5090FA1F" w14:textId="77777777" w:rsidR="00D563D9" w:rsidRPr="007C4816" w:rsidRDefault="00D563D9" w:rsidP="00D563D9">
            <w:pPr>
              <w:spacing w:before="0" w:after="0" w:line="240" w:lineRule="auto"/>
              <w:rPr>
                <w:rFonts w:cs="Times New Roman"/>
                <w:szCs w:val="24"/>
              </w:rPr>
            </w:pPr>
            <w:r w:rsidRPr="007C4816">
              <w:rPr>
                <w:rFonts w:eastAsiaTheme="majorEastAsia" w:cs="Times New Roman"/>
                <w:bCs/>
                <w:szCs w:val="24"/>
              </w:rPr>
              <w:t>МНО</w:t>
            </w:r>
            <w:r>
              <w:rPr>
                <w:rFonts w:eastAsiaTheme="majorEastAsia" w:cs="Times New Roman"/>
                <w:bCs/>
                <w:szCs w:val="24"/>
              </w:rPr>
              <w:t xml:space="preserve"> 1.1–</w:t>
            </w:r>
            <w:r w:rsidRPr="007C4816">
              <w:rPr>
                <w:rFonts w:eastAsiaTheme="majorEastAsia" w:cs="Times New Roman"/>
                <w:bCs/>
                <w:szCs w:val="24"/>
              </w:rPr>
              <w:t>1.4 – увеличить дозу на 20%</w:t>
            </w:r>
          </w:p>
        </w:tc>
      </w:tr>
      <w:tr w:rsidR="00D563D9" w14:paraId="3079BD84" w14:textId="77777777" w:rsidTr="00D563D9">
        <w:trPr>
          <w:trHeight w:val="515"/>
        </w:trPr>
        <w:tc>
          <w:tcPr>
            <w:tcW w:w="4394" w:type="dxa"/>
            <w:shd w:val="clear" w:color="auto" w:fill="auto"/>
          </w:tcPr>
          <w:p w14:paraId="5C21A7CB" w14:textId="77777777" w:rsidR="00D563D9" w:rsidRPr="007C4816" w:rsidRDefault="00D563D9" w:rsidP="00D563D9">
            <w:pPr>
              <w:spacing w:before="0" w:after="0" w:line="240" w:lineRule="auto"/>
              <w:rPr>
                <w:rFonts w:cs="Times New Roman"/>
                <w:szCs w:val="24"/>
              </w:rPr>
            </w:pPr>
            <w:r w:rsidRPr="007C4816">
              <w:rPr>
                <w:rFonts w:eastAsiaTheme="majorEastAsia" w:cs="Times New Roman"/>
                <w:bCs/>
                <w:szCs w:val="24"/>
              </w:rPr>
              <w:t>МНО 1.4–1.9 – 50% инициальной дозы</w:t>
            </w:r>
          </w:p>
        </w:tc>
        <w:tc>
          <w:tcPr>
            <w:tcW w:w="4570" w:type="dxa"/>
            <w:shd w:val="clear" w:color="auto" w:fill="auto"/>
          </w:tcPr>
          <w:p w14:paraId="122F0259" w14:textId="77777777" w:rsidR="00D563D9" w:rsidRPr="007C4816" w:rsidRDefault="00D563D9" w:rsidP="00D563D9">
            <w:pPr>
              <w:spacing w:before="0" w:after="0" w:line="240" w:lineRule="auto"/>
              <w:rPr>
                <w:rFonts w:cs="Times New Roman"/>
                <w:szCs w:val="24"/>
              </w:rPr>
            </w:pPr>
            <w:r w:rsidRPr="007C4816">
              <w:rPr>
                <w:rFonts w:eastAsiaTheme="majorEastAsia" w:cs="Times New Roman"/>
                <w:bCs/>
                <w:szCs w:val="24"/>
              </w:rPr>
              <w:t xml:space="preserve">МНО </w:t>
            </w:r>
            <w:r>
              <w:rPr>
                <w:rFonts w:eastAsiaTheme="majorEastAsia" w:cs="Times New Roman"/>
                <w:bCs/>
                <w:szCs w:val="24"/>
              </w:rPr>
              <w:t>1.5–</w:t>
            </w:r>
            <w:r w:rsidRPr="007C4816">
              <w:rPr>
                <w:rFonts w:eastAsiaTheme="majorEastAsia" w:cs="Times New Roman"/>
                <w:bCs/>
                <w:szCs w:val="24"/>
              </w:rPr>
              <w:t>1.9 – увеличить дозу на 10%</w:t>
            </w:r>
          </w:p>
        </w:tc>
      </w:tr>
      <w:tr w:rsidR="00D563D9" w14:paraId="6C1A759C" w14:textId="77777777" w:rsidTr="00D563D9">
        <w:trPr>
          <w:trHeight w:val="539"/>
        </w:trPr>
        <w:tc>
          <w:tcPr>
            <w:tcW w:w="4394" w:type="dxa"/>
            <w:shd w:val="clear" w:color="auto" w:fill="auto"/>
          </w:tcPr>
          <w:p w14:paraId="496838BC" w14:textId="77777777" w:rsidR="00D563D9" w:rsidRPr="007C4816" w:rsidRDefault="00D563D9" w:rsidP="00D563D9">
            <w:pPr>
              <w:spacing w:before="0" w:after="0" w:line="240" w:lineRule="auto"/>
              <w:rPr>
                <w:rFonts w:cs="Times New Roman"/>
                <w:szCs w:val="24"/>
              </w:rPr>
            </w:pPr>
            <w:r w:rsidRPr="007C4816">
              <w:rPr>
                <w:rFonts w:eastAsiaTheme="majorEastAsia" w:cs="Times New Roman"/>
                <w:bCs/>
                <w:szCs w:val="24"/>
              </w:rPr>
              <w:lastRenderedPageBreak/>
              <w:t xml:space="preserve">МНО </w:t>
            </w:r>
            <w:r>
              <w:rPr>
                <w:rFonts w:eastAsiaTheme="majorEastAsia" w:cs="Times New Roman"/>
                <w:bCs/>
                <w:szCs w:val="24"/>
              </w:rPr>
              <w:t>2.0</w:t>
            </w:r>
            <w:r w:rsidRPr="007C4816">
              <w:rPr>
                <w:rFonts w:eastAsiaTheme="majorEastAsia" w:cs="Times New Roman"/>
                <w:bCs/>
                <w:szCs w:val="24"/>
              </w:rPr>
              <w:t>–3.0 – 50% инициальной дозы</w:t>
            </w:r>
          </w:p>
        </w:tc>
        <w:tc>
          <w:tcPr>
            <w:tcW w:w="4570" w:type="dxa"/>
            <w:shd w:val="clear" w:color="auto" w:fill="auto"/>
          </w:tcPr>
          <w:p w14:paraId="3E555E96" w14:textId="77777777" w:rsidR="00D563D9" w:rsidRPr="007C4816" w:rsidRDefault="00D563D9" w:rsidP="00D563D9">
            <w:pPr>
              <w:spacing w:before="0" w:after="0" w:line="240" w:lineRule="auto"/>
              <w:rPr>
                <w:rFonts w:cs="Times New Roman"/>
                <w:szCs w:val="24"/>
              </w:rPr>
            </w:pPr>
            <w:r w:rsidRPr="007C4816">
              <w:rPr>
                <w:rFonts w:eastAsiaTheme="majorEastAsia" w:cs="Times New Roman"/>
                <w:bCs/>
                <w:szCs w:val="24"/>
              </w:rPr>
              <w:t xml:space="preserve">МНО </w:t>
            </w:r>
            <w:r>
              <w:rPr>
                <w:rFonts w:eastAsiaTheme="majorEastAsia" w:cs="Times New Roman"/>
                <w:bCs/>
                <w:szCs w:val="24"/>
              </w:rPr>
              <w:t>2.0</w:t>
            </w:r>
            <w:r w:rsidRPr="007C4816">
              <w:rPr>
                <w:rFonts w:eastAsiaTheme="majorEastAsia" w:cs="Times New Roman"/>
                <w:bCs/>
                <w:szCs w:val="24"/>
              </w:rPr>
              <w:t>–3.0 – продолжать без изменений</w:t>
            </w:r>
          </w:p>
        </w:tc>
      </w:tr>
      <w:tr w:rsidR="00D563D9" w14:paraId="228E2A5C" w14:textId="77777777" w:rsidTr="00D563D9">
        <w:trPr>
          <w:trHeight w:val="437"/>
        </w:trPr>
        <w:tc>
          <w:tcPr>
            <w:tcW w:w="4394" w:type="dxa"/>
            <w:shd w:val="clear" w:color="auto" w:fill="auto"/>
          </w:tcPr>
          <w:p w14:paraId="4E1EC8B3" w14:textId="77777777" w:rsidR="00D563D9" w:rsidRPr="007C4816" w:rsidRDefault="00D563D9" w:rsidP="00D563D9">
            <w:pPr>
              <w:spacing w:before="0" w:after="0" w:line="240" w:lineRule="auto"/>
              <w:rPr>
                <w:rFonts w:cs="Times New Roman"/>
                <w:szCs w:val="24"/>
              </w:rPr>
            </w:pPr>
            <w:r w:rsidRPr="007C4816">
              <w:rPr>
                <w:rFonts w:eastAsiaTheme="majorEastAsia" w:cs="Times New Roman"/>
                <w:bCs/>
                <w:szCs w:val="24"/>
              </w:rPr>
              <w:t>МНО 3.1–3.5 – 25% инициальной дозы</w:t>
            </w:r>
          </w:p>
        </w:tc>
        <w:tc>
          <w:tcPr>
            <w:tcW w:w="4570" w:type="dxa"/>
            <w:shd w:val="clear" w:color="auto" w:fill="auto"/>
          </w:tcPr>
          <w:p w14:paraId="0E064B94" w14:textId="77777777" w:rsidR="00D563D9" w:rsidRPr="007C4816" w:rsidRDefault="00D563D9" w:rsidP="00D563D9">
            <w:pPr>
              <w:spacing w:before="0" w:after="0" w:line="240" w:lineRule="auto"/>
              <w:rPr>
                <w:rFonts w:cs="Times New Roman"/>
                <w:szCs w:val="24"/>
              </w:rPr>
            </w:pPr>
            <w:r w:rsidRPr="007C4816">
              <w:rPr>
                <w:rFonts w:eastAsiaTheme="majorEastAsia" w:cs="Times New Roman"/>
                <w:bCs/>
                <w:szCs w:val="24"/>
              </w:rPr>
              <w:t xml:space="preserve">МНО </w:t>
            </w:r>
            <w:r>
              <w:rPr>
                <w:rFonts w:eastAsiaTheme="majorEastAsia" w:cs="Times New Roman"/>
                <w:bCs/>
                <w:szCs w:val="24"/>
              </w:rPr>
              <w:t>3.1–</w:t>
            </w:r>
            <w:r w:rsidRPr="007C4816">
              <w:rPr>
                <w:rFonts w:eastAsiaTheme="majorEastAsia" w:cs="Times New Roman"/>
                <w:bCs/>
                <w:szCs w:val="24"/>
              </w:rPr>
              <w:t>3.5 – уменьшить дозу на 10%</w:t>
            </w:r>
          </w:p>
        </w:tc>
      </w:tr>
      <w:tr w:rsidR="00D563D9" w14:paraId="7AE72620" w14:textId="77777777" w:rsidTr="00D563D9">
        <w:trPr>
          <w:trHeight w:val="565"/>
        </w:trPr>
        <w:tc>
          <w:tcPr>
            <w:tcW w:w="4394" w:type="dxa"/>
            <w:vMerge w:val="restart"/>
            <w:shd w:val="clear" w:color="auto" w:fill="auto"/>
          </w:tcPr>
          <w:p w14:paraId="42FBCABD" w14:textId="77777777" w:rsidR="00D563D9" w:rsidRPr="007C4816" w:rsidRDefault="00D563D9" w:rsidP="00D563D9">
            <w:pPr>
              <w:spacing w:before="0" w:after="0" w:line="240" w:lineRule="auto"/>
              <w:rPr>
                <w:rFonts w:cs="Times New Roman"/>
                <w:szCs w:val="24"/>
              </w:rPr>
            </w:pPr>
            <w:r w:rsidRPr="007C4816">
              <w:rPr>
                <w:rFonts w:eastAsiaTheme="majorEastAsia" w:cs="Times New Roman"/>
                <w:bCs/>
                <w:szCs w:val="24"/>
              </w:rPr>
              <w:t>МНО &gt;</w:t>
            </w:r>
            <w:r w:rsidRPr="007C4816">
              <w:rPr>
                <w:rFonts w:eastAsiaTheme="majorEastAsia" w:cs="Times New Roman"/>
                <w:bCs/>
                <w:szCs w:val="24"/>
                <w:lang w:val="pl-PL"/>
              </w:rPr>
              <w:t xml:space="preserve"> 3</w:t>
            </w:r>
            <w:r w:rsidRPr="007C4816">
              <w:rPr>
                <w:rFonts w:eastAsiaTheme="majorEastAsia" w:cs="Times New Roman"/>
                <w:bCs/>
                <w:szCs w:val="24"/>
              </w:rPr>
              <w:t xml:space="preserve">.5 – пауза до тех пор, пока МНО не станет &lt; 3.5, затем начать повторный прием </w:t>
            </w:r>
            <w:r>
              <w:rPr>
                <w:rFonts w:eastAsiaTheme="majorEastAsia" w:cs="Times New Roman"/>
                <w:bCs/>
                <w:szCs w:val="24"/>
              </w:rPr>
              <w:t>50% предшествующей дозы</w:t>
            </w:r>
          </w:p>
          <w:p w14:paraId="509D7ACB" w14:textId="77777777" w:rsidR="00D563D9" w:rsidRPr="007C4816" w:rsidRDefault="00D563D9" w:rsidP="00D563D9">
            <w:pPr>
              <w:spacing w:before="0" w:after="0"/>
              <w:jc w:val="center"/>
              <w:rPr>
                <w:rFonts w:cs="Times New Roman"/>
                <w:szCs w:val="24"/>
              </w:rPr>
            </w:pPr>
          </w:p>
        </w:tc>
        <w:tc>
          <w:tcPr>
            <w:tcW w:w="4570" w:type="dxa"/>
            <w:shd w:val="clear" w:color="auto" w:fill="auto"/>
          </w:tcPr>
          <w:p w14:paraId="447C982F" w14:textId="77777777" w:rsidR="00D563D9" w:rsidRPr="007C4816" w:rsidRDefault="00D563D9" w:rsidP="00D563D9">
            <w:pPr>
              <w:spacing w:before="0" w:after="0" w:line="240" w:lineRule="auto"/>
              <w:rPr>
                <w:rFonts w:cs="Times New Roman"/>
                <w:szCs w:val="24"/>
              </w:rPr>
            </w:pPr>
            <w:r w:rsidRPr="007C4816">
              <w:rPr>
                <w:rFonts w:eastAsiaTheme="majorEastAsia" w:cs="Times New Roman"/>
                <w:bCs/>
                <w:szCs w:val="24"/>
              </w:rPr>
              <w:t xml:space="preserve">МНО </w:t>
            </w:r>
            <w:r>
              <w:rPr>
                <w:rFonts w:eastAsiaTheme="majorEastAsia" w:cs="Times New Roman"/>
                <w:bCs/>
                <w:szCs w:val="24"/>
              </w:rPr>
              <w:t>3.6</w:t>
            </w:r>
            <w:r w:rsidRPr="007C4816">
              <w:rPr>
                <w:rFonts w:eastAsiaTheme="majorEastAsia" w:cs="Times New Roman"/>
                <w:bCs/>
                <w:szCs w:val="24"/>
              </w:rPr>
              <w:t>–4.0 – однократно 50% дозы, затем в уменьшенной на 20%</w:t>
            </w:r>
            <w:r>
              <w:rPr>
                <w:rFonts w:eastAsiaTheme="majorEastAsia" w:cs="Times New Roman"/>
                <w:bCs/>
                <w:szCs w:val="24"/>
              </w:rPr>
              <w:t xml:space="preserve"> дозе</w:t>
            </w:r>
          </w:p>
        </w:tc>
      </w:tr>
      <w:tr w:rsidR="00D563D9" w14:paraId="2DD304FC" w14:textId="77777777" w:rsidTr="00D563D9">
        <w:trPr>
          <w:trHeight w:val="755"/>
        </w:trPr>
        <w:tc>
          <w:tcPr>
            <w:tcW w:w="4394" w:type="dxa"/>
            <w:vMerge/>
            <w:shd w:val="clear" w:color="auto" w:fill="auto"/>
          </w:tcPr>
          <w:p w14:paraId="10AE9EC7" w14:textId="77777777" w:rsidR="00D563D9" w:rsidRPr="007C4816" w:rsidRDefault="00D563D9" w:rsidP="00D563D9">
            <w:pPr>
              <w:spacing w:before="0" w:after="0"/>
              <w:jc w:val="center"/>
              <w:rPr>
                <w:rFonts w:eastAsiaTheme="majorEastAsia" w:cs="Times New Roman"/>
                <w:bCs/>
                <w:szCs w:val="24"/>
              </w:rPr>
            </w:pPr>
          </w:p>
        </w:tc>
        <w:tc>
          <w:tcPr>
            <w:tcW w:w="4570" w:type="dxa"/>
            <w:shd w:val="clear" w:color="auto" w:fill="auto"/>
          </w:tcPr>
          <w:p w14:paraId="160DE33B" w14:textId="77777777" w:rsidR="00D563D9" w:rsidRPr="007C4816" w:rsidRDefault="00D563D9" w:rsidP="00D563D9">
            <w:pPr>
              <w:spacing w:before="0" w:after="0" w:line="240" w:lineRule="auto"/>
              <w:rPr>
                <w:rFonts w:cs="Times New Roman"/>
                <w:szCs w:val="24"/>
              </w:rPr>
            </w:pPr>
            <w:r w:rsidRPr="007C4816">
              <w:rPr>
                <w:rFonts w:eastAsiaTheme="majorEastAsia" w:cs="Times New Roman"/>
                <w:bCs/>
                <w:szCs w:val="24"/>
              </w:rPr>
              <w:t>МНО &gt; 4.0 пауза до тех пор, пока МНО не станет &lt; 3.5, затем начать повторный прием (25% предшествующей дозы)</w:t>
            </w:r>
          </w:p>
        </w:tc>
      </w:tr>
    </w:tbl>
    <w:p w14:paraId="1372F404" w14:textId="77777777" w:rsidR="00D563D9" w:rsidRDefault="00D563D9" w:rsidP="00D563D9">
      <w:pPr>
        <w:spacing w:before="0" w:after="0"/>
        <w:rPr>
          <w:strike/>
          <w:szCs w:val="24"/>
        </w:rPr>
      </w:pPr>
    </w:p>
    <w:p w14:paraId="3C080755" w14:textId="77777777" w:rsidR="00D563D9" w:rsidRDefault="00D563D9" w:rsidP="00D563D9">
      <w:pPr>
        <w:spacing w:before="0" w:after="0"/>
        <w:ind w:firstLine="709"/>
        <w:rPr>
          <w:rFonts w:eastAsia="Times New Roman"/>
          <w:szCs w:val="24"/>
          <w:lang w:eastAsia="ru-RU"/>
        </w:rPr>
      </w:pPr>
      <w:r>
        <w:rPr>
          <w:rFonts w:eastAsia="Times New Roman"/>
          <w:szCs w:val="24"/>
          <w:lang w:eastAsia="ru-RU"/>
        </w:rPr>
        <w:t xml:space="preserve">В случае если при лечении варфарином появляется патологическая кровоточивость, необходимо определить протромбин по Квику (МНО), отменить варфарин. В лечении тяжелых варфариновых кровотечений используются: концентраты протромбинового комплекса или свежезамороженная плазма (СЗП). </w:t>
      </w:r>
    </w:p>
    <w:p w14:paraId="08C01B0E" w14:textId="77777777" w:rsidR="00D563D9" w:rsidRDefault="00D563D9" w:rsidP="00D563D9">
      <w:pPr>
        <w:spacing w:before="0" w:after="0"/>
        <w:ind w:firstLine="360"/>
        <w:rPr>
          <w:szCs w:val="24"/>
        </w:rPr>
      </w:pPr>
      <w:r>
        <w:rPr>
          <w:szCs w:val="24"/>
        </w:rPr>
        <w:t>Перевод пациентов с парентеральных препаратов на прямые пероральные антитромботические средства может производиться по следующему алгоритму:</w:t>
      </w:r>
    </w:p>
    <w:p w14:paraId="4CDA8CE0" w14:textId="77777777" w:rsidR="00D563D9" w:rsidRDefault="00D563D9" w:rsidP="00CE6C1C">
      <w:pPr>
        <w:pStyle w:val="a6"/>
        <w:numPr>
          <w:ilvl w:val="0"/>
          <w:numId w:val="108"/>
        </w:numPr>
        <w:spacing w:before="0" w:after="0"/>
        <w:rPr>
          <w:szCs w:val="24"/>
        </w:rPr>
      </w:pPr>
      <w:r>
        <w:rPr>
          <w:szCs w:val="24"/>
        </w:rPr>
        <w:t>лечение прямыми пероральными антикоагулянтами должно быть начато за 0-2 часа до следующего планового введения парентерального антикоагулянта;</w:t>
      </w:r>
    </w:p>
    <w:p w14:paraId="775B4E54" w14:textId="77777777" w:rsidR="00D563D9" w:rsidRDefault="00D563D9" w:rsidP="00CE6C1C">
      <w:pPr>
        <w:pStyle w:val="a6"/>
        <w:numPr>
          <w:ilvl w:val="0"/>
          <w:numId w:val="108"/>
        </w:numPr>
        <w:spacing w:before="0" w:after="0"/>
        <w:rPr>
          <w:szCs w:val="24"/>
        </w:rPr>
      </w:pPr>
      <w:r>
        <w:rPr>
          <w:szCs w:val="24"/>
        </w:rPr>
        <w:t>замена введения очередной дозы парентерального препарата приемом дозы перорального антикоагулянта для НМГ и фондапаринукса – через 24 часа, для НФГ – через 8 часов (для ривароксабана – прием пероральной формы сразу после отмены НФГ).</w:t>
      </w:r>
    </w:p>
    <w:p w14:paraId="04D8EE5F" w14:textId="77777777" w:rsidR="00D563D9" w:rsidRDefault="00D563D9" w:rsidP="00D563D9">
      <w:pPr>
        <w:spacing w:before="0" w:after="0"/>
        <w:ind w:firstLine="360"/>
        <w:rPr>
          <w:rFonts w:eastAsia="Times New Roman"/>
          <w:szCs w:val="24"/>
          <w:lang w:eastAsia="ru-RU"/>
        </w:rPr>
      </w:pPr>
      <w:r>
        <w:rPr>
          <w:rFonts w:eastAsia="Times New Roman"/>
          <w:szCs w:val="24"/>
          <w:lang w:eastAsia="ru-RU"/>
        </w:rPr>
        <w:t>Препараты АВК и ПОАК можно использовать в виде монотерапии для профилактики тромботических нарушений во время ХТ и других видов специфического лечения.</w:t>
      </w:r>
    </w:p>
    <w:p w14:paraId="113D5DC0" w14:textId="77777777" w:rsidR="00D563D9" w:rsidRDefault="00D563D9" w:rsidP="00D563D9">
      <w:pPr>
        <w:spacing w:before="0" w:after="0"/>
        <w:ind w:firstLine="360"/>
        <w:rPr>
          <w:szCs w:val="24"/>
        </w:rPr>
      </w:pPr>
      <w:r>
        <w:rPr>
          <w:szCs w:val="24"/>
        </w:rPr>
        <w:t>В настоящее время перевод пациентов с приема пероральных антикоагулянтов к парентеральному введению антикоагулянтов осуществляется по следующему алгоритму:</w:t>
      </w:r>
    </w:p>
    <w:p w14:paraId="7A423ACE" w14:textId="77777777" w:rsidR="00D563D9" w:rsidRDefault="00D563D9" w:rsidP="00CE6C1C">
      <w:pPr>
        <w:pStyle w:val="a6"/>
        <w:numPr>
          <w:ilvl w:val="0"/>
          <w:numId w:val="109"/>
        </w:numPr>
        <w:spacing w:before="0" w:after="0"/>
        <w:rPr>
          <w:szCs w:val="24"/>
        </w:rPr>
      </w:pPr>
      <w:r>
        <w:rPr>
          <w:szCs w:val="24"/>
        </w:rPr>
        <w:t>для дабигатрана этексилата или ривароксабана необходим перерыв 24 часа с приема последней дозы, после чего нужно ввести парентеральный антикоагулянт;</w:t>
      </w:r>
    </w:p>
    <w:p w14:paraId="59D6E98B" w14:textId="77777777" w:rsidR="00D563D9" w:rsidRDefault="00D563D9" w:rsidP="00CE6C1C">
      <w:pPr>
        <w:pStyle w:val="a6"/>
        <w:numPr>
          <w:ilvl w:val="0"/>
          <w:numId w:val="109"/>
        </w:numPr>
        <w:spacing w:before="0" w:after="0"/>
        <w:rPr>
          <w:szCs w:val="24"/>
        </w:rPr>
      </w:pPr>
      <w:r>
        <w:rPr>
          <w:szCs w:val="24"/>
        </w:rPr>
        <w:t>для апиксабана – выждать 12 часов с приема последней дозы и ввести парентеральный антикоагулянт.</w:t>
      </w:r>
    </w:p>
    <w:p w14:paraId="7DB02C28" w14:textId="77777777" w:rsidR="00D563D9" w:rsidRPr="00A4634E" w:rsidRDefault="00D563D9" w:rsidP="00D563D9">
      <w:pPr>
        <w:spacing w:before="0" w:after="0"/>
        <w:ind w:firstLine="709"/>
        <w:rPr>
          <w:rFonts w:eastAsia="Times New Roman"/>
          <w:szCs w:val="24"/>
          <w:u w:val="single"/>
          <w:lang w:eastAsia="ru-RU"/>
        </w:rPr>
      </w:pPr>
      <w:r w:rsidRPr="00A4634E">
        <w:rPr>
          <w:rFonts w:eastAsia="Times New Roman"/>
          <w:szCs w:val="24"/>
          <w:u w:val="single"/>
          <w:lang w:eastAsia="ru-RU"/>
        </w:rPr>
        <w:t>7.1.2. Фибринолитическая терапия.</w:t>
      </w:r>
    </w:p>
    <w:p w14:paraId="6A9AF82F" w14:textId="77777777" w:rsidR="00D563D9" w:rsidRDefault="00D563D9" w:rsidP="00D563D9">
      <w:pPr>
        <w:spacing w:before="0" w:after="0"/>
        <w:ind w:firstLine="709"/>
        <w:rPr>
          <w:rFonts w:eastAsia="Times New Roman"/>
          <w:sz w:val="28"/>
          <w:szCs w:val="28"/>
          <w:lang w:eastAsia="ru-RU"/>
        </w:rPr>
      </w:pPr>
      <w:r>
        <w:rPr>
          <w:rFonts w:eastAsia="Times New Roman"/>
          <w:szCs w:val="24"/>
          <w:lang w:eastAsia="ru-RU"/>
        </w:rPr>
        <w:t xml:space="preserve">Тромболизис эффективен при ТЭЛА, в раннем периоде острого инфаркта миокарда и ишемического инсульта, тромбозе синусов головного мозга, а также при угрозе формирования гангрены вследствие венозной окклюзии. С целью тромболизиса используются такие препараты, как стрептокиназа, урокиназа, алтеплаза. Дозы фибринолитических препаратов и режимы их применения различны и зависят от показаний. </w:t>
      </w:r>
    </w:p>
    <w:p w14:paraId="44E3B9BC" w14:textId="77777777" w:rsidR="00D563D9" w:rsidRDefault="00D563D9" w:rsidP="00D563D9">
      <w:pPr>
        <w:spacing w:before="0" w:after="0"/>
        <w:ind w:firstLine="709"/>
        <w:rPr>
          <w:rFonts w:eastAsia="Times New Roman"/>
          <w:szCs w:val="24"/>
          <w:lang w:eastAsia="ru-RU"/>
        </w:rPr>
      </w:pPr>
      <w:r>
        <w:rPr>
          <w:rFonts w:eastAsia="Times New Roman"/>
          <w:szCs w:val="24"/>
          <w:lang w:eastAsia="ru-RU"/>
        </w:rPr>
        <w:lastRenderedPageBreak/>
        <w:t xml:space="preserve">Целью терапии тромбозов является максимально возможное лизирование тромбов и максимальная реканализация сосуда. Длительность терапии тромбоза составляет, как правило, не менее 3-х месяцев. Однако продолжительность лечения тромбозов по показаниям может составлять от 6 до 12 мес. При некоторых тромбофилиях профилактическая антитромботическая терапия может продолжаться пожизненно. </w:t>
      </w:r>
    </w:p>
    <w:p w14:paraId="6F594D31" w14:textId="77777777" w:rsidR="00D563D9" w:rsidRDefault="00D563D9" w:rsidP="00D563D9">
      <w:pPr>
        <w:spacing w:before="0" w:after="0"/>
        <w:ind w:firstLine="567"/>
        <w:rPr>
          <w:szCs w:val="24"/>
        </w:rPr>
      </w:pPr>
      <w:r>
        <w:rPr>
          <w:szCs w:val="24"/>
        </w:rPr>
        <w:t xml:space="preserve">При сохранении таких факторов риска, как иммобилизация, гнойная инфекция, длительная катетеризация центральных сосудов, продолжающаяся ХТ или другие виды специфической терапии, сахарный диабет, сохраняющаяся злокачественная опухоль, генетические тромбофилии (исключая дефицит АТ </w:t>
      </w:r>
      <w:r>
        <w:rPr>
          <w:szCs w:val="24"/>
          <w:lang w:val="en-US"/>
        </w:rPr>
        <w:t>III</w:t>
      </w:r>
      <w:r>
        <w:rPr>
          <w:szCs w:val="24"/>
        </w:rPr>
        <w:t xml:space="preserve">), целесообразно продлить антикоагулянтную профилактику. В этом случае дополнительным аргументом может служить сохранение тромбинемии (высокая концентрация </w:t>
      </w:r>
      <w:r>
        <w:rPr>
          <w:szCs w:val="24"/>
          <w:lang w:val="en-US"/>
        </w:rPr>
        <w:t>D</w:t>
      </w:r>
      <w:r>
        <w:rPr>
          <w:szCs w:val="24"/>
        </w:rPr>
        <w:t>-димера), а также признаки замедления кровотока в глубоких венах нижних конечностей или таза при УЗДГ. Завершение противотромботического курса проводится индивидуально с учетом динамики факторов риска и тромбинемии.</w:t>
      </w:r>
    </w:p>
    <w:p w14:paraId="3AC0B510" w14:textId="55151239" w:rsidR="00D563D9" w:rsidRDefault="00D563D9" w:rsidP="00D563D9">
      <w:pPr>
        <w:widowControl w:val="0"/>
        <w:spacing w:before="0" w:after="0"/>
        <w:ind w:firstLine="360"/>
        <w:rPr>
          <w:szCs w:val="24"/>
        </w:rPr>
      </w:pPr>
      <w:r>
        <w:rPr>
          <w:szCs w:val="24"/>
        </w:rPr>
        <w:t xml:space="preserve">У </w:t>
      </w:r>
      <w:r w:rsidR="00BC50A4">
        <w:rPr>
          <w:szCs w:val="24"/>
        </w:rPr>
        <w:t>больных</w:t>
      </w:r>
      <w:r>
        <w:rPr>
          <w:szCs w:val="24"/>
        </w:rPr>
        <w:t xml:space="preserve"> множественной миеломой фактором риска развития ВТЭО является лечение с использованием дексаметазона, </w:t>
      </w:r>
      <w:r w:rsidR="00BC50A4">
        <w:rPr>
          <w:szCs w:val="24"/>
        </w:rPr>
        <w:t>леналидомида, преднизолона</w:t>
      </w:r>
      <w:r>
        <w:rPr>
          <w:szCs w:val="24"/>
        </w:rPr>
        <w:t xml:space="preserve">. </w:t>
      </w:r>
      <w:r w:rsidR="00BC50A4">
        <w:rPr>
          <w:szCs w:val="24"/>
        </w:rPr>
        <w:t>Ч</w:t>
      </w:r>
      <w:r>
        <w:rPr>
          <w:szCs w:val="24"/>
        </w:rPr>
        <w:t xml:space="preserve">астота ВТЭО при терапии леналидомидом составляла 3%, а комбинация леналидомида и дексаметазона повышала частоту ВТЭО до 75%. Увеличивает частоту ВТЭО до 5-23% сопутствующая терапия эритропоэтином, особенно если она проводится у больных, получающих леналидомид и дексаметазон. Наличие ВТЭО у больных ММ ассоциируется с летальностью, следовательно, проведение профилактики ВТЭО способствует улучшению прогноза. </w:t>
      </w:r>
    </w:p>
    <w:p w14:paraId="0DEEFB43" w14:textId="77777777" w:rsidR="00D563D9" w:rsidRDefault="00D563D9" w:rsidP="00D563D9">
      <w:pPr>
        <w:widowControl w:val="0"/>
        <w:spacing w:before="0" w:after="0"/>
        <w:ind w:firstLine="360"/>
        <w:rPr>
          <w:szCs w:val="24"/>
        </w:rPr>
      </w:pPr>
      <w:r>
        <w:rPr>
          <w:szCs w:val="24"/>
        </w:rPr>
        <w:t>Помимо ХТ причиной возникновения ВТЭО у больных ММ являются нарушения ритма сердца, гипервязкость крови и плазмы, гиперкальциемия, гиперфибриногенемия.</w:t>
      </w:r>
    </w:p>
    <w:p w14:paraId="44892843" w14:textId="77777777" w:rsidR="00D563D9" w:rsidRDefault="00D563D9" w:rsidP="00D563D9">
      <w:pPr>
        <w:spacing w:before="0" w:after="0"/>
        <w:ind w:firstLine="360"/>
        <w:rPr>
          <w:szCs w:val="24"/>
        </w:rPr>
      </w:pPr>
      <w:r>
        <w:rPr>
          <w:szCs w:val="24"/>
        </w:rPr>
        <w:t>При ММ, согласно консенсусному решению Международной рабочей группы по изучению миеломы (International Myeloma Work Group - IMWG), необходимость в проведении профилактики ВТЭО определяется факторами индивидуального риска: ожирение, тромбозы в анамнезе, наличие центрального венозного катетера, кардиостимулятора, иммобилизация, хирургическое вмешательство, коморбидность, гиперкоагуляция, применение эритропоэтина, применение дексаметазона, доксорубицина. Для профилактики ВТЭО у больных без факторов риска или с одним фактором риска возможно применение аспирина, при наличии более одного фактора риска препаратом выбора является НМГ.</w:t>
      </w:r>
    </w:p>
    <w:p w14:paraId="5CDA7578" w14:textId="77777777" w:rsidR="00D563D9" w:rsidRDefault="00D563D9" w:rsidP="00D563D9">
      <w:pPr>
        <w:spacing w:before="0" w:after="0"/>
        <w:rPr>
          <w:szCs w:val="24"/>
        </w:rPr>
      </w:pPr>
      <w:r>
        <w:rPr>
          <w:szCs w:val="24"/>
        </w:rPr>
        <w:lastRenderedPageBreak/>
        <w:t xml:space="preserve">При решении вопроса о проведения профилактики необходимо учитывать индивидуальный риск развития ВТЭО (табл. 5). </w:t>
      </w:r>
    </w:p>
    <w:p w14:paraId="43D96259" w14:textId="4EDE2FFE" w:rsidR="00D563D9" w:rsidRPr="00BC50A4" w:rsidRDefault="00D563D9" w:rsidP="00BC50A4">
      <w:pPr>
        <w:spacing w:before="0" w:after="0"/>
        <w:rPr>
          <w:b/>
          <w:szCs w:val="24"/>
        </w:rPr>
      </w:pPr>
      <w:r w:rsidRPr="00BC50A4">
        <w:rPr>
          <w:b/>
          <w:szCs w:val="24"/>
        </w:rPr>
        <w:t xml:space="preserve">Таблица 5. Оценка риска развития ВТЭО у </w:t>
      </w:r>
      <w:r w:rsidR="000368F4">
        <w:rPr>
          <w:b/>
          <w:szCs w:val="24"/>
        </w:rPr>
        <w:t>больных</w:t>
      </w:r>
      <w:r w:rsidRPr="00BC50A4">
        <w:rPr>
          <w:b/>
          <w:szCs w:val="24"/>
        </w:rPr>
        <w:t xml:space="preserve"> множественной миеломой</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544"/>
      </w:tblGrid>
      <w:tr w:rsidR="00D563D9" w14:paraId="72D57401" w14:textId="77777777" w:rsidTr="00683A05">
        <w:tc>
          <w:tcPr>
            <w:tcW w:w="4536" w:type="dxa"/>
            <w:shd w:val="clear" w:color="auto" w:fill="auto"/>
          </w:tcPr>
          <w:p w14:paraId="059EBD70" w14:textId="77777777" w:rsidR="00D563D9" w:rsidRPr="00947086" w:rsidRDefault="00D563D9" w:rsidP="00D563D9">
            <w:pPr>
              <w:spacing w:before="0" w:after="0"/>
              <w:jc w:val="center"/>
              <w:rPr>
                <w:szCs w:val="24"/>
              </w:rPr>
            </w:pPr>
            <w:r w:rsidRPr="00947086">
              <w:rPr>
                <w:szCs w:val="24"/>
              </w:rPr>
              <w:t>Факторы риска</w:t>
            </w:r>
          </w:p>
        </w:tc>
        <w:tc>
          <w:tcPr>
            <w:tcW w:w="3544" w:type="dxa"/>
            <w:shd w:val="clear" w:color="auto" w:fill="auto"/>
          </w:tcPr>
          <w:p w14:paraId="35D621A4" w14:textId="77777777" w:rsidR="00D563D9" w:rsidRPr="00947086" w:rsidRDefault="00D563D9" w:rsidP="00D563D9">
            <w:pPr>
              <w:spacing w:before="0" w:after="0"/>
              <w:jc w:val="center"/>
              <w:rPr>
                <w:szCs w:val="24"/>
              </w:rPr>
            </w:pPr>
            <w:r w:rsidRPr="00947086">
              <w:rPr>
                <w:szCs w:val="24"/>
              </w:rPr>
              <w:t>Рекомендуемые действия</w:t>
            </w:r>
          </w:p>
        </w:tc>
      </w:tr>
      <w:tr w:rsidR="00D563D9" w14:paraId="71260D91" w14:textId="77777777" w:rsidTr="00683A05">
        <w:tc>
          <w:tcPr>
            <w:tcW w:w="4536" w:type="dxa"/>
            <w:shd w:val="clear" w:color="auto" w:fill="auto"/>
          </w:tcPr>
          <w:p w14:paraId="01D04BFE" w14:textId="77777777" w:rsidR="00D563D9" w:rsidRDefault="00D563D9" w:rsidP="00D563D9">
            <w:pPr>
              <w:spacing w:before="0" w:after="0"/>
              <w:rPr>
                <w:szCs w:val="24"/>
              </w:rPr>
            </w:pPr>
            <w:r>
              <w:rPr>
                <w:szCs w:val="24"/>
              </w:rPr>
              <w:t>Индивидуальные для пациента:</w:t>
            </w:r>
          </w:p>
          <w:p w14:paraId="2F000BE4" w14:textId="77777777" w:rsidR="00D563D9" w:rsidRDefault="00D563D9" w:rsidP="00CE6C1C">
            <w:pPr>
              <w:pStyle w:val="a6"/>
              <w:numPr>
                <w:ilvl w:val="0"/>
                <w:numId w:val="115"/>
              </w:numPr>
              <w:spacing w:before="0" w:after="0"/>
              <w:jc w:val="left"/>
              <w:rPr>
                <w:szCs w:val="24"/>
              </w:rPr>
            </w:pPr>
            <w:r>
              <w:rPr>
                <w:szCs w:val="24"/>
              </w:rPr>
              <w:t>ожирение (ИМТ ≥ 30 кг/м</w:t>
            </w:r>
            <w:r>
              <w:rPr>
                <w:szCs w:val="24"/>
                <w:vertAlign w:val="superscript"/>
              </w:rPr>
              <w:t>2</w:t>
            </w:r>
            <w:r>
              <w:rPr>
                <w:szCs w:val="24"/>
              </w:rPr>
              <w:t>)</w:t>
            </w:r>
          </w:p>
          <w:p w14:paraId="2FD501A6" w14:textId="77777777" w:rsidR="00D563D9" w:rsidRDefault="00D563D9" w:rsidP="00CE6C1C">
            <w:pPr>
              <w:pStyle w:val="a6"/>
              <w:numPr>
                <w:ilvl w:val="0"/>
                <w:numId w:val="115"/>
              </w:numPr>
              <w:spacing w:before="0" w:after="0"/>
              <w:jc w:val="left"/>
              <w:rPr>
                <w:szCs w:val="24"/>
              </w:rPr>
            </w:pPr>
            <w:r>
              <w:rPr>
                <w:szCs w:val="24"/>
              </w:rPr>
              <w:t>ВТЭО в анамнезе</w:t>
            </w:r>
          </w:p>
          <w:p w14:paraId="19AD034A" w14:textId="77777777" w:rsidR="00D563D9" w:rsidRDefault="00D563D9" w:rsidP="00CE6C1C">
            <w:pPr>
              <w:pStyle w:val="a6"/>
              <w:numPr>
                <w:ilvl w:val="0"/>
                <w:numId w:val="115"/>
              </w:numPr>
              <w:spacing w:before="0" w:after="0"/>
              <w:jc w:val="left"/>
              <w:rPr>
                <w:szCs w:val="24"/>
              </w:rPr>
            </w:pPr>
            <w:r>
              <w:rPr>
                <w:szCs w:val="24"/>
              </w:rPr>
              <w:t>ЦВК или водители ритма</w:t>
            </w:r>
          </w:p>
          <w:p w14:paraId="1D63FA63" w14:textId="77777777" w:rsidR="00D563D9" w:rsidRDefault="00D563D9" w:rsidP="00CE6C1C">
            <w:pPr>
              <w:pStyle w:val="a6"/>
              <w:numPr>
                <w:ilvl w:val="0"/>
                <w:numId w:val="115"/>
              </w:numPr>
              <w:spacing w:before="0" w:after="0"/>
              <w:jc w:val="left"/>
              <w:rPr>
                <w:szCs w:val="24"/>
              </w:rPr>
            </w:pPr>
            <w:r>
              <w:rPr>
                <w:szCs w:val="24"/>
              </w:rPr>
              <w:t>сопутствующие заболевания (ИБС, ХБП, сахарный диабет, инфекции, иммобилизация)</w:t>
            </w:r>
          </w:p>
          <w:p w14:paraId="1F896CE7" w14:textId="77777777" w:rsidR="00D563D9" w:rsidRDefault="00D563D9" w:rsidP="00CE6C1C">
            <w:pPr>
              <w:pStyle w:val="a6"/>
              <w:numPr>
                <w:ilvl w:val="0"/>
                <w:numId w:val="115"/>
              </w:numPr>
              <w:spacing w:before="0" w:after="0"/>
              <w:jc w:val="left"/>
              <w:rPr>
                <w:szCs w:val="24"/>
              </w:rPr>
            </w:pPr>
            <w:r>
              <w:rPr>
                <w:szCs w:val="24"/>
              </w:rPr>
              <w:t>хирургия, анестезия, травмы</w:t>
            </w:r>
          </w:p>
          <w:p w14:paraId="76239196" w14:textId="77777777" w:rsidR="00D563D9" w:rsidRDefault="00D563D9" w:rsidP="00CE6C1C">
            <w:pPr>
              <w:pStyle w:val="a6"/>
              <w:numPr>
                <w:ilvl w:val="0"/>
                <w:numId w:val="115"/>
              </w:numPr>
              <w:spacing w:before="0" w:after="0"/>
              <w:jc w:val="left"/>
              <w:rPr>
                <w:szCs w:val="24"/>
              </w:rPr>
            </w:pPr>
            <w:r>
              <w:rPr>
                <w:szCs w:val="24"/>
              </w:rPr>
              <w:t>применение эритропоэтина</w:t>
            </w:r>
          </w:p>
          <w:p w14:paraId="4D95261F" w14:textId="77777777" w:rsidR="00D563D9" w:rsidRDefault="00D563D9" w:rsidP="00CE6C1C">
            <w:pPr>
              <w:pStyle w:val="a6"/>
              <w:numPr>
                <w:ilvl w:val="0"/>
                <w:numId w:val="115"/>
              </w:numPr>
              <w:spacing w:before="0" w:after="0"/>
              <w:jc w:val="left"/>
              <w:rPr>
                <w:b/>
                <w:szCs w:val="24"/>
              </w:rPr>
            </w:pPr>
            <w:r>
              <w:rPr>
                <w:szCs w:val="24"/>
              </w:rPr>
              <w:t>тромбофилии</w:t>
            </w:r>
          </w:p>
        </w:tc>
        <w:tc>
          <w:tcPr>
            <w:tcW w:w="3544" w:type="dxa"/>
            <w:vMerge w:val="restart"/>
            <w:shd w:val="clear" w:color="auto" w:fill="auto"/>
            <w:vAlign w:val="center"/>
          </w:tcPr>
          <w:p w14:paraId="6DE44C0D" w14:textId="77777777" w:rsidR="00D563D9" w:rsidRPr="00947086" w:rsidRDefault="00D563D9" w:rsidP="00D563D9">
            <w:pPr>
              <w:pStyle w:val="a6"/>
              <w:spacing w:before="0" w:after="0"/>
              <w:rPr>
                <w:szCs w:val="24"/>
                <w:u w:val="single"/>
              </w:rPr>
            </w:pPr>
            <w:r w:rsidRPr="00947086">
              <w:rPr>
                <w:szCs w:val="24"/>
                <w:u w:val="single"/>
              </w:rPr>
              <w:t>0– 1 факторов риска:</w:t>
            </w:r>
          </w:p>
          <w:p w14:paraId="6A4671ED" w14:textId="77777777" w:rsidR="00D563D9" w:rsidRDefault="00D563D9" w:rsidP="00D563D9">
            <w:pPr>
              <w:spacing w:before="0" w:after="0"/>
              <w:jc w:val="center"/>
              <w:rPr>
                <w:szCs w:val="24"/>
              </w:rPr>
            </w:pPr>
            <w:r>
              <w:rPr>
                <w:szCs w:val="24"/>
              </w:rPr>
              <w:t>- ацетилсалициловая кислота 75-325 мг/сут</w:t>
            </w:r>
          </w:p>
          <w:p w14:paraId="2B8D7DD2" w14:textId="77777777" w:rsidR="00D563D9" w:rsidRDefault="00D563D9" w:rsidP="00D563D9">
            <w:pPr>
              <w:pStyle w:val="a6"/>
              <w:spacing w:before="0" w:after="0"/>
              <w:ind w:left="375"/>
              <w:jc w:val="center"/>
              <w:rPr>
                <w:szCs w:val="24"/>
              </w:rPr>
            </w:pPr>
          </w:p>
          <w:p w14:paraId="6E20AA44" w14:textId="77777777" w:rsidR="00D563D9" w:rsidRPr="00947086" w:rsidRDefault="00D563D9" w:rsidP="00D563D9">
            <w:pPr>
              <w:spacing w:before="0" w:after="0"/>
              <w:jc w:val="center"/>
              <w:rPr>
                <w:szCs w:val="24"/>
                <w:u w:val="single"/>
              </w:rPr>
            </w:pPr>
            <w:r w:rsidRPr="00947086">
              <w:rPr>
                <w:szCs w:val="24"/>
                <w:u w:val="single"/>
              </w:rPr>
              <w:t>≥ 2 фактора риска:</w:t>
            </w:r>
          </w:p>
          <w:p w14:paraId="7630EFC1" w14:textId="77777777" w:rsidR="00D563D9" w:rsidRDefault="00D563D9" w:rsidP="00D563D9">
            <w:pPr>
              <w:spacing w:before="0" w:after="0"/>
              <w:rPr>
                <w:szCs w:val="24"/>
              </w:rPr>
            </w:pPr>
            <w:r>
              <w:rPr>
                <w:szCs w:val="24"/>
              </w:rPr>
              <w:t>- НМГ (эквивалентно 40 мг/сут эноксапарина натрия) или</w:t>
            </w:r>
          </w:p>
          <w:p w14:paraId="4E6AC576" w14:textId="77777777" w:rsidR="00D563D9" w:rsidRDefault="00D563D9" w:rsidP="00D563D9">
            <w:pPr>
              <w:spacing w:before="0" w:after="0"/>
              <w:rPr>
                <w:b/>
                <w:szCs w:val="24"/>
              </w:rPr>
            </w:pPr>
            <w:r>
              <w:rPr>
                <w:b/>
                <w:szCs w:val="24"/>
              </w:rPr>
              <w:t xml:space="preserve">- </w:t>
            </w:r>
            <w:r w:rsidRPr="00AD6DDA">
              <w:rPr>
                <w:szCs w:val="24"/>
              </w:rPr>
              <w:t>Прямые оральные антикоагулянты</w:t>
            </w:r>
          </w:p>
        </w:tc>
      </w:tr>
      <w:tr w:rsidR="00D563D9" w14:paraId="2CD53C02" w14:textId="77777777" w:rsidTr="00683A05">
        <w:tc>
          <w:tcPr>
            <w:tcW w:w="4536" w:type="dxa"/>
            <w:shd w:val="clear" w:color="auto" w:fill="auto"/>
          </w:tcPr>
          <w:p w14:paraId="5BE35B60" w14:textId="77777777" w:rsidR="00D563D9" w:rsidRDefault="00D563D9" w:rsidP="00D563D9">
            <w:pPr>
              <w:spacing w:before="0" w:after="0"/>
              <w:rPr>
                <w:szCs w:val="24"/>
              </w:rPr>
            </w:pPr>
            <w:r>
              <w:rPr>
                <w:szCs w:val="24"/>
              </w:rPr>
              <w:t>У пациентов с ММ:</w:t>
            </w:r>
          </w:p>
          <w:p w14:paraId="3C355AB3" w14:textId="77777777" w:rsidR="00D563D9" w:rsidRDefault="00D563D9" w:rsidP="00CE6C1C">
            <w:pPr>
              <w:pStyle w:val="a6"/>
              <w:numPr>
                <w:ilvl w:val="0"/>
                <w:numId w:val="116"/>
              </w:numPr>
              <w:spacing w:before="0" w:after="0"/>
              <w:jc w:val="left"/>
              <w:rPr>
                <w:szCs w:val="24"/>
              </w:rPr>
            </w:pPr>
            <w:r>
              <w:rPr>
                <w:szCs w:val="24"/>
              </w:rPr>
              <w:t>гипервискозный синдром</w:t>
            </w:r>
          </w:p>
          <w:p w14:paraId="65E56349" w14:textId="77777777" w:rsidR="00D563D9" w:rsidRDefault="00D563D9" w:rsidP="00CE6C1C">
            <w:pPr>
              <w:pStyle w:val="a6"/>
              <w:numPr>
                <w:ilvl w:val="0"/>
                <w:numId w:val="116"/>
              </w:numPr>
              <w:spacing w:before="0" w:after="0"/>
              <w:jc w:val="left"/>
              <w:rPr>
                <w:szCs w:val="24"/>
              </w:rPr>
            </w:pPr>
            <w:r>
              <w:rPr>
                <w:szCs w:val="24"/>
              </w:rPr>
              <w:t>применение ингибиторов ангиогенеза в комбинации с</w:t>
            </w:r>
          </w:p>
          <w:p w14:paraId="2C1ED4B1" w14:textId="77777777" w:rsidR="00D563D9" w:rsidRDefault="00D563D9" w:rsidP="00D563D9">
            <w:pPr>
              <w:spacing w:before="0" w:after="0"/>
              <w:rPr>
                <w:szCs w:val="24"/>
              </w:rPr>
            </w:pPr>
            <w:r>
              <w:rPr>
                <w:szCs w:val="24"/>
              </w:rPr>
              <w:t>- высокими дозами дексаметазона (≥ 480 мг/мес);</w:t>
            </w:r>
          </w:p>
          <w:p w14:paraId="615601E6" w14:textId="71F22AA5" w:rsidR="00D563D9" w:rsidRPr="000368F4" w:rsidRDefault="000368F4" w:rsidP="000368F4">
            <w:pPr>
              <w:spacing w:before="0" w:after="0"/>
              <w:rPr>
                <w:szCs w:val="24"/>
              </w:rPr>
            </w:pPr>
            <w:r>
              <w:rPr>
                <w:szCs w:val="24"/>
              </w:rPr>
              <w:t>- доксорубицином;</w:t>
            </w:r>
          </w:p>
        </w:tc>
        <w:tc>
          <w:tcPr>
            <w:tcW w:w="3544" w:type="dxa"/>
            <w:vMerge/>
            <w:shd w:val="clear" w:color="auto" w:fill="auto"/>
          </w:tcPr>
          <w:p w14:paraId="3B93B6B6" w14:textId="77777777" w:rsidR="00D563D9" w:rsidRDefault="00D563D9" w:rsidP="00D563D9">
            <w:pPr>
              <w:spacing w:before="0" w:after="0"/>
              <w:jc w:val="center"/>
              <w:rPr>
                <w:b/>
                <w:szCs w:val="24"/>
              </w:rPr>
            </w:pPr>
          </w:p>
        </w:tc>
      </w:tr>
    </w:tbl>
    <w:p w14:paraId="0B6BF50B" w14:textId="77777777" w:rsidR="00D563D9" w:rsidRDefault="00D563D9" w:rsidP="00D563D9">
      <w:pPr>
        <w:spacing w:before="0" w:after="0"/>
        <w:rPr>
          <w:szCs w:val="24"/>
        </w:rPr>
      </w:pPr>
    </w:p>
    <w:p w14:paraId="47A45214" w14:textId="77777777" w:rsidR="00D563D9" w:rsidRDefault="00D563D9" w:rsidP="00D563D9">
      <w:pPr>
        <w:spacing w:before="0" w:after="0"/>
        <w:ind w:firstLine="708"/>
        <w:rPr>
          <w:szCs w:val="24"/>
        </w:rPr>
      </w:pPr>
      <w:r>
        <w:rPr>
          <w:szCs w:val="24"/>
        </w:rPr>
        <w:t xml:space="preserve">Определение продолжительности антитромботической профилактики должно проводиться на основании оценки сохранения/прекращения действия факторов риска развития тромбоза. К таким факторам, в первую очередь, относятся активность основного заболевания, химио- и лучевая терапия, ограничение подвижности пациента, наличие у него воспалительной активности инфекционного или неинфекционного генеза, дыхательной или сердечной недостаточности. В случае неполного устранения провоцирующих тромбоз факторов и сохранения высокого риска развития ВТЭО необходимо продолжение антитромботической профилактики. На начальной стадии антитромботической профилактики у пациентов с 0-1 фактором риска ВТЭО может применяться ацетилсалициловая кислота; у пациентов с ≥ 2 факторами риска препаратами </w:t>
      </w:r>
      <w:r>
        <w:rPr>
          <w:szCs w:val="24"/>
        </w:rPr>
        <w:lastRenderedPageBreak/>
        <w:t xml:space="preserve">выбора являются НМГ или ПОАК. Нет однозначных преимуществ тех или иных НМГ или ПОАК. </w:t>
      </w:r>
    </w:p>
    <w:p w14:paraId="099B593F" w14:textId="77777777" w:rsidR="00D563D9" w:rsidRPr="00401F47" w:rsidRDefault="00D563D9" w:rsidP="00D563D9">
      <w:pPr>
        <w:rPr>
          <w:b/>
          <w:i/>
          <w:color w:val="000000"/>
          <w:szCs w:val="24"/>
          <w:lang w:bidi="en-US"/>
        </w:rPr>
      </w:pPr>
      <w:r w:rsidRPr="00401F47">
        <w:rPr>
          <w:b/>
          <w:i/>
          <w:color w:val="000000"/>
          <w:szCs w:val="24"/>
        </w:rPr>
        <w:t>Список л</w:t>
      </w:r>
      <w:r w:rsidRPr="00401F47">
        <w:rPr>
          <w:b/>
          <w:i/>
          <w:szCs w:val="24"/>
          <w:lang w:eastAsia="ru-RU"/>
        </w:rPr>
        <w:t>итературы</w:t>
      </w:r>
    </w:p>
    <w:p w14:paraId="27BB7937" w14:textId="6D966AA9" w:rsidR="00D563D9" w:rsidRPr="003A104D" w:rsidRDefault="00D563D9" w:rsidP="00D563D9">
      <w:pPr>
        <w:pStyle w:val="aff3"/>
        <w:tabs>
          <w:tab w:val="left" w:pos="567"/>
        </w:tabs>
        <w:spacing w:after="0" w:line="360" w:lineRule="auto"/>
        <w:ind w:left="567" w:hanging="567"/>
        <w:jc w:val="both"/>
        <w:rPr>
          <w:i w:val="0"/>
          <w:lang w:val="ru-RU"/>
        </w:rPr>
      </w:pPr>
      <w:r>
        <w:rPr>
          <w:i w:val="0"/>
          <w:lang w:val="ru-RU"/>
        </w:rPr>
        <w:t>1. Воробьев А. И. Руководство по гематологии в трех томах. Том</w:t>
      </w:r>
      <w:r w:rsidRPr="003A104D">
        <w:rPr>
          <w:i w:val="0"/>
          <w:lang w:val="ru-RU"/>
        </w:rPr>
        <w:t xml:space="preserve"> 3.— </w:t>
      </w:r>
      <w:r>
        <w:rPr>
          <w:i w:val="0"/>
          <w:lang w:val="ru-RU"/>
        </w:rPr>
        <w:t>М</w:t>
      </w:r>
      <w:r w:rsidRPr="003A104D">
        <w:rPr>
          <w:i w:val="0"/>
          <w:lang w:val="ru-RU"/>
        </w:rPr>
        <w:t xml:space="preserve">.: </w:t>
      </w:r>
      <w:r>
        <w:rPr>
          <w:i w:val="0"/>
          <w:lang w:val="ru-RU"/>
        </w:rPr>
        <w:t>Ньюдиамед</w:t>
      </w:r>
      <w:r w:rsidRPr="003A104D">
        <w:rPr>
          <w:i w:val="0"/>
          <w:lang w:val="ru-RU"/>
        </w:rPr>
        <w:t xml:space="preserve">,  2005. </w:t>
      </w:r>
      <w:r>
        <w:rPr>
          <w:i w:val="0"/>
          <w:lang w:val="ru-RU"/>
        </w:rPr>
        <w:t>С</w:t>
      </w:r>
      <w:r w:rsidRPr="003A104D">
        <w:rPr>
          <w:i w:val="0"/>
          <w:lang w:val="ru-RU"/>
        </w:rPr>
        <w:t>. 133—147.</w:t>
      </w:r>
    </w:p>
    <w:p w14:paraId="5E25F6B7" w14:textId="2209D0A7" w:rsidR="00D563D9" w:rsidRDefault="00D563D9" w:rsidP="00D563D9">
      <w:pPr>
        <w:pStyle w:val="aff3"/>
        <w:tabs>
          <w:tab w:val="left" w:pos="567"/>
        </w:tabs>
        <w:spacing w:after="0" w:line="360" w:lineRule="auto"/>
        <w:ind w:left="567" w:hanging="567"/>
        <w:jc w:val="both"/>
        <w:rPr>
          <w:i w:val="0"/>
          <w:lang w:val="ru-RU"/>
        </w:rPr>
      </w:pPr>
      <w:r>
        <w:rPr>
          <w:i w:val="0"/>
          <w:lang w:val="de-DE"/>
        </w:rPr>
        <w:t>2.</w:t>
      </w:r>
      <w:r w:rsidRPr="006F119F">
        <w:rPr>
          <w:i w:val="0"/>
          <w:lang w:val="ru-RU"/>
        </w:rPr>
        <w:t xml:space="preserve"> </w:t>
      </w:r>
      <w:r>
        <w:rPr>
          <w:i w:val="0"/>
          <w:lang w:val="de-DE"/>
        </w:rPr>
        <w:t xml:space="preserve">Weitz I. C., Israel V. K., Waisman J. R. et al. </w:t>
      </w:r>
      <w:r>
        <w:rPr>
          <w:i w:val="0"/>
        </w:rPr>
        <w:t>Chemotherapy-induced activation of hemostasis: effect of a low molecular weight heparin (dalteparin sodium) on plasma markers of hemostatic activation. Tromb</w:t>
      </w:r>
      <w:r>
        <w:rPr>
          <w:i w:val="0"/>
          <w:lang w:val="ru-RU"/>
        </w:rPr>
        <w:t xml:space="preserve"> </w:t>
      </w:r>
      <w:r>
        <w:rPr>
          <w:i w:val="0"/>
        </w:rPr>
        <w:t>Hemost</w:t>
      </w:r>
      <w:r>
        <w:rPr>
          <w:i w:val="0"/>
          <w:lang w:val="ru-RU"/>
        </w:rPr>
        <w:t xml:space="preserve"> 2002; 88(2):213—220.</w:t>
      </w:r>
    </w:p>
    <w:p w14:paraId="7176AC1C" w14:textId="77777777" w:rsidR="00D563D9" w:rsidRDefault="00D563D9" w:rsidP="00D563D9">
      <w:pPr>
        <w:pStyle w:val="aff3"/>
        <w:tabs>
          <w:tab w:val="left" w:pos="567"/>
        </w:tabs>
        <w:spacing w:after="0" w:line="360" w:lineRule="auto"/>
        <w:ind w:left="567" w:hanging="567"/>
        <w:jc w:val="both"/>
        <w:rPr>
          <w:i w:val="0"/>
          <w:lang w:val="ru-RU"/>
        </w:rPr>
      </w:pPr>
      <w:r>
        <w:rPr>
          <w:i w:val="0"/>
          <w:lang w:val="ru-RU"/>
        </w:rPr>
        <w:t xml:space="preserve">4. </w:t>
      </w:r>
      <w:r>
        <w:rPr>
          <w:i w:val="0"/>
          <w:lang w:val="ru-RU"/>
        </w:rPr>
        <w:tab/>
        <w:t>Пантелеев М. А, Васильев С. А., Синауридзе Е. И. и др. Практическая коагулология. — М.: Практическая медицина, 2011. 192 с.</w:t>
      </w:r>
    </w:p>
    <w:p w14:paraId="70B5A202" w14:textId="77777777" w:rsidR="00D563D9" w:rsidRDefault="00D563D9" w:rsidP="00D563D9">
      <w:pPr>
        <w:pStyle w:val="aff3"/>
        <w:tabs>
          <w:tab w:val="left" w:pos="567"/>
          <w:tab w:val="left" w:pos="709"/>
        </w:tabs>
        <w:spacing w:after="0" w:line="360" w:lineRule="auto"/>
        <w:ind w:left="567" w:hanging="567"/>
        <w:jc w:val="both"/>
        <w:rPr>
          <w:i w:val="0"/>
          <w:lang w:val="ru-RU"/>
        </w:rPr>
      </w:pPr>
      <w:r>
        <w:rPr>
          <w:i w:val="0"/>
          <w:lang w:val="ru-RU"/>
        </w:rPr>
        <w:t xml:space="preserve">6. </w:t>
      </w:r>
      <w:r>
        <w:rPr>
          <w:i w:val="0"/>
          <w:lang w:val="ru-RU"/>
        </w:rPr>
        <w:tab/>
        <w:t>Воробьев А. И., Городецкий В. М., Васильев С. А. и соавт. Гиперкоагуляционный синдром: учебное пособие; М.: ГБОУ ДПО РМАПО, 2016. — 36 с.</w:t>
      </w:r>
    </w:p>
    <w:p w14:paraId="03151FE4" w14:textId="77777777" w:rsidR="00D563D9" w:rsidRPr="003A104D" w:rsidRDefault="00D563D9" w:rsidP="00D563D9">
      <w:pPr>
        <w:pStyle w:val="aff3"/>
        <w:spacing w:after="0" w:line="360" w:lineRule="auto"/>
        <w:ind w:left="567" w:hanging="567"/>
        <w:jc w:val="both"/>
        <w:rPr>
          <w:i w:val="0"/>
          <w:lang w:eastAsia="ru-RU"/>
        </w:rPr>
      </w:pPr>
      <w:r>
        <w:rPr>
          <w:i w:val="0"/>
        </w:rPr>
        <w:t xml:space="preserve">7. </w:t>
      </w:r>
      <w:r>
        <w:rPr>
          <w:i w:val="0"/>
        </w:rPr>
        <w:tab/>
      </w:r>
      <w:r>
        <w:rPr>
          <w:i w:val="0"/>
          <w:lang w:eastAsia="ru-RU"/>
        </w:rPr>
        <w:t>Sanfilippo KM, Wang TF, Gage BF, Luo S, Riedell P, Carson KR. Incidence of Venous  Thromboembolism in Patients with Non-Hodgkin Lymphoma. Thromb Res 2017;143:86–90.</w:t>
      </w:r>
    </w:p>
    <w:p w14:paraId="5C75165D" w14:textId="77777777" w:rsidR="00D563D9" w:rsidRDefault="00D563D9" w:rsidP="00CE6C1C">
      <w:pPr>
        <w:pStyle w:val="a6"/>
        <w:numPr>
          <w:ilvl w:val="0"/>
          <w:numId w:val="111"/>
        </w:numPr>
        <w:spacing w:before="0" w:after="0"/>
        <w:ind w:left="567" w:hanging="567"/>
        <w:rPr>
          <w:szCs w:val="24"/>
          <w:lang w:val="en-US" w:eastAsia="ru-RU"/>
        </w:rPr>
      </w:pPr>
      <w:r>
        <w:rPr>
          <w:szCs w:val="24"/>
          <w:lang w:val="en-US" w:eastAsia="ru-RU"/>
        </w:rPr>
        <w:t>Park LC, Woo S, Kim S, Jeon H, Ko YH, Kim SJ, et al. Incidence, risk factors and clinical features of venous thromboembolism in newly diagnosed lymphoma patients : Results from a prospective cohort study with Asian population. Thrombosis Research 2012;130:e6–12</w:t>
      </w:r>
      <w:r w:rsidRPr="003A104D">
        <w:rPr>
          <w:szCs w:val="24"/>
          <w:lang w:val="en-US" w:eastAsia="ru-RU"/>
        </w:rPr>
        <w:t>.</w:t>
      </w:r>
    </w:p>
    <w:p w14:paraId="12E7D1E5" w14:textId="77777777" w:rsidR="00D563D9" w:rsidRDefault="00D563D9" w:rsidP="00CE6C1C">
      <w:pPr>
        <w:pStyle w:val="a6"/>
        <w:numPr>
          <w:ilvl w:val="0"/>
          <w:numId w:val="111"/>
        </w:numPr>
        <w:spacing w:before="0" w:after="0"/>
        <w:ind w:left="567" w:hanging="567"/>
        <w:rPr>
          <w:szCs w:val="24"/>
          <w:lang w:val="en-US" w:eastAsia="ru-RU"/>
        </w:rPr>
      </w:pPr>
      <w:r>
        <w:rPr>
          <w:szCs w:val="24"/>
          <w:lang w:val="en-US" w:eastAsia="ru-RU"/>
        </w:rPr>
        <w:t xml:space="preserve">Lekovic D, Miljic P, Mihaljevic B. Increased risk of venous thromboembolism in patients with primary mediastinal large B-cell lymphoma. Thrombosis Research 2010;126:477–80. </w:t>
      </w:r>
    </w:p>
    <w:p w14:paraId="626BFC15" w14:textId="77777777" w:rsidR="00D563D9" w:rsidRDefault="00D563D9" w:rsidP="00CE6C1C">
      <w:pPr>
        <w:pStyle w:val="a6"/>
        <w:numPr>
          <w:ilvl w:val="0"/>
          <w:numId w:val="111"/>
        </w:numPr>
        <w:spacing w:before="0" w:after="0"/>
        <w:ind w:left="567" w:hanging="567"/>
        <w:rPr>
          <w:szCs w:val="24"/>
          <w:lang w:val="en-US" w:eastAsia="ru-RU"/>
        </w:rPr>
      </w:pPr>
      <w:r>
        <w:rPr>
          <w:szCs w:val="24"/>
          <w:lang w:val="en-US" w:eastAsia="ru-RU"/>
        </w:rPr>
        <w:t xml:space="preserve">Annibali O, Napolitano M, Avvisati G, Siragusa S. Incidence of venous thromboembolism and use of anticoagulation in hematological malignancies: Critical review of the literature. Critical Reviews in Oncology/Hematology 2018;124:41–50. </w:t>
      </w:r>
    </w:p>
    <w:p w14:paraId="63B28CD1" w14:textId="77777777" w:rsidR="00D563D9" w:rsidRDefault="00D563D9" w:rsidP="00CE6C1C">
      <w:pPr>
        <w:pStyle w:val="a6"/>
        <w:numPr>
          <w:ilvl w:val="0"/>
          <w:numId w:val="111"/>
        </w:numPr>
        <w:spacing w:before="0" w:after="0"/>
        <w:ind w:left="567" w:hanging="567"/>
        <w:rPr>
          <w:szCs w:val="24"/>
          <w:lang w:val="en-US" w:eastAsia="ru-RU"/>
        </w:rPr>
      </w:pPr>
      <w:r>
        <w:rPr>
          <w:szCs w:val="24"/>
          <w:lang w:val="en-US" w:eastAsia="ru-RU"/>
        </w:rPr>
        <w:t>Kristinsson SY. Thrombosis in multiple myeloma. Hematol Am Soc Hematol Educ Program 2010; 2010:437–444 2010;2010:437–44.</w:t>
      </w:r>
    </w:p>
    <w:p w14:paraId="53D109F0" w14:textId="77777777" w:rsidR="00D563D9" w:rsidRDefault="00D563D9" w:rsidP="00CE6C1C">
      <w:pPr>
        <w:pStyle w:val="a6"/>
        <w:numPr>
          <w:ilvl w:val="0"/>
          <w:numId w:val="111"/>
        </w:numPr>
        <w:spacing w:before="0" w:after="0"/>
        <w:ind w:left="567" w:hanging="567"/>
        <w:rPr>
          <w:szCs w:val="24"/>
          <w:lang w:val="en-US" w:eastAsia="ru-RU"/>
        </w:rPr>
      </w:pPr>
      <w:r>
        <w:rPr>
          <w:szCs w:val="24"/>
          <w:lang w:val="en-US" w:eastAsia="ru-RU"/>
        </w:rPr>
        <w:t>El Accaoui RN, Shamseddeen WA, Taher AT. Thalidomide and thrombosis. A meta-analysis. Thrombosis and Haemostasis 2007;97:1031–6.</w:t>
      </w:r>
    </w:p>
    <w:p w14:paraId="15771821" w14:textId="77777777" w:rsidR="00D563D9" w:rsidRDefault="00D563D9" w:rsidP="00CE6C1C">
      <w:pPr>
        <w:pStyle w:val="a6"/>
        <w:numPr>
          <w:ilvl w:val="0"/>
          <w:numId w:val="111"/>
        </w:numPr>
        <w:spacing w:before="0" w:after="0"/>
        <w:ind w:left="567" w:hanging="567"/>
        <w:rPr>
          <w:szCs w:val="24"/>
          <w:lang w:val="en-US" w:eastAsia="ru-RU"/>
        </w:rPr>
      </w:pPr>
      <w:r>
        <w:rPr>
          <w:szCs w:val="24"/>
          <w:lang w:val="en-US" w:eastAsia="ru-RU"/>
        </w:rPr>
        <w:t>Falanga A, Marchetti M, Russo L. Venous thromboembolism in the hematologic malignancies. Curr Opin Oncol 2012;24:702–10</w:t>
      </w:r>
      <w:r>
        <w:rPr>
          <w:szCs w:val="24"/>
          <w:lang w:eastAsia="ru-RU"/>
        </w:rPr>
        <w:t>.</w:t>
      </w:r>
    </w:p>
    <w:p w14:paraId="14E55899" w14:textId="77777777" w:rsidR="00D563D9" w:rsidRDefault="00D563D9" w:rsidP="00CE6C1C">
      <w:pPr>
        <w:pStyle w:val="a6"/>
        <w:numPr>
          <w:ilvl w:val="0"/>
          <w:numId w:val="111"/>
        </w:numPr>
        <w:spacing w:before="0" w:after="0"/>
        <w:ind w:left="567" w:hanging="567"/>
        <w:rPr>
          <w:szCs w:val="24"/>
          <w:lang w:val="en-US" w:eastAsia="ru-RU"/>
        </w:rPr>
      </w:pPr>
      <w:r>
        <w:rPr>
          <w:szCs w:val="24"/>
          <w:lang w:val="en-US" w:eastAsia="ru-RU"/>
        </w:rPr>
        <w:t xml:space="preserve">Zangari M, Fink L, Zhan F, Tricot G. Low venous thromboembolic risk with bortezomib in multiple myeloma and potential protective effect with thalidomide/lenalidomide-based </w:t>
      </w:r>
      <w:r>
        <w:rPr>
          <w:szCs w:val="24"/>
          <w:lang w:val="en-US" w:eastAsia="ru-RU"/>
        </w:rPr>
        <w:lastRenderedPageBreak/>
        <w:t xml:space="preserve">therapy: review of data from phase 3 trials and studies of novel combination regimens. Clin Lymphoma Myeloma Leuk 2011;11:228–36. </w:t>
      </w:r>
    </w:p>
    <w:p w14:paraId="3D84984F" w14:textId="77777777" w:rsidR="00D563D9" w:rsidRDefault="00D563D9" w:rsidP="00CE6C1C">
      <w:pPr>
        <w:pStyle w:val="a6"/>
        <w:numPr>
          <w:ilvl w:val="0"/>
          <w:numId w:val="111"/>
        </w:numPr>
        <w:spacing w:before="0" w:after="0"/>
        <w:ind w:left="567" w:hanging="567"/>
        <w:rPr>
          <w:szCs w:val="24"/>
          <w:lang w:val="en-US" w:eastAsia="ru-RU"/>
        </w:rPr>
      </w:pPr>
      <w:r>
        <w:rPr>
          <w:szCs w:val="24"/>
          <w:lang w:val="en-US" w:eastAsia="ru-RU"/>
        </w:rPr>
        <w:t xml:space="preserve">De Stefano V, Za T, Ciminello A, Betti S, Rossi E. Haemostatic alterations induced by treatment with asparaginases and clinical consequences. Thrombosis and Haemostasis 2015;113:247–61. </w:t>
      </w:r>
    </w:p>
    <w:p w14:paraId="22D3E76B" w14:textId="77777777" w:rsidR="00D563D9" w:rsidRDefault="00D563D9" w:rsidP="00CE6C1C">
      <w:pPr>
        <w:pStyle w:val="a6"/>
        <w:numPr>
          <w:ilvl w:val="0"/>
          <w:numId w:val="111"/>
        </w:numPr>
        <w:spacing w:before="0" w:after="0"/>
        <w:ind w:left="567" w:hanging="567"/>
        <w:rPr>
          <w:szCs w:val="24"/>
          <w:lang w:val="en-US" w:eastAsia="ru-RU"/>
        </w:rPr>
      </w:pPr>
      <w:r>
        <w:rPr>
          <w:szCs w:val="24"/>
          <w:lang w:val="en-US" w:eastAsia="ru-RU"/>
        </w:rPr>
        <w:t>Rozen L, Noubouossie D, Dedeken L, Huybrechts S, L?? PQ, Ferster A, et al. Different profile of thrombin generation in children with acute lymphoblastic leukaemia treated with native or pegylated asparaginase: A cohort study. Pediatric Blood and Cancer 2017;26:294–301.</w:t>
      </w:r>
    </w:p>
    <w:p w14:paraId="3661A9BF" w14:textId="77777777" w:rsidR="00D563D9" w:rsidRDefault="00D563D9" w:rsidP="00CE6C1C">
      <w:pPr>
        <w:pStyle w:val="a6"/>
        <w:numPr>
          <w:ilvl w:val="0"/>
          <w:numId w:val="111"/>
        </w:numPr>
        <w:spacing w:before="0" w:after="0"/>
        <w:ind w:left="567" w:hanging="567"/>
        <w:rPr>
          <w:szCs w:val="24"/>
          <w:lang w:val="en-US" w:eastAsia="ru-RU"/>
        </w:rPr>
      </w:pPr>
      <w:r>
        <w:rPr>
          <w:szCs w:val="24"/>
          <w:lang w:val="en-US" w:eastAsia="ru-RU"/>
        </w:rPr>
        <w:t xml:space="preserve">Ranta S, Heyman MM, Jahnukainen K, Taskinen M, Saarinen-Pihkala UM, Frisk T, et al. Antithrombin deficiency after prolonged asparaginase treatment in children with acute lymphoblastic leukemia. Blood Coagulation &amp; Fibrinolysis : An International Journal in Haemostasis and Thrombosis 2013;24:749–56. </w:t>
      </w:r>
    </w:p>
    <w:p w14:paraId="5BB9CEDD" w14:textId="77777777" w:rsidR="00D563D9" w:rsidRDefault="00D563D9" w:rsidP="00CE6C1C">
      <w:pPr>
        <w:pStyle w:val="a6"/>
        <w:numPr>
          <w:ilvl w:val="0"/>
          <w:numId w:val="111"/>
        </w:numPr>
        <w:spacing w:before="0" w:after="0"/>
        <w:ind w:left="567" w:hanging="567"/>
        <w:rPr>
          <w:szCs w:val="24"/>
          <w:lang w:val="en-US" w:eastAsia="ru-RU"/>
        </w:rPr>
      </w:pPr>
      <w:r>
        <w:rPr>
          <w:szCs w:val="24"/>
          <w:lang w:val="en-US" w:eastAsia="ru-RU"/>
        </w:rPr>
        <w:t>Merlen C, Bonnefoy A, Wagner E, Dedeken L, Leclerc J, Laverdière C, et al. L-Asparaginase Lowers Plasma Antithrombin and Mannan-Binding-Lectin Levels: Impact on Thrombotic and Infectious Events in Children With Acute Lymphoblastic Leukemia. Pediatr Blood Cancer 2015;62:1381–1387 2015;62:1381–7.</w:t>
      </w:r>
    </w:p>
    <w:p w14:paraId="0241E342" w14:textId="77777777" w:rsidR="00D563D9" w:rsidRDefault="00D563D9" w:rsidP="00CE6C1C">
      <w:pPr>
        <w:pStyle w:val="a6"/>
        <w:numPr>
          <w:ilvl w:val="0"/>
          <w:numId w:val="111"/>
        </w:numPr>
        <w:spacing w:before="0" w:after="0"/>
        <w:ind w:left="567" w:hanging="567"/>
        <w:rPr>
          <w:szCs w:val="24"/>
          <w:lang w:val="en-US" w:eastAsia="ru-RU"/>
        </w:rPr>
      </w:pPr>
      <w:r>
        <w:rPr>
          <w:szCs w:val="24"/>
          <w:lang w:val="en-US" w:eastAsia="ru-RU"/>
        </w:rPr>
        <w:t xml:space="preserve">Mizrahi T, Leclerc J-M, David M, Ducruet T, Robitaille N. ABO Group as a Thrombotic Risk Factor in Children With Acute Lymphoblastic Leukemia: A Retrospective Study of 523 Patients. Journal of Pediatric Hematology/oncology 2015;37:e328-32. </w:t>
      </w:r>
    </w:p>
    <w:p w14:paraId="34B80ED4" w14:textId="77777777" w:rsidR="00D563D9" w:rsidRDefault="00D563D9" w:rsidP="00CE6C1C">
      <w:pPr>
        <w:pStyle w:val="a6"/>
        <w:numPr>
          <w:ilvl w:val="0"/>
          <w:numId w:val="111"/>
        </w:numPr>
        <w:spacing w:before="0" w:after="0"/>
        <w:ind w:left="567" w:hanging="567"/>
        <w:rPr>
          <w:szCs w:val="24"/>
          <w:lang w:val="en-US" w:eastAsia="ru-RU"/>
        </w:rPr>
      </w:pPr>
      <w:r>
        <w:rPr>
          <w:szCs w:val="24"/>
          <w:lang w:val="en-US" w:eastAsia="ru-RU"/>
        </w:rPr>
        <w:t xml:space="preserve">Caruso V, Iacoviello L, Castelnuovo A Di, Storti S, Mariani G, Gaetano D, et al. Thrombotic complications in childhood acute lymphoblastic leukemia : a meta-analysis of 17 prospective studies comprising 1752 pediatric patients Thrombotic complications in childhood acute lymphoblastic leukemia : a meta-analysis of 17 prospective studie. Blood 2006;108:2216–22. </w:t>
      </w:r>
    </w:p>
    <w:p w14:paraId="141DA92C" w14:textId="77777777" w:rsidR="00D563D9" w:rsidRDefault="00D563D9" w:rsidP="00CE6C1C">
      <w:pPr>
        <w:pStyle w:val="a6"/>
        <w:numPr>
          <w:ilvl w:val="0"/>
          <w:numId w:val="111"/>
        </w:numPr>
        <w:spacing w:before="0" w:after="0"/>
        <w:ind w:left="567" w:hanging="567"/>
        <w:rPr>
          <w:szCs w:val="24"/>
          <w:lang w:eastAsia="ru-RU"/>
        </w:rPr>
      </w:pPr>
      <w:r>
        <w:rPr>
          <w:szCs w:val="24"/>
          <w:lang w:val="en-US" w:eastAsia="ru-RU"/>
        </w:rPr>
        <w:t>Lauw MN, Holt B, Middeldorp S, Meijers JCM, Biemond BJ. Venous thromboembolism in adults treated for acute lymphoblastic leukaemia: Effect of fresh frozen plasma supplementation. Thr</w:t>
      </w:r>
      <w:r>
        <w:rPr>
          <w:szCs w:val="24"/>
          <w:lang w:eastAsia="ru-RU"/>
        </w:rPr>
        <w:t>о</w:t>
      </w:r>
      <w:r>
        <w:rPr>
          <w:szCs w:val="24"/>
          <w:lang w:val="en-US" w:eastAsia="ru-RU"/>
        </w:rPr>
        <w:t xml:space="preserve">mb Haemost 2013;109:633–42. </w:t>
      </w:r>
    </w:p>
    <w:p w14:paraId="36602255" w14:textId="17C13FE9" w:rsidR="00BC50A4" w:rsidRDefault="00BC50A4">
      <w:pPr>
        <w:spacing w:before="0" w:after="0" w:line="240" w:lineRule="auto"/>
        <w:jc w:val="left"/>
      </w:pPr>
      <w:r>
        <w:br w:type="page"/>
      </w:r>
    </w:p>
    <w:p w14:paraId="5B7DC213" w14:textId="3D831AD5" w:rsidR="00BC50A4" w:rsidRPr="00D563D9" w:rsidRDefault="00BC50A4" w:rsidP="00BC50A4">
      <w:pPr>
        <w:pStyle w:val="1"/>
      </w:pPr>
      <w:bookmarkStart w:id="85" w:name="_Toc53140931"/>
      <w:r w:rsidRPr="003E0025">
        <w:lastRenderedPageBreak/>
        <w:t>Приложение Г</w:t>
      </w:r>
      <w:r>
        <w:t xml:space="preserve">11. </w:t>
      </w:r>
      <w:r w:rsidRPr="00266EEA">
        <w:t>«</w:t>
      </w:r>
      <w:r w:rsidRPr="00BC50A4">
        <w:t>Применение компонентов донорской крови у гематологических пациентов</w:t>
      </w:r>
      <w:r>
        <w:t>»</w:t>
      </w:r>
      <w:bookmarkEnd w:id="85"/>
    </w:p>
    <w:p w14:paraId="44F0C8B1" w14:textId="77777777" w:rsidR="004569A5" w:rsidRPr="00FD15FE" w:rsidRDefault="004569A5" w:rsidP="00FD15FE">
      <w:pPr>
        <w:rPr>
          <w:b/>
          <w:i/>
        </w:rPr>
      </w:pPr>
      <w:r w:rsidRPr="00FD15FE">
        <w:rPr>
          <w:b/>
          <w:i/>
        </w:rPr>
        <w:t>Список сокращений</w:t>
      </w:r>
    </w:p>
    <w:p w14:paraId="64500272" w14:textId="77777777" w:rsidR="004569A5" w:rsidRDefault="004569A5" w:rsidP="004569A5">
      <w:pPr>
        <w:rPr>
          <w:szCs w:val="24"/>
          <w:lang w:eastAsia="ru-RU"/>
        </w:rPr>
      </w:pPr>
      <w:r w:rsidRPr="00A17D81">
        <w:rPr>
          <w:szCs w:val="24"/>
          <w:lang w:eastAsia="ru-RU"/>
        </w:rPr>
        <w:t xml:space="preserve">АПТ </w:t>
      </w:r>
      <w:r>
        <w:rPr>
          <w:szCs w:val="24"/>
          <w:lang w:eastAsia="ru-RU"/>
        </w:rPr>
        <w:t xml:space="preserve">– </w:t>
      </w:r>
      <w:r w:rsidRPr="00A17D81">
        <w:rPr>
          <w:szCs w:val="24"/>
          <w:lang w:eastAsia="ru-RU"/>
        </w:rPr>
        <w:t xml:space="preserve">абсолютный прирост тромбоцитов </w:t>
      </w:r>
    </w:p>
    <w:p w14:paraId="6C7AB6F6" w14:textId="77777777" w:rsidR="004569A5" w:rsidRDefault="004569A5" w:rsidP="004569A5">
      <w:pPr>
        <w:rPr>
          <w:szCs w:val="24"/>
          <w:lang w:eastAsia="ru-RU"/>
        </w:rPr>
      </w:pPr>
      <w:r w:rsidRPr="003B52EE">
        <w:rPr>
          <w:szCs w:val="24"/>
        </w:rPr>
        <w:t>АЧТВ</w:t>
      </w:r>
      <w:r>
        <w:rPr>
          <w:szCs w:val="24"/>
        </w:rPr>
        <w:t xml:space="preserve"> – активированное частичное тромбопластиновое время</w:t>
      </w:r>
    </w:p>
    <w:p w14:paraId="3AC9FC9E" w14:textId="77777777" w:rsidR="004569A5" w:rsidRPr="003B6BB6" w:rsidRDefault="004569A5" w:rsidP="004569A5">
      <w:pPr>
        <w:rPr>
          <w:szCs w:val="24"/>
          <w:lang w:eastAsia="ru-RU"/>
        </w:rPr>
      </w:pPr>
      <w:r w:rsidRPr="00A17D81">
        <w:rPr>
          <w:szCs w:val="24"/>
          <w:lang w:eastAsia="ru-RU"/>
        </w:rPr>
        <w:t xml:space="preserve">СПТ </w:t>
      </w:r>
      <w:r>
        <w:rPr>
          <w:szCs w:val="24"/>
          <w:lang w:eastAsia="ru-RU"/>
        </w:rPr>
        <w:t xml:space="preserve">– </w:t>
      </w:r>
      <w:r w:rsidRPr="00A17D81">
        <w:rPr>
          <w:szCs w:val="24"/>
          <w:lang w:eastAsia="ru-RU"/>
        </w:rPr>
        <w:t>скорректированный прирост тромбоци</w:t>
      </w:r>
      <w:r>
        <w:rPr>
          <w:szCs w:val="24"/>
          <w:lang w:eastAsia="ru-RU"/>
        </w:rPr>
        <w:t xml:space="preserve">тов </w:t>
      </w:r>
    </w:p>
    <w:p w14:paraId="71ED1FF9" w14:textId="77777777" w:rsidR="004569A5" w:rsidRDefault="004569A5" w:rsidP="004569A5">
      <w:pPr>
        <w:rPr>
          <w:szCs w:val="24"/>
        </w:rPr>
      </w:pPr>
      <w:r w:rsidRPr="003E19FB">
        <w:rPr>
          <w:szCs w:val="24"/>
        </w:rPr>
        <w:t xml:space="preserve">ОПЛ </w:t>
      </w:r>
      <w:r>
        <w:rPr>
          <w:szCs w:val="24"/>
        </w:rPr>
        <w:t xml:space="preserve">– </w:t>
      </w:r>
      <w:r w:rsidRPr="003E19FB">
        <w:rPr>
          <w:szCs w:val="24"/>
        </w:rPr>
        <w:t>ос</w:t>
      </w:r>
      <w:r>
        <w:rPr>
          <w:szCs w:val="24"/>
        </w:rPr>
        <w:t xml:space="preserve">трый промиелоцитарный лейкоз </w:t>
      </w:r>
    </w:p>
    <w:p w14:paraId="30F086D9" w14:textId="77777777" w:rsidR="004569A5" w:rsidRDefault="004569A5" w:rsidP="004569A5">
      <w:pPr>
        <w:rPr>
          <w:szCs w:val="24"/>
        </w:rPr>
      </w:pPr>
      <w:r w:rsidRPr="003B52EE">
        <w:rPr>
          <w:szCs w:val="24"/>
        </w:rPr>
        <w:t xml:space="preserve">ПВ </w:t>
      </w:r>
      <w:r>
        <w:rPr>
          <w:szCs w:val="24"/>
        </w:rPr>
        <w:t>– протромбиновое время</w:t>
      </w:r>
    </w:p>
    <w:p w14:paraId="1672022F" w14:textId="77777777" w:rsidR="004569A5" w:rsidRPr="007C7711" w:rsidRDefault="004569A5" w:rsidP="004569A5">
      <w:pPr>
        <w:rPr>
          <w:bCs/>
          <w:szCs w:val="24"/>
        </w:rPr>
      </w:pPr>
      <w:r>
        <w:rPr>
          <w:bCs/>
          <w:szCs w:val="24"/>
        </w:rPr>
        <w:t xml:space="preserve">РЕ – расчетные единицы </w:t>
      </w:r>
    </w:p>
    <w:p w14:paraId="2ECA8643" w14:textId="77777777" w:rsidR="004569A5" w:rsidRDefault="004569A5" w:rsidP="004569A5">
      <w:pPr>
        <w:rPr>
          <w:szCs w:val="24"/>
        </w:rPr>
      </w:pPr>
      <w:r>
        <w:rPr>
          <w:szCs w:val="24"/>
        </w:rPr>
        <w:t xml:space="preserve">СЗП – свежезамороженная плазма </w:t>
      </w:r>
    </w:p>
    <w:p w14:paraId="2A8D933B" w14:textId="77777777" w:rsidR="004569A5" w:rsidRPr="00B71439" w:rsidRDefault="004569A5" w:rsidP="004569A5">
      <w:pPr>
        <w:rPr>
          <w:color w:val="333333"/>
          <w:szCs w:val="24"/>
        </w:rPr>
      </w:pPr>
      <w:r w:rsidRPr="003E19FB">
        <w:rPr>
          <w:color w:val="333333"/>
          <w:szCs w:val="24"/>
        </w:rPr>
        <w:t>ЦВК</w:t>
      </w:r>
      <w:r>
        <w:rPr>
          <w:color w:val="333333"/>
          <w:szCs w:val="24"/>
        </w:rPr>
        <w:t xml:space="preserve"> – центральный венозный</w:t>
      </w:r>
      <w:r w:rsidRPr="003E19FB">
        <w:rPr>
          <w:color w:val="333333"/>
          <w:szCs w:val="24"/>
        </w:rPr>
        <w:t xml:space="preserve"> катетер</w:t>
      </w:r>
    </w:p>
    <w:p w14:paraId="1455FE93" w14:textId="77777777" w:rsidR="004569A5" w:rsidRPr="002243F7" w:rsidRDefault="004569A5" w:rsidP="004569A5">
      <w:pPr>
        <w:rPr>
          <w:szCs w:val="24"/>
        </w:rPr>
      </w:pPr>
      <w:r w:rsidRPr="002243F7">
        <w:rPr>
          <w:szCs w:val="24"/>
        </w:rPr>
        <w:t>ЭСК</w:t>
      </w:r>
      <w:r>
        <w:rPr>
          <w:szCs w:val="24"/>
        </w:rPr>
        <w:t xml:space="preserve"> </w:t>
      </w:r>
      <w:r w:rsidRPr="002243F7">
        <w:rPr>
          <w:szCs w:val="24"/>
        </w:rPr>
        <w:t>– эритроцитсодержащие компоненты крови</w:t>
      </w:r>
    </w:p>
    <w:p w14:paraId="42141376" w14:textId="77777777" w:rsidR="004569A5" w:rsidRPr="00FD15FE" w:rsidRDefault="004569A5" w:rsidP="00FD15FE">
      <w:pPr>
        <w:rPr>
          <w:b/>
          <w:i/>
        </w:rPr>
      </w:pPr>
      <w:r w:rsidRPr="00FD15FE">
        <w:rPr>
          <w:b/>
          <w:i/>
        </w:rPr>
        <w:t xml:space="preserve">Общие сведения </w:t>
      </w:r>
    </w:p>
    <w:p w14:paraId="6A7B7720" w14:textId="77777777" w:rsidR="00CA7AD8" w:rsidRDefault="004569A5" w:rsidP="00CA7AD8">
      <w:pPr>
        <w:spacing w:after="0"/>
        <w:ind w:firstLine="708"/>
        <w:contextualSpacing/>
        <w:rPr>
          <w:szCs w:val="24"/>
        </w:rPr>
      </w:pPr>
      <w:r w:rsidRPr="004C7AAC">
        <w:rPr>
          <w:szCs w:val="24"/>
        </w:rPr>
        <w:t xml:space="preserve">Основным </w:t>
      </w:r>
      <w:r w:rsidRPr="004C7AAC">
        <w:rPr>
          <w:szCs w:val="24"/>
          <w:lang w:eastAsia="ru-RU"/>
        </w:rPr>
        <w:t xml:space="preserve">медицинским </w:t>
      </w:r>
      <w:r w:rsidRPr="00E74023">
        <w:rPr>
          <w:szCs w:val="24"/>
          <w:lang w:eastAsia="ru-RU"/>
        </w:rPr>
        <w:t xml:space="preserve">показанием к </w:t>
      </w:r>
      <w:r w:rsidRPr="00E74023">
        <w:rPr>
          <w:szCs w:val="24"/>
        </w:rPr>
        <w:t xml:space="preserve">трансфузии эритроцитов у </w:t>
      </w:r>
      <w:r>
        <w:rPr>
          <w:szCs w:val="24"/>
        </w:rPr>
        <w:t xml:space="preserve">гематологических </w:t>
      </w:r>
      <w:r w:rsidRPr="00E74023">
        <w:rPr>
          <w:szCs w:val="24"/>
        </w:rPr>
        <w:t xml:space="preserve">пациентов является неадекватная оксигенация </w:t>
      </w:r>
      <w:r>
        <w:rPr>
          <w:szCs w:val="24"/>
        </w:rPr>
        <w:t xml:space="preserve">органов и тканей </w:t>
      </w:r>
      <w:r w:rsidRPr="00E74023">
        <w:rPr>
          <w:szCs w:val="24"/>
        </w:rPr>
        <w:t>и связанный с этим риск осложнений.</w:t>
      </w:r>
      <w:r>
        <w:rPr>
          <w:szCs w:val="24"/>
        </w:rPr>
        <w:t xml:space="preserve"> </w:t>
      </w:r>
      <w:r w:rsidRPr="00E74023">
        <w:rPr>
          <w:szCs w:val="24"/>
        </w:rPr>
        <w:t xml:space="preserve">Переливание донорских тромбоцитов гематологическим </w:t>
      </w:r>
      <w:r>
        <w:rPr>
          <w:szCs w:val="24"/>
        </w:rPr>
        <w:t>пациента</w:t>
      </w:r>
      <w:r w:rsidRPr="00E74023">
        <w:rPr>
          <w:szCs w:val="24"/>
        </w:rPr>
        <w:t xml:space="preserve">м проводят </w:t>
      </w:r>
      <w:r w:rsidRPr="00E74023">
        <w:rPr>
          <w:szCs w:val="24"/>
          <w:lang w:val="en-US"/>
        </w:rPr>
        <w:t>c</w:t>
      </w:r>
      <w:r w:rsidRPr="00E74023">
        <w:rPr>
          <w:szCs w:val="24"/>
        </w:rPr>
        <w:t xml:space="preserve"> целью профилактики спонтанных геморрагических осложнений на фоне глубокой тромбоцитопении, индуцированной проведением интенсивной химиотерапии, или с лечебной целью пациентам с уже имеющимися геморрагическими осложнениями.</w:t>
      </w:r>
      <w:r>
        <w:rPr>
          <w:szCs w:val="24"/>
        </w:rPr>
        <w:t xml:space="preserve"> При необходимости </w:t>
      </w:r>
      <w:r w:rsidRPr="00E74023">
        <w:rPr>
          <w:szCs w:val="24"/>
        </w:rPr>
        <w:t>восполнения дефицита факторов свертывания</w:t>
      </w:r>
      <w:r>
        <w:rPr>
          <w:szCs w:val="24"/>
        </w:rPr>
        <w:t xml:space="preserve"> </w:t>
      </w:r>
      <w:r w:rsidRPr="00E74023">
        <w:rPr>
          <w:szCs w:val="24"/>
        </w:rPr>
        <w:t>универсальным препаратом</w:t>
      </w:r>
      <w:r w:rsidRPr="009848E0">
        <w:rPr>
          <w:szCs w:val="24"/>
        </w:rPr>
        <w:t xml:space="preserve"> </w:t>
      </w:r>
      <w:r w:rsidRPr="00E74023">
        <w:rPr>
          <w:szCs w:val="24"/>
        </w:rPr>
        <w:t xml:space="preserve">на сегодняшний день является </w:t>
      </w:r>
      <w:r>
        <w:rPr>
          <w:szCs w:val="24"/>
        </w:rPr>
        <w:t>с</w:t>
      </w:r>
      <w:r w:rsidRPr="00E74023">
        <w:rPr>
          <w:szCs w:val="24"/>
        </w:rPr>
        <w:t>вежезамороженная плазма (СЗП</w:t>
      </w:r>
      <w:r>
        <w:rPr>
          <w:szCs w:val="24"/>
        </w:rPr>
        <w:t>)</w:t>
      </w:r>
      <w:r w:rsidRPr="00E74023">
        <w:rPr>
          <w:szCs w:val="24"/>
        </w:rPr>
        <w:t xml:space="preserve">. Показаниями для ее применения при острой кровопотере являются удлинение хронометрических показателей коагулограммы более чем в 1,8 раз; изолированное снижение уровня одного из факторов свертывания на 20% и более или комплекса факторов на 40% и более. Кроме СЗП для коррекции нарушений гемостаза при острой кровопотере применяются криопреципитат, очищенные или генноинженерные препараты факторов свертывания или их комплексов, ингибиторы протеаз, ингибиторы фибринолиза, десмопрессин. Трансфузии СЗП показаны </w:t>
      </w:r>
      <w:r>
        <w:rPr>
          <w:szCs w:val="24"/>
        </w:rPr>
        <w:t xml:space="preserve">также </w:t>
      </w:r>
      <w:r w:rsidRPr="00E74023">
        <w:rPr>
          <w:szCs w:val="24"/>
        </w:rPr>
        <w:t xml:space="preserve">для </w:t>
      </w:r>
      <w:r w:rsidRPr="00E74023">
        <w:rPr>
          <w:color w:val="000000"/>
          <w:szCs w:val="24"/>
        </w:rPr>
        <w:t>возмещения объема при проведении</w:t>
      </w:r>
      <w:r w:rsidRPr="004C7AAC">
        <w:rPr>
          <w:color w:val="000000"/>
          <w:szCs w:val="24"/>
        </w:rPr>
        <w:t xml:space="preserve"> </w:t>
      </w:r>
      <w:r w:rsidRPr="004C7AAC">
        <w:rPr>
          <w:szCs w:val="24"/>
        </w:rPr>
        <w:t>процедур плазмафереза.</w:t>
      </w:r>
      <w:r w:rsidR="00CA7AD8">
        <w:rPr>
          <w:szCs w:val="24"/>
        </w:rPr>
        <w:t xml:space="preserve"> </w:t>
      </w:r>
    </w:p>
    <w:p w14:paraId="2E0E0250" w14:textId="1D95EC15" w:rsidR="00CA7AD8" w:rsidRPr="003B52EE" w:rsidRDefault="00CA7AD8" w:rsidP="00CA7AD8">
      <w:pPr>
        <w:spacing w:after="0"/>
        <w:ind w:firstLine="708"/>
        <w:contextualSpacing/>
        <w:rPr>
          <w:szCs w:val="24"/>
          <w:lang w:eastAsia="ru-RU"/>
        </w:rPr>
      </w:pPr>
      <w:r>
        <w:rPr>
          <w:szCs w:val="24"/>
        </w:rPr>
        <w:lastRenderedPageBreak/>
        <w:t>Выбор конкретного вида компонента крови для гемотрансфузии (тип э</w:t>
      </w:r>
      <w:r>
        <w:rPr>
          <w:szCs w:val="24"/>
          <w:lang w:eastAsia="ru-RU"/>
        </w:rPr>
        <w:t>ритроцитосодержащего компонента</w:t>
      </w:r>
      <w:r w:rsidRPr="003B52EE">
        <w:rPr>
          <w:szCs w:val="24"/>
          <w:lang w:eastAsia="ru-RU"/>
        </w:rPr>
        <w:t xml:space="preserve"> крови</w:t>
      </w:r>
      <w:r>
        <w:rPr>
          <w:szCs w:val="24"/>
          <w:lang w:eastAsia="ru-RU"/>
        </w:rPr>
        <w:t xml:space="preserve">, </w:t>
      </w:r>
      <w:r w:rsidRPr="003B52EE">
        <w:rPr>
          <w:bCs/>
          <w:iCs/>
          <w:szCs w:val="24"/>
          <w:lang w:eastAsia="ru-RU"/>
        </w:rPr>
        <w:t>концентрата тромбоцитов</w:t>
      </w:r>
      <w:r>
        <w:rPr>
          <w:bCs/>
          <w:iCs/>
          <w:szCs w:val="24"/>
          <w:lang w:eastAsia="ru-RU"/>
        </w:rPr>
        <w:t xml:space="preserve">, препарата </w:t>
      </w:r>
      <w:r w:rsidRPr="003B52EE">
        <w:rPr>
          <w:iCs/>
          <w:szCs w:val="24"/>
        </w:rPr>
        <w:t>плазмы</w:t>
      </w:r>
      <w:r>
        <w:rPr>
          <w:iCs/>
          <w:szCs w:val="24"/>
        </w:rPr>
        <w:t>) осуществляется лечащим врачом или врачом-трансфузиологом.</w:t>
      </w:r>
    </w:p>
    <w:p w14:paraId="49F60C46" w14:textId="77777777" w:rsidR="000368F4" w:rsidRPr="004C7AAC" w:rsidRDefault="000368F4" w:rsidP="000368F4">
      <w:pPr>
        <w:spacing w:after="0"/>
        <w:ind w:firstLine="708"/>
        <w:contextualSpacing/>
        <w:rPr>
          <w:szCs w:val="24"/>
        </w:rPr>
      </w:pPr>
      <w:bookmarkStart w:id="86" w:name="_GoBack"/>
      <w:bookmarkEnd w:id="86"/>
    </w:p>
    <w:p w14:paraId="38A1BA48" w14:textId="77777777" w:rsidR="004569A5" w:rsidRPr="004569A5" w:rsidRDefault="004569A5" w:rsidP="00CE6C1C">
      <w:pPr>
        <w:numPr>
          <w:ilvl w:val="0"/>
          <w:numId w:val="124"/>
        </w:numPr>
        <w:spacing w:before="0" w:after="0"/>
        <w:ind w:left="567" w:hanging="567"/>
        <w:rPr>
          <w:b/>
          <w:szCs w:val="24"/>
          <w:lang w:eastAsia="ru-RU"/>
        </w:rPr>
      </w:pPr>
      <w:r w:rsidRPr="004569A5">
        <w:rPr>
          <w:b/>
          <w:szCs w:val="24"/>
          <w:lang w:eastAsia="ru-RU"/>
        </w:rPr>
        <w:t>Трансфузии эритроцитосодержащих компонентов крови (ЭСК)</w:t>
      </w:r>
    </w:p>
    <w:p w14:paraId="2F7430E7" w14:textId="77777777" w:rsidR="004569A5" w:rsidRPr="004569A5" w:rsidRDefault="004569A5" w:rsidP="004569A5">
      <w:pPr>
        <w:spacing w:before="0" w:after="0"/>
        <w:ind w:firstLine="708"/>
        <w:rPr>
          <w:rFonts w:eastAsia="Times New Roman"/>
          <w:szCs w:val="24"/>
          <w:u w:val="single"/>
        </w:rPr>
      </w:pPr>
      <w:r w:rsidRPr="004569A5">
        <w:rPr>
          <w:rFonts w:eastAsia="Times New Roman"/>
          <w:bCs/>
          <w:szCs w:val="24"/>
          <w:u w:val="single"/>
        </w:rPr>
        <w:t>Необходимые исследования до трансфузии</w:t>
      </w:r>
    </w:p>
    <w:p w14:paraId="1784D21B" w14:textId="77777777" w:rsidR="004569A5" w:rsidRPr="004569A5" w:rsidRDefault="004569A5" w:rsidP="004569A5">
      <w:pPr>
        <w:spacing w:before="0" w:after="0"/>
        <w:ind w:firstLine="708"/>
        <w:rPr>
          <w:rFonts w:eastAsia="Times New Roman"/>
          <w:szCs w:val="24"/>
        </w:rPr>
      </w:pPr>
      <w:r w:rsidRPr="004569A5">
        <w:rPr>
          <w:rFonts w:eastAsia="Times New Roman"/>
          <w:szCs w:val="24"/>
        </w:rPr>
        <w:t xml:space="preserve">Всем гематологическим пациентам при поступлении в медицинскую организацию необходимо осуществить первичное определение группы крови в клиническом отделении по системе AB0 и резус-принадлежности с внесением результатов определения в медицинскую документацию. После первичного определения группы крови образец крови больного направляется в клинико-диагностическую лабораторию организации, осуществляющей клиническое использование донорской крови и ее компонентов, где проводят следующие подтверждающие исследования, c внесением в медицинскую документацию: </w:t>
      </w:r>
    </w:p>
    <w:p w14:paraId="5D7D1486" w14:textId="77777777" w:rsidR="004569A5" w:rsidRPr="004569A5" w:rsidRDefault="004569A5" w:rsidP="004569A5">
      <w:pPr>
        <w:spacing w:before="0" w:after="0"/>
        <w:rPr>
          <w:szCs w:val="24"/>
        </w:rPr>
      </w:pPr>
      <w:r w:rsidRPr="004569A5">
        <w:rPr>
          <w:rFonts w:eastAsia="Times New Roman"/>
          <w:szCs w:val="24"/>
        </w:rPr>
        <w:t>а) определение группы крови по системе AB0 и резус-принадлежности;</w:t>
      </w:r>
    </w:p>
    <w:p w14:paraId="228933CB" w14:textId="77777777" w:rsidR="004569A5" w:rsidRPr="004569A5" w:rsidRDefault="004569A5" w:rsidP="004569A5">
      <w:pPr>
        <w:spacing w:before="0" w:after="0"/>
        <w:rPr>
          <w:szCs w:val="24"/>
        </w:rPr>
      </w:pPr>
      <w:r w:rsidRPr="004569A5">
        <w:rPr>
          <w:rFonts w:eastAsia="Times New Roman"/>
          <w:szCs w:val="24"/>
        </w:rPr>
        <w:t>б) определение антигена K;</w:t>
      </w:r>
    </w:p>
    <w:p w14:paraId="0494C7CB" w14:textId="77777777" w:rsidR="004569A5" w:rsidRPr="004569A5" w:rsidRDefault="004569A5" w:rsidP="004569A5">
      <w:pPr>
        <w:spacing w:before="0" w:after="0"/>
        <w:rPr>
          <w:szCs w:val="24"/>
        </w:rPr>
      </w:pPr>
      <w:r w:rsidRPr="004569A5">
        <w:rPr>
          <w:rFonts w:eastAsia="Times New Roman"/>
          <w:szCs w:val="24"/>
        </w:rPr>
        <w:t>в) скрининг аллоиммунных антител с использованием не менее 3 образцов тест-эритроцитов;</w:t>
      </w:r>
    </w:p>
    <w:p w14:paraId="5AC17071" w14:textId="77777777" w:rsidR="004569A5" w:rsidRPr="004569A5" w:rsidRDefault="004569A5" w:rsidP="004569A5">
      <w:pPr>
        <w:spacing w:before="0" w:after="0"/>
        <w:rPr>
          <w:szCs w:val="24"/>
        </w:rPr>
      </w:pPr>
      <w:r w:rsidRPr="004569A5">
        <w:rPr>
          <w:rFonts w:eastAsia="Times New Roman"/>
          <w:szCs w:val="24"/>
        </w:rPr>
        <w:t>г) определение антигенов эритроцитов C, c, E, e. При совпадении результатов определения антигенов эритроцитов C, c, E, e, K, проведенных дважды в организации, осуществляющей клиническое использование донорской крови и ее компонентов, антигены эритроцитов C, c, E, e, K  считаются установленными и в дальнейшем не определяются.</w:t>
      </w:r>
    </w:p>
    <w:p w14:paraId="4A0373A5" w14:textId="51F48F2C" w:rsidR="004569A5" w:rsidRPr="004569A5" w:rsidRDefault="004569A5" w:rsidP="004569A5">
      <w:pPr>
        <w:spacing w:before="0" w:after="0"/>
        <w:ind w:firstLine="708"/>
        <w:rPr>
          <w:szCs w:val="24"/>
        </w:rPr>
      </w:pPr>
      <w:r w:rsidRPr="004C0C25">
        <w:rPr>
          <w:rFonts w:eastAsia="Times New Roman"/>
          <w:szCs w:val="24"/>
        </w:rPr>
        <w:t>Не допускается внесение в медицинскую документацию результатов указанных выше исследований на основании данных медицинской документации, оформленной иными медицинскими организациями, в которых больному ранее была оказана медицинская помощь или проводилось медицинское обследование.</w:t>
      </w:r>
    </w:p>
    <w:p w14:paraId="01785D8F" w14:textId="77777777" w:rsidR="004569A5" w:rsidRPr="004569A5" w:rsidRDefault="004569A5" w:rsidP="004569A5">
      <w:pPr>
        <w:spacing w:before="0" w:after="0"/>
        <w:ind w:firstLine="708"/>
        <w:rPr>
          <w:rFonts w:eastAsia="Times New Roman"/>
          <w:szCs w:val="24"/>
        </w:rPr>
      </w:pPr>
      <w:r w:rsidRPr="004569A5">
        <w:rPr>
          <w:rFonts w:eastAsia="Times New Roman"/>
          <w:szCs w:val="24"/>
        </w:rPr>
        <w:t>В целях профилактики реакций и осложнений в связи с трансфузией используются ЭСК, идентичные или совместимые по системе AB0, резус-принадлежности и K. При плановых трансфузиях ЭСК дополнительно учитывают совместимость донора и реципиента по антигенам эритроцитов C, c, E, e, С</w:t>
      </w:r>
      <w:r w:rsidRPr="004569A5">
        <w:rPr>
          <w:rFonts w:eastAsia="Times New Roman"/>
          <w:szCs w:val="24"/>
          <w:vertAlign w:val="superscript"/>
          <w:lang w:val="en-US" w:eastAsia="ru-RU"/>
        </w:rPr>
        <w:t>W</w:t>
      </w:r>
      <w:r w:rsidRPr="004569A5">
        <w:rPr>
          <w:rFonts w:eastAsia="Times New Roman"/>
          <w:szCs w:val="24"/>
        </w:rPr>
        <w:t>.</w:t>
      </w:r>
    </w:p>
    <w:p w14:paraId="01A9D78C" w14:textId="7FD5D3D2" w:rsidR="004569A5" w:rsidRPr="004569A5" w:rsidRDefault="004569A5" w:rsidP="004569A5">
      <w:pPr>
        <w:spacing w:before="0" w:after="0"/>
        <w:rPr>
          <w:rFonts w:eastAsia="Times New Roman"/>
          <w:szCs w:val="24"/>
        </w:rPr>
      </w:pPr>
      <w:r w:rsidRPr="004569A5">
        <w:rPr>
          <w:rFonts w:eastAsia="Times New Roman"/>
          <w:szCs w:val="24"/>
          <w:lang w:eastAsia="ru-RU"/>
        </w:rPr>
        <w:t xml:space="preserve"> Индивидуальный подбор компонентов крови осуществляется реципиентам, имеющим: </w:t>
      </w:r>
    </w:p>
    <w:p w14:paraId="6BBEC9DC" w14:textId="77777777" w:rsidR="004569A5" w:rsidRPr="004569A5" w:rsidRDefault="004569A5" w:rsidP="004569A5">
      <w:pPr>
        <w:spacing w:before="0" w:after="0"/>
        <w:rPr>
          <w:rFonts w:eastAsia="Times New Roman"/>
          <w:szCs w:val="24"/>
        </w:rPr>
      </w:pPr>
      <w:r w:rsidRPr="004569A5">
        <w:rPr>
          <w:rFonts w:eastAsia="Times New Roman"/>
          <w:szCs w:val="24"/>
          <w:lang w:eastAsia="ru-RU"/>
        </w:rPr>
        <w:t>а) посттрансфузионные осложнения в анамнезе</w:t>
      </w:r>
    </w:p>
    <w:p w14:paraId="341529D1" w14:textId="5AA91C8B" w:rsidR="004569A5" w:rsidRPr="004569A5" w:rsidRDefault="004569A5" w:rsidP="004569A5">
      <w:pPr>
        <w:spacing w:before="0" w:after="0"/>
        <w:rPr>
          <w:rFonts w:eastAsia="Times New Roman"/>
          <w:szCs w:val="24"/>
          <w:lang w:eastAsia="ru-RU"/>
        </w:rPr>
      </w:pPr>
      <w:r w:rsidRPr="004569A5">
        <w:rPr>
          <w:rFonts w:eastAsia="Times New Roman"/>
          <w:szCs w:val="24"/>
          <w:lang w:eastAsia="ru-RU"/>
        </w:rPr>
        <w:t>б) рождение детей с гемолитической болезнью новорожденного в анамнезе</w:t>
      </w:r>
    </w:p>
    <w:p w14:paraId="2AF2018E" w14:textId="65E16147" w:rsidR="004569A5" w:rsidRPr="004569A5" w:rsidRDefault="004569A5" w:rsidP="004569A5">
      <w:pPr>
        <w:spacing w:before="0" w:after="0"/>
        <w:rPr>
          <w:rFonts w:eastAsia="Times New Roman"/>
          <w:szCs w:val="24"/>
        </w:rPr>
      </w:pPr>
      <w:r>
        <w:rPr>
          <w:rFonts w:eastAsia="Times New Roman"/>
          <w:szCs w:val="24"/>
          <w:lang w:eastAsia="ru-RU"/>
        </w:rPr>
        <w:lastRenderedPageBreak/>
        <w:t>в</w:t>
      </w:r>
      <w:r w:rsidRPr="004569A5">
        <w:rPr>
          <w:rFonts w:eastAsia="Times New Roman"/>
          <w:szCs w:val="24"/>
          <w:lang w:eastAsia="ru-RU"/>
        </w:rPr>
        <w:t xml:space="preserve">) аллоиммунные антитела. </w:t>
      </w:r>
    </w:p>
    <w:p w14:paraId="21327B21" w14:textId="77777777" w:rsidR="004569A5" w:rsidRPr="004569A5" w:rsidRDefault="004569A5" w:rsidP="004569A5">
      <w:pPr>
        <w:spacing w:before="0" w:after="0"/>
        <w:ind w:firstLine="708"/>
        <w:rPr>
          <w:rFonts w:eastAsia="Times New Roman"/>
          <w:szCs w:val="24"/>
        </w:rPr>
      </w:pPr>
      <w:r w:rsidRPr="004569A5">
        <w:rPr>
          <w:rFonts w:eastAsia="Times New Roman"/>
          <w:szCs w:val="24"/>
        </w:rPr>
        <w:t>Индивидуальный подбор не отменяет постановку пробы на совместимость на плоскости при комнатной температуре и биологическую пробу врачом, проводящим трансфузию.</w:t>
      </w:r>
    </w:p>
    <w:p w14:paraId="28AA72F6" w14:textId="77777777" w:rsidR="004569A5" w:rsidRPr="004569A5" w:rsidRDefault="004569A5" w:rsidP="004569A5">
      <w:pPr>
        <w:spacing w:before="0" w:after="0"/>
        <w:ind w:firstLine="708"/>
        <w:rPr>
          <w:rFonts w:eastAsia="Times New Roman"/>
          <w:szCs w:val="24"/>
        </w:rPr>
      </w:pPr>
      <w:r w:rsidRPr="004569A5">
        <w:rPr>
          <w:rFonts w:eastAsia="Times New Roman"/>
          <w:szCs w:val="24"/>
        </w:rPr>
        <w:t>При определении показаний к трансфузиям компонентов донорской крови обязательно проводятся следующие лабораторные исследования:</w:t>
      </w:r>
    </w:p>
    <w:p w14:paraId="2E091645" w14:textId="77777777" w:rsidR="004569A5" w:rsidRPr="004569A5" w:rsidRDefault="004569A5" w:rsidP="00CE6C1C">
      <w:pPr>
        <w:pStyle w:val="a6"/>
        <w:numPr>
          <w:ilvl w:val="0"/>
          <w:numId w:val="125"/>
        </w:numPr>
        <w:spacing w:before="0" w:after="0"/>
        <w:ind w:left="0" w:firstLine="0"/>
        <w:rPr>
          <w:rFonts w:eastAsia="Times New Roman"/>
          <w:szCs w:val="24"/>
        </w:rPr>
      </w:pPr>
      <w:r w:rsidRPr="004569A5">
        <w:rPr>
          <w:rFonts w:eastAsia="Times New Roman"/>
          <w:szCs w:val="24"/>
        </w:rPr>
        <w:t>Перед трансфузией клеточных компонентов донорской крови (эритроцитная взвесь, концентрат тромбоцитов) - общий (клинический) анализ крови</w:t>
      </w:r>
    </w:p>
    <w:p w14:paraId="2DA812CF" w14:textId="77777777" w:rsidR="004569A5" w:rsidRPr="004569A5" w:rsidRDefault="004569A5" w:rsidP="00CE6C1C">
      <w:pPr>
        <w:pStyle w:val="a6"/>
        <w:numPr>
          <w:ilvl w:val="0"/>
          <w:numId w:val="125"/>
        </w:numPr>
        <w:spacing w:before="0" w:after="0"/>
        <w:ind w:left="0" w:firstLine="0"/>
        <w:rPr>
          <w:szCs w:val="24"/>
        </w:rPr>
      </w:pPr>
      <w:r w:rsidRPr="004569A5">
        <w:rPr>
          <w:rFonts w:eastAsia="Times New Roman"/>
          <w:szCs w:val="24"/>
        </w:rPr>
        <w:t>Перед трансфузией СЗП, криопреципитата и криосупернатантной плазмы - коагулограмма.</w:t>
      </w:r>
    </w:p>
    <w:p w14:paraId="57758C08" w14:textId="77777777" w:rsidR="004569A5" w:rsidRPr="00FD15FE" w:rsidRDefault="004569A5" w:rsidP="00FD15FE">
      <w:pPr>
        <w:rPr>
          <w:b/>
          <w:u w:val="single"/>
        </w:rPr>
      </w:pPr>
      <w:r w:rsidRPr="00FD15FE">
        <w:rPr>
          <w:b/>
          <w:u w:val="single"/>
        </w:rPr>
        <w:t>Показания к переливанию ЭСК</w:t>
      </w:r>
    </w:p>
    <w:p w14:paraId="5389EA18" w14:textId="25874C66" w:rsidR="004569A5" w:rsidRPr="004569A5" w:rsidRDefault="004569A5" w:rsidP="00CE6C1C">
      <w:pPr>
        <w:pStyle w:val="FitzBullet"/>
        <w:numPr>
          <w:ilvl w:val="0"/>
          <w:numId w:val="120"/>
        </w:numPr>
        <w:spacing w:before="0" w:after="0" w:line="360" w:lineRule="auto"/>
        <w:jc w:val="both"/>
        <w:rPr>
          <w:sz w:val="24"/>
          <w:szCs w:val="24"/>
          <w:lang w:val="ru-RU"/>
        </w:rPr>
      </w:pPr>
      <w:r w:rsidRPr="004569A5">
        <w:rPr>
          <w:sz w:val="24"/>
          <w:szCs w:val="24"/>
          <w:lang w:val="ru-RU"/>
        </w:rPr>
        <w:t>Пациентам с хронической анемией переливание показано при уровне гемоглобина &lt; 60</w:t>
      </w:r>
      <w:r>
        <w:rPr>
          <w:sz w:val="24"/>
          <w:szCs w:val="24"/>
          <w:lang w:val="ru-RU"/>
        </w:rPr>
        <w:t>-80</w:t>
      </w:r>
      <w:r w:rsidRPr="004569A5">
        <w:rPr>
          <w:sz w:val="24"/>
          <w:szCs w:val="24"/>
          <w:lang w:val="ru-RU"/>
        </w:rPr>
        <w:t> г/л. В данном случае переливание донорских эритроцитов проводится только для коррекции важнейших симптомов, обусловленных анемией и не поддающихся основной патогенетической терапии.</w:t>
      </w:r>
    </w:p>
    <w:p w14:paraId="6CE676BA" w14:textId="09ABF94A" w:rsidR="004569A5" w:rsidRPr="004569A5" w:rsidRDefault="004569A5" w:rsidP="00CE6C1C">
      <w:pPr>
        <w:pStyle w:val="FitzBullet"/>
        <w:numPr>
          <w:ilvl w:val="0"/>
          <w:numId w:val="120"/>
        </w:numPr>
        <w:spacing w:before="0" w:after="0" w:line="360" w:lineRule="auto"/>
        <w:jc w:val="both"/>
        <w:rPr>
          <w:sz w:val="24"/>
          <w:szCs w:val="24"/>
          <w:lang w:val="ru-RU"/>
        </w:rPr>
      </w:pPr>
      <w:r w:rsidRPr="004569A5">
        <w:rPr>
          <w:sz w:val="24"/>
          <w:szCs w:val="24"/>
          <w:lang w:val="ru-RU"/>
        </w:rPr>
        <w:t>Пациентам с сепсисом, ишемической болезнью сердца (в том числе, инфарктом миокарда, стенокардией напряжения), миокардитом и другими кардиопатиями трансфузии эритроцитов рекомендованы при уровне гемоглобина &lt; </w:t>
      </w:r>
      <w:r>
        <w:rPr>
          <w:sz w:val="24"/>
          <w:szCs w:val="24"/>
          <w:lang w:val="ru-RU"/>
        </w:rPr>
        <w:t>80-</w:t>
      </w:r>
      <w:r w:rsidRPr="004569A5">
        <w:rPr>
          <w:sz w:val="24"/>
          <w:szCs w:val="24"/>
          <w:lang w:val="ru-RU"/>
        </w:rPr>
        <w:t>100 г/л.</w:t>
      </w:r>
    </w:p>
    <w:p w14:paraId="6065BFDE" w14:textId="34FDDA49" w:rsidR="004569A5" w:rsidRPr="004569A5" w:rsidRDefault="004569A5" w:rsidP="00CE6C1C">
      <w:pPr>
        <w:pStyle w:val="FitzBullet"/>
        <w:numPr>
          <w:ilvl w:val="0"/>
          <w:numId w:val="120"/>
        </w:numPr>
        <w:spacing w:before="0" w:after="0" w:line="360" w:lineRule="auto"/>
        <w:jc w:val="both"/>
        <w:rPr>
          <w:sz w:val="24"/>
          <w:szCs w:val="24"/>
          <w:lang w:val="ru-RU"/>
        </w:rPr>
      </w:pPr>
      <w:r w:rsidRPr="004569A5">
        <w:rPr>
          <w:sz w:val="24"/>
          <w:szCs w:val="24"/>
          <w:lang w:val="ru-RU"/>
        </w:rPr>
        <w:t>Пациентам старше 60 лет трансфузии эритроцитов показаны при уровне гемоглобина &lt; </w:t>
      </w:r>
      <w:r>
        <w:rPr>
          <w:sz w:val="24"/>
          <w:szCs w:val="24"/>
          <w:lang w:val="ru-RU"/>
        </w:rPr>
        <w:t>80-100</w:t>
      </w:r>
      <w:r w:rsidRPr="004569A5">
        <w:rPr>
          <w:sz w:val="24"/>
          <w:szCs w:val="24"/>
          <w:lang w:val="ru-RU"/>
        </w:rPr>
        <w:t> г/л.</w:t>
      </w:r>
    </w:p>
    <w:p w14:paraId="27423025" w14:textId="77777777" w:rsidR="004569A5" w:rsidRPr="00FD15FE" w:rsidRDefault="004569A5" w:rsidP="00FD15FE">
      <w:pPr>
        <w:rPr>
          <w:b/>
          <w:iCs/>
          <w:szCs w:val="24"/>
          <w:u w:val="single"/>
        </w:rPr>
      </w:pPr>
      <w:r w:rsidRPr="00FD15FE">
        <w:rPr>
          <w:b/>
          <w:iCs/>
          <w:szCs w:val="24"/>
          <w:u w:val="single"/>
        </w:rPr>
        <w:t>Показ</w:t>
      </w:r>
      <w:r w:rsidRPr="00FD15FE">
        <w:rPr>
          <w:b/>
          <w:u w:val="single"/>
        </w:rPr>
        <w:t>ания к ЭСК при острой анемии вследствие массивной кровопотери</w:t>
      </w:r>
    </w:p>
    <w:p w14:paraId="313DD009" w14:textId="77777777" w:rsidR="004569A5" w:rsidRPr="004569A5" w:rsidRDefault="004569A5" w:rsidP="00CE6C1C">
      <w:pPr>
        <w:pStyle w:val="FitzBullet"/>
        <w:numPr>
          <w:ilvl w:val="0"/>
          <w:numId w:val="121"/>
        </w:numPr>
        <w:spacing w:before="0" w:after="0" w:line="360" w:lineRule="auto"/>
        <w:jc w:val="both"/>
        <w:rPr>
          <w:sz w:val="24"/>
          <w:szCs w:val="24"/>
          <w:lang w:val="ru-RU"/>
        </w:rPr>
      </w:pPr>
      <w:r w:rsidRPr="004569A5">
        <w:rPr>
          <w:sz w:val="24"/>
          <w:szCs w:val="24"/>
          <w:lang w:val="ru-RU"/>
        </w:rPr>
        <w:t>Кровопотеря, составляющая 15—30% от объема циркулирующей крови при наличии предшествующей анемии или сопутствующих кардиологических или пульмонологических заболеваниях.</w:t>
      </w:r>
    </w:p>
    <w:p w14:paraId="2B62C5E2" w14:textId="77777777" w:rsidR="004569A5" w:rsidRPr="004569A5" w:rsidRDefault="004569A5" w:rsidP="00CE6C1C">
      <w:pPr>
        <w:pStyle w:val="FitzBullet"/>
        <w:numPr>
          <w:ilvl w:val="0"/>
          <w:numId w:val="121"/>
        </w:numPr>
        <w:spacing w:before="0" w:after="0" w:line="360" w:lineRule="auto"/>
        <w:jc w:val="both"/>
        <w:rPr>
          <w:sz w:val="24"/>
          <w:szCs w:val="24"/>
          <w:lang w:val="ru-RU"/>
        </w:rPr>
      </w:pPr>
      <w:r w:rsidRPr="004569A5">
        <w:rPr>
          <w:sz w:val="24"/>
          <w:szCs w:val="24"/>
          <w:lang w:val="ru-RU"/>
        </w:rPr>
        <w:t>Уровень гемоглобина ниже 70—90 г/л при активном кровотечении.</w:t>
      </w:r>
    </w:p>
    <w:p w14:paraId="074E3610" w14:textId="77777777" w:rsidR="004569A5" w:rsidRPr="004569A5" w:rsidRDefault="004569A5" w:rsidP="00CE6C1C">
      <w:pPr>
        <w:pStyle w:val="FitzBullet"/>
        <w:numPr>
          <w:ilvl w:val="0"/>
          <w:numId w:val="121"/>
        </w:numPr>
        <w:spacing w:before="0" w:after="0" w:line="360" w:lineRule="auto"/>
        <w:jc w:val="both"/>
        <w:rPr>
          <w:sz w:val="24"/>
          <w:szCs w:val="24"/>
          <w:lang w:val="ru-RU"/>
        </w:rPr>
      </w:pPr>
      <w:r w:rsidRPr="004569A5">
        <w:rPr>
          <w:sz w:val="24"/>
          <w:szCs w:val="24"/>
          <w:lang w:val="ru-RU"/>
        </w:rPr>
        <w:t>Уровень гемоглобина &lt; 100 г/л у пациентов с черепно-мозговой травмой, субарахноидальным кровоизлиянием, хронической дыхательной недостаточностью, ишемической болезнью сердца, кардиохирургических пациентов, пожилых пациентов </w:t>
      </w:r>
    </w:p>
    <w:p w14:paraId="5E7CB7D0" w14:textId="77777777" w:rsidR="004569A5" w:rsidRPr="004569A5" w:rsidRDefault="004569A5" w:rsidP="00CE6C1C">
      <w:pPr>
        <w:pStyle w:val="FitzBullet"/>
        <w:numPr>
          <w:ilvl w:val="0"/>
          <w:numId w:val="121"/>
        </w:numPr>
        <w:spacing w:before="0" w:after="0" w:line="360" w:lineRule="auto"/>
        <w:jc w:val="both"/>
        <w:rPr>
          <w:sz w:val="24"/>
          <w:szCs w:val="24"/>
          <w:lang w:val="ru-RU"/>
        </w:rPr>
      </w:pPr>
      <w:r w:rsidRPr="004569A5">
        <w:rPr>
          <w:sz w:val="24"/>
          <w:szCs w:val="24"/>
          <w:lang w:val="ru-RU"/>
        </w:rPr>
        <w:t>Рекомендуется соблюдение формулы 1:1:1, обозначающей должное соотношение эритроцитов, СЗП и тромбоцитов.</w:t>
      </w:r>
    </w:p>
    <w:p w14:paraId="71A482A6" w14:textId="77777777" w:rsidR="004569A5" w:rsidRPr="00FD15FE" w:rsidRDefault="004569A5" w:rsidP="00FD15FE">
      <w:pPr>
        <w:numPr>
          <w:ilvl w:val="0"/>
          <w:numId w:val="124"/>
        </w:numPr>
        <w:spacing w:before="0" w:after="0"/>
        <w:ind w:left="567" w:hanging="567"/>
        <w:rPr>
          <w:b/>
          <w:szCs w:val="24"/>
          <w:lang w:eastAsia="ru-RU"/>
        </w:rPr>
      </w:pPr>
      <w:r w:rsidRPr="00FD15FE">
        <w:rPr>
          <w:b/>
          <w:szCs w:val="24"/>
          <w:lang w:eastAsia="ru-RU"/>
        </w:rPr>
        <w:lastRenderedPageBreak/>
        <w:t>Трансфузии концентрата тромбоцитов</w:t>
      </w:r>
    </w:p>
    <w:p w14:paraId="4F34FD36" w14:textId="77777777" w:rsidR="004569A5" w:rsidRPr="004569A5" w:rsidRDefault="004569A5" w:rsidP="004569A5">
      <w:pPr>
        <w:spacing w:before="0" w:after="0"/>
        <w:ind w:firstLine="360"/>
        <w:contextualSpacing/>
        <w:rPr>
          <w:color w:val="333333"/>
          <w:szCs w:val="24"/>
        </w:rPr>
      </w:pPr>
      <w:r w:rsidRPr="004569A5">
        <w:rPr>
          <w:color w:val="373838"/>
          <w:szCs w:val="24"/>
        </w:rPr>
        <w:t xml:space="preserve">Считается, что </w:t>
      </w:r>
      <w:r w:rsidRPr="004569A5">
        <w:rPr>
          <w:color w:val="333333"/>
          <w:szCs w:val="24"/>
        </w:rPr>
        <w:t>пороговый уровень тромбоцитов у пациентов в стационаре, при котором проводятся профилактические трансфузии концентрата тромбоцитов, составляет 10х10</w:t>
      </w:r>
      <w:r w:rsidRPr="004569A5">
        <w:rPr>
          <w:color w:val="333333"/>
          <w:szCs w:val="24"/>
          <w:vertAlign w:val="superscript"/>
        </w:rPr>
        <w:t>9</w:t>
      </w:r>
      <w:r w:rsidRPr="004569A5">
        <w:rPr>
          <w:color w:val="333333"/>
          <w:szCs w:val="24"/>
        </w:rPr>
        <w:t>/л при условии отсутствия факторов риска кровотечения. Для амбулаторных пациентов это значение может быть увеличено. Медицинские манипуляции, например, установка центрального венозного катетера (ЦВК), являются условием к проведению профилактических трансфузий концентрата тромбоцитов при количестве тромбоцитов в периферической крови 20-30</w:t>
      </w:r>
      <w:r w:rsidRPr="004569A5">
        <w:rPr>
          <w:szCs w:val="24"/>
        </w:rPr>
        <w:t>х</w:t>
      </w:r>
      <w:r w:rsidRPr="004569A5">
        <w:rPr>
          <w:color w:val="333333"/>
          <w:szCs w:val="24"/>
        </w:rPr>
        <w:t>10</w:t>
      </w:r>
      <w:r w:rsidRPr="004569A5">
        <w:rPr>
          <w:color w:val="333333"/>
          <w:szCs w:val="24"/>
          <w:vertAlign w:val="superscript"/>
        </w:rPr>
        <w:t>9</w:t>
      </w:r>
      <w:r w:rsidRPr="004569A5">
        <w:rPr>
          <w:color w:val="333333"/>
          <w:szCs w:val="24"/>
        </w:rPr>
        <w:t>/л и ниже, а перед люмбальной пункцией или объемной операцией пороговый уровень тромбоцитов повышается до 50х10</w:t>
      </w:r>
      <w:r w:rsidRPr="004569A5">
        <w:rPr>
          <w:color w:val="333333"/>
          <w:szCs w:val="24"/>
          <w:vertAlign w:val="superscript"/>
        </w:rPr>
        <w:t>9</w:t>
      </w:r>
      <w:r w:rsidRPr="004569A5">
        <w:rPr>
          <w:color w:val="333333"/>
          <w:szCs w:val="24"/>
        </w:rPr>
        <w:t>/л.</w:t>
      </w:r>
      <w:r w:rsidRPr="004569A5">
        <w:rPr>
          <w:szCs w:val="24"/>
        </w:rPr>
        <w:t xml:space="preserve"> </w:t>
      </w:r>
    </w:p>
    <w:p w14:paraId="4683D0DC" w14:textId="77777777" w:rsidR="004569A5" w:rsidRPr="004569A5" w:rsidRDefault="004569A5" w:rsidP="004569A5">
      <w:pPr>
        <w:spacing w:before="0" w:after="0"/>
        <w:ind w:firstLine="360"/>
        <w:contextualSpacing/>
        <w:rPr>
          <w:szCs w:val="24"/>
        </w:rPr>
      </w:pPr>
      <w:r w:rsidRPr="00FD15FE">
        <w:rPr>
          <w:u w:val="single"/>
        </w:rPr>
        <w:t>Показания к переливанию концентрата тромбоцитов с профилактической целью</w:t>
      </w:r>
      <w:r w:rsidRPr="004569A5">
        <w:rPr>
          <w:szCs w:val="24"/>
        </w:rPr>
        <w:t xml:space="preserve"> приведены в табл. 1.</w:t>
      </w:r>
    </w:p>
    <w:p w14:paraId="49F04F8E" w14:textId="77777777" w:rsidR="004569A5" w:rsidRPr="004569A5" w:rsidRDefault="004569A5" w:rsidP="004569A5">
      <w:pPr>
        <w:spacing w:before="0" w:after="0"/>
        <w:ind w:firstLine="360"/>
        <w:contextualSpacing/>
        <w:rPr>
          <w:szCs w:val="24"/>
        </w:rPr>
      </w:pPr>
      <w:r w:rsidRPr="004569A5">
        <w:rPr>
          <w:bCs/>
          <w:szCs w:val="24"/>
        </w:rPr>
        <w:t>Таблица 1. Показания к переливанию концентрата тромбоцитов</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7"/>
        <w:gridCol w:w="2663"/>
        <w:gridCol w:w="3690"/>
      </w:tblGrid>
      <w:tr w:rsidR="004569A5" w:rsidRPr="004569A5" w14:paraId="4C1D254E" w14:textId="77777777" w:rsidTr="006D503D">
        <w:tc>
          <w:tcPr>
            <w:tcW w:w="3007" w:type="dxa"/>
            <w:vAlign w:val="center"/>
          </w:tcPr>
          <w:p w14:paraId="2328C6F1" w14:textId="77777777" w:rsidR="004569A5" w:rsidRPr="004569A5" w:rsidRDefault="004569A5" w:rsidP="004569A5">
            <w:pPr>
              <w:pStyle w:val="Table-head-italic"/>
              <w:spacing w:line="360" w:lineRule="auto"/>
              <w:jc w:val="both"/>
              <w:rPr>
                <w:i w:val="0"/>
                <w:sz w:val="24"/>
                <w:szCs w:val="24"/>
                <w:lang w:val="ru-RU"/>
              </w:rPr>
            </w:pPr>
            <w:r w:rsidRPr="004569A5">
              <w:rPr>
                <w:i w:val="0"/>
                <w:sz w:val="24"/>
                <w:szCs w:val="24"/>
                <w:lang w:val="ru-RU"/>
              </w:rPr>
              <w:t>Показание</w:t>
            </w:r>
          </w:p>
        </w:tc>
        <w:tc>
          <w:tcPr>
            <w:tcW w:w="2663" w:type="dxa"/>
            <w:vAlign w:val="center"/>
          </w:tcPr>
          <w:p w14:paraId="6E64C28C" w14:textId="77777777" w:rsidR="004569A5" w:rsidRPr="004569A5" w:rsidRDefault="004569A5" w:rsidP="004569A5">
            <w:pPr>
              <w:pStyle w:val="Table-head-italic"/>
              <w:spacing w:line="360" w:lineRule="auto"/>
              <w:jc w:val="both"/>
              <w:rPr>
                <w:i w:val="0"/>
                <w:sz w:val="24"/>
                <w:szCs w:val="24"/>
                <w:lang w:val="ru-RU"/>
              </w:rPr>
            </w:pPr>
            <w:r w:rsidRPr="004569A5">
              <w:rPr>
                <w:i w:val="0"/>
                <w:sz w:val="24"/>
                <w:szCs w:val="24"/>
                <w:lang w:val="ru-RU"/>
              </w:rPr>
              <w:t>Количество тромбоцитов в периферической крови</w:t>
            </w:r>
          </w:p>
        </w:tc>
        <w:tc>
          <w:tcPr>
            <w:tcW w:w="3690" w:type="dxa"/>
            <w:vAlign w:val="center"/>
          </w:tcPr>
          <w:p w14:paraId="2A885B23" w14:textId="77777777" w:rsidR="004569A5" w:rsidRPr="004569A5" w:rsidRDefault="004569A5" w:rsidP="004569A5">
            <w:pPr>
              <w:pStyle w:val="Table-head-italic"/>
              <w:spacing w:line="360" w:lineRule="auto"/>
              <w:jc w:val="both"/>
              <w:rPr>
                <w:i w:val="0"/>
                <w:sz w:val="24"/>
                <w:szCs w:val="24"/>
                <w:lang w:val="ru-RU"/>
              </w:rPr>
            </w:pPr>
            <w:r w:rsidRPr="004569A5">
              <w:rPr>
                <w:i w:val="0"/>
                <w:sz w:val="24"/>
                <w:szCs w:val="24"/>
                <w:lang w:val="ru-RU"/>
              </w:rPr>
              <w:t>Примечания</w:t>
            </w:r>
          </w:p>
        </w:tc>
      </w:tr>
      <w:tr w:rsidR="004569A5" w:rsidRPr="004569A5" w14:paraId="40F27E8F" w14:textId="77777777" w:rsidTr="006D503D">
        <w:tc>
          <w:tcPr>
            <w:tcW w:w="3007" w:type="dxa"/>
          </w:tcPr>
          <w:p w14:paraId="152D0824"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Во время или после химиотерапии, в период миелотоксического агранулоцитоза</w:t>
            </w:r>
          </w:p>
        </w:tc>
        <w:tc>
          <w:tcPr>
            <w:tcW w:w="2663" w:type="dxa"/>
            <w:vAlign w:val="center"/>
          </w:tcPr>
          <w:p w14:paraId="7B9E08A5"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Менее 10 </w:t>
            </w:r>
            <w:r w:rsidRPr="004569A5">
              <w:rPr>
                <w:rFonts w:ascii="Symbol" w:hAnsi="Symbol" w:cs="Symbol"/>
                <w:sz w:val="24"/>
                <w:szCs w:val="24"/>
              </w:rPr>
              <w:t></w:t>
            </w:r>
            <w:r w:rsidRPr="004569A5">
              <w:rPr>
                <w:sz w:val="24"/>
                <w:szCs w:val="24"/>
              </w:rPr>
              <w:t xml:space="preserve"> 10</w:t>
            </w:r>
            <w:r w:rsidRPr="004569A5">
              <w:rPr>
                <w:sz w:val="24"/>
                <w:szCs w:val="24"/>
                <w:vertAlign w:val="superscript"/>
              </w:rPr>
              <w:t>9</w:t>
            </w:r>
            <w:r w:rsidRPr="004569A5">
              <w:rPr>
                <w:sz w:val="24"/>
                <w:szCs w:val="24"/>
              </w:rPr>
              <w:t>/л</w:t>
            </w:r>
          </w:p>
        </w:tc>
        <w:tc>
          <w:tcPr>
            <w:tcW w:w="3690" w:type="dxa"/>
          </w:tcPr>
          <w:p w14:paraId="78BE8B4A"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При синдроме повышенного потребления тромбоцитов* данный порог необходимо повысить</w:t>
            </w:r>
          </w:p>
        </w:tc>
      </w:tr>
      <w:tr w:rsidR="004569A5" w:rsidRPr="004569A5" w14:paraId="0087D700" w14:textId="77777777" w:rsidTr="006D503D">
        <w:tc>
          <w:tcPr>
            <w:tcW w:w="3007" w:type="dxa"/>
          </w:tcPr>
          <w:p w14:paraId="31EE0459"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Установка ЦВК</w:t>
            </w:r>
          </w:p>
        </w:tc>
        <w:tc>
          <w:tcPr>
            <w:tcW w:w="2663" w:type="dxa"/>
            <w:vAlign w:val="center"/>
          </w:tcPr>
          <w:p w14:paraId="1329A05A"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Менее 30 </w:t>
            </w:r>
            <w:r w:rsidRPr="004569A5">
              <w:rPr>
                <w:rFonts w:ascii="Symbol" w:hAnsi="Symbol" w:cs="Symbol"/>
                <w:sz w:val="24"/>
                <w:szCs w:val="24"/>
              </w:rPr>
              <w:t></w:t>
            </w:r>
            <w:r w:rsidRPr="004569A5">
              <w:rPr>
                <w:sz w:val="24"/>
                <w:szCs w:val="24"/>
              </w:rPr>
              <w:t xml:space="preserve"> 10</w:t>
            </w:r>
            <w:r w:rsidRPr="004569A5">
              <w:rPr>
                <w:sz w:val="24"/>
                <w:szCs w:val="24"/>
                <w:vertAlign w:val="superscript"/>
              </w:rPr>
              <w:t>9</w:t>
            </w:r>
            <w:r w:rsidRPr="004569A5">
              <w:rPr>
                <w:sz w:val="24"/>
                <w:szCs w:val="24"/>
              </w:rPr>
              <w:t>/л</w:t>
            </w:r>
          </w:p>
        </w:tc>
        <w:tc>
          <w:tcPr>
            <w:tcW w:w="3690" w:type="dxa"/>
          </w:tcPr>
          <w:p w14:paraId="3EF96441"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w:t>
            </w:r>
          </w:p>
        </w:tc>
      </w:tr>
      <w:tr w:rsidR="004569A5" w:rsidRPr="004569A5" w14:paraId="37BC34D3" w14:textId="77777777" w:rsidTr="006D503D">
        <w:tc>
          <w:tcPr>
            <w:tcW w:w="3007" w:type="dxa"/>
          </w:tcPr>
          <w:p w14:paraId="764FD61E"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Люмбальная пункция</w:t>
            </w:r>
          </w:p>
        </w:tc>
        <w:tc>
          <w:tcPr>
            <w:tcW w:w="2663" w:type="dxa"/>
            <w:vAlign w:val="center"/>
          </w:tcPr>
          <w:p w14:paraId="6FD622CD"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Менее 50 </w:t>
            </w:r>
            <w:r w:rsidRPr="004569A5">
              <w:rPr>
                <w:rFonts w:ascii="Symbol" w:hAnsi="Symbol" w:cs="Symbol"/>
                <w:sz w:val="24"/>
                <w:szCs w:val="24"/>
              </w:rPr>
              <w:t></w:t>
            </w:r>
            <w:r w:rsidRPr="004569A5">
              <w:rPr>
                <w:sz w:val="24"/>
                <w:szCs w:val="24"/>
              </w:rPr>
              <w:t xml:space="preserve"> 10</w:t>
            </w:r>
            <w:r w:rsidRPr="004569A5">
              <w:rPr>
                <w:sz w:val="24"/>
                <w:szCs w:val="24"/>
                <w:vertAlign w:val="superscript"/>
              </w:rPr>
              <w:t>9</w:t>
            </w:r>
            <w:r w:rsidRPr="004569A5">
              <w:rPr>
                <w:sz w:val="24"/>
                <w:szCs w:val="24"/>
              </w:rPr>
              <w:t>/л</w:t>
            </w:r>
          </w:p>
        </w:tc>
        <w:tc>
          <w:tcPr>
            <w:tcW w:w="3690" w:type="dxa"/>
          </w:tcPr>
          <w:p w14:paraId="0501F90E"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w:t>
            </w:r>
          </w:p>
        </w:tc>
      </w:tr>
      <w:tr w:rsidR="004569A5" w:rsidRPr="004569A5" w14:paraId="7297C087" w14:textId="77777777" w:rsidTr="006D503D">
        <w:tc>
          <w:tcPr>
            <w:tcW w:w="3007" w:type="dxa"/>
          </w:tcPr>
          <w:p w14:paraId="4A4358F8"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Объемные операции и малообъемные инвазивные вмешательства</w:t>
            </w:r>
          </w:p>
        </w:tc>
        <w:tc>
          <w:tcPr>
            <w:tcW w:w="2663" w:type="dxa"/>
            <w:vAlign w:val="center"/>
          </w:tcPr>
          <w:p w14:paraId="14B90587"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Менее 50 </w:t>
            </w:r>
            <w:r w:rsidRPr="004569A5">
              <w:rPr>
                <w:rFonts w:ascii="Symbol" w:hAnsi="Symbol" w:cs="Symbol"/>
                <w:sz w:val="24"/>
                <w:szCs w:val="24"/>
              </w:rPr>
              <w:t></w:t>
            </w:r>
            <w:r w:rsidRPr="004569A5">
              <w:rPr>
                <w:sz w:val="24"/>
                <w:szCs w:val="24"/>
              </w:rPr>
              <w:t xml:space="preserve"> 10</w:t>
            </w:r>
            <w:r w:rsidRPr="004569A5">
              <w:rPr>
                <w:sz w:val="24"/>
                <w:szCs w:val="24"/>
                <w:vertAlign w:val="superscript"/>
              </w:rPr>
              <w:t>9</w:t>
            </w:r>
            <w:r w:rsidRPr="004569A5">
              <w:rPr>
                <w:sz w:val="24"/>
                <w:szCs w:val="24"/>
              </w:rPr>
              <w:t>/л</w:t>
            </w:r>
          </w:p>
        </w:tc>
        <w:tc>
          <w:tcPr>
            <w:tcW w:w="3690" w:type="dxa"/>
          </w:tcPr>
          <w:p w14:paraId="1915C0F2"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Помимо профилактической трансфузии, необходимо резервирование концентрата тромбоцитов для проведения операции. Доза определяется массой тела пациента, а количество трансфузий — объемом операции</w:t>
            </w:r>
          </w:p>
        </w:tc>
      </w:tr>
      <w:tr w:rsidR="004569A5" w:rsidRPr="004569A5" w14:paraId="6BE86CD5" w14:textId="77777777" w:rsidTr="006D503D">
        <w:tc>
          <w:tcPr>
            <w:tcW w:w="3007" w:type="dxa"/>
          </w:tcPr>
          <w:p w14:paraId="7E21B280"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ДВС-синдром</w:t>
            </w:r>
          </w:p>
        </w:tc>
        <w:tc>
          <w:tcPr>
            <w:tcW w:w="2663" w:type="dxa"/>
          </w:tcPr>
          <w:p w14:paraId="6DC9D999"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Менее 50 </w:t>
            </w:r>
            <w:r w:rsidRPr="004569A5">
              <w:rPr>
                <w:rFonts w:ascii="Symbol" w:hAnsi="Symbol" w:cs="Symbol"/>
                <w:sz w:val="24"/>
                <w:szCs w:val="24"/>
              </w:rPr>
              <w:t></w:t>
            </w:r>
            <w:r w:rsidRPr="004569A5">
              <w:rPr>
                <w:sz w:val="24"/>
                <w:szCs w:val="24"/>
              </w:rPr>
              <w:t xml:space="preserve"> 10</w:t>
            </w:r>
            <w:r w:rsidRPr="004569A5">
              <w:rPr>
                <w:sz w:val="24"/>
                <w:szCs w:val="24"/>
                <w:vertAlign w:val="superscript"/>
              </w:rPr>
              <w:t>9</w:t>
            </w:r>
            <w:r w:rsidRPr="004569A5">
              <w:rPr>
                <w:sz w:val="24"/>
                <w:szCs w:val="24"/>
              </w:rPr>
              <w:t>/л</w:t>
            </w:r>
          </w:p>
        </w:tc>
        <w:tc>
          <w:tcPr>
            <w:tcW w:w="3690" w:type="dxa"/>
          </w:tcPr>
          <w:p w14:paraId="73ADC195"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Как часть основной терапии ДВС- синдрома</w:t>
            </w:r>
          </w:p>
        </w:tc>
      </w:tr>
    </w:tbl>
    <w:p w14:paraId="4EA42362" w14:textId="77777777" w:rsidR="004569A5" w:rsidRPr="004569A5" w:rsidRDefault="004569A5" w:rsidP="004569A5">
      <w:pPr>
        <w:pStyle w:val="3"/>
        <w:spacing w:before="0"/>
        <w:rPr>
          <w:rFonts w:ascii="Times New Roman" w:hAnsi="Times New Roman" w:cs="Times New Roman"/>
          <w:b w:val="0"/>
          <w:color w:val="auto"/>
          <w:szCs w:val="24"/>
        </w:rPr>
      </w:pPr>
      <w:r w:rsidRPr="004569A5">
        <w:rPr>
          <w:rFonts w:ascii="Times New Roman" w:hAnsi="Times New Roman" w:cs="Times New Roman"/>
          <w:b w:val="0"/>
          <w:color w:val="auto"/>
          <w:szCs w:val="24"/>
        </w:rPr>
        <w:t>* Сепсис, пульмонологические заболевания, лихорадка.</w:t>
      </w:r>
    </w:p>
    <w:p w14:paraId="09EE581F" w14:textId="77777777" w:rsidR="004569A5" w:rsidRPr="00FD15FE" w:rsidRDefault="004569A5" w:rsidP="00FD15FE">
      <w:pPr>
        <w:spacing w:before="0" w:after="0"/>
        <w:rPr>
          <w:b/>
          <w:u w:val="single"/>
        </w:rPr>
      </w:pPr>
      <w:r w:rsidRPr="00FD15FE">
        <w:rPr>
          <w:u w:val="single"/>
        </w:rPr>
        <w:t>Показания к переливанию концентрата тромбоцитов с лечебной целью.</w:t>
      </w:r>
    </w:p>
    <w:p w14:paraId="17B757DC" w14:textId="77777777" w:rsidR="004569A5" w:rsidRPr="004569A5" w:rsidRDefault="004569A5" w:rsidP="004569A5">
      <w:pPr>
        <w:spacing w:before="0" w:after="0"/>
        <w:ind w:firstLine="708"/>
        <w:rPr>
          <w:szCs w:val="24"/>
        </w:rPr>
      </w:pPr>
      <w:r w:rsidRPr="004569A5">
        <w:rPr>
          <w:bCs/>
          <w:szCs w:val="24"/>
        </w:rPr>
        <w:lastRenderedPageBreak/>
        <w:t>Наличие у пациента геморрагического синдрома — прямое показание к переливанию концентрата тромбоцитов независимо от лабораторных показателей. Оценка тяжести геморрагического синдрома проводится по шкале ВОЗ (табл. 2)</w:t>
      </w:r>
      <w:r w:rsidRPr="004569A5">
        <w:rPr>
          <w:szCs w:val="24"/>
        </w:rPr>
        <w:t>.</w:t>
      </w:r>
    </w:p>
    <w:p w14:paraId="6FB2480B" w14:textId="77777777" w:rsidR="004569A5" w:rsidRPr="004569A5" w:rsidRDefault="004569A5" w:rsidP="004569A5">
      <w:pPr>
        <w:spacing w:before="0" w:after="0"/>
        <w:ind w:firstLine="708"/>
        <w:rPr>
          <w:szCs w:val="24"/>
        </w:rPr>
      </w:pPr>
      <w:r w:rsidRPr="004569A5">
        <w:rPr>
          <w:bCs/>
          <w:szCs w:val="24"/>
        </w:rPr>
        <w:t>Таблица 2. Шкала кровотечений по ВОЗ</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21"/>
      </w:tblGrid>
      <w:tr w:rsidR="004569A5" w:rsidRPr="004569A5" w14:paraId="24EE3A8E" w14:textId="77777777" w:rsidTr="006D503D">
        <w:tc>
          <w:tcPr>
            <w:tcW w:w="9121" w:type="dxa"/>
            <w:shd w:val="clear" w:color="auto" w:fill="auto"/>
          </w:tcPr>
          <w:p w14:paraId="2582C5E2" w14:textId="77777777" w:rsidR="004569A5" w:rsidRPr="004569A5" w:rsidRDefault="004569A5" w:rsidP="004569A5">
            <w:pPr>
              <w:pStyle w:val="table-text-1"/>
              <w:spacing w:before="0" w:after="0" w:line="360" w:lineRule="auto"/>
              <w:jc w:val="both"/>
              <w:rPr>
                <w:b/>
                <w:i/>
                <w:sz w:val="24"/>
                <w:szCs w:val="24"/>
              </w:rPr>
            </w:pPr>
            <w:r w:rsidRPr="004569A5">
              <w:rPr>
                <w:sz w:val="24"/>
                <w:szCs w:val="24"/>
              </w:rPr>
              <w:t>1 степень (не требует трансфузии)</w:t>
            </w:r>
          </w:p>
        </w:tc>
      </w:tr>
      <w:tr w:rsidR="004569A5" w:rsidRPr="004569A5" w14:paraId="4D08AF13" w14:textId="77777777" w:rsidTr="006D503D">
        <w:tc>
          <w:tcPr>
            <w:tcW w:w="9121" w:type="dxa"/>
            <w:shd w:val="clear" w:color="auto" w:fill="auto"/>
          </w:tcPr>
          <w:p w14:paraId="6249300D"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Кровоточивость кожи и слизистых, включая полость рта</w:t>
            </w:r>
          </w:p>
          <w:p w14:paraId="2CC55417"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Петехии менее 2 мм</w:t>
            </w:r>
          </w:p>
          <w:p w14:paraId="2937C961"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Пурпура менее 2,54 см в диаметре</w:t>
            </w:r>
          </w:p>
          <w:p w14:paraId="5C354B9A"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Экхимозы (очаги менее 10 см в диаметре)</w:t>
            </w:r>
          </w:p>
          <w:p w14:paraId="03A24A16"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Ротоглоточные кровотечения</w:t>
            </w:r>
          </w:p>
          <w:p w14:paraId="0400DA21"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Кровоизлияния в конъюнктиву</w:t>
            </w:r>
          </w:p>
          <w:p w14:paraId="2FBCD6F1"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Носовые кровотечения продолжительностью менее 1 часа, не требующие вмешательства</w:t>
            </w:r>
          </w:p>
          <w:p w14:paraId="7A8EA2CE"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Аномальные ациклические маточные кровотечения (менее двух прокладок в сутки)</w:t>
            </w:r>
          </w:p>
        </w:tc>
      </w:tr>
      <w:tr w:rsidR="004569A5" w:rsidRPr="004569A5" w14:paraId="382B3445" w14:textId="77777777" w:rsidTr="006D503D">
        <w:tc>
          <w:tcPr>
            <w:tcW w:w="9121" w:type="dxa"/>
            <w:shd w:val="clear" w:color="auto" w:fill="auto"/>
          </w:tcPr>
          <w:p w14:paraId="61313781" w14:textId="77777777" w:rsidR="004569A5" w:rsidRPr="004569A5" w:rsidRDefault="004569A5" w:rsidP="004569A5">
            <w:pPr>
              <w:pStyle w:val="table-text-1"/>
              <w:spacing w:before="0" w:after="0" w:line="360" w:lineRule="auto"/>
              <w:jc w:val="both"/>
              <w:rPr>
                <w:sz w:val="24"/>
                <w:szCs w:val="24"/>
              </w:rPr>
            </w:pPr>
            <w:r w:rsidRPr="004569A5">
              <w:rPr>
                <w:sz w:val="24"/>
                <w:szCs w:val="24"/>
              </w:rPr>
              <w:t>2 степень (в основном не требуют трансфузии)</w:t>
            </w:r>
          </w:p>
        </w:tc>
      </w:tr>
      <w:tr w:rsidR="004569A5" w:rsidRPr="004569A5" w14:paraId="5167B9E2" w14:textId="77777777" w:rsidTr="006D503D">
        <w:tc>
          <w:tcPr>
            <w:tcW w:w="9121" w:type="dxa"/>
            <w:shd w:val="clear" w:color="auto" w:fill="auto"/>
          </w:tcPr>
          <w:p w14:paraId="6C80FDD3"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Экхимозы (более 10 см в диаметре)</w:t>
            </w:r>
          </w:p>
          <w:p w14:paraId="2B9681C9"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Гематомы</w:t>
            </w:r>
          </w:p>
          <w:p w14:paraId="47FDD8B5"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Носовые кровотечения продолжительностью более 1 часа или требующие тампонады</w:t>
            </w:r>
          </w:p>
          <w:p w14:paraId="706F65AD"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Кровоизлияния в сетчатку без ухудшения зрения</w:t>
            </w:r>
          </w:p>
          <w:p w14:paraId="7C9C9A73"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Аномальные ациклические маточные кровотечения (более двух прокладок в сутки)</w:t>
            </w:r>
          </w:p>
          <w:p w14:paraId="1EDE30AE"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Мелена, рвота с кровью, кровохарканье, гематурия, стул с кровью</w:t>
            </w:r>
          </w:p>
          <w:p w14:paraId="4CFE4346"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Кровотечения после инвазивных вмешательств, мышечно-суставные кровоизлияния</w:t>
            </w:r>
          </w:p>
        </w:tc>
      </w:tr>
      <w:tr w:rsidR="004569A5" w:rsidRPr="004569A5" w14:paraId="6F026F1A" w14:textId="77777777" w:rsidTr="006D503D">
        <w:tc>
          <w:tcPr>
            <w:tcW w:w="9121" w:type="dxa"/>
            <w:shd w:val="clear" w:color="auto" w:fill="auto"/>
          </w:tcPr>
          <w:p w14:paraId="1352EAB2" w14:textId="77777777" w:rsidR="004569A5" w:rsidRPr="004569A5" w:rsidRDefault="004569A5" w:rsidP="004569A5">
            <w:pPr>
              <w:pStyle w:val="table-text-1"/>
              <w:spacing w:before="0" w:after="0" w:line="360" w:lineRule="auto"/>
              <w:jc w:val="both"/>
              <w:rPr>
                <w:b/>
                <w:i/>
                <w:sz w:val="24"/>
                <w:szCs w:val="24"/>
              </w:rPr>
            </w:pPr>
            <w:r w:rsidRPr="004569A5">
              <w:rPr>
                <w:sz w:val="24"/>
                <w:szCs w:val="24"/>
              </w:rPr>
              <w:t>3 степень (требуют трансфузии)</w:t>
            </w:r>
          </w:p>
        </w:tc>
      </w:tr>
      <w:tr w:rsidR="004569A5" w:rsidRPr="004569A5" w14:paraId="3F35C376" w14:textId="77777777" w:rsidTr="006D503D">
        <w:tc>
          <w:tcPr>
            <w:tcW w:w="9121" w:type="dxa"/>
            <w:shd w:val="clear" w:color="auto" w:fill="auto"/>
          </w:tcPr>
          <w:p w14:paraId="4B6D1A60"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Мелена</w:t>
            </w:r>
          </w:p>
          <w:p w14:paraId="3399BE4D"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Рвота с кровью</w:t>
            </w:r>
          </w:p>
          <w:p w14:paraId="2C265941"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Кровохарканье</w:t>
            </w:r>
          </w:p>
          <w:p w14:paraId="563ADED0"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 xml:space="preserve">Гематурия, включая непрекращающееся кровотечение без свертывания </w:t>
            </w:r>
          </w:p>
          <w:p w14:paraId="2B82C75A"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Аномальные маточные кровотечения</w:t>
            </w:r>
          </w:p>
          <w:p w14:paraId="53268FDA"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Стул с кровью</w:t>
            </w:r>
          </w:p>
          <w:p w14:paraId="096974F7"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 xml:space="preserve">Носовое кровотечение </w:t>
            </w:r>
          </w:p>
          <w:p w14:paraId="2DB8E83F"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Ротоглоточное кровотечение</w:t>
            </w:r>
          </w:p>
          <w:p w14:paraId="29B27B6D"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Кровотечения после инвазивных вмешательств, мышечно-суставные кровоизлияния или кровоизлияния в мягкие ткани</w:t>
            </w:r>
          </w:p>
        </w:tc>
      </w:tr>
      <w:tr w:rsidR="004569A5" w:rsidRPr="004569A5" w14:paraId="4EE3FA2C" w14:textId="77777777" w:rsidTr="006D503D">
        <w:tc>
          <w:tcPr>
            <w:tcW w:w="9121" w:type="dxa"/>
            <w:shd w:val="clear" w:color="auto" w:fill="auto"/>
          </w:tcPr>
          <w:p w14:paraId="0C986EEC" w14:textId="77777777" w:rsidR="004569A5" w:rsidRPr="004569A5" w:rsidRDefault="004569A5" w:rsidP="004569A5">
            <w:pPr>
              <w:pStyle w:val="table-text-1"/>
              <w:spacing w:before="0" w:after="0" w:line="360" w:lineRule="auto"/>
              <w:jc w:val="both"/>
              <w:rPr>
                <w:b/>
                <w:i/>
                <w:sz w:val="24"/>
                <w:szCs w:val="24"/>
              </w:rPr>
            </w:pPr>
            <w:r w:rsidRPr="004569A5">
              <w:rPr>
                <w:sz w:val="24"/>
                <w:szCs w:val="24"/>
              </w:rPr>
              <w:t>4 степень (требуют трансфузии)</w:t>
            </w:r>
          </w:p>
        </w:tc>
      </w:tr>
      <w:tr w:rsidR="004569A5" w:rsidRPr="004569A5" w14:paraId="57D28994" w14:textId="77777777" w:rsidTr="006D503D">
        <w:tc>
          <w:tcPr>
            <w:tcW w:w="9121" w:type="dxa"/>
            <w:shd w:val="clear" w:color="auto" w:fill="auto"/>
          </w:tcPr>
          <w:p w14:paraId="1B014ACB"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lastRenderedPageBreak/>
              <w:t>Кровоизлияния в сетчатку с нарушением зрения</w:t>
            </w:r>
          </w:p>
          <w:p w14:paraId="1B9F1B4D"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Нефатальные кровоизлияния в ЦНС с неврологической симптоматикой</w:t>
            </w:r>
          </w:p>
          <w:p w14:paraId="41E70C60"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Фатальные кровотечения вне зависимости от источника</w:t>
            </w:r>
          </w:p>
        </w:tc>
      </w:tr>
    </w:tbl>
    <w:p w14:paraId="42F4D047" w14:textId="77777777" w:rsidR="004569A5" w:rsidRPr="00FD15FE" w:rsidRDefault="004569A5" w:rsidP="00FD15FE">
      <w:pPr>
        <w:spacing w:after="0"/>
        <w:rPr>
          <w:b/>
          <w:u w:val="single"/>
        </w:rPr>
      </w:pPr>
      <w:r w:rsidRPr="00FD15FE">
        <w:rPr>
          <w:b/>
          <w:u w:val="single"/>
        </w:rPr>
        <w:t>Расчет дозы концентрата тромбоцитов для трансфузий</w:t>
      </w:r>
    </w:p>
    <w:p w14:paraId="44E701A5" w14:textId="77777777" w:rsidR="004569A5" w:rsidRPr="004569A5" w:rsidRDefault="004569A5" w:rsidP="004569A5">
      <w:pPr>
        <w:spacing w:before="0" w:after="0"/>
        <w:ind w:firstLine="708"/>
        <w:rPr>
          <w:szCs w:val="24"/>
        </w:rPr>
      </w:pPr>
      <w:r w:rsidRPr="004569A5">
        <w:rPr>
          <w:rFonts w:eastAsia="Times New Roman"/>
          <w:szCs w:val="24"/>
        </w:rPr>
        <w:t>Количество концентрата тромбоцитов для трансфузии необходимо использовать из расчета 50-70х</w:t>
      </w:r>
      <w:r w:rsidRPr="004569A5">
        <w:rPr>
          <w:szCs w:val="24"/>
        </w:rPr>
        <w:t>10</w:t>
      </w:r>
      <w:r w:rsidRPr="004569A5">
        <w:rPr>
          <w:szCs w:val="24"/>
          <w:vertAlign w:val="superscript"/>
        </w:rPr>
        <w:t>9</w:t>
      </w:r>
      <w:r w:rsidRPr="004569A5">
        <w:rPr>
          <w:szCs w:val="24"/>
        </w:rPr>
        <w:t xml:space="preserve"> тромбоцитов на 10 кг массы тела реципиента или 200-2</w:t>
      </w:r>
      <w:r w:rsidRPr="004569A5">
        <w:rPr>
          <w:rFonts w:eastAsia="Times New Roman"/>
          <w:szCs w:val="24"/>
        </w:rPr>
        <w:t>50х</w:t>
      </w:r>
      <w:r w:rsidRPr="004569A5">
        <w:rPr>
          <w:szCs w:val="24"/>
        </w:rPr>
        <w:t>10</w:t>
      </w:r>
      <w:r w:rsidRPr="004569A5">
        <w:rPr>
          <w:szCs w:val="24"/>
          <w:vertAlign w:val="superscript"/>
        </w:rPr>
        <w:t>9</w:t>
      </w:r>
      <w:r w:rsidRPr="004569A5">
        <w:rPr>
          <w:szCs w:val="24"/>
        </w:rPr>
        <w:t xml:space="preserve"> тромбоцитов на 1м</w:t>
      </w:r>
      <w:r w:rsidRPr="004569A5">
        <w:rPr>
          <w:szCs w:val="24"/>
          <w:vertAlign w:val="superscript"/>
        </w:rPr>
        <w:t>2</w:t>
      </w:r>
      <w:r w:rsidRPr="004569A5">
        <w:rPr>
          <w:szCs w:val="24"/>
        </w:rPr>
        <w:t xml:space="preserve"> поверхности тела реципиента.</w:t>
      </w:r>
    </w:p>
    <w:p w14:paraId="6D36E637" w14:textId="77777777" w:rsidR="004569A5" w:rsidRPr="004569A5" w:rsidRDefault="004569A5" w:rsidP="004569A5">
      <w:pPr>
        <w:spacing w:before="0" w:after="0"/>
        <w:ind w:firstLine="708"/>
        <w:rPr>
          <w:szCs w:val="24"/>
        </w:rPr>
      </w:pPr>
      <w:r w:rsidRPr="004569A5">
        <w:rPr>
          <w:szCs w:val="24"/>
        </w:rPr>
        <w:t xml:space="preserve">Оптимальная доза для лечебных трансфузий — спорный вопрос; на основании общего консенсуса, терапевтические трансфузии должны увеличить количество тромбоцитов до уровня, обеспечивающего адекватный гемостаз. </w:t>
      </w:r>
    </w:p>
    <w:p w14:paraId="6E2AAC90" w14:textId="77777777" w:rsidR="004569A5" w:rsidRPr="00FD15FE" w:rsidRDefault="004569A5" w:rsidP="00FD15FE">
      <w:pPr>
        <w:rPr>
          <w:u w:val="single"/>
        </w:rPr>
      </w:pPr>
      <w:r w:rsidRPr="00FD15FE">
        <w:rPr>
          <w:u w:val="single"/>
        </w:rPr>
        <w:t>Критерии эффективности трансфузий концентрата тромбоцитов</w:t>
      </w:r>
    </w:p>
    <w:p w14:paraId="762AEF65" w14:textId="77777777" w:rsidR="004569A5" w:rsidRPr="004569A5" w:rsidRDefault="004569A5" w:rsidP="004569A5">
      <w:pPr>
        <w:spacing w:before="0" w:after="0"/>
        <w:ind w:firstLine="708"/>
        <w:contextualSpacing/>
        <w:rPr>
          <w:szCs w:val="24"/>
          <w:lang w:eastAsia="ru-RU"/>
        </w:rPr>
      </w:pPr>
      <w:r w:rsidRPr="004569A5">
        <w:rPr>
          <w:i/>
          <w:szCs w:val="24"/>
          <w:lang w:eastAsia="ru-RU"/>
        </w:rPr>
        <w:t xml:space="preserve">Клиническими критериями </w:t>
      </w:r>
      <w:r w:rsidRPr="004569A5">
        <w:rPr>
          <w:szCs w:val="24"/>
          <w:lang w:eastAsia="ru-RU"/>
        </w:rPr>
        <w:t>эффективности трансфузии концентрата тромбоцитов являются прекращение или уменьшение выраженности спонтанной кровоточивости, отсутствие свежих геморрагий на коже и видимых слизистых.</w:t>
      </w:r>
    </w:p>
    <w:p w14:paraId="682EE2DC" w14:textId="77777777" w:rsidR="004569A5" w:rsidRPr="004569A5" w:rsidRDefault="004569A5" w:rsidP="004569A5">
      <w:pPr>
        <w:spacing w:before="0" w:after="0"/>
        <w:ind w:firstLine="708"/>
        <w:contextualSpacing/>
        <w:rPr>
          <w:szCs w:val="24"/>
          <w:lang w:eastAsia="ru-RU"/>
        </w:rPr>
      </w:pPr>
      <w:r w:rsidRPr="004569A5">
        <w:rPr>
          <w:i/>
          <w:szCs w:val="24"/>
          <w:lang w:eastAsia="ru-RU"/>
        </w:rPr>
        <w:t>Лабораторными критериями</w:t>
      </w:r>
      <w:r w:rsidRPr="004569A5">
        <w:rPr>
          <w:szCs w:val="24"/>
          <w:lang w:eastAsia="ru-RU"/>
        </w:rPr>
        <w:t xml:space="preserve"> эффективности переливания тромбоцитов являются увеличение количества циркулирующих тромбоцитов — абсолютный прирост тромбоцитов (АПТ) или скорректированный прирост тромбоцитов (СПТ) через 1 час и 18—24 ч после окончания трансфузии, а также показатели максимальной амплитуды на тромбоэластограмме.</w:t>
      </w:r>
    </w:p>
    <w:p w14:paraId="69C204C9" w14:textId="77777777" w:rsidR="004569A5" w:rsidRPr="004569A5" w:rsidRDefault="004569A5" w:rsidP="004569A5">
      <w:pPr>
        <w:spacing w:before="0" w:after="0"/>
        <w:ind w:firstLine="708"/>
        <w:contextualSpacing/>
        <w:rPr>
          <w:bCs/>
          <w:szCs w:val="24"/>
        </w:rPr>
      </w:pPr>
      <w:r w:rsidRPr="004569A5">
        <w:rPr>
          <w:color w:val="000000"/>
          <w:szCs w:val="24"/>
        </w:rPr>
        <w:t xml:space="preserve">Трансфузию считают эффективной, если абсолютный прирост тромбоцитов через 1 час составил </w:t>
      </w:r>
      <w:r w:rsidRPr="004569A5">
        <w:rPr>
          <w:szCs w:val="24"/>
        </w:rPr>
        <w:t>10х10</w:t>
      </w:r>
      <w:r w:rsidRPr="004569A5">
        <w:rPr>
          <w:szCs w:val="24"/>
          <w:vertAlign w:val="superscript"/>
        </w:rPr>
        <w:t>9</w:t>
      </w:r>
      <w:r w:rsidRPr="004569A5">
        <w:rPr>
          <w:szCs w:val="24"/>
        </w:rPr>
        <w:t xml:space="preserve">/л от исходного уровня. </w:t>
      </w:r>
      <w:r w:rsidRPr="004569A5">
        <w:rPr>
          <w:bCs/>
          <w:szCs w:val="24"/>
        </w:rPr>
        <w:t>Для стандартизации оценки эффективности трансфузий скорректированный прирост тромбоцитов рассчитывается по формуле и выражается в расчетных единицах (РЕ):</w:t>
      </w:r>
    </w:p>
    <w:p w14:paraId="533E7E51" w14:textId="77777777" w:rsidR="004569A5" w:rsidRPr="004569A5" w:rsidRDefault="004569A5" w:rsidP="004569A5">
      <w:pPr>
        <w:pStyle w:val="formula"/>
        <w:spacing w:before="0" w:after="0" w:line="360" w:lineRule="auto"/>
        <w:jc w:val="both"/>
        <w:rPr>
          <w:sz w:val="24"/>
          <w:szCs w:val="24"/>
        </w:rPr>
      </w:pPr>
      <w:r w:rsidRPr="004569A5">
        <w:rPr>
          <w:sz w:val="24"/>
          <w:szCs w:val="24"/>
        </w:rPr>
        <w:t>СПТ = (АПТ х площадь поверхности тела, м</w:t>
      </w:r>
      <w:r w:rsidRPr="004569A5">
        <w:rPr>
          <w:sz w:val="24"/>
          <w:szCs w:val="24"/>
          <w:vertAlign w:val="superscript"/>
        </w:rPr>
        <w:t>2</w:t>
      </w:r>
      <w:r w:rsidRPr="004569A5">
        <w:rPr>
          <w:sz w:val="24"/>
          <w:szCs w:val="24"/>
        </w:rPr>
        <w:t>) / количество перелитых тромбоцитов х 10</w:t>
      </w:r>
      <w:r w:rsidRPr="004569A5">
        <w:rPr>
          <w:sz w:val="24"/>
          <w:szCs w:val="24"/>
          <w:vertAlign w:val="superscript"/>
        </w:rPr>
        <w:t>11</w:t>
      </w:r>
    </w:p>
    <w:p w14:paraId="1F80C777" w14:textId="77777777" w:rsidR="004569A5" w:rsidRPr="004569A5" w:rsidRDefault="004569A5" w:rsidP="004569A5">
      <w:pPr>
        <w:spacing w:before="0" w:after="0"/>
        <w:ind w:firstLine="227"/>
        <w:contextualSpacing/>
        <w:rPr>
          <w:szCs w:val="24"/>
        </w:rPr>
      </w:pPr>
      <w:r w:rsidRPr="004569A5">
        <w:rPr>
          <w:szCs w:val="24"/>
        </w:rPr>
        <w:t xml:space="preserve">Трансфузию считают эффективной, если СПТ через 1 час составил &gt; 7,5 РЕ, а СПТ через 24 ч &gt; 4,5 РЕ. </w:t>
      </w:r>
      <w:r w:rsidRPr="004569A5">
        <w:rPr>
          <w:szCs w:val="24"/>
          <w:lang w:eastAsia="ru-RU"/>
        </w:rPr>
        <w:t xml:space="preserve">В случае неэффективности трансфузий необходимо определить возможные причины. При возникновении рефрактерности к трансфузиям или наличия в анамнезе посттрансфузионных реакций и осложнений показан индивидуальный подбор тромбоцитов донора, применение плазмафереза (см. Приложение </w:t>
      </w:r>
      <w:r w:rsidRPr="004569A5">
        <w:rPr>
          <w:szCs w:val="24"/>
        </w:rPr>
        <w:t>«Лечебный цитаферез и плазмаферез при гематологических заболеваниях»</w:t>
      </w:r>
      <w:r w:rsidRPr="004569A5">
        <w:rPr>
          <w:szCs w:val="24"/>
          <w:lang w:eastAsia="ru-RU"/>
        </w:rPr>
        <w:t>).</w:t>
      </w:r>
    </w:p>
    <w:p w14:paraId="2A70D222" w14:textId="77777777" w:rsidR="004569A5" w:rsidRPr="00FD15FE" w:rsidRDefault="004569A5" w:rsidP="00FD15FE">
      <w:pPr>
        <w:numPr>
          <w:ilvl w:val="0"/>
          <w:numId w:val="124"/>
        </w:numPr>
        <w:spacing w:before="0" w:after="0"/>
        <w:ind w:left="567" w:hanging="567"/>
        <w:rPr>
          <w:b/>
          <w:szCs w:val="24"/>
          <w:lang w:eastAsia="ru-RU"/>
        </w:rPr>
      </w:pPr>
      <w:r w:rsidRPr="00FD15FE">
        <w:rPr>
          <w:b/>
          <w:szCs w:val="24"/>
          <w:lang w:eastAsia="ru-RU"/>
        </w:rPr>
        <w:t>Трансфузии СЗП</w:t>
      </w:r>
    </w:p>
    <w:p w14:paraId="453A3B24" w14:textId="77777777" w:rsidR="004569A5" w:rsidRPr="00FD15FE" w:rsidRDefault="004569A5" w:rsidP="00FD15FE">
      <w:pPr>
        <w:rPr>
          <w:b/>
          <w:u w:val="single"/>
        </w:rPr>
      </w:pPr>
      <w:r w:rsidRPr="00FD15FE">
        <w:rPr>
          <w:u w:val="single"/>
        </w:rPr>
        <w:t>Показания к переливанию СЗП:</w:t>
      </w:r>
    </w:p>
    <w:p w14:paraId="65FBB748" w14:textId="77777777" w:rsidR="004569A5" w:rsidRPr="004569A5" w:rsidRDefault="004569A5" w:rsidP="00CE6C1C">
      <w:pPr>
        <w:pStyle w:val="FitzBullet"/>
        <w:numPr>
          <w:ilvl w:val="0"/>
          <w:numId w:val="122"/>
        </w:numPr>
        <w:spacing w:before="0" w:after="0" w:line="360" w:lineRule="auto"/>
        <w:ind w:left="0" w:firstLine="360"/>
        <w:jc w:val="both"/>
        <w:rPr>
          <w:sz w:val="24"/>
          <w:szCs w:val="24"/>
          <w:lang w:val="ru-RU"/>
        </w:rPr>
      </w:pPr>
      <w:r w:rsidRPr="004569A5">
        <w:rPr>
          <w:sz w:val="24"/>
          <w:szCs w:val="24"/>
          <w:lang w:val="ru-RU"/>
        </w:rPr>
        <w:lastRenderedPageBreak/>
        <w:t>Экстренная реверсия действия непрямых антикоагулянтов (варфарин); переливают СЗП из расчета 5—8 мл/кг.</w:t>
      </w:r>
    </w:p>
    <w:p w14:paraId="04B331E2" w14:textId="77777777" w:rsidR="004569A5" w:rsidRPr="004569A5" w:rsidRDefault="004569A5" w:rsidP="00CE6C1C">
      <w:pPr>
        <w:pStyle w:val="FitzBullet"/>
        <w:numPr>
          <w:ilvl w:val="0"/>
          <w:numId w:val="122"/>
        </w:numPr>
        <w:spacing w:before="0" w:after="0" w:line="360" w:lineRule="auto"/>
        <w:ind w:left="0" w:firstLine="360"/>
        <w:jc w:val="both"/>
        <w:rPr>
          <w:sz w:val="24"/>
          <w:szCs w:val="24"/>
          <w:lang w:val="ru-RU"/>
        </w:rPr>
      </w:pPr>
      <w:r w:rsidRPr="004569A5">
        <w:rPr>
          <w:sz w:val="24"/>
          <w:szCs w:val="24"/>
          <w:lang w:val="ru-RU"/>
        </w:rPr>
        <w:t>Коррекция дефицита известного фактора свертывания, для которого нет в наличии специфического концентрата. Для достижения 30% концентрации факторов в плазме необходимо переливать СЗП в количестве 10—15 мл/кг.</w:t>
      </w:r>
    </w:p>
    <w:p w14:paraId="698D4DB7" w14:textId="77777777" w:rsidR="004569A5" w:rsidRPr="004569A5" w:rsidRDefault="004569A5" w:rsidP="00CE6C1C">
      <w:pPr>
        <w:pStyle w:val="FitzBullet"/>
        <w:numPr>
          <w:ilvl w:val="0"/>
          <w:numId w:val="122"/>
        </w:numPr>
        <w:spacing w:before="0" w:after="0" w:line="360" w:lineRule="auto"/>
        <w:ind w:left="0" w:firstLine="360"/>
        <w:jc w:val="both"/>
        <w:rPr>
          <w:sz w:val="24"/>
          <w:szCs w:val="24"/>
          <w:lang w:val="ru-RU"/>
        </w:rPr>
      </w:pPr>
      <w:r w:rsidRPr="004569A5">
        <w:rPr>
          <w:sz w:val="24"/>
          <w:szCs w:val="24"/>
          <w:lang w:val="ru-RU"/>
        </w:rPr>
        <w:t>Коррекция геморрагического синдрома при увеличении (&gt; 1,5 раз по сравнению с нормой) ПВ или АЧТВ.</w:t>
      </w:r>
    </w:p>
    <w:p w14:paraId="6CEB6289" w14:textId="77777777" w:rsidR="004569A5" w:rsidRPr="004569A5" w:rsidRDefault="004569A5" w:rsidP="00CE6C1C">
      <w:pPr>
        <w:pStyle w:val="FitzBullet"/>
        <w:numPr>
          <w:ilvl w:val="0"/>
          <w:numId w:val="122"/>
        </w:numPr>
        <w:spacing w:before="0" w:after="0" w:line="360" w:lineRule="auto"/>
        <w:ind w:left="0" w:firstLine="360"/>
        <w:jc w:val="both"/>
        <w:rPr>
          <w:sz w:val="24"/>
          <w:szCs w:val="24"/>
          <w:lang w:val="ru-RU"/>
        </w:rPr>
      </w:pPr>
      <w:r w:rsidRPr="004569A5">
        <w:rPr>
          <w:sz w:val="24"/>
          <w:szCs w:val="24"/>
          <w:lang w:val="ru-RU"/>
        </w:rPr>
        <w:t>Возмещение объема при проведении плазмафереза.</w:t>
      </w:r>
    </w:p>
    <w:p w14:paraId="1D3001AE" w14:textId="77777777" w:rsidR="004569A5" w:rsidRPr="004569A5" w:rsidRDefault="004569A5" w:rsidP="00CE6C1C">
      <w:pPr>
        <w:pStyle w:val="FitzBullet"/>
        <w:numPr>
          <w:ilvl w:val="0"/>
          <w:numId w:val="122"/>
        </w:numPr>
        <w:spacing w:before="0" w:after="0" w:line="360" w:lineRule="auto"/>
        <w:ind w:left="0" w:firstLine="360"/>
        <w:jc w:val="both"/>
        <w:rPr>
          <w:sz w:val="24"/>
          <w:szCs w:val="24"/>
          <w:lang w:val="ru-RU"/>
        </w:rPr>
      </w:pPr>
      <w:r w:rsidRPr="004569A5">
        <w:rPr>
          <w:sz w:val="24"/>
          <w:szCs w:val="24"/>
          <w:lang w:val="ru-RU"/>
        </w:rPr>
        <w:t>Дефицит антитромбина III в ходе терапии аспарагиназой. СЗП вводят в дозе 3—3,5 мл/кг/сут.</w:t>
      </w:r>
    </w:p>
    <w:p w14:paraId="56EEC780" w14:textId="77777777" w:rsidR="004569A5" w:rsidRPr="00FD15FE" w:rsidRDefault="004569A5" w:rsidP="00FD15FE">
      <w:pPr>
        <w:rPr>
          <w:b/>
          <w:u w:val="single"/>
        </w:rPr>
      </w:pPr>
      <w:r w:rsidRPr="00FD15FE">
        <w:rPr>
          <w:u w:val="single"/>
        </w:rPr>
        <w:t>Показания к переливанию криопреципитата</w:t>
      </w:r>
    </w:p>
    <w:p w14:paraId="3D20A1F2" w14:textId="77777777" w:rsidR="004569A5" w:rsidRPr="004569A5" w:rsidRDefault="004569A5" w:rsidP="00CE6C1C">
      <w:pPr>
        <w:pStyle w:val="FitzBullet"/>
        <w:numPr>
          <w:ilvl w:val="0"/>
          <w:numId w:val="123"/>
        </w:numPr>
        <w:spacing w:before="0" w:after="0" w:line="360" w:lineRule="auto"/>
        <w:ind w:left="0" w:firstLine="360"/>
        <w:jc w:val="both"/>
        <w:rPr>
          <w:sz w:val="24"/>
          <w:szCs w:val="24"/>
          <w:lang w:val="ru-RU"/>
        </w:rPr>
      </w:pPr>
      <w:r w:rsidRPr="004569A5">
        <w:rPr>
          <w:sz w:val="24"/>
          <w:szCs w:val="24"/>
          <w:lang w:val="ru-RU"/>
        </w:rPr>
        <w:t>Гипофибриногенемия (&lt; 1 г/л).</w:t>
      </w:r>
    </w:p>
    <w:p w14:paraId="7B8E26FD" w14:textId="77777777" w:rsidR="004569A5" w:rsidRPr="004569A5" w:rsidRDefault="004569A5" w:rsidP="00CE6C1C">
      <w:pPr>
        <w:pStyle w:val="FitzBullet"/>
        <w:numPr>
          <w:ilvl w:val="0"/>
          <w:numId w:val="123"/>
        </w:numPr>
        <w:spacing w:before="0" w:after="0" w:line="360" w:lineRule="auto"/>
        <w:ind w:left="0" w:firstLine="360"/>
        <w:jc w:val="both"/>
        <w:rPr>
          <w:sz w:val="24"/>
          <w:szCs w:val="24"/>
          <w:lang w:val="ru-RU"/>
        </w:rPr>
      </w:pPr>
      <w:r w:rsidRPr="004569A5">
        <w:rPr>
          <w:sz w:val="24"/>
          <w:szCs w:val="24"/>
          <w:lang w:val="ru-RU"/>
        </w:rPr>
        <w:t>Периоперационный период или массивные кровотечения при уровне фибриногена &lt; 1,5 г/л.</w:t>
      </w:r>
    </w:p>
    <w:p w14:paraId="177AABFA" w14:textId="77777777" w:rsidR="004569A5" w:rsidRPr="004569A5" w:rsidRDefault="004569A5" w:rsidP="004569A5">
      <w:pPr>
        <w:spacing w:before="0" w:after="0"/>
        <w:ind w:firstLine="360"/>
        <w:rPr>
          <w:szCs w:val="24"/>
        </w:rPr>
      </w:pPr>
      <w:r w:rsidRPr="004569A5">
        <w:rPr>
          <w:szCs w:val="24"/>
        </w:rPr>
        <w:t xml:space="preserve">Расчетная доза </w:t>
      </w:r>
      <w:r w:rsidRPr="004569A5">
        <w:rPr>
          <w:iCs/>
          <w:szCs w:val="24"/>
        </w:rPr>
        <w:t>криопреципитата</w:t>
      </w:r>
      <w:r w:rsidRPr="004569A5">
        <w:rPr>
          <w:szCs w:val="24"/>
        </w:rPr>
        <w:t xml:space="preserve"> составляет 1 ед на 5 кг массы тела пациента или 15—20 ед при массе тела 70 кг. В 1 единице содержится: фибриногена не менее 140 мг, FVIII — не менее 70 МЕ.</w:t>
      </w:r>
    </w:p>
    <w:p w14:paraId="5824573B" w14:textId="77777777" w:rsidR="004569A5" w:rsidRPr="00FD15FE" w:rsidRDefault="004569A5" w:rsidP="00FD15FE">
      <w:pPr>
        <w:rPr>
          <w:b/>
          <w:u w:val="single"/>
        </w:rPr>
      </w:pPr>
      <w:r w:rsidRPr="00FD15FE">
        <w:rPr>
          <w:u w:val="single"/>
        </w:rPr>
        <w:t xml:space="preserve">Качество компонентов крови, применяемых при сопроводительной терапии гематологических пациентов </w:t>
      </w:r>
    </w:p>
    <w:p w14:paraId="0533623B" w14:textId="67250BDC" w:rsidR="004569A5" w:rsidRPr="004569A5" w:rsidRDefault="004569A5" w:rsidP="004569A5">
      <w:pPr>
        <w:spacing w:before="0" w:after="0"/>
        <w:ind w:firstLine="360"/>
        <w:rPr>
          <w:szCs w:val="24"/>
        </w:rPr>
      </w:pPr>
      <w:r w:rsidRPr="004569A5">
        <w:rPr>
          <w:szCs w:val="24"/>
        </w:rPr>
        <w:t>При гематологических заболеваниях с известными показаниями к неоднократным трансфузиям компонентов крови, с целью профилактики нежелательных реакций и осложнений, связанных с трансфузиями, рекомендуется использование компонентов крови со следующими характеристиками:</w:t>
      </w:r>
    </w:p>
    <w:p w14:paraId="1F4C2536" w14:textId="77777777" w:rsidR="004569A5" w:rsidRPr="004569A5" w:rsidRDefault="004569A5" w:rsidP="00CE6C1C">
      <w:pPr>
        <w:pStyle w:val="FitzBullet"/>
        <w:numPr>
          <w:ilvl w:val="0"/>
          <w:numId w:val="119"/>
        </w:numPr>
        <w:spacing w:before="0" w:after="0" w:line="360" w:lineRule="auto"/>
        <w:ind w:left="0" w:firstLine="360"/>
        <w:jc w:val="both"/>
        <w:rPr>
          <w:sz w:val="24"/>
          <w:szCs w:val="24"/>
          <w:lang w:val="ru-RU"/>
        </w:rPr>
      </w:pPr>
      <w:r w:rsidRPr="004569A5">
        <w:rPr>
          <w:sz w:val="24"/>
          <w:szCs w:val="24"/>
          <w:lang w:val="ru-RU"/>
        </w:rPr>
        <w:t>Лейкоредуцированные — содержание лейкоцитов в дозе переливаемой среды снижено до 1 </w:t>
      </w:r>
      <w:r w:rsidRPr="004569A5">
        <w:rPr>
          <w:sz w:val="24"/>
          <w:szCs w:val="24"/>
        </w:rPr>
        <w:t></w:t>
      </w:r>
      <w:r w:rsidRPr="004569A5">
        <w:rPr>
          <w:sz w:val="24"/>
          <w:szCs w:val="24"/>
          <w:lang w:val="ru-RU"/>
        </w:rPr>
        <w:t xml:space="preserve"> 10</w:t>
      </w:r>
      <w:r w:rsidRPr="004569A5">
        <w:rPr>
          <w:sz w:val="24"/>
          <w:szCs w:val="24"/>
          <w:vertAlign w:val="superscript"/>
          <w:lang w:val="ru-RU"/>
        </w:rPr>
        <w:t>6</w:t>
      </w:r>
      <w:r w:rsidRPr="004569A5">
        <w:rPr>
          <w:sz w:val="24"/>
          <w:szCs w:val="24"/>
          <w:lang w:val="ru-RU"/>
        </w:rPr>
        <w:t> клеток.</w:t>
      </w:r>
    </w:p>
    <w:p w14:paraId="473C4FCD" w14:textId="77777777" w:rsidR="004569A5" w:rsidRPr="004569A5" w:rsidRDefault="004569A5" w:rsidP="00CE6C1C">
      <w:pPr>
        <w:pStyle w:val="FitzBullet"/>
        <w:numPr>
          <w:ilvl w:val="0"/>
          <w:numId w:val="119"/>
        </w:numPr>
        <w:spacing w:before="0" w:after="0" w:line="360" w:lineRule="auto"/>
        <w:ind w:left="0" w:firstLine="360"/>
        <w:jc w:val="both"/>
        <w:rPr>
          <w:sz w:val="24"/>
          <w:szCs w:val="24"/>
          <w:lang w:val="ru-RU"/>
        </w:rPr>
      </w:pPr>
      <w:r w:rsidRPr="004569A5">
        <w:rPr>
          <w:sz w:val="24"/>
          <w:szCs w:val="24"/>
          <w:lang w:val="ru-RU"/>
        </w:rPr>
        <w:t>Облученные эритроциты и тромбоциты (гамма-излучение или рентегновское излучение в дозе 25—50 Гр).</w:t>
      </w:r>
    </w:p>
    <w:p w14:paraId="6FCE3460" w14:textId="77777777" w:rsidR="004569A5" w:rsidRPr="004569A5" w:rsidRDefault="004569A5" w:rsidP="00CE6C1C">
      <w:pPr>
        <w:pStyle w:val="FitzBullet"/>
        <w:numPr>
          <w:ilvl w:val="0"/>
          <w:numId w:val="119"/>
        </w:numPr>
        <w:spacing w:before="0" w:after="0" w:line="360" w:lineRule="auto"/>
        <w:ind w:left="0" w:firstLine="360"/>
        <w:jc w:val="both"/>
        <w:rPr>
          <w:sz w:val="24"/>
          <w:szCs w:val="24"/>
          <w:lang w:val="ru-RU"/>
        </w:rPr>
      </w:pPr>
      <w:r w:rsidRPr="004569A5">
        <w:rPr>
          <w:sz w:val="24"/>
          <w:szCs w:val="24"/>
          <w:lang w:val="ru-RU"/>
        </w:rPr>
        <w:t>Ограничение использования донорской плазмы путем использования взвешивающих растворов для эритроцитов.</w:t>
      </w:r>
    </w:p>
    <w:p w14:paraId="54BC3CF6" w14:textId="77777777" w:rsidR="004569A5" w:rsidRPr="004569A5" w:rsidRDefault="004569A5" w:rsidP="00CE6C1C">
      <w:pPr>
        <w:pStyle w:val="FitzBullet"/>
        <w:numPr>
          <w:ilvl w:val="0"/>
          <w:numId w:val="119"/>
        </w:numPr>
        <w:spacing w:before="0" w:after="0" w:line="360" w:lineRule="auto"/>
        <w:ind w:left="0" w:firstLine="360"/>
        <w:jc w:val="both"/>
        <w:rPr>
          <w:sz w:val="24"/>
          <w:szCs w:val="24"/>
          <w:lang w:val="ru-RU"/>
        </w:rPr>
      </w:pPr>
      <w:r w:rsidRPr="004569A5">
        <w:rPr>
          <w:sz w:val="24"/>
          <w:szCs w:val="24"/>
          <w:lang w:val="ru-RU"/>
        </w:rPr>
        <w:t>После исследования донорской крови на маркеры вирусных инфекций посредством молекулярно-биологических методов.</w:t>
      </w:r>
    </w:p>
    <w:p w14:paraId="547B8D65" w14:textId="77777777" w:rsidR="004569A5" w:rsidRPr="004569A5" w:rsidRDefault="004569A5" w:rsidP="004569A5">
      <w:pPr>
        <w:spacing w:before="0" w:after="0"/>
        <w:ind w:firstLine="360"/>
        <w:rPr>
          <w:szCs w:val="24"/>
        </w:rPr>
      </w:pPr>
      <w:r w:rsidRPr="004569A5">
        <w:rPr>
          <w:szCs w:val="24"/>
        </w:rPr>
        <w:lastRenderedPageBreak/>
        <w:t>С целью повышения безопасности трансфузий дополнительно могут применяться следующие технологии:</w:t>
      </w:r>
    </w:p>
    <w:p w14:paraId="22EC4857" w14:textId="77777777" w:rsidR="004569A5" w:rsidRPr="004569A5" w:rsidRDefault="004569A5" w:rsidP="00CE6C1C">
      <w:pPr>
        <w:pStyle w:val="FitzBullet"/>
        <w:numPr>
          <w:ilvl w:val="0"/>
          <w:numId w:val="119"/>
        </w:numPr>
        <w:spacing w:before="0" w:after="0" w:line="360" w:lineRule="auto"/>
        <w:ind w:left="0" w:firstLine="360"/>
        <w:jc w:val="both"/>
        <w:rPr>
          <w:sz w:val="24"/>
          <w:szCs w:val="24"/>
          <w:lang w:val="ru-RU"/>
        </w:rPr>
      </w:pPr>
      <w:r w:rsidRPr="004569A5">
        <w:rPr>
          <w:sz w:val="24"/>
          <w:szCs w:val="24"/>
          <w:lang w:val="ru-RU"/>
        </w:rPr>
        <w:t>Инактивация патогенов в концентрате тромбоцитов.</w:t>
      </w:r>
    </w:p>
    <w:p w14:paraId="5D9FF39E" w14:textId="77777777" w:rsidR="004569A5" w:rsidRPr="004569A5" w:rsidRDefault="004569A5" w:rsidP="00CE6C1C">
      <w:pPr>
        <w:pStyle w:val="FitzBullet"/>
        <w:numPr>
          <w:ilvl w:val="0"/>
          <w:numId w:val="119"/>
        </w:numPr>
        <w:spacing w:before="0" w:after="0" w:line="360" w:lineRule="auto"/>
        <w:ind w:left="0" w:firstLine="360"/>
        <w:jc w:val="both"/>
        <w:rPr>
          <w:sz w:val="24"/>
          <w:szCs w:val="24"/>
          <w:lang w:val="ru-RU"/>
        </w:rPr>
      </w:pPr>
      <w:r w:rsidRPr="004569A5">
        <w:rPr>
          <w:sz w:val="24"/>
          <w:szCs w:val="24"/>
          <w:lang w:val="ru-RU"/>
        </w:rPr>
        <w:t>Применение добавочных растворов для замещения донорской плазмы в концентрате тромбоцитов.</w:t>
      </w:r>
    </w:p>
    <w:p w14:paraId="5C51CF36" w14:textId="77777777" w:rsidR="004569A5" w:rsidRPr="004569A5" w:rsidRDefault="004569A5" w:rsidP="00CE6C1C">
      <w:pPr>
        <w:pStyle w:val="FitzBullet"/>
        <w:numPr>
          <w:ilvl w:val="0"/>
          <w:numId w:val="119"/>
        </w:numPr>
        <w:spacing w:before="0" w:after="0" w:line="360" w:lineRule="auto"/>
        <w:ind w:left="0" w:firstLine="360"/>
        <w:jc w:val="both"/>
        <w:rPr>
          <w:sz w:val="24"/>
          <w:szCs w:val="24"/>
          <w:lang w:val="ru-RU"/>
        </w:rPr>
      </w:pPr>
      <w:r w:rsidRPr="004569A5">
        <w:rPr>
          <w:sz w:val="24"/>
          <w:szCs w:val="24"/>
          <w:lang w:val="ru-RU"/>
        </w:rPr>
        <w:t>Расширение спектра тестируемых маркеров вирусных инфекций (цитомегаловирус, вирус гепатита </w:t>
      </w:r>
      <w:r w:rsidRPr="004569A5">
        <w:rPr>
          <w:sz w:val="24"/>
          <w:szCs w:val="24"/>
          <w:lang w:val="en-US"/>
        </w:rPr>
        <w:t>B</w:t>
      </w:r>
      <w:r w:rsidRPr="004569A5">
        <w:rPr>
          <w:sz w:val="24"/>
          <w:szCs w:val="24"/>
          <w:lang w:val="ru-RU"/>
        </w:rPr>
        <w:t xml:space="preserve">, </w:t>
      </w:r>
      <w:r w:rsidRPr="004569A5">
        <w:rPr>
          <w:sz w:val="24"/>
          <w:szCs w:val="24"/>
          <w:lang w:val="en-US"/>
        </w:rPr>
        <w:t>T</w:t>
      </w:r>
      <w:r w:rsidRPr="004569A5">
        <w:rPr>
          <w:sz w:val="24"/>
          <w:szCs w:val="24"/>
          <w:lang w:val="ru-RU"/>
        </w:rPr>
        <w:t>-лимфотропный вирус человека и другие).</w:t>
      </w:r>
    </w:p>
    <w:p w14:paraId="49872A27" w14:textId="77777777" w:rsidR="004569A5" w:rsidRPr="004569A5" w:rsidRDefault="004569A5" w:rsidP="004569A5">
      <w:pPr>
        <w:spacing w:before="0" w:after="0"/>
        <w:ind w:left="360"/>
        <w:rPr>
          <w:szCs w:val="24"/>
        </w:rPr>
      </w:pPr>
      <w:r w:rsidRPr="004569A5">
        <w:rPr>
          <w:szCs w:val="24"/>
        </w:rPr>
        <w:t>Основные реакции и осложнения, связанные с трансфузией приведены в табл. 3.</w:t>
      </w:r>
    </w:p>
    <w:p w14:paraId="6168E458" w14:textId="77777777" w:rsidR="004569A5" w:rsidRPr="004569A5" w:rsidRDefault="004569A5" w:rsidP="004569A5">
      <w:pPr>
        <w:spacing w:before="0" w:after="0"/>
        <w:ind w:left="360"/>
        <w:rPr>
          <w:szCs w:val="24"/>
        </w:rPr>
      </w:pPr>
      <w:r w:rsidRPr="004569A5">
        <w:rPr>
          <w:bCs/>
          <w:szCs w:val="24"/>
        </w:rPr>
        <w:t>Таблица 3. Основные реакции и осложнения, связанные с трансфузией (переливанием) компонентов донорской крови</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10"/>
        <w:gridCol w:w="2340"/>
        <w:gridCol w:w="2520"/>
        <w:gridCol w:w="2284"/>
      </w:tblGrid>
      <w:tr w:rsidR="004569A5" w:rsidRPr="004569A5" w14:paraId="5E96B369" w14:textId="77777777" w:rsidTr="006D503D">
        <w:trPr>
          <w:jc w:val="center"/>
        </w:trPr>
        <w:tc>
          <w:tcPr>
            <w:tcW w:w="2110" w:type="dxa"/>
          </w:tcPr>
          <w:p w14:paraId="100CFD6E" w14:textId="77777777" w:rsidR="004569A5" w:rsidRPr="004569A5" w:rsidRDefault="004569A5" w:rsidP="004569A5">
            <w:pPr>
              <w:pStyle w:val="Table-head-italic"/>
              <w:spacing w:line="360" w:lineRule="auto"/>
              <w:jc w:val="both"/>
              <w:rPr>
                <w:i w:val="0"/>
                <w:sz w:val="24"/>
                <w:szCs w:val="24"/>
                <w:lang w:val="ru-RU"/>
              </w:rPr>
            </w:pPr>
            <w:r w:rsidRPr="004569A5">
              <w:rPr>
                <w:i w:val="0"/>
                <w:sz w:val="24"/>
                <w:szCs w:val="24"/>
                <w:lang w:val="ru-RU"/>
              </w:rPr>
              <w:t>Реакция (осложнение)</w:t>
            </w:r>
          </w:p>
        </w:tc>
        <w:tc>
          <w:tcPr>
            <w:tcW w:w="2340" w:type="dxa"/>
          </w:tcPr>
          <w:p w14:paraId="5D63294B" w14:textId="77777777" w:rsidR="004569A5" w:rsidRPr="004569A5" w:rsidRDefault="004569A5" w:rsidP="004569A5">
            <w:pPr>
              <w:pStyle w:val="Table-head-italic"/>
              <w:spacing w:line="360" w:lineRule="auto"/>
              <w:jc w:val="both"/>
              <w:rPr>
                <w:i w:val="0"/>
                <w:sz w:val="24"/>
                <w:szCs w:val="24"/>
                <w:lang w:val="ru-RU"/>
              </w:rPr>
            </w:pPr>
            <w:r w:rsidRPr="004569A5">
              <w:rPr>
                <w:i w:val="0"/>
                <w:sz w:val="24"/>
                <w:szCs w:val="24"/>
                <w:lang w:val="ru-RU"/>
              </w:rPr>
              <w:t>Причина</w:t>
            </w:r>
          </w:p>
        </w:tc>
        <w:tc>
          <w:tcPr>
            <w:tcW w:w="2520" w:type="dxa"/>
          </w:tcPr>
          <w:p w14:paraId="40341543" w14:textId="77777777" w:rsidR="004569A5" w:rsidRPr="004569A5" w:rsidRDefault="004569A5" w:rsidP="004569A5">
            <w:pPr>
              <w:pStyle w:val="Table-head-italic"/>
              <w:spacing w:line="360" w:lineRule="auto"/>
              <w:jc w:val="both"/>
              <w:rPr>
                <w:i w:val="0"/>
                <w:sz w:val="24"/>
                <w:szCs w:val="24"/>
                <w:lang w:val="ru-RU"/>
              </w:rPr>
            </w:pPr>
            <w:r w:rsidRPr="004569A5">
              <w:rPr>
                <w:i w:val="0"/>
                <w:sz w:val="24"/>
                <w:szCs w:val="24"/>
                <w:lang w:val="ru-RU"/>
              </w:rPr>
              <w:t>Лечение</w:t>
            </w:r>
          </w:p>
        </w:tc>
        <w:tc>
          <w:tcPr>
            <w:tcW w:w="2284" w:type="dxa"/>
          </w:tcPr>
          <w:p w14:paraId="29207E36" w14:textId="77777777" w:rsidR="004569A5" w:rsidRPr="004569A5" w:rsidRDefault="004569A5" w:rsidP="004569A5">
            <w:pPr>
              <w:pStyle w:val="Table-head-italic"/>
              <w:spacing w:line="360" w:lineRule="auto"/>
              <w:jc w:val="both"/>
              <w:rPr>
                <w:i w:val="0"/>
                <w:sz w:val="24"/>
                <w:szCs w:val="24"/>
                <w:lang w:val="ru-RU"/>
              </w:rPr>
            </w:pPr>
            <w:r w:rsidRPr="004569A5">
              <w:rPr>
                <w:i w:val="0"/>
                <w:sz w:val="24"/>
                <w:szCs w:val="24"/>
                <w:lang w:val="ru-RU"/>
              </w:rPr>
              <w:t>Обязательные и дополнительные лабораторные и инструментальные исследования*</w:t>
            </w:r>
          </w:p>
        </w:tc>
      </w:tr>
      <w:tr w:rsidR="004569A5" w:rsidRPr="004569A5" w14:paraId="3E919B73" w14:textId="77777777" w:rsidTr="006D503D">
        <w:trPr>
          <w:jc w:val="center"/>
        </w:trPr>
        <w:tc>
          <w:tcPr>
            <w:tcW w:w="2110" w:type="dxa"/>
            <w:vAlign w:val="center"/>
          </w:tcPr>
          <w:p w14:paraId="566D9C29"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Острая сердечно-сосудистая недостаточность, отек легких (синдром TACO, от transfusion associated circulatory overload)</w:t>
            </w:r>
          </w:p>
        </w:tc>
        <w:tc>
          <w:tcPr>
            <w:tcW w:w="2340" w:type="dxa"/>
          </w:tcPr>
          <w:p w14:paraId="460CA2A4"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Перегрузка объемом</w:t>
            </w:r>
          </w:p>
        </w:tc>
        <w:tc>
          <w:tcPr>
            <w:tcW w:w="2520" w:type="dxa"/>
          </w:tcPr>
          <w:p w14:paraId="6DC84DEF"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 xml:space="preserve">Симптоматическая терапия отека легких </w:t>
            </w:r>
          </w:p>
        </w:tc>
        <w:tc>
          <w:tcPr>
            <w:tcW w:w="2284" w:type="dxa"/>
          </w:tcPr>
          <w:p w14:paraId="3862BA4B" w14:textId="77777777" w:rsidR="004569A5" w:rsidRPr="004569A5" w:rsidRDefault="004569A5" w:rsidP="004569A5">
            <w:pPr>
              <w:pStyle w:val="table-text-0"/>
              <w:spacing w:before="0" w:after="0" w:line="360" w:lineRule="auto"/>
              <w:ind w:firstLine="0"/>
              <w:jc w:val="both"/>
              <w:rPr>
                <w:sz w:val="24"/>
                <w:szCs w:val="24"/>
              </w:rPr>
            </w:pPr>
          </w:p>
        </w:tc>
      </w:tr>
      <w:tr w:rsidR="004569A5" w:rsidRPr="004569A5" w14:paraId="298CBD94" w14:textId="77777777" w:rsidTr="006D503D">
        <w:trPr>
          <w:jc w:val="center"/>
        </w:trPr>
        <w:tc>
          <w:tcPr>
            <w:tcW w:w="2110" w:type="dxa"/>
          </w:tcPr>
          <w:p w14:paraId="73055A33"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Острое обусловленное трансфузией повреждение легких (синдром TRALI, от transfusion-related acute lung injury)</w:t>
            </w:r>
          </w:p>
        </w:tc>
        <w:tc>
          <w:tcPr>
            <w:tcW w:w="2340" w:type="dxa"/>
          </w:tcPr>
          <w:p w14:paraId="2F62450C"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Наличие донорских антилейкоцитарных антител в крови реципиента</w:t>
            </w:r>
          </w:p>
        </w:tc>
        <w:tc>
          <w:tcPr>
            <w:tcW w:w="2520" w:type="dxa"/>
          </w:tcPr>
          <w:p w14:paraId="67FFB433"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Глюкокортикоиды (преднизолон, 30—60 мг, или дексаметазон, по 4—8 мг)</w:t>
            </w:r>
          </w:p>
          <w:p w14:paraId="57B0F65F"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Симптоматическая терапия отека легких</w:t>
            </w:r>
          </w:p>
        </w:tc>
        <w:tc>
          <w:tcPr>
            <w:tcW w:w="2284" w:type="dxa"/>
          </w:tcPr>
          <w:p w14:paraId="3AE87F4A"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Обязательные: рентгенография органов грудной клетки</w:t>
            </w:r>
          </w:p>
          <w:p w14:paraId="04681F7D"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 xml:space="preserve">Дополнительные: тесты на антилейкоцитарные антитела и антитела к нейтрофилам в </w:t>
            </w:r>
            <w:r w:rsidRPr="004569A5">
              <w:rPr>
                <w:sz w:val="24"/>
                <w:szCs w:val="24"/>
              </w:rPr>
              <w:lastRenderedPageBreak/>
              <w:t>сыворотке</w:t>
            </w:r>
          </w:p>
        </w:tc>
      </w:tr>
      <w:tr w:rsidR="004569A5" w:rsidRPr="004569A5" w14:paraId="50DA1D90" w14:textId="77777777" w:rsidTr="006D503D">
        <w:trPr>
          <w:jc w:val="center"/>
        </w:trPr>
        <w:tc>
          <w:tcPr>
            <w:tcW w:w="2110" w:type="dxa"/>
          </w:tcPr>
          <w:p w14:paraId="17518EF7"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lastRenderedPageBreak/>
              <w:t>Одышка, связанная с трансфузией (синдром TAD, от transfusion-associated dyspnea)</w:t>
            </w:r>
          </w:p>
        </w:tc>
        <w:tc>
          <w:tcPr>
            <w:tcW w:w="2340" w:type="dxa"/>
          </w:tcPr>
          <w:p w14:paraId="2EE6560D"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Острый респираторный дистресс-синдром, развивающийся в течение 24 часов после трансфузии</w:t>
            </w:r>
          </w:p>
        </w:tc>
        <w:tc>
          <w:tcPr>
            <w:tcW w:w="2520" w:type="dxa"/>
          </w:tcPr>
          <w:p w14:paraId="557FECAA"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Симптоматическая терапия</w:t>
            </w:r>
          </w:p>
        </w:tc>
        <w:tc>
          <w:tcPr>
            <w:tcW w:w="2284" w:type="dxa"/>
          </w:tcPr>
          <w:p w14:paraId="27A71B96" w14:textId="77777777" w:rsidR="004569A5" w:rsidRPr="004569A5" w:rsidRDefault="004569A5" w:rsidP="004569A5">
            <w:pPr>
              <w:pStyle w:val="table-text-0"/>
              <w:spacing w:before="0" w:after="0" w:line="360" w:lineRule="auto"/>
              <w:ind w:firstLine="0"/>
              <w:jc w:val="both"/>
              <w:rPr>
                <w:sz w:val="24"/>
                <w:szCs w:val="24"/>
              </w:rPr>
            </w:pPr>
          </w:p>
        </w:tc>
      </w:tr>
      <w:tr w:rsidR="004569A5" w:rsidRPr="004569A5" w14:paraId="3B44F6E7" w14:textId="77777777" w:rsidTr="006D503D">
        <w:trPr>
          <w:jc w:val="center"/>
        </w:trPr>
        <w:tc>
          <w:tcPr>
            <w:tcW w:w="2110" w:type="dxa"/>
            <w:vMerge w:val="restart"/>
          </w:tcPr>
          <w:p w14:paraId="5AACEF82"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Аллергические реакции (крапивница, анафилактический шок и др.)</w:t>
            </w:r>
          </w:p>
        </w:tc>
        <w:tc>
          <w:tcPr>
            <w:tcW w:w="2340" w:type="dxa"/>
          </w:tcPr>
          <w:p w14:paraId="376D3208"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Крапивница: наличие антител к белкам плазмы</w:t>
            </w:r>
          </w:p>
        </w:tc>
        <w:tc>
          <w:tcPr>
            <w:tcW w:w="2520" w:type="dxa"/>
          </w:tcPr>
          <w:p w14:paraId="732534A5"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Антигистаминные препараты (клемастин, 2%, 2 мг, или другой препарат с аналогичным действием)</w:t>
            </w:r>
          </w:p>
        </w:tc>
        <w:tc>
          <w:tcPr>
            <w:tcW w:w="2284" w:type="dxa"/>
          </w:tcPr>
          <w:p w14:paraId="756192AD" w14:textId="77777777" w:rsidR="004569A5" w:rsidRPr="004569A5" w:rsidRDefault="004569A5" w:rsidP="004569A5">
            <w:pPr>
              <w:pStyle w:val="table-text-0"/>
              <w:spacing w:before="0" w:after="0" w:line="360" w:lineRule="auto"/>
              <w:ind w:firstLine="0"/>
              <w:jc w:val="both"/>
              <w:rPr>
                <w:sz w:val="24"/>
                <w:szCs w:val="24"/>
              </w:rPr>
            </w:pPr>
          </w:p>
        </w:tc>
      </w:tr>
      <w:tr w:rsidR="004569A5" w:rsidRPr="004569A5" w14:paraId="0F4C9519" w14:textId="77777777" w:rsidTr="006D503D">
        <w:trPr>
          <w:jc w:val="center"/>
        </w:trPr>
        <w:tc>
          <w:tcPr>
            <w:tcW w:w="2110" w:type="dxa"/>
            <w:vMerge/>
            <w:vAlign w:val="center"/>
          </w:tcPr>
          <w:p w14:paraId="5FC0BFBA" w14:textId="77777777" w:rsidR="004569A5" w:rsidRPr="004569A5" w:rsidRDefault="004569A5" w:rsidP="004569A5">
            <w:pPr>
              <w:pStyle w:val="table-text-0"/>
              <w:spacing w:before="0" w:after="0" w:line="360" w:lineRule="auto"/>
              <w:ind w:firstLine="0"/>
              <w:jc w:val="both"/>
              <w:rPr>
                <w:sz w:val="24"/>
                <w:szCs w:val="24"/>
              </w:rPr>
            </w:pPr>
          </w:p>
        </w:tc>
        <w:tc>
          <w:tcPr>
            <w:tcW w:w="2340" w:type="dxa"/>
          </w:tcPr>
          <w:p w14:paraId="00882B2D"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Анафилактический шок: первичный иммунодефицит IgA у реципиента</w:t>
            </w:r>
          </w:p>
        </w:tc>
        <w:tc>
          <w:tcPr>
            <w:tcW w:w="2520" w:type="dxa"/>
          </w:tcPr>
          <w:p w14:paraId="02ED0058"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Противошоковая терапия</w:t>
            </w:r>
          </w:p>
        </w:tc>
        <w:tc>
          <w:tcPr>
            <w:tcW w:w="2284" w:type="dxa"/>
          </w:tcPr>
          <w:p w14:paraId="5932DCC7"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Дополнительные: оценка уровня сывороточного IgA у реципиента</w:t>
            </w:r>
          </w:p>
        </w:tc>
      </w:tr>
      <w:tr w:rsidR="004569A5" w:rsidRPr="004569A5" w14:paraId="6C5A542C" w14:textId="77777777" w:rsidTr="006D503D">
        <w:trPr>
          <w:jc w:val="center"/>
        </w:trPr>
        <w:tc>
          <w:tcPr>
            <w:tcW w:w="2110" w:type="dxa"/>
          </w:tcPr>
          <w:p w14:paraId="0800A04D"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Пострансфузионная артериальная гипотония (HTR, от post-transfusion hypotension)</w:t>
            </w:r>
          </w:p>
        </w:tc>
        <w:tc>
          <w:tcPr>
            <w:tcW w:w="2340" w:type="dxa"/>
          </w:tcPr>
          <w:p w14:paraId="1B1250A3"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Сосудистая реакция, обусловленная выбросом брадикинина</w:t>
            </w:r>
          </w:p>
        </w:tc>
        <w:tc>
          <w:tcPr>
            <w:tcW w:w="2520" w:type="dxa"/>
          </w:tcPr>
          <w:p w14:paraId="28AC4C91"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 xml:space="preserve">Симптоматическая терапия, в тяжелых случаях — применение вазопрессоров </w:t>
            </w:r>
          </w:p>
        </w:tc>
        <w:tc>
          <w:tcPr>
            <w:tcW w:w="2284" w:type="dxa"/>
          </w:tcPr>
          <w:p w14:paraId="750217DC" w14:textId="77777777" w:rsidR="004569A5" w:rsidRPr="004569A5" w:rsidRDefault="004569A5" w:rsidP="004569A5">
            <w:pPr>
              <w:pStyle w:val="table-text-0"/>
              <w:spacing w:before="0" w:after="0" w:line="360" w:lineRule="auto"/>
              <w:ind w:firstLine="0"/>
              <w:jc w:val="both"/>
              <w:rPr>
                <w:sz w:val="24"/>
                <w:szCs w:val="24"/>
              </w:rPr>
            </w:pPr>
          </w:p>
        </w:tc>
      </w:tr>
      <w:tr w:rsidR="004569A5" w:rsidRPr="004569A5" w14:paraId="2A5509CC" w14:textId="77777777" w:rsidTr="006D503D">
        <w:trPr>
          <w:jc w:val="center"/>
        </w:trPr>
        <w:tc>
          <w:tcPr>
            <w:tcW w:w="2110" w:type="dxa"/>
          </w:tcPr>
          <w:p w14:paraId="605C028F"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Гипертермическая (фебрильная) негемолитическая реакция (FNHTR, от febrile non-hemolytic transfusion reaction)</w:t>
            </w:r>
          </w:p>
        </w:tc>
        <w:tc>
          <w:tcPr>
            <w:tcW w:w="2340" w:type="dxa"/>
          </w:tcPr>
          <w:p w14:paraId="44DB1B6A"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Секреция цитокинов иммунокомпетентными клетками, сопровождающаяся повышением температуры тела реципиента выше 38</w:t>
            </w:r>
            <w:r w:rsidRPr="004569A5">
              <w:rPr>
                <w:rFonts w:ascii="Symbol" w:hAnsi="Symbol" w:cs="Symbol"/>
                <w:sz w:val="24"/>
                <w:szCs w:val="24"/>
              </w:rPr>
              <w:t></w:t>
            </w:r>
            <w:r w:rsidRPr="004569A5">
              <w:rPr>
                <w:sz w:val="24"/>
                <w:szCs w:val="24"/>
              </w:rPr>
              <w:t>С</w:t>
            </w:r>
          </w:p>
        </w:tc>
        <w:tc>
          <w:tcPr>
            <w:tcW w:w="2520" w:type="dxa"/>
          </w:tcPr>
          <w:p w14:paraId="24B787D4"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Антигистаминные препараты (клемастин 2%, 2 мг, или другой препарат с аналогичным действием)</w:t>
            </w:r>
          </w:p>
          <w:p w14:paraId="2FE28D15"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 xml:space="preserve">Наркотические анальгетики (промедол </w:t>
            </w:r>
            <w:r w:rsidRPr="004569A5">
              <w:rPr>
                <w:sz w:val="24"/>
                <w:szCs w:val="24"/>
              </w:rPr>
              <w:lastRenderedPageBreak/>
              <w:t>2%, 2 мл)</w:t>
            </w:r>
          </w:p>
          <w:p w14:paraId="214B39E5"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Глюкокортикоиды (преднизолон, 30—60 мг, или дексаметазон, 4—8 мг)</w:t>
            </w:r>
          </w:p>
        </w:tc>
        <w:tc>
          <w:tcPr>
            <w:tcW w:w="2284" w:type="dxa"/>
          </w:tcPr>
          <w:p w14:paraId="5DF8C2CF"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lastRenderedPageBreak/>
              <w:t>Обязательные: бактериологическое исследование крови</w:t>
            </w:r>
          </w:p>
          <w:p w14:paraId="2B565704"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 xml:space="preserve">Дополнительные: определение антилейкоцитарных антител, антитромбоцитарных </w:t>
            </w:r>
            <w:r w:rsidRPr="004569A5">
              <w:rPr>
                <w:sz w:val="24"/>
                <w:szCs w:val="24"/>
              </w:rPr>
              <w:lastRenderedPageBreak/>
              <w:t>антител, антител к нейтрофилам в сыворотке</w:t>
            </w:r>
          </w:p>
        </w:tc>
      </w:tr>
      <w:tr w:rsidR="004569A5" w:rsidRPr="004569A5" w14:paraId="7B17EAC5" w14:textId="77777777" w:rsidTr="006D503D">
        <w:trPr>
          <w:jc w:val="center"/>
        </w:trPr>
        <w:tc>
          <w:tcPr>
            <w:tcW w:w="2110" w:type="dxa"/>
            <w:vMerge w:val="restart"/>
          </w:tcPr>
          <w:p w14:paraId="1B65ACAE" w14:textId="77777777" w:rsidR="004569A5" w:rsidRPr="004569A5" w:rsidRDefault="004569A5" w:rsidP="004569A5">
            <w:pPr>
              <w:pStyle w:val="table-text-0"/>
              <w:spacing w:before="0" w:after="0" w:line="360" w:lineRule="auto"/>
              <w:ind w:firstLine="0"/>
              <w:jc w:val="both"/>
              <w:rPr>
                <w:sz w:val="24"/>
                <w:szCs w:val="24"/>
                <w:lang w:val="en-US"/>
              </w:rPr>
            </w:pPr>
            <w:r w:rsidRPr="004569A5">
              <w:rPr>
                <w:sz w:val="24"/>
                <w:szCs w:val="24"/>
              </w:rPr>
              <w:lastRenderedPageBreak/>
              <w:t>Острый</w:t>
            </w:r>
            <w:r w:rsidRPr="004569A5">
              <w:rPr>
                <w:sz w:val="24"/>
                <w:szCs w:val="24"/>
                <w:lang w:val="en-US"/>
              </w:rPr>
              <w:t xml:space="preserve"> </w:t>
            </w:r>
            <w:r w:rsidRPr="004569A5">
              <w:rPr>
                <w:sz w:val="24"/>
                <w:szCs w:val="24"/>
              </w:rPr>
              <w:t>гемолиз</w:t>
            </w:r>
            <w:r w:rsidRPr="004569A5">
              <w:rPr>
                <w:sz w:val="24"/>
                <w:szCs w:val="24"/>
                <w:lang w:val="en-US"/>
              </w:rPr>
              <w:t xml:space="preserve"> (AHTR, </w:t>
            </w:r>
            <w:r w:rsidRPr="004569A5">
              <w:rPr>
                <w:sz w:val="24"/>
                <w:szCs w:val="24"/>
              </w:rPr>
              <w:t>от</w:t>
            </w:r>
            <w:r w:rsidRPr="004569A5">
              <w:rPr>
                <w:sz w:val="24"/>
                <w:szCs w:val="24"/>
                <w:lang w:val="en-US"/>
              </w:rPr>
              <w:t xml:space="preserve"> acute hemolytic transfusion reaction)</w:t>
            </w:r>
          </w:p>
        </w:tc>
        <w:tc>
          <w:tcPr>
            <w:tcW w:w="2340" w:type="dxa"/>
          </w:tcPr>
          <w:p w14:paraId="269E5353"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 xml:space="preserve">Иммунная реакция: наличие у реципиента антител к аллоантигенам эритроцитов донора (ABO, резус-фактор и другая несовместимость) </w:t>
            </w:r>
          </w:p>
        </w:tc>
        <w:tc>
          <w:tcPr>
            <w:tcW w:w="2520" w:type="dxa"/>
            <w:vMerge w:val="restart"/>
          </w:tcPr>
          <w:p w14:paraId="22EF4EE7"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Глюкокортикоиды (преднизолон, 30—60 мг, или дексаметазон, 4—8 мг)</w:t>
            </w:r>
          </w:p>
          <w:p w14:paraId="51B2ACCA"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Форсированный диурез (NaCl 0,9%, 2000—3000 мл; фуросемид, 20—40 мг); проводится до купирования клинических проявлений гемолиза</w:t>
            </w:r>
          </w:p>
          <w:p w14:paraId="4E9B960D"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Контроль АД, ЦВД, объема и цвет мочи</w:t>
            </w:r>
          </w:p>
          <w:p w14:paraId="41D8544D"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При неэффективности консервативной терапии или анурии —плазмаферез и гемодиализ</w:t>
            </w:r>
          </w:p>
        </w:tc>
        <w:tc>
          <w:tcPr>
            <w:tcW w:w="2284" w:type="dxa"/>
          </w:tcPr>
          <w:p w14:paraId="2326F72D"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Обязательные: определение в сыворотке свободного гемоглобина, билирубина; анализ мочи на гемоглобинурию, гемосидеринурию</w:t>
            </w:r>
          </w:p>
          <w:p w14:paraId="28E52DB9"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Дополнительные: прямая проба Кумбса, оценка химеризма эритроцитов в периферической крови реципиента</w:t>
            </w:r>
          </w:p>
        </w:tc>
      </w:tr>
      <w:tr w:rsidR="004569A5" w:rsidRPr="004569A5" w14:paraId="2D6EEA2A" w14:textId="77777777" w:rsidTr="006D503D">
        <w:trPr>
          <w:jc w:val="center"/>
        </w:trPr>
        <w:tc>
          <w:tcPr>
            <w:tcW w:w="2110" w:type="dxa"/>
            <w:vMerge/>
          </w:tcPr>
          <w:p w14:paraId="5F967C3A" w14:textId="77777777" w:rsidR="004569A5" w:rsidRPr="004569A5" w:rsidRDefault="004569A5" w:rsidP="004569A5">
            <w:pPr>
              <w:pStyle w:val="table-text-0"/>
              <w:spacing w:before="0" w:after="0" w:line="360" w:lineRule="auto"/>
              <w:ind w:firstLine="0"/>
              <w:jc w:val="both"/>
              <w:rPr>
                <w:sz w:val="24"/>
                <w:szCs w:val="24"/>
              </w:rPr>
            </w:pPr>
          </w:p>
        </w:tc>
        <w:tc>
          <w:tcPr>
            <w:tcW w:w="2340" w:type="dxa"/>
          </w:tcPr>
          <w:p w14:paraId="2B28B63B"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 xml:space="preserve">Неиммунная реакция: разрушение эритроцитов донора вследствие нарушения температурного режима или сроков хранения, несоблюдения правил подготовки к переливанию, </w:t>
            </w:r>
            <w:r w:rsidRPr="004569A5">
              <w:rPr>
                <w:sz w:val="24"/>
                <w:szCs w:val="24"/>
              </w:rPr>
              <w:lastRenderedPageBreak/>
              <w:t>смешивания с гипотоническим или гипертоническим растворами</w:t>
            </w:r>
          </w:p>
        </w:tc>
        <w:tc>
          <w:tcPr>
            <w:tcW w:w="2520" w:type="dxa"/>
            <w:vMerge/>
          </w:tcPr>
          <w:p w14:paraId="53E3C442" w14:textId="77777777" w:rsidR="004569A5" w:rsidRPr="004569A5" w:rsidRDefault="004569A5" w:rsidP="004569A5">
            <w:pPr>
              <w:pStyle w:val="table-text-0"/>
              <w:spacing w:before="0" w:after="0" w:line="360" w:lineRule="auto"/>
              <w:ind w:firstLine="0"/>
              <w:jc w:val="both"/>
              <w:rPr>
                <w:sz w:val="24"/>
                <w:szCs w:val="24"/>
              </w:rPr>
            </w:pPr>
          </w:p>
        </w:tc>
        <w:tc>
          <w:tcPr>
            <w:tcW w:w="2284" w:type="dxa"/>
          </w:tcPr>
          <w:p w14:paraId="63ECF51C"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Обязательные: определение в сыворотке свободного гемоглобина, билирубина; анализ мочи на гемоглобинурию, гемосидеринурию</w:t>
            </w:r>
          </w:p>
          <w:p w14:paraId="14842AE9" w14:textId="77777777" w:rsidR="004569A5" w:rsidRPr="004569A5" w:rsidRDefault="004569A5" w:rsidP="004569A5">
            <w:pPr>
              <w:pStyle w:val="table-text-0"/>
              <w:spacing w:before="0" w:after="0" w:line="360" w:lineRule="auto"/>
              <w:ind w:firstLine="0"/>
              <w:jc w:val="both"/>
              <w:rPr>
                <w:sz w:val="24"/>
                <w:szCs w:val="24"/>
              </w:rPr>
            </w:pPr>
          </w:p>
        </w:tc>
      </w:tr>
      <w:tr w:rsidR="004569A5" w:rsidRPr="004569A5" w14:paraId="016F8BA8" w14:textId="77777777" w:rsidTr="006D503D">
        <w:trPr>
          <w:jc w:val="center"/>
        </w:trPr>
        <w:tc>
          <w:tcPr>
            <w:tcW w:w="2110" w:type="dxa"/>
          </w:tcPr>
          <w:p w14:paraId="131A059B" w14:textId="77777777" w:rsidR="004569A5" w:rsidRPr="004569A5" w:rsidRDefault="004569A5" w:rsidP="004569A5">
            <w:pPr>
              <w:pStyle w:val="table-text-0"/>
              <w:spacing w:before="0" w:after="0" w:line="360" w:lineRule="auto"/>
              <w:ind w:firstLine="0"/>
              <w:jc w:val="both"/>
              <w:rPr>
                <w:sz w:val="24"/>
                <w:szCs w:val="24"/>
                <w:lang w:val="en-US"/>
              </w:rPr>
            </w:pPr>
            <w:r w:rsidRPr="004569A5">
              <w:rPr>
                <w:sz w:val="24"/>
                <w:szCs w:val="24"/>
              </w:rPr>
              <w:lastRenderedPageBreak/>
              <w:t>Отсроченный</w:t>
            </w:r>
            <w:r w:rsidRPr="004569A5">
              <w:rPr>
                <w:sz w:val="24"/>
                <w:szCs w:val="24"/>
                <w:lang w:val="en-US"/>
              </w:rPr>
              <w:t xml:space="preserve"> </w:t>
            </w:r>
            <w:r w:rsidRPr="004569A5">
              <w:rPr>
                <w:sz w:val="24"/>
                <w:szCs w:val="24"/>
              </w:rPr>
              <w:t>гемолиз</w:t>
            </w:r>
            <w:r w:rsidRPr="004569A5">
              <w:rPr>
                <w:sz w:val="24"/>
                <w:szCs w:val="24"/>
                <w:lang w:val="en-US"/>
              </w:rPr>
              <w:t xml:space="preserve"> (DHTR, </w:t>
            </w:r>
            <w:r w:rsidRPr="004569A5">
              <w:rPr>
                <w:sz w:val="24"/>
                <w:szCs w:val="24"/>
              </w:rPr>
              <w:t>от</w:t>
            </w:r>
            <w:r w:rsidRPr="004569A5">
              <w:rPr>
                <w:sz w:val="24"/>
                <w:szCs w:val="24"/>
                <w:lang w:val="en-US"/>
              </w:rPr>
              <w:t xml:space="preserve"> delayed hemolytic transfusion reaction)</w:t>
            </w:r>
          </w:p>
        </w:tc>
        <w:tc>
          <w:tcPr>
            <w:tcW w:w="2340" w:type="dxa"/>
          </w:tcPr>
          <w:p w14:paraId="6855D58F"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Внутриклеточный (тканевый) гемолиз в результате трансфузии несовместимых по аллоантигенам эритроцитов донора</w:t>
            </w:r>
          </w:p>
          <w:p w14:paraId="3FEECF60"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Аллоиммунизация отмечается в период от 24 часов до 28 дней после трансфузии</w:t>
            </w:r>
          </w:p>
        </w:tc>
        <w:tc>
          <w:tcPr>
            <w:tcW w:w="2520" w:type="dxa"/>
          </w:tcPr>
          <w:p w14:paraId="47967C74"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 xml:space="preserve"> Глюкокортикоиды (преднизолон, 30—60 мг, или дексаметазон, 4—8 мг)</w:t>
            </w:r>
          </w:p>
          <w:p w14:paraId="73313B2A"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Форсированный диурез (NaCl 0,9%, 2000—3000 мл; фуросемид, 20—40 мг); проводится до купирования клинических проявлений гемолиза</w:t>
            </w:r>
          </w:p>
          <w:p w14:paraId="42B7AFF8"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Контроль АД, ЦВД, объема и цвет мочи</w:t>
            </w:r>
          </w:p>
          <w:p w14:paraId="1BE6A4B9"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При неэффективности консервативной терапии или анурии —плазмаферез и гемодиализ</w:t>
            </w:r>
          </w:p>
        </w:tc>
        <w:tc>
          <w:tcPr>
            <w:tcW w:w="2284" w:type="dxa"/>
          </w:tcPr>
          <w:p w14:paraId="7A4A08B2"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Обязательные: определение в сыворотке свободного гемоглобина, билирубина; анализ мочи на гемоглобинурию, гемосидеринурию; прямая проба Кумбса</w:t>
            </w:r>
          </w:p>
          <w:p w14:paraId="053C9D6A"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Дополнительные: выявление антиэритроцитарных аллоантител с новой специфичностью</w:t>
            </w:r>
          </w:p>
        </w:tc>
      </w:tr>
      <w:tr w:rsidR="004569A5" w:rsidRPr="004569A5" w14:paraId="5DE5B497" w14:textId="77777777" w:rsidTr="006D503D">
        <w:trPr>
          <w:jc w:val="center"/>
        </w:trPr>
        <w:tc>
          <w:tcPr>
            <w:tcW w:w="2110" w:type="dxa"/>
          </w:tcPr>
          <w:p w14:paraId="2F4D5C96"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Отсроченная серологическая трансфузионная реакция (DSTR, от delayed serologic transfusion reaction)</w:t>
            </w:r>
          </w:p>
        </w:tc>
        <w:tc>
          <w:tcPr>
            <w:tcW w:w="2340" w:type="dxa"/>
          </w:tcPr>
          <w:p w14:paraId="45E5B4F1"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Непосредственно после трансфузии признаки гемолиза отсутствуют; в срок от 24 ч до 28 дней после трансфузии у реципиента выявляются новые антиэритроцитарные аллоантитела</w:t>
            </w:r>
          </w:p>
        </w:tc>
        <w:tc>
          <w:tcPr>
            <w:tcW w:w="2520" w:type="dxa"/>
          </w:tcPr>
          <w:p w14:paraId="185B6DB6" w14:textId="77777777" w:rsidR="004569A5" w:rsidRPr="004569A5" w:rsidRDefault="004569A5" w:rsidP="004569A5">
            <w:pPr>
              <w:pStyle w:val="table-text-0"/>
              <w:spacing w:before="0" w:after="0" w:line="360" w:lineRule="auto"/>
              <w:ind w:firstLine="0"/>
              <w:jc w:val="both"/>
              <w:rPr>
                <w:sz w:val="24"/>
                <w:szCs w:val="24"/>
              </w:rPr>
            </w:pPr>
          </w:p>
        </w:tc>
        <w:tc>
          <w:tcPr>
            <w:tcW w:w="2284" w:type="dxa"/>
          </w:tcPr>
          <w:p w14:paraId="068CAD6C"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Обязательные: прямая проба Кумбса</w:t>
            </w:r>
          </w:p>
        </w:tc>
      </w:tr>
      <w:tr w:rsidR="004569A5" w:rsidRPr="004569A5" w14:paraId="13B41B18" w14:textId="77777777" w:rsidTr="006D503D">
        <w:trPr>
          <w:jc w:val="center"/>
        </w:trPr>
        <w:tc>
          <w:tcPr>
            <w:tcW w:w="2110" w:type="dxa"/>
          </w:tcPr>
          <w:p w14:paraId="504DF313"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lastRenderedPageBreak/>
              <w:t>Посттрансфузионная реакция «трансплантат против хозяина» (TA-GVHD, от transfusion-associated graft-versus-host-disease)</w:t>
            </w:r>
          </w:p>
        </w:tc>
        <w:tc>
          <w:tcPr>
            <w:tcW w:w="2340" w:type="dxa"/>
          </w:tcPr>
          <w:p w14:paraId="59730128"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Введение иммунокомпетентных клеток донора (T-лимфоцитов) иммунокомпрометированному реципиенту приводит к их пролиферации и дифференцировке в организме реципиента, что вызывает повреждение клеток реципиента, экспрессирующих HLA-антигены I и II классов (кожа, ЖКТ, печень, селезенка, костный мозг)</w:t>
            </w:r>
          </w:p>
          <w:p w14:paraId="2C0052E5"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Характерны кожная эритема, диарея, поражение печени с гепатомегалией</w:t>
            </w:r>
          </w:p>
          <w:p w14:paraId="2378DC3B"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Синдром может развиваться в сроки от 2 дней до 6 недель после трансфузии</w:t>
            </w:r>
          </w:p>
        </w:tc>
        <w:tc>
          <w:tcPr>
            <w:tcW w:w="2520" w:type="dxa"/>
          </w:tcPr>
          <w:p w14:paraId="6EA59062"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Глюкокортикоиды</w:t>
            </w:r>
          </w:p>
        </w:tc>
        <w:tc>
          <w:tcPr>
            <w:tcW w:w="2284" w:type="dxa"/>
          </w:tcPr>
          <w:p w14:paraId="60A0EE58"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Обязательные: общий и биохимический (активность АЛТ, АСТ, ЩФ, уровень билирубина) анализ крови, коагулограмма (уровень фибриногена), биопсия кожи с гистологическим исследованием (при наличии кожной эритемы)</w:t>
            </w:r>
          </w:p>
          <w:p w14:paraId="18E491A5"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Дополнительные: исследование химеризма лейкоцитов; УЗИ брюшной полости</w:t>
            </w:r>
          </w:p>
        </w:tc>
      </w:tr>
      <w:tr w:rsidR="004569A5" w:rsidRPr="004569A5" w14:paraId="2D78B7FA" w14:textId="77777777" w:rsidTr="006D503D">
        <w:trPr>
          <w:jc w:val="center"/>
        </w:trPr>
        <w:tc>
          <w:tcPr>
            <w:tcW w:w="2110" w:type="dxa"/>
          </w:tcPr>
          <w:p w14:paraId="7F802B60"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Пострансфузионная пурпура (PTP, от post-transfusion purpura)</w:t>
            </w:r>
          </w:p>
        </w:tc>
        <w:tc>
          <w:tcPr>
            <w:tcW w:w="2340" w:type="dxa"/>
          </w:tcPr>
          <w:p w14:paraId="730D02E6"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 xml:space="preserve">Образование антител к тромбоцитам или лейкоцитам (анти-HLA, анти-HPA) через 5—12 дней </w:t>
            </w:r>
            <w:r w:rsidRPr="004569A5">
              <w:rPr>
                <w:sz w:val="24"/>
                <w:szCs w:val="24"/>
              </w:rPr>
              <w:lastRenderedPageBreak/>
              <w:t>после трансфузии, проявляющееся выраженной тромбоцитопенией и геморрагическим синдромом</w:t>
            </w:r>
          </w:p>
        </w:tc>
        <w:tc>
          <w:tcPr>
            <w:tcW w:w="2520" w:type="dxa"/>
          </w:tcPr>
          <w:p w14:paraId="55352984"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lastRenderedPageBreak/>
              <w:t xml:space="preserve">Глюкокортикоиды </w:t>
            </w:r>
          </w:p>
        </w:tc>
        <w:tc>
          <w:tcPr>
            <w:tcW w:w="2284" w:type="dxa"/>
          </w:tcPr>
          <w:p w14:paraId="73867F72"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Обязательные: общий анализ крови, выявление антилейкоцитарных аллоантител (анти-</w:t>
            </w:r>
            <w:r w:rsidRPr="004569A5">
              <w:rPr>
                <w:sz w:val="24"/>
                <w:szCs w:val="24"/>
              </w:rPr>
              <w:lastRenderedPageBreak/>
              <w:t>HLA) в сыворотке</w:t>
            </w:r>
          </w:p>
          <w:p w14:paraId="09D43818"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Дополнительные: выявление антитромбоцитарных антител (анти-HPA) в сыворотке</w:t>
            </w:r>
          </w:p>
        </w:tc>
      </w:tr>
      <w:tr w:rsidR="004569A5" w:rsidRPr="004569A5" w14:paraId="0411AE99" w14:textId="77777777" w:rsidTr="006D503D">
        <w:trPr>
          <w:jc w:val="center"/>
        </w:trPr>
        <w:tc>
          <w:tcPr>
            <w:tcW w:w="2110" w:type="dxa"/>
            <w:vMerge w:val="restart"/>
          </w:tcPr>
          <w:p w14:paraId="0B36C1B3"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lastRenderedPageBreak/>
              <w:t>Другие</w:t>
            </w:r>
          </w:p>
        </w:tc>
        <w:tc>
          <w:tcPr>
            <w:tcW w:w="2340" w:type="dxa"/>
          </w:tcPr>
          <w:p w14:paraId="4EB19544"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Септический шок при переливании инфицированного компонента крови</w:t>
            </w:r>
          </w:p>
        </w:tc>
        <w:tc>
          <w:tcPr>
            <w:tcW w:w="2520" w:type="dxa"/>
          </w:tcPr>
          <w:p w14:paraId="0DB8361C"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Антибактериальная терапия широкого спектра действия, противошоковая терапия</w:t>
            </w:r>
          </w:p>
        </w:tc>
        <w:tc>
          <w:tcPr>
            <w:tcW w:w="2284" w:type="dxa"/>
          </w:tcPr>
          <w:p w14:paraId="6F0092EE"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Обязательные: бактериологическое исследование крови</w:t>
            </w:r>
          </w:p>
        </w:tc>
      </w:tr>
      <w:tr w:rsidR="004569A5" w:rsidRPr="004569A5" w14:paraId="2F9DE2F8" w14:textId="77777777" w:rsidTr="006D503D">
        <w:trPr>
          <w:jc w:val="center"/>
        </w:trPr>
        <w:tc>
          <w:tcPr>
            <w:tcW w:w="2110" w:type="dxa"/>
            <w:vMerge/>
          </w:tcPr>
          <w:p w14:paraId="3563D9E8" w14:textId="77777777" w:rsidR="004569A5" w:rsidRPr="004569A5" w:rsidRDefault="004569A5" w:rsidP="004569A5">
            <w:pPr>
              <w:pStyle w:val="table-text-0"/>
              <w:spacing w:before="0" w:after="0" w:line="360" w:lineRule="auto"/>
              <w:ind w:firstLine="0"/>
              <w:jc w:val="both"/>
              <w:rPr>
                <w:sz w:val="24"/>
                <w:szCs w:val="24"/>
              </w:rPr>
            </w:pPr>
          </w:p>
        </w:tc>
        <w:tc>
          <w:tcPr>
            <w:tcW w:w="2340" w:type="dxa"/>
          </w:tcPr>
          <w:p w14:paraId="52AB6735"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Перегрузка железом (гемосидероз) органов в результате множественных переливаний эритроцитов</w:t>
            </w:r>
          </w:p>
        </w:tc>
        <w:tc>
          <w:tcPr>
            <w:tcW w:w="2520" w:type="dxa"/>
          </w:tcPr>
          <w:p w14:paraId="14A33280"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Комплексообразующие средства (деферазирокс, 15—20 мг/кг или другой препарат с аналогичным действием)</w:t>
            </w:r>
          </w:p>
        </w:tc>
        <w:tc>
          <w:tcPr>
            <w:tcW w:w="2284" w:type="dxa"/>
          </w:tcPr>
          <w:p w14:paraId="53D50E99"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Обязательные: определение уровня ферритина в сыворотке (не должен превышать 1000 мкг/л)</w:t>
            </w:r>
          </w:p>
        </w:tc>
      </w:tr>
    </w:tbl>
    <w:p w14:paraId="57190056" w14:textId="77777777" w:rsidR="004569A5" w:rsidRPr="004569A5" w:rsidRDefault="004569A5" w:rsidP="004569A5">
      <w:pPr>
        <w:spacing w:before="0" w:after="0"/>
        <w:rPr>
          <w:szCs w:val="24"/>
        </w:rPr>
      </w:pPr>
      <w:r w:rsidRPr="004569A5">
        <w:rPr>
          <w:szCs w:val="24"/>
        </w:rPr>
        <w:t>* Контейнер с компонентом крови, при трансфузии которого возникла реакция или осложнение, передается в установленном порядке для оценки параметров качества и безопасности.</w:t>
      </w:r>
    </w:p>
    <w:p w14:paraId="752EBE94" w14:textId="77777777" w:rsidR="004569A5" w:rsidRPr="004569A5" w:rsidRDefault="004569A5" w:rsidP="004569A5">
      <w:pPr>
        <w:spacing w:before="0" w:after="0"/>
        <w:ind w:firstLine="708"/>
        <w:rPr>
          <w:szCs w:val="24"/>
        </w:rPr>
      </w:pPr>
      <w:r w:rsidRPr="004569A5">
        <w:rPr>
          <w:szCs w:val="24"/>
        </w:rPr>
        <w:t>Степень тяжести посттрансфузионных реакции и осложнений можно определить по шкале, приведенной в табл. 4.</w:t>
      </w:r>
    </w:p>
    <w:p w14:paraId="1D521DB7" w14:textId="77777777" w:rsidR="004569A5" w:rsidRPr="004569A5" w:rsidRDefault="004569A5" w:rsidP="004569A5">
      <w:pPr>
        <w:spacing w:before="0" w:after="0"/>
        <w:ind w:firstLine="708"/>
        <w:rPr>
          <w:szCs w:val="24"/>
        </w:rPr>
      </w:pPr>
      <w:r w:rsidRPr="004569A5">
        <w:rPr>
          <w:bCs/>
          <w:szCs w:val="24"/>
        </w:rPr>
        <w:t>Таблица 4. Шкала степени тяжести реакции или осложнения</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7380"/>
      </w:tblGrid>
      <w:tr w:rsidR="004569A5" w:rsidRPr="004569A5" w14:paraId="4340F339" w14:textId="77777777" w:rsidTr="006D503D">
        <w:tc>
          <w:tcPr>
            <w:tcW w:w="1800" w:type="dxa"/>
          </w:tcPr>
          <w:p w14:paraId="724AC92C" w14:textId="77777777" w:rsidR="004569A5" w:rsidRPr="004569A5" w:rsidRDefault="004569A5" w:rsidP="004569A5">
            <w:pPr>
              <w:pStyle w:val="Table-head-italic"/>
              <w:spacing w:line="360" w:lineRule="auto"/>
              <w:jc w:val="both"/>
              <w:rPr>
                <w:i w:val="0"/>
                <w:sz w:val="24"/>
                <w:szCs w:val="24"/>
                <w:lang w:val="ru-RU"/>
              </w:rPr>
            </w:pPr>
            <w:r w:rsidRPr="004569A5">
              <w:rPr>
                <w:i w:val="0"/>
                <w:sz w:val="24"/>
                <w:szCs w:val="24"/>
                <w:lang w:val="ru-RU"/>
              </w:rPr>
              <w:t>Категория</w:t>
            </w:r>
          </w:p>
        </w:tc>
        <w:tc>
          <w:tcPr>
            <w:tcW w:w="7380" w:type="dxa"/>
          </w:tcPr>
          <w:p w14:paraId="3A149911" w14:textId="77777777" w:rsidR="004569A5" w:rsidRPr="004569A5" w:rsidRDefault="004569A5" w:rsidP="004569A5">
            <w:pPr>
              <w:pStyle w:val="Table-head-italic"/>
              <w:spacing w:line="360" w:lineRule="auto"/>
              <w:jc w:val="both"/>
              <w:rPr>
                <w:i w:val="0"/>
                <w:sz w:val="24"/>
                <w:szCs w:val="24"/>
                <w:lang w:val="ru-RU"/>
              </w:rPr>
            </w:pPr>
            <w:r w:rsidRPr="004569A5">
              <w:rPr>
                <w:i w:val="0"/>
                <w:sz w:val="24"/>
                <w:szCs w:val="24"/>
                <w:lang w:val="ru-RU"/>
              </w:rPr>
              <w:t>Определение</w:t>
            </w:r>
          </w:p>
        </w:tc>
      </w:tr>
      <w:tr w:rsidR="004569A5" w:rsidRPr="004569A5" w14:paraId="27D8AD98" w14:textId="77777777" w:rsidTr="006D503D">
        <w:tc>
          <w:tcPr>
            <w:tcW w:w="1800" w:type="dxa"/>
          </w:tcPr>
          <w:p w14:paraId="2DBFA794"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0</w:t>
            </w:r>
          </w:p>
        </w:tc>
        <w:tc>
          <w:tcPr>
            <w:tcW w:w="7380" w:type="dxa"/>
          </w:tcPr>
          <w:p w14:paraId="2C8C9263"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Реакции и осложнений нет</w:t>
            </w:r>
          </w:p>
        </w:tc>
      </w:tr>
      <w:tr w:rsidR="004569A5" w:rsidRPr="004569A5" w14:paraId="21C4BB93" w14:textId="77777777" w:rsidTr="006D503D">
        <w:tc>
          <w:tcPr>
            <w:tcW w:w="1800" w:type="dxa"/>
          </w:tcPr>
          <w:p w14:paraId="3E885A97"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1</w:t>
            </w:r>
          </w:p>
        </w:tc>
        <w:tc>
          <w:tcPr>
            <w:tcW w:w="7380" w:type="dxa"/>
          </w:tcPr>
          <w:p w14:paraId="10081971"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Легкой степени: температура &lt; 38</w:t>
            </w:r>
            <w:r w:rsidRPr="004569A5">
              <w:rPr>
                <w:rFonts w:ascii="Symbol" w:hAnsi="Symbol" w:cs="Symbol"/>
                <w:sz w:val="24"/>
                <w:szCs w:val="24"/>
              </w:rPr>
              <w:t></w:t>
            </w:r>
            <w:r w:rsidRPr="004569A5">
              <w:rPr>
                <w:sz w:val="24"/>
                <w:szCs w:val="24"/>
              </w:rPr>
              <w:t xml:space="preserve">C, другие незначительные симптомы, без долгосрочных патологических последствий. </w:t>
            </w:r>
            <w:r w:rsidRPr="004569A5">
              <w:rPr>
                <w:sz w:val="24"/>
                <w:szCs w:val="24"/>
                <w:u w:val="single"/>
              </w:rPr>
              <w:t>Не требует терапевтического вмешательства</w:t>
            </w:r>
          </w:p>
        </w:tc>
      </w:tr>
      <w:tr w:rsidR="004569A5" w:rsidRPr="004569A5" w14:paraId="78C4342F" w14:textId="77777777" w:rsidTr="006D503D">
        <w:tc>
          <w:tcPr>
            <w:tcW w:w="1800" w:type="dxa"/>
          </w:tcPr>
          <w:p w14:paraId="135CC0BC"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2</w:t>
            </w:r>
          </w:p>
        </w:tc>
        <w:tc>
          <w:tcPr>
            <w:tcW w:w="7380" w:type="dxa"/>
          </w:tcPr>
          <w:p w14:paraId="685AA6F7"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 xml:space="preserve">Средней степени: симптомы, требующие терапевтического вмешательства, стабильные гемодинамические и вентиляционные показатели, возможны долгосрочные последствия (например, аллосенсибилизация в качестве причины рефрактерности к </w:t>
            </w:r>
            <w:r w:rsidRPr="004569A5">
              <w:rPr>
                <w:sz w:val="24"/>
                <w:szCs w:val="24"/>
              </w:rPr>
              <w:lastRenderedPageBreak/>
              <w:t>трансфузиям)</w:t>
            </w:r>
          </w:p>
        </w:tc>
      </w:tr>
      <w:tr w:rsidR="004569A5" w:rsidRPr="004569A5" w14:paraId="30AD0CA4" w14:textId="77777777" w:rsidTr="006D503D">
        <w:tc>
          <w:tcPr>
            <w:tcW w:w="1800" w:type="dxa"/>
          </w:tcPr>
          <w:p w14:paraId="1A12E2D7"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lastRenderedPageBreak/>
              <w:t>3</w:t>
            </w:r>
          </w:p>
        </w:tc>
        <w:tc>
          <w:tcPr>
            <w:tcW w:w="7380" w:type="dxa"/>
          </w:tcPr>
          <w:p w14:paraId="61951E02"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Тяжелой степени (непосредственная угроза жизни реципиента): нестабильные гемодинамические и вентиляционные показатели</w:t>
            </w:r>
          </w:p>
        </w:tc>
      </w:tr>
      <w:tr w:rsidR="004569A5" w:rsidRPr="004569A5" w14:paraId="262F12A3" w14:textId="77777777" w:rsidTr="006D503D">
        <w:tc>
          <w:tcPr>
            <w:tcW w:w="1800" w:type="dxa"/>
          </w:tcPr>
          <w:p w14:paraId="79CAC837"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4</w:t>
            </w:r>
          </w:p>
        </w:tc>
        <w:tc>
          <w:tcPr>
            <w:tcW w:w="7380" w:type="dxa"/>
          </w:tcPr>
          <w:p w14:paraId="736FE19C" w14:textId="77777777" w:rsidR="004569A5" w:rsidRPr="004569A5" w:rsidRDefault="004569A5" w:rsidP="004569A5">
            <w:pPr>
              <w:pStyle w:val="table-text-0"/>
              <w:spacing w:before="0" w:after="0" w:line="360" w:lineRule="auto"/>
              <w:ind w:firstLine="0"/>
              <w:jc w:val="both"/>
              <w:rPr>
                <w:sz w:val="24"/>
                <w:szCs w:val="24"/>
              </w:rPr>
            </w:pPr>
            <w:r w:rsidRPr="004569A5">
              <w:rPr>
                <w:sz w:val="24"/>
                <w:szCs w:val="24"/>
              </w:rPr>
              <w:t>Смерть от осложнения, выявленного в первые 24 часов после трансфузии</w:t>
            </w:r>
          </w:p>
        </w:tc>
      </w:tr>
    </w:tbl>
    <w:p w14:paraId="26C23606" w14:textId="77777777" w:rsidR="004569A5" w:rsidRPr="004569A5" w:rsidRDefault="004569A5" w:rsidP="004569A5">
      <w:pPr>
        <w:spacing w:before="0" w:after="0"/>
        <w:rPr>
          <w:bCs/>
          <w:szCs w:val="24"/>
        </w:rPr>
      </w:pPr>
    </w:p>
    <w:p w14:paraId="039F3C74" w14:textId="77777777" w:rsidR="004569A5" w:rsidRPr="00FD15FE" w:rsidRDefault="004569A5" w:rsidP="00FD15FE">
      <w:pPr>
        <w:numPr>
          <w:ilvl w:val="0"/>
          <w:numId w:val="124"/>
        </w:numPr>
        <w:spacing w:before="0" w:after="0"/>
        <w:ind w:left="567" w:hanging="567"/>
        <w:rPr>
          <w:b/>
          <w:szCs w:val="24"/>
          <w:lang w:eastAsia="ru-RU"/>
        </w:rPr>
      </w:pPr>
      <w:r w:rsidRPr="00FD15FE">
        <w:rPr>
          <w:b/>
          <w:szCs w:val="24"/>
          <w:lang w:eastAsia="ru-RU"/>
        </w:rPr>
        <w:t>Премедикация перед проведением трансфузии компонентов донорской крови</w:t>
      </w:r>
    </w:p>
    <w:p w14:paraId="0EDEF16E" w14:textId="77777777" w:rsidR="004569A5" w:rsidRPr="004569A5" w:rsidRDefault="004569A5" w:rsidP="004569A5">
      <w:pPr>
        <w:spacing w:before="0" w:after="0"/>
        <w:ind w:firstLine="360"/>
        <w:rPr>
          <w:bCs/>
          <w:szCs w:val="24"/>
        </w:rPr>
      </w:pPr>
      <w:r w:rsidRPr="004569A5">
        <w:rPr>
          <w:bCs/>
          <w:szCs w:val="24"/>
        </w:rPr>
        <w:t>Для профилактики нежелательных реакций на трансфузию при неоднократном проведении трансфузий компонентов крови может потребоваться премедикация. Алгоритм выбора премедикации перед проведением трансфузии компонентов донорской крови приведен в табл.5.</w:t>
      </w:r>
    </w:p>
    <w:p w14:paraId="19E0C0C9" w14:textId="77777777" w:rsidR="004569A5" w:rsidRPr="004569A5" w:rsidRDefault="004569A5" w:rsidP="004569A5">
      <w:pPr>
        <w:spacing w:before="0" w:after="0"/>
        <w:rPr>
          <w:bCs/>
          <w:szCs w:val="24"/>
        </w:rPr>
      </w:pPr>
      <w:r w:rsidRPr="004569A5">
        <w:rPr>
          <w:bCs/>
          <w:szCs w:val="24"/>
        </w:rPr>
        <w:t>Таблица 5. Выбор премедикации перед проведением трансфузии компонентов донорской крови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2610"/>
        <w:gridCol w:w="4636"/>
      </w:tblGrid>
      <w:tr w:rsidR="004569A5" w:rsidRPr="004569A5" w14:paraId="73100189" w14:textId="77777777" w:rsidTr="006D503D">
        <w:tc>
          <w:tcPr>
            <w:tcW w:w="3208" w:type="dxa"/>
            <w:shd w:val="clear" w:color="auto" w:fill="auto"/>
          </w:tcPr>
          <w:p w14:paraId="5E509EDB" w14:textId="77777777" w:rsidR="004569A5" w:rsidRPr="004569A5" w:rsidRDefault="004569A5" w:rsidP="004569A5">
            <w:pPr>
              <w:spacing w:before="0" w:after="0"/>
              <w:rPr>
                <w:bCs/>
                <w:szCs w:val="24"/>
              </w:rPr>
            </w:pPr>
            <w:r w:rsidRPr="004569A5">
              <w:rPr>
                <w:bCs/>
                <w:szCs w:val="24"/>
              </w:rPr>
              <w:t>Вид реакции или осложнения, связанный с переливанием донорской крови и/или её компонентов, зафиксированных при предыдущих трансфузиях</w:t>
            </w:r>
          </w:p>
        </w:tc>
        <w:tc>
          <w:tcPr>
            <w:tcW w:w="3082" w:type="dxa"/>
            <w:shd w:val="clear" w:color="auto" w:fill="auto"/>
          </w:tcPr>
          <w:p w14:paraId="55EB2E78" w14:textId="77777777" w:rsidR="004569A5" w:rsidRPr="004569A5" w:rsidRDefault="004569A5" w:rsidP="004569A5">
            <w:pPr>
              <w:spacing w:before="0" w:after="0"/>
              <w:rPr>
                <w:bCs/>
                <w:szCs w:val="24"/>
              </w:rPr>
            </w:pPr>
            <w:r w:rsidRPr="004569A5">
              <w:rPr>
                <w:bCs/>
                <w:szCs w:val="24"/>
              </w:rPr>
              <w:t>Наименование компонента донорской крови, показанного для предстоящей трансфузии</w:t>
            </w:r>
          </w:p>
        </w:tc>
        <w:tc>
          <w:tcPr>
            <w:tcW w:w="8270" w:type="dxa"/>
            <w:shd w:val="clear" w:color="auto" w:fill="auto"/>
          </w:tcPr>
          <w:p w14:paraId="3A62958C" w14:textId="77777777" w:rsidR="004569A5" w:rsidRPr="004569A5" w:rsidRDefault="004569A5" w:rsidP="004569A5">
            <w:pPr>
              <w:spacing w:before="0" w:after="0"/>
              <w:rPr>
                <w:bCs/>
                <w:szCs w:val="24"/>
              </w:rPr>
            </w:pPr>
            <w:r w:rsidRPr="004569A5">
              <w:rPr>
                <w:bCs/>
                <w:szCs w:val="24"/>
              </w:rPr>
              <w:t>Премедикация перед предстоящей трансфузией</w:t>
            </w:r>
          </w:p>
        </w:tc>
      </w:tr>
      <w:tr w:rsidR="004569A5" w:rsidRPr="004569A5" w14:paraId="54C3F824" w14:textId="77777777" w:rsidTr="006D503D">
        <w:tc>
          <w:tcPr>
            <w:tcW w:w="14560" w:type="dxa"/>
            <w:gridSpan w:val="3"/>
            <w:shd w:val="clear" w:color="auto" w:fill="auto"/>
          </w:tcPr>
          <w:p w14:paraId="4817D144" w14:textId="77777777" w:rsidR="004569A5" w:rsidRPr="004569A5" w:rsidRDefault="004569A5" w:rsidP="004569A5">
            <w:pPr>
              <w:spacing w:before="0" w:after="0"/>
              <w:rPr>
                <w:b/>
                <w:bCs/>
                <w:szCs w:val="24"/>
              </w:rPr>
            </w:pPr>
            <w:r w:rsidRPr="004569A5">
              <w:rPr>
                <w:b/>
                <w:bCs/>
                <w:szCs w:val="24"/>
              </w:rPr>
              <w:t>А. Пациент без трансфузий донорской крови и/или её компонентов в анамнезе</w:t>
            </w:r>
          </w:p>
        </w:tc>
      </w:tr>
      <w:tr w:rsidR="004569A5" w:rsidRPr="004569A5" w14:paraId="20D3EF14" w14:textId="77777777" w:rsidTr="006D503D">
        <w:tc>
          <w:tcPr>
            <w:tcW w:w="3208" w:type="dxa"/>
            <w:shd w:val="clear" w:color="auto" w:fill="auto"/>
          </w:tcPr>
          <w:p w14:paraId="7D136021" w14:textId="77777777" w:rsidR="004569A5" w:rsidRPr="004569A5" w:rsidRDefault="004569A5" w:rsidP="004569A5">
            <w:pPr>
              <w:spacing w:before="0" w:after="0"/>
              <w:rPr>
                <w:szCs w:val="24"/>
              </w:rPr>
            </w:pPr>
            <w:r w:rsidRPr="004569A5">
              <w:rPr>
                <w:szCs w:val="24"/>
              </w:rPr>
              <w:t>-</w:t>
            </w:r>
          </w:p>
        </w:tc>
        <w:tc>
          <w:tcPr>
            <w:tcW w:w="3082" w:type="dxa"/>
            <w:shd w:val="clear" w:color="auto" w:fill="auto"/>
          </w:tcPr>
          <w:p w14:paraId="6B5BD722" w14:textId="77777777" w:rsidR="004569A5" w:rsidRPr="004569A5" w:rsidRDefault="004569A5" w:rsidP="004569A5">
            <w:pPr>
              <w:spacing w:before="0" w:after="0"/>
              <w:rPr>
                <w:szCs w:val="24"/>
              </w:rPr>
            </w:pPr>
            <w:r w:rsidRPr="004569A5">
              <w:rPr>
                <w:szCs w:val="24"/>
              </w:rPr>
              <w:t>Любой компонент донорской крови</w:t>
            </w:r>
          </w:p>
        </w:tc>
        <w:tc>
          <w:tcPr>
            <w:tcW w:w="8270" w:type="dxa"/>
            <w:shd w:val="clear" w:color="auto" w:fill="auto"/>
          </w:tcPr>
          <w:p w14:paraId="3D592B03" w14:textId="77777777" w:rsidR="004569A5" w:rsidRPr="004569A5" w:rsidRDefault="004569A5" w:rsidP="004569A5">
            <w:pPr>
              <w:spacing w:before="0" w:after="0"/>
              <w:rPr>
                <w:szCs w:val="24"/>
              </w:rPr>
            </w:pPr>
            <w:r w:rsidRPr="004569A5">
              <w:rPr>
                <w:szCs w:val="24"/>
              </w:rPr>
              <w:t>10 мл 10% кальция глюконата в 100 мл 0,9% раствора NaC</w:t>
            </w:r>
            <w:r w:rsidRPr="004569A5">
              <w:rPr>
                <w:szCs w:val="24"/>
                <w:lang w:val="en-US"/>
              </w:rPr>
              <w:t>l</w:t>
            </w:r>
            <w:r w:rsidRPr="004569A5">
              <w:rPr>
                <w:szCs w:val="24"/>
              </w:rPr>
              <w:t xml:space="preserve"> в/в капельно</w:t>
            </w:r>
          </w:p>
        </w:tc>
      </w:tr>
      <w:tr w:rsidR="004569A5" w:rsidRPr="004569A5" w14:paraId="5586E026" w14:textId="77777777" w:rsidTr="006D503D">
        <w:tc>
          <w:tcPr>
            <w:tcW w:w="14560" w:type="dxa"/>
            <w:gridSpan w:val="3"/>
            <w:shd w:val="clear" w:color="auto" w:fill="auto"/>
          </w:tcPr>
          <w:p w14:paraId="7D8795B3" w14:textId="77777777" w:rsidR="004569A5" w:rsidRPr="004569A5" w:rsidRDefault="004569A5" w:rsidP="004569A5">
            <w:pPr>
              <w:spacing w:before="0" w:after="0"/>
              <w:rPr>
                <w:b/>
                <w:bCs/>
                <w:szCs w:val="24"/>
              </w:rPr>
            </w:pPr>
            <w:r w:rsidRPr="004569A5">
              <w:rPr>
                <w:b/>
                <w:bCs/>
                <w:szCs w:val="24"/>
              </w:rPr>
              <w:t>Б. Пациент с трансфузией донорской крови и/или её компонентов без реакций или осложнений в анамнезе*</w:t>
            </w:r>
          </w:p>
        </w:tc>
      </w:tr>
      <w:tr w:rsidR="004569A5" w:rsidRPr="004569A5" w14:paraId="7F90492D" w14:textId="77777777" w:rsidTr="006D503D">
        <w:tc>
          <w:tcPr>
            <w:tcW w:w="3208" w:type="dxa"/>
            <w:shd w:val="clear" w:color="auto" w:fill="auto"/>
          </w:tcPr>
          <w:p w14:paraId="3251EFD7" w14:textId="77777777" w:rsidR="004569A5" w:rsidRPr="004569A5" w:rsidRDefault="004569A5" w:rsidP="004569A5">
            <w:pPr>
              <w:spacing w:before="0" w:after="0"/>
              <w:rPr>
                <w:szCs w:val="24"/>
              </w:rPr>
            </w:pPr>
            <w:r w:rsidRPr="004569A5">
              <w:rPr>
                <w:szCs w:val="24"/>
              </w:rPr>
              <w:t>-</w:t>
            </w:r>
          </w:p>
        </w:tc>
        <w:tc>
          <w:tcPr>
            <w:tcW w:w="3082" w:type="dxa"/>
            <w:shd w:val="clear" w:color="auto" w:fill="auto"/>
          </w:tcPr>
          <w:p w14:paraId="0C6AE360" w14:textId="77777777" w:rsidR="004569A5" w:rsidRPr="004569A5" w:rsidRDefault="004569A5" w:rsidP="004569A5">
            <w:pPr>
              <w:spacing w:before="0" w:after="0"/>
              <w:rPr>
                <w:szCs w:val="24"/>
              </w:rPr>
            </w:pPr>
            <w:r w:rsidRPr="004569A5">
              <w:rPr>
                <w:szCs w:val="24"/>
              </w:rPr>
              <w:t>Любой компонент донорской крови</w:t>
            </w:r>
          </w:p>
        </w:tc>
        <w:tc>
          <w:tcPr>
            <w:tcW w:w="8270" w:type="dxa"/>
            <w:shd w:val="clear" w:color="auto" w:fill="auto"/>
          </w:tcPr>
          <w:p w14:paraId="7BA18C4C" w14:textId="77777777" w:rsidR="004569A5" w:rsidRPr="004569A5" w:rsidRDefault="004569A5" w:rsidP="004569A5">
            <w:pPr>
              <w:spacing w:before="0" w:after="0"/>
              <w:rPr>
                <w:szCs w:val="24"/>
              </w:rPr>
            </w:pPr>
            <w:r w:rsidRPr="004569A5">
              <w:rPr>
                <w:szCs w:val="24"/>
              </w:rPr>
              <w:t>10 мл 10% кальция глюконата в 100 мл 0,9% раствора NaC</w:t>
            </w:r>
            <w:r w:rsidRPr="004569A5">
              <w:rPr>
                <w:szCs w:val="24"/>
                <w:lang w:val="en-US"/>
              </w:rPr>
              <w:t>l</w:t>
            </w:r>
            <w:r w:rsidRPr="004569A5">
              <w:rPr>
                <w:szCs w:val="24"/>
              </w:rPr>
              <w:t xml:space="preserve"> в/в капельно</w:t>
            </w:r>
          </w:p>
        </w:tc>
      </w:tr>
      <w:tr w:rsidR="004569A5" w:rsidRPr="004569A5" w14:paraId="01C4EB99" w14:textId="77777777" w:rsidTr="006D503D">
        <w:tc>
          <w:tcPr>
            <w:tcW w:w="14560" w:type="dxa"/>
            <w:gridSpan w:val="3"/>
            <w:shd w:val="clear" w:color="auto" w:fill="auto"/>
          </w:tcPr>
          <w:p w14:paraId="5D543011" w14:textId="77777777" w:rsidR="004569A5" w:rsidRPr="004569A5" w:rsidRDefault="004569A5" w:rsidP="004569A5">
            <w:pPr>
              <w:spacing w:before="0" w:after="0"/>
              <w:rPr>
                <w:b/>
                <w:bCs/>
                <w:szCs w:val="24"/>
              </w:rPr>
            </w:pPr>
            <w:r w:rsidRPr="004569A5">
              <w:rPr>
                <w:b/>
                <w:bCs/>
                <w:szCs w:val="24"/>
              </w:rPr>
              <w:t>В. Пациент с трансфузией донорской крови и/или её компонентов с реакциями или осложнениями на в анамнезе</w:t>
            </w:r>
          </w:p>
        </w:tc>
      </w:tr>
      <w:tr w:rsidR="004569A5" w:rsidRPr="004569A5" w14:paraId="5B94AA87" w14:textId="77777777" w:rsidTr="006D503D">
        <w:tc>
          <w:tcPr>
            <w:tcW w:w="14560" w:type="dxa"/>
            <w:gridSpan w:val="3"/>
            <w:shd w:val="clear" w:color="auto" w:fill="auto"/>
          </w:tcPr>
          <w:p w14:paraId="7A8F03E0" w14:textId="77777777" w:rsidR="004569A5" w:rsidRPr="004569A5" w:rsidRDefault="004569A5" w:rsidP="00CE6C1C">
            <w:pPr>
              <w:pStyle w:val="a6"/>
              <w:numPr>
                <w:ilvl w:val="0"/>
                <w:numId w:val="133"/>
              </w:numPr>
              <w:spacing w:before="0" w:after="0"/>
              <w:rPr>
                <w:b/>
                <w:bCs/>
                <w:szCs w:val="24"/>
              </w:rPr>
            </w:pPr>
            <w:r w:rsidRPr="004569A5">
              <w:rPr>
                <w:b/>
                <w:bCs/>
                <w:szCs w:val="24"/>
              </w:rPr>
              <w:t xml:space="preserve">Аллергические реакции (крапивница, бронхоспазм, отек Квинке, </w:t>
            </w:r>
            <w:r w:rsidRPr="004569A5">
              <w:rPr>
                <w:b/>
                <w:bCs/>
                <w:szCs w:val="24"/>
              </w:rPr>
              <w:lastRenderedPageBreak/>
              <w:t>анафилактический шок и др.) в зависимости от степени тяжести</w:t>
            </w:r>
          </w:p>
        </w:tc>
      </w:tr>
      <w:tr w:rsidR="004569A5" w:rsidRPr="004569A5" w14:paraId="47A5C7DF" w14:textId="77777777" w:rsidTr="006D503D">
        <w:tc>
          <w:tcPr>
            <w:tcW w:w="3208" w:type="dxa"/>
            <w:shd w:val="clear" w:color="auto" w:fill="auto"/>
          </w:tcPr>
          <w:p w14:paraId="715EDB13" w14:textId="77777777" w:rsidR="004569A5" w:rsidRPr="004569A5" w:rsidRDefault="004569A5" w:rsidP="00CE6C1C">
            <w:pPr>
              <w:pStyle w:val="a6"/>
              <w:numPr>
                <w:ilvl w:val="0"/>
                <w:numId w:val="127"/>
              </w:numPr>
              <w:spacing w:before="0" w:after="0"/>
              <w:ind w:left="0"/>
              <w:rPr>
                <w:szCs w:val="24"/>
              </w:rPr>
            </w:pPr>
            <w:r w:rsidRPr="004569A5">
              <w:rPr>
                <w:szCs w:val="24"/>
              </w:rPr>
              <w:lastRenderedPageBreak/>
              <w:t>Аллергические реакции легкой степени</w:t>
            </w:r>
          </w:p>
          <w:p w14:paraId="5F076688" w14:textId="77777777" w:rsidR="004569A5" w:rsidRPr="004569A5" w:rsidRDefault="004569A5" w:rsidP="004569A5">
            <w:pPr>
              <w:spacing w:before="0" w:after="0"/>
              <w:rPr>
                <w:szCs w:val="24"/>
              </w:rPr>
            </w:pPr>
          </w:p>
        </w:tc>
        <w:tc>
          <w:tcPr>
            <w:tcW w:w="3082" w:type="dxa"/>
            <w:shd w:val="clear" w:color="auto" w:fill="auto"/>
          </w:tcPr>
          <w:p w14:paraId="39F54832" w14:textId="77777777" w:rsidR="004569A5" w:rsidRPr="004569A5" w:rsidRDefault="004569A5" w:rsidP="004569A5">
            <w:pPr>
              <w:spacing w:before="0" w:after="0"/>
              <w:rPr>
                <w:szCs w:val="24"/>
              </w:rPr>
            </w:pPr>
            <w:r w:rsidRPr="004569A5">
              <w:rPr>
                <w:szCs w:val="24"/>
              </w:rPr>
              <w:t>Любой компонент донорской крови</w:t>
            </w:r>
          </w:p>
        </w:tc>
        <w:tc>
          <w:tcPr>
            <w:tcW w:w="8270" w:type="dxa"/>
            <w:shd w:val="clear" w:color="auto" w:fill="auto"/>
          </w:tcPr>
          <w:p w14:paraId="11DF895F" w14:textId="77777777" w:rsidR="004569A5" w:rsidRPr="004569A5" w:rsidRDefault="004569A5" w:rsidP="004569A5">
            <w:pPr>
              <w:spacing w:before="0" w:after="0"/>
              <w:rPr>
                <w:szCs w:val="24"/>
              </w:rPr>
            </w:pPr>
            <w:r w:rsidRPr="004569A5">
              <w:rPr>
                <w:szCs w:val="24"/>
              </w:rPr>
              <w:t>10 мл 10% кальция глюконата в 100 мл 0,9% раствора NaC</w:t>
            </w:r>
            <w:r w:rsidRPr="004569A5">
              <w:rPr>
                <w:szCs w:val="24"/>
                <w:lang w:val="en-US"/>
              </w:rPr>
              <w:t>l</w:t>
            </w:r>
            <w:r w:rsidRPr="004569A5">
              <w:rPr>
                <w:szCs w:val="24"/>
              </w:rPr>
              <w:t xml:space="preserve"> в/в капельно</w:t>
            </w:r>
          </w:p>
        </w:tc>
      </w:tr>
      <w:tr w:rsidR="004569A5" w:rsidRPr="004569A5" w14:paraId="26E2DD3D" w14:textId="77777777" w:rsidTr="006D503D">
        <w:tc>
          <w:tcPr>
            <w:tcW w:w="3208" w:type="dxa"/>
            <w:vMerge w:val="restart"/>
            <w:shd w:val="clear" w:color="auto" w:fill="auto"/>
          </w:tcPr>
          <w:p w14:paraId="3DF17EFE" w14:textId="77777777" w:rsidR="004569A5" w:rsidRPr="004569A5" w:rsidRDefault="004569A5" w:rsidP="00CE6C1C">
            <w:pPr>
              <w:pStyle w:val="a6"/>
              <w:numPr>
                <w:ilvl w:val="0"/>
                <w:numId w:val="127"/>
              </w:numPr>
              <w:spacing w:before="0" w:after="0"/>
              <w:ind w:left="0"/>
              <w:rPr>
                <w:szCs w:val="24"/>
              </w:rPr>
            </w:pPr>
            <w:r w:rsidRPr="004569A5">
              <w:rPr>
                <w:szCs w:val="24"/>
              </w:rPr>
              <w:t>Аллергические реакции средней тяжести (протекающие без нарушений гемодинамических и вентиляционных показателей)</w:t>
            </w:r>
          </w:p>
        </w:tc>
        <w:tc>
          <w:tcPr>
            <w:tcW w:w="3082" w:type="dxa"/>
            <w:shd w:val="clear" w:color="auto" w:fill="auto"/>
          </w:tcPr>
          <w:p w14:paraId="74A1ACF6" w14:textId="77777777" w:rsidR="004569A5" w:rsidRPr="004569A5" w:rsidRDefault="004569A5" w:rsidP="004569A5">
            <w:pPr>
              <w:spacing w:before="0" w:after="0"/>
              <w:rPr>
                <w:szCs w:val="24"/>
              </w:rPr>
            </w:pPr>
            <w:r w:rsidRPr="004569A5">
              <w:rPr>
                <w:szCs w:val="24"/>
              </w:rPr>
              <w:t>Компонент донорской крови, вызвавший реакцию ранее</w:t>
            </w:r>
          </w:p>
        </w:tc>
        <w:tc>
          <w:tcPr>
            <w:tcW w:w="8270" w:type="dxa"/>
            <w:shd w:val="clear" w:color="auto" w:fill="auto"/>
          </w:tcPr>
          <w:p w14:paraId="79755FA3" w14:textId="77777777" w:rsidR="004569A5" w:rsidRPr="004569A5" w:rsidRDefault="004569A5" w:rsidP="004569A5">
            <w:pPr>
              <w:spacing w:before="0" w:after="0"/>
              <w:rPr>
                <w:szCs w:val="24"/>
              </w:rPr>
            </w:pPr>
            <w:r w:rsidRPr="004569A5">
              <w:rPr>
                <w:szCs w:val="24"/>
              </w:rPr>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4569A5">
              <w:rPr>
                <w:szCs w:val="24"/>
                <w:lang w:val="en-US"/>
              </w:rPr>
              <w:t>l</w:t>
            </w:r>
            <w:r w:rsidRPr="004569A5">
              <w:rPr>
                <w:szCs w:val="24"/>
              </w:rPr>
              <w:t xml:space="preserve"> в/в капельно</w:t>
            </w:r>
          </w:p>
        </w:tc>
      </w:tr>
      <w:tr w:rsidR="004569A5" w:rsidRPr="004569A5" w14:paraId="5BAA94CB" w14:textId="77777777" w:rsidTr="006D503D">
        <w:tc>
          <w:tcPr>
            <w:tcW w:w="3208" w:type="dxa"/>
            <w:vMerge/>
            <w:shd w:val="clear" w:color="auto" w:fill="auto"/>
          </w:tcPr>
          <w:p w14:paraId="684E2BB9" w14:textId="77777777" w:rsidR="004569A5" w:rsidRPr="004569A5" w:rsidRDefault="004569A5" w:rsidP="00CE6C1C">
            <w:pPr>
              <w:pStyle w:val="a6"/>
              <w:numPr>
                <w:ilvl w:val="0"/>
                <w:numId w:val="127"/>
              </w:numPr>
              <w:spacing w:before="0" w:after="0"/>
              <w:ind w:left="0"/>
              <w:rPr>
                <w:szCs w:val="24"/>
              </w:rPr>
            </w:pPr>
          </w:p>
        </w:tc>
        <w:tc>
          <w:tcPr>
            <w:tcW w:w="3082" w:type="dxa"/>
            <w:shd w:val="clear" w:color="auto" w:fill="auto"/>
          </w:tcPr>
          <w:p w14:paraId="19F04BC0" w14:textId="77777777" w:rsidR="004569A5" w:rsidRPr="004569A5" w:rsidRDefault="004569A5" w:rsidP="004569A5">
            <w:pPr>
              <w:spacing w:before="0" w:after="0"/>
              <w:rPr>
                <w:szCs w:val="24"/>
              </w:rPr>
            </w:pPr>
            <w:r w:rsidRPr="004569A5">
              <w:rPr>
                <w:szCs w:val="24"/>
              </w:rPr>
              <w:t>Другие компоненты донорской крови (не вызывавшие реакции ранее)</w:t>
            </w:r>
          </w:p>
        </w:tc>
        <w:tc>
          <w:tcPr>
            <w:tcW w:w="8270" w:type="dxa"/>
            <w:shd w:val="clear" w:color="auto" w:fill="auto"/>
          </w:tcPr>
          <w:p w14:paraId="3296BBAC" w14:textId="77777777" w:rsidR="004569A5" w:rsidRPr="004569A5" w:rsidRDefault="004569A5" w:rsidP="004569A5">
            <w:pPr>
              <w:spacing w:before="0" w:after="0"/>
              <w:rPr>
                <w:szCs w:val="24"/>
              </w:rPr>
            </w:pPr>
            <w:r w:rsidRPr="004569A5">
              <w:rPr>
                <w:szCs w:val="24"/>
              </w:rPr>
              <w:t>10 мл 10% кальция глюконата в 100 мл 0,9% раствора NaC</w:t>
            </w:r>
            <w:r w:rsidRPr="004569A5">
              <w:rPr>
                <w:szCs w:val="24"/>
                <w:lang w:val="en-US"/>
              </w:rPr>
              <w:t>l</w:t>
            </w:r>
            <w:r w:rsidRPr="004569A5">
              <w:rPr>
                <w:szCs w:val="24"/>
              </w:rPr>
              <w:t xml:space="preserve"> в/в капельно</w:t>
            </w:r>
          </w:p>
        </w:tc>
      </w:tr>
      <w:tr w:rsidR="004569A5" w:rsidRPr="004569A5" w14:paraId="66F842A0" w14:textId="77777777" w:rsidTr="006D503D">
        <w:tc>
          <w:tcPr>
            <w:tcW w:w="3208" w:type="dxa"/>
            <w:shd w:val="clear" w:color="auto" w:fill="auto"/>
          </w:tcPr>
          <w:p w14:paraId="3A1B0B62" w14:textId="77777777" w:rsidR="004569A5" w:rsidRPr="004569A5" w:rsidRDefault="004569A5" w:rsidP="00CE6C1C">
            <w:pPr>
              <w:pStyle w:val="a6"/>
              <w:numPr>
                <w:ilvl w:val="0"/>
                <w:numId w:val="127"/>
              </w:numPr>
              <w:spacing w:before="0" w:after="0"/>
              <w:ind w:left="0"/>
              <w:rPr>
                <w:szCs w:val="24"/>
              </w:rPr>
            </w:pPr>
            <w:r w:rsidRPr="004569A5">
              <w:rPr>
                <w:szCs w:val="24"/>
              </w:rPr>
              <w:t>Тяжелые аллергические реакции (протекающие с нарушением гемодинамических и вентиляционных показателей)</w:t>
            </w:r>
          </w:p>
        </w:tc>
        <w:tc>
          <w:tcPr>
            <w:tcW w:w="3082" w:type="dxa"/>
            <w:shd w:val="clear" w:color="auto" w:fill="auto"/>
          </w:tcPr>
          <w:p w14:paraId="3A908E10" w14:textId="77777777" w:rsidR="004569A5" w:rsidRPr="004569A5" w:rsidRDefault="004569A5" w:rsidP="004569A5">
            <w:pPr>
              <w:spacing w:before="0" w:after="0"/>
              <w:rPr>
                <w:szCs w:val="24"/>
              </w:rPr>
            </w:pPr>
            <w:r w:rsidRPr="004569A5">
              <w:rPr>
                <w:szCs w:val="24"/>
              </w:rPr>
              <w:t>Любой компонент донорской крови</w:t>
            </w:r>
          </w:p>
        </w:tc>
        <w:tc>
          <w:tcPr>
            <w:tcW w:w="8270" w:type="dxa"/>
            <w:shd w:val="clear" w:color="auto" w:fill="auto"/>
          </w:tcPr>
          <w:p w14:paraId="56A6BF06" w14:textId="77777777" w:rsidR="004569A5" w:rsidRPr="004569A5" w:rsidRDefault="004569A5" w:rsidP="004569A5">
            <w:pPr>
              <w:spacing w:before="0" w:after="0"/>
              <w:rPr>
                <w:szCs w:val="24"/>
              </w:rPr>
            </w:pPr>
            <w:r w:rsidRPr="004569A5">
              <w:rPr>
                <w:szCs w:val="24"/>
              </w:rPr>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4569A5">
              <w:rPr>
                <w:szCs w:val="24"/>
                <w:lang w:val="en-US"/>
              </w:rPr>
              <w:t>l</w:t>
            </w:r>
            <w:r w:rsidRPr="004569A5">
              <w:rPr>
                <w:szCs w:val="24"/>
              </w:rPr>
              <w:t xml:space="preserve"> в/в капельно.</w:t>
            </w:r>
          </w:p>
          <w:p w14:paraId="55FB2065" w14:textId="77777777" w:rsidR="004569A5" w:rsidRPr="004569A5" w:rsidRDefault="004569A5" w:rsidP="004569A5">
            <w:pPr>
              <w:pStyle w:val="a6"/>
              <w:spacing w:before="0" w:after="0"/>
              <w:ind w:left="0"/>
              <w:rPr>
                <w:szCs w:val="24"/>
              </w:rPr>
            </w:pPr>
            <w:r w:rsidRPr="004569A5">
              <w:rPr>
                <w:szCs w:val="24"/>
              </w:rPr>
              <w:t>Возможно разовое применение глюкокортикостероидов** (</w:t>
            </w:r>
            <w:r w:rsidRPr="004569A5">
              <w:rPr>
                <w:szCs w:val="24"/>
                <w:shd w:val="clear" w:color="auto" w:fill="FFFFFF"/>
              </w:rPr>
              <w:t>следует </w:t>
            </w:r>
            <w:r w:rsidRPr="004569A5">
              <w:rPr>
                <w:rStyle w:val="a5"/>
                <w:szCs w:val="24"/>
                <w:shd w:val="clear" w:color="auto" w:fill="FFFFFF"/>
              </w:rPr>
              <w:t>соотнести</w:t>
            </w:r>
            <w:r w:rsidRPr="004569A5">
              <w:rPr>
                <w:szCs w:val="24"/>
                <w:shd w:val="clear" w:color="auto" w:fill="FFFFFF"/>
              </w:rPr>
              <w:t> потенциальные </w:t>
            </w:r>
            <w:r w:rsidRPr="004569A5">
              <w:rPr>
                <w:rStyle w:val="a5"/>
                <w:szCs w:val="24"/>
                <w:shd w:val="clear" w:color="auto" w:fill="FFFFFF"/>
              </w:rPr>
              <w:t>риски</w:t>
            </w:r>
            <w:r w:rsidRPr="004569A5">
              <w:rPr>
                <w:szCs w:val="24"/>
                <w:shd w:val="clear" w:color="auto" w:fill="FFFFFF"/>
              </w:rPr>
              <w:t> и ожидаемую </w:t>
            </w:r>
            <w:r w:rsidRPr="004569A5">
              <w:rPr>
                <w:rStyle w:val="a5"/>
                <w:szCs w:val="24"/>
                <w:shd w:val="clear" w:color="auto" w:fill="FFFFFF"/>
              </w:rPr>
              <w:t>пользу</w:t>
            </w:r>
            <w:r w:rsidRPr="004569A5">
              <w:rPr>
                <w:szCs w:val="24"/>
              </w:rPr>
              <w:t>).</w:t>
            </w:r>
          </w:p>
          <w:p w14:paraId="1E16AD04" w14:textId="77777777" w:rsidR="004569A5" w:rsidRPr="004569A5" w:rsidRDefault="004569A5" w:rsidP="004569A5">
            <w:pPr>
              <w:spacing w:before="0" w:after="0"/>
              <w:rPr>
                <w:szCs w:val="24"/>
              </w:rPr>
            </w:pPr>
            <w:r w:rsidRPr="004569A5">
              <w:rPr>
                <w:szCs w:val="24"/>
              </w:rPr>
              <w:t>Уменьшение скорости трансфузии.</w:t>
            </w:r>
          </w:p>
        </w:tc>
      </w:tr>
      <w:tr w:rsidR="004569A5" w:rsidRPr="004569A5" w14:paraId="509576DD" w14:textId="77777777" w:rsidTr="006D503D">
        <w:tc>
          <w:tcPr>
            <w:tcW w:w="14560" w:type="dxa"/>
            <w:gridSpan w:val="3"/>
            <w:shd w:val="clear" w:color="auto" w:fill="auto"/>
          </w:tcPr>
          <w:p w14:paraId="5D20DB99" w14:textId="77777777" w:rsidR="004569A5" w:rsidRPr="004569A5" w:rsidRDefault="004569A5" w:rsidP="00CE6C1C">
            <w:pPr>
              <w:pStyle w:val="a6"/>
              <w:numPr>
                <w:ilvl w:val="0"/>
                <w:numId w:val="132"/>
              </w:numPr>
              <w:spacing w:before="0" w:after="0"/>
              <w:rPr>
                <w:b/>
                <w:bCs/>
                <w:szCs w:val="24"/>
              </w:rPr>
            </w:pPr>
            <w:r w:rsidRPr="004569A5">
              <w:rPr>
                <w:b/>
                <w:bCs/>
                <w:szCs w:val="24"/>
              </w:rPr>
              <w:t>Однократная гипертермическая фебрильная негемолитическая реакция (ФНР) в анамнезе</w:t>
            </w:r>
          </w:p>
        </w:tc>
      </w:tr>
      <w:tr w:rsidR="004569A5" w:rsidRPr="004569A5" w14:paraId="599197B8" w14:textId="77777777" w:rsidTr="006D503D">
        <w:tc>
          <w:tcPr>
            <w:tcW w:w="3208" w:type="dxa"/>
            <w:shd w:val="clear" w:color="auto" w:fill="auto"/>
          </w:tcPr>
          <w:p w14:paraId="10FDE6E9" w14:textId="77777777" w:rsidR="004569A5" w:rsidRPr="004569A5" w:rsidRDefault="004569A5" w:rsidP="00CE6C1C">
            <w:pPr>
              <w:pStyle w:val="a6"/>
              <w:numPr>
                <w:ilvl w:val="0"/>
                <w:numId w:val="127"/>
              </w:numPr>
              <w:spacing w:before="0" w:after="0"/>
              <w:ind w:left="0"/>
              <w:rPr>
                <w:szCs w:val="24"/>
              </w:rPr>
            </w:pPr>
            <w:r w:rsidRPr="004569A5">
              <w:rPr>
                <w:szCs w:val="24"/>
              </w:rPr>
              <w:t>Однократная ФНР в анамнезе</w:t>
            </w:r>
          </w:p>
        </w:tc>
        <w:tc>
          <w:tcPr>
            <w:tcW w:w="3082" w:type="dxa"/>
            <w:shd w:val="clear" w:color="auto" w:fill="auto"/>
          </w:tcPr>
          <w:p w14:paraId="77903E53" w14:textId="77777777" w:rsidR="004569A5" w:rsidRPr="004569A5" w:rsidRDefault="004569A5" w:rsidP="004569A5">
            <w:pPr>
              <w:spacing w:before="0" w:after="0"/>
              <w:rPr>
                <w:szCs w:val="24"/>
              </w:rPr>
            </w:pPr>
            <w:r w:rsidRPr="004569A5">
              <w:rPr>
                <w:szCs w:val="24"/>
              </w:rPr>
              <w:t>Любой компонент донорской крови</w:t>
            </w:r>
          </w:p>
        </w:tc>
        <w:tc>
          <w:tcPr>
            <w:tcW w:w="8270" w:type="dxa"/>
            <w:shd w:val="clear" w:color="auto" w:fill="auto"/>
          </w:tcPr>
          <w:p w14:paraId="73B3F381" w14:textId="77777777" w:rsidR="004569A5" w:rsidRPr="004569A5" w:rsidRDefault="004569A5" w:rsidP="004569A5">
            <w:pPr>
              <w:spacing w:before="0" w:after="0"/>
              <w:rPr>
                <w:szCs w:val="24"/>
              </w:rPr>
            </w:pPr>
            <w:r w:rsidRPr="004569A5">
              <w:rPr>
                <w:szCs w:val="24"/>
              </w:rPr>
              <w:t>10 мл 10% кальция глюконата в 100 мл 0,9% раствора NaC</w:t>
            </w:r>
            <w:r w:rsidRPr="004569A5">
              <w:rPr>
                <w:szCs w:val="24"/>
                <w:lang w:val="en-US"/>
              </w:rPr>
              <w:t>l</w:t>
            </w:r>
            <w:r w:rsidRPr="004569A5">
              <w:rPr>
                <w:szCs w:val="24"/>
              </w:rPr>
              <w:t xml:space="preserve"> в/в капельно</w:t>
            </w:r>
          </w:p>
        </w:tc>
      </w:tr>
      <w:tr w:rsidR="004569A5" w:rsidRPr="004569A5" w14:paraId="731E856E" w14:textId="77777777" w:rsidTr="006D503D">
        <w:tc>
          <w:tcPr>
            <w:tcW w:w="14560" w:type="dxa"/>
            <w:gridSpan w:val="3"/>
            <w:shd w:val="clear" w:color="auto" w:fill="auto"/>
          </w:tcPr>
          <w:p w14:paraId="4176516C" w14:textId="77777777" w:rsidR="004569A5" w:rsidRPr="004569A5" w:rsidRDefault="004569A5" w:rsidP="00CE6C1C">
            <w:pPr>
              <w:pStyle w:val="a6"/>
              <w:numPr>
                <w:ilvl w:val="0"/>
                <w:numId w:val="132"/>
              </w:numPr>
              <w:spacing w:before="0" w:after="0"/>
              <w:rPr>
                <w:b/>
                <w:bCs/>
                <w:szCs w:val="24"/>
              </w:rPr>
            </w:pPr>
            <w:r w:rsidRPr="004569A5">
              <w:rPr>
                <w:b/>
                <w:bCs/>
                <w:szCs w:val="24"/>
              </w:rPr>
              <w:t>Многократные (≥2) гипертермические фебрильные негемолитические реакции (ФНР) в анамнезе</w:t>
            </w:r>
          </w:p>
        </w:tc>
      </w:tr>
      <w:tr w:rsidR="004569A5" w:rsidRPr="004569A5" w14:paraId="4EA86661" w14:textId="77777777" w:rsidTr="006D503D">
        <w:tc>
          <w:tcPr>
            <w:tcW w:w="3208" w:type="dxa"/>
            <w:vMerge w:val="restart"/>
            <w:shd w:val="clear" w:color="auto" w:fill="auto"/>
          </w:tcPr>
          <w:p w14:paraId="74F1CE0F" w14:textId="77777777" w:rsidR="004569A5" w:rsidRPr="004569A5" w:rsidRDefault="004569A5" w:rsidP="00CE6C1C">
            <w:pPr>
              <w:pStyle w:val="a6"/>
              <w:numPr>
                <w:ilvl w:val="0"/>
                <w:numId w:val="129"/>
              </w:numPr>
              <w:spacing w:before="0" w:after="0"/>
              <w:ind w:left="0"/>
              <w:rPr>
                <w:szCs w:val="24"/>
              </w:rPr>
            </w:pPr>
            <w:r w:rsidRPr="004569A5">
              <w:rPr>
                <w:szCs w:val="24"/>
              </w:rPr>
              <w:t>Протекающие без потрясающего озноба</w:t>
            </w:r>
          </w:p>
        </w:tc>
        <w:tc>
          <w:tcPr>
            <w:tcW w:w="3082" w:type="dxa"/>
            <w:shd w:val="clear" w:color="auto" w:fill="auto"/>
          </w:tcPr>
          <w:p w14:paraId="7B7B1473" w14:textId="77777777" w:rsidR="004569A5" w:rsidRPr="004569A5" w:rsidRDefault="004569A5" w:rsidP="004569A5">
            <w:pPr>
              <w:spacing w:before="0" w:after="0"/>
              <w:rPr>
                <w:szCs w:val="24"/>
              </w:rPr>
            </w:pPr>
            <w:r w:rsidRPr="004569A5">
              <w:rPr>
                <w:szCs w:val="24"/>
              </w:rPr>
              <w:t>Компонент донорской крови, вызвавший реакцию ранее</w:t>
            </w:r>
          </w:p>
        </w:tc>
        <w:tc>
          <w:tcPr>
            <w:tcW w:w="8270" w:type="dxa"/>
            <w:shd w:val="clear" w:color="auto" w:fill="auto"/>
          </w:tcPr>
          <w:p w14:paraId="3BCC7B7C" w14:textId="77777777" w:rsidR="004569A5" w:rsidRPr="004569A5" w:rsidRDefault="004569A5" w:rsidP="004569A5">
            <w:pPr>
              <w:spacing w:before="0" w:after="0"/>
              <w:rPr>
                <w:szCs w:val="24"/>
              </w:rPr>
            </w:pPr>
            <w:r w:rsidRPr="004569A5">
              <w:rPr>
                <w:szCs w:val="24"/>
              </w:rPr>
              <w:t xml:space="preserve">10 мл 10% кальция глюконата и 2 мл клемастина гидрофумарата 1 мг/мл (либо 1 мл дифенгидрамина 10 мг/мл, либо 1 мл </w:t>
            </w:r>
            <w:r w:rsidRPr="004569A5">
              <w:rPr>
                <w:szCs w:val="24"/>
              </w:rPr>
              <w:lastRenderedPageBreak/>
              <w:t>хлоропирамина 20 мг/мл) в 100 мл 0,9% раствора NaC</w:t>
            </w:r>
            <w:r w:rsidRPr="004569A5">
              <w:rPr>
                <w:szCs w:val="24"/>
                <w:lang w:val="en-US"/>
              </w:rPr>
              <w:t>l</w:t>
            </w:r>
            <w:r w:rsidRPr="004569A5">
              <w:rPr>
                <w:szCs w:val="24"/>
              </w:rPr>
              <w:t xml:space="preserve"> в/в капельно.</w:t>
            </w:r>
          </w:p>
          <w:p w14:paraId="2EAA19B1" w14:textId="77777777" w:rsidR="004569A5" w:rsidRPr="004569A5" w:rsidRDefault="004569A5" w:rsidP="004569A5">
            <w:pPr>
              <w:spacing w:before="0" w:after="0"/>
              <w:rPr>
                <w:szCs w:val="24"/>
              </w:rPr>
            </w:pPr>
            <w:r w:rsidRPr="004569A5">
              <w:rPr>
                <w:szCs w:val="24"/>
              </w:rPr>
              <w:t>При сохраняющихся ФНР, несмотря на добавление антигистаминных препаратов, дополнительно за 60 минут до трансфузии ввести 250-650 мг парацетамола в 250 мл 0,9% раствора NaC</w:t>
            </w:r>
            <w:r w:rsidRPr="004569A5">
              <w:rPr>
                <w:szCs w:val="24"/>
                <w:lang w:val="en-US"/>
              </w:rPr>
              <w:t>l</w:t>
            </w:r>
            <w:r w:rsidRPr="004569A5">
              <w:rPr>
                <w:szCs w:val="24"/>
              </w:rPr>
              <w:t xml:space="preserve"> в/в капельно (не рекомендовано у пациентов с нейтропенией, глубокой тромбоцитопенией).</w:t>
            </w:r>
          </w:p>
        </w:tc>
      </w:tr>
      <w:tr w:rsidR="004569A5" w:rsidRPr="004569A5" w14:paraId="1BB7B166" w14:textId="77777777" w:rsidTr="006D503D">
        <w:tc>
          <w:tcPr>
            <w:tcW w:w="3208" w:type="dxa"/>
            <w:vMerge/>
            <w:shd w:val="clear" w:color="auto" w:fill="auto"/>
          </w:tcPr>
          <w:p w14:paraId="2D6C713B" w14:textId="77777777" w:rsidR="004569A5" w:rsidRPr="004569A5" w:rsidRDefault="004569A5" w:rsidP="00CE6C1C">
            <w:pPr>
              <w:pStyle w:val="a6"/>
              <w:numPr>
                <w:ilvl w:val="0"/>
                <w:numId w:val="129"/>
              </w:numPr>
              <w:spacing w:before="0" w:after="0"/>
              <w:ind w:left="0"/>
              <w:rPr>
                <w:szCs w:val="24"/>
              </w:rPr>
            </w:pPr>
          </w:p>
        </w:tc>
        <w:tc>
          <w:tcPr>
            <w:tcW w:w="3082" w:type="dxa"/>
            <w:shd w:val="clear" w:color="auto" w:fill="auto"/>
          </w:tcPr>
          <w:p w14:paraId="34409DAE" w14:textId="77777777" w:rsidR="004569A5" w:rsidRPr="004569A5" w:rsidRDefault="004569A5" w:rsidP="004569A5">
            <w:pPr>
              <w:spacing w:before="0" w:after="0"/>
              <w:rPr>
                <w:szCs w:val="24"/>
              </w:rPr>
            </w:pPr>
            <w:r w:rsidRPr="004569A5">
              <w:rPr>
                <w:szCs w:val="24"/>
              </w:rPr>
              <w:t>Другие компоненты донорской крови (не вызывавшие реакции ранее)</w:t>
            </w:r>
          </w:p>
        </w:tc>
        <w:tc>
          <w:tcPr>
            <w:tcW w:w="8270" w:type="dxa"/>
            <w:shd w:val="clear" w:color="auto" w:fill="auto"/>
          </w:tcPr>
          <w:p w14:paraId="2DEDED5C" w14:textId="77777777" w:rsidR="004569A5" w:rsidRPr="004569A5" w:rsidRDefault="004569A5" w:rsidP="004569A5">
            <w:pPr>
              <w:spacing w:before="0" w:after="0"/>
              <w:rPr>
                <w:szCs w:val="24"/>
              </w:rPr>
            </w:pPr>
            <w:r w:rsidRPr="004569A5">
              <w:rPr>
                <w:szCs w:val="24"/>
              </w:rPr>
              <w:t>10 мл 10% кальция глюконата в 100 мл 0,9% раствора NaC</w:t>
            </w:r>
            <w:r w:rsidRPr="004569A5">
              <w:rPr>
                <w:szCs w:val="24"/>
                <w:lang w:val="en-US"/>
              </w:rPr>
              <w:t>l</w:t>
            </w:r>
            <w:r w:rsidRPr="004569A5">
              <w:rPr>
                <w:szCs w:val="24"/>
              </w:rPr>
              <w:t xml:space="preserve"> в/в капельно</w:t>
            </w:r>
          </w:p>
        </w:tc>
      </w:tr>
      <w:tr w:rsidR="004569A5" w:rsidRPr="004569A5" w14:paraId="25C90465" w14:textId="77777777" w:rsidTr="006D503D">
        <w:tc>
          <w:tcPr>
            <w:tcW w:w="3208" w:type="dxa"/>
            <w:vMerge w:val="restart"/>
            <w:shd w:val="clear" w:color="auto" w:fill="auto"/>
          </w:tcPr>
          <w:p w14:paraId="711D5AC3" w14:textId="77777777" w:rsidR="004569A5" w:rsidRPr="004569A5" w:rsidRDefault="004569A5" w:rsidP="00CE6C1C">
            <w:pPr>
              <w:pStyle w:val="a6"/>
              <w:numPr>
                <w:ilvl w:val="0"/>
                <w:numId w:val="129"/>
              </w:numPr>
              <w:spacing w:before="0" w:after="0"/>
              <w:ind w:left="0"/>
              <w:rPr>
                <w:szCs w:val="24"/>
              </w:rPr>
            </w:pPr>
            <w:r w:rsidRPr="004569A5">
              <w:rPr>
                <w:szCs w:val="24"/>
              </w:rPr>
              <w:t>Протекающие с потрясающим ознобом</w:t>
            </w:r>
          </w:p>
        </w:tc>
        <w:tc>
          <w:tcPr>
            <w:tcW w:w="3082" w:type="dxa"/>
            <w:shd w:val="clear" w:color="auto" w:fill="auto"/>
          </w:tcPr>
          <w:p w14:paraId="0E2FDA56" w14:textId="77777777" w:rsidR="004569A5" w:rsidRPr="004569A5" w:rsidRDefault="004569A5" w:rsidP="004569A5">
            <w:pPr>
              <w:spacing w:before="0" w:after="0"/>
              <w:rPr>
                <w:szCs w:val="24"/>
              </w:rPr>
            </w:pPr>
            <w:r w:rsidRPr="004569A5">
              <w:rPr>
                <w:szCs w:val="24"/>
              </w:rPr>
              <w:t>Компонент донорской крови, вызвавший реакцию ранее</w:t>
            </w:r>
          </w:p>
        </w:tc>
        <w:tc>
          <w:tcPr>
            <w:tcW w:w="8270" w:type="dxa"/>
            <w:shd w:val="clear" w:color="auto" w:fill="auto"/>
          </w:tcPr>
          <w:p w14:paraId="5CD7D382" w14:textId="77777777" w:rsidR="004569A5" w:rsidRPr="004569A5" w:rsidRDefault="004569A5" w:rsidP="004569A5">
            <w:pPr>
              <w:spacing w:before="0" w:after="0"/>
              <w:rPr>
                <w:szCs w:val="24"/>
              </w:rPr>
            </w:pPr>
            <w:r w:rsidRPr="004569A5">
              <w:rPr>
                <w:szCs w:val="24"/>
              </w:rPr>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4569A5">
              <w:rPr>
                <w:szCs w:val="24"/>
                <w:lang w:val="en-US"/>
              </w:rPr>
              <w:t>l</w:t>
            </w:r>
            <w:r w:rsidRPr="004569A5">
              <w:rPr>
                <w:szCs w:val="24"/>
              </w:rPr>
              <w:t xml:space="preserve"> в/в капельно. В случае сохранения тяжелых реакций возможно дополнительное введение 0,5-1 мл 2% промедола в 100 мл 0,9% раствора NaC</w:t>
            </w:r>
            <w:r w:rsidRPr="004569A5">
              <w:rPr>
                <w:szCs w:val="24"/>
                <w:lang w:val="en-US"/>
              </w:rPr>
              <w:t>l</w:t>
            </w:r>
            <w:r w:rsidRPr="004569A5">
              <w:rPr>
                <w:szCs w:val="24"/>
              </w:rPr>
              <w:t xml:space="preserve"> в/в капельно (до или параллельно с трансфузией).</w:t>
            </w:r>
          </w:p>
          <w:p w14:paraId="5ED9F9E4" w14:textId="77777777" w:rsidR="004569A5" w:rsidRPr="004569A5" w:rsidRDefault="004569A5" w:rsidP="004569A5">
            <w:pPr>
              <w:pStyle w:val="a6"/>
              <w:spacing w:before="0" w:after="0"/>
              <w:ind w:left="0"/>
              <w:rPr>
                <w:szCs w:val="24"/>
              </w:rPr>
            </w:pPr>
            <w:r w:rsidRPr="004569A5">
              <w:rPr>
                <w:szCs w:val="24"/>
              </w:rPr>
              <w:t>Возможно разовое применение глюкокортикостероидов** (</w:t>
            </w:r>
            <w:r w:rsidRPr="004569A5">
              <w:rPr>
                <w:szCs w:val="24"/>
                <w:shd w:val="clear" w:color="auto" w:fill="FFFFFF"/>
              </w:rPr>
              <w:t>следует </w:t>
            </w:r>
            <w:r w:rsidRPr="004569A5">
              <w:rPr>
                <w:rStyle w:val="a5"/>
                <w:szCs w:val="24"/>
                <w:shd w:val="clear" w:color="auto" w:fill="FFFFFF"/>
              </w:rPr>
              <w:t>соотнести</w:t>
            </w:r>
            <w:r w:rsidRPr="004569A5">
              <w:rPr>
                <w:szCs w:val="24"/>
                <w:shd w:val="clear" w:color="auto" w:fill="FFFFFF"/>
              </w:rPr>
              <w:t> потенциальные </w:t>
            </w:r>
            <w:r w:rsidRPr="004569A5">
              <w:rPr>
                <w:rStyle w:val="a5"/>
                <w:szCs w:val="24"/>
                <w:shd w:val="clear" w:color="auto" w:fill="FFFFFF"/>
              </w:rPr>
              <w:t>риски</w:t>
            </w:r>
            <w:r w:rsidRPr="004569A5">
              <w:rPr>
                <w:szCs w:val="24"/>
                <w:shd w:val="clear" w:color="auto" w:fill="FFFFFF"/>
              </w:rPr>
              <w:t> и ожидаемую </w:t>
            </w:r>
            <w:r w:rsidRPr="004569A5">
              <w:rPr>
                <w:rStyle w:val="a5"/>
                <w:szCs w:val="24"/>
                <w:shd w:val="clear" w:color="auto" w:fill="FFFFFF"/>
              </w:rPr>
              <w:t>пользу</w:t>
            </w:r>
            <w:r w:rsidRPr="004569A5">
              <w:rPr>
                <w:szCs w:val="24"/>
              </w:rPr>
              <w:t>).</w:t>
            </w:r>
          </w:p>
          <w:p w14:paraId="6B548D99" w14:textId="77777777" w:rsidR="004569A5" w:rsidRPr="004569A5" w:rsidRDefault="004569A5" w:rsidP="004569A5">
            <w:pPr>
              <w:spacing w:before="0" w:after="0"/>
              <w:rPr>
                <w:szCs w:val="24"/>
              </w:rPr>
            </w:pPr>
            <w:r w:rsidRPr="004569A5">
              <w:rPr>
                <w:szCs w:val="24"/>
              </w:rPr>
              <w:t>Уменьшение скорости трансфузии.</w:t>
            </w:r>
          </w:p>
        </w:tc>
      </w:tr>
      <w:tr w:rsidR="004569A5" w:rsidRPr="004569A5" w14:paraId="1B65B16E" w14:textId="77777777" w:rsidTr="006D503D">
        <w:tc>
          <w:tcPr>
            <w:tcW w:w="3208" w:type="dxa"/>
            <w:vMerge/>
            <w:shd w:val="clear" w:color="auto" w:fill="auto"/>
          </w:tcPr>
          <w:p w14:paraId="2BBA5A0E" w14:textId="77777777" w:rsidR="004569A5" w:rsidRPr="004569A5" w:rsidRDefault="004569A5" w:rsidP="00CE6C1C">
            <w:pPr>
              <w:pStyle w:val="a6"/>
              <w:numPr>
                <w:ilvl w:val="0"/>
                <w:numId w:val="129"/>
              </w:numPr>
              <w:spacing w:before="0" w:after="0"/>
              <w:ind w:left="0"/>
              <w:rPr>
                <w:szCs w:val="24"/>
              </w:rPr>
            </w:pPr>
          </w:p>
        </w:tc>
        <w:tc>
          <w:tcPr>
            <w:tcW w:w="3082" w:type="dxa"/>
            <w:shd w:val="clear" w:color="auto" w:fill="auto"/>
          </w:tcPr>
          <w:p w14:paraId="271D89E1" w14:textId="77777777" w:rsidR="004569A5" w:rsidRPr="004569A5" w:rsidRDefault="004569A5" w:rsidP="004569A5">
            <w:pPr>
              <w:spacing w:before="0" w:after="0"/>
              <w:rPr>
                <w:szCs w:val="24"/>
              </w:rPr>
            </w:pPr>
            <w:r w:rsidRPr="004569A5">
              <w:rPr>
                <w:szCs w:val="24"/>
              </w:rPr>
              <w:t>Другие компоненты донорской крови (не вызывавшие реакции ранее)</w:t>
            </w:r>
          </w:p>
        </w:tc>
        <w:tc>
          <w:tcPr>
            <w:tcW w:w="8270" w:type="dxa"/>
            <w:shd w:val="clear" w:color="auto" w:fill="auto"/>
          </w:tcPr>
          <w:p w14:paraId="333F3875" w14:textId="77777777" w:rsidR="004569A5" w:rsidRPr="004569A5" w:rsidRDefault="004569A5" w:rsidP="004569A5">
            <w:pPr>
              <w:spacing w:before="0" w:after="0"/>
              <w:rPr>
                <w:szCs w:val="24"/>
              </w:rPr>
            </w:pPr>
            <w:r w:rsidRPr="004569A5">
              <w:rPr>
                <w:szCs w:val="24"/>
              </w:rPr>
              <w:t xml:space="preserve">10 мл 10% кальция глюконата и 2 мл клемастина гидрофумарата 1 мг/мл (либо 1 мл дифенгидрамина 10 мг/мл, либо 1 мл хлоропирамина 20 мг/мл) в 100 мл 0,9% </w:t>
            </w:r>
            <w:r w:rsidRPr="004569A5">
              <w:rPr>
                <w:szCs w:val="24"/>
              </w:rPr>
              <w:lastRenderedPageBreak/>
              <w:t>раствора NaC</w:t>
            </w:r>
            <w:r w:rsidRPr="004569A5">
              <w:rPr>
                <w:szCs w:val="24"/>
                <w:lang w:val="en-US"/>
              </w:rPr>
              <w:t>l</w:t>
            </w:r>
            <w:r w:rsidRPr="004569A5">
              <w:rPr>
                <w:szCs w:val="24"/>
              </w:rPr>
              <w:t xml:space="preserve"> в/в капельно</w:t>
            </w:r>
          </w:p>
        </w:tc>
      </w:tr>
      <w:tr w:rsidR="004569A5" w:rsidRPr="004569A5" w14:paraId="06CD5732" w14:textId="77777777" w:rsidTr="006D503D">
        <w:tc>
          <w:tcPr>
            <w:tcW w:w="14560" w:type="dxa"/>
            <w:gridSpan w:val="3"/>
            <w:shd w:val="clear" w:color="auto" w:fill="auto"/>
          </w:tcPr>
          <w:p w14:paraId="27548308" w14:textId="77777777" w:rsidR="004569A5" w:rsidRPr="004569A5" w:rsidRDefault="004569A5" w:rsidP="00CE6C1C">
            <w:pPr>
              <w:pStyle w:val="a6"/>
              <w:numPr>
                <w:ilvl w:val="0"/>
                <w:numId w:val="132"/>
              </w:numPr>
              <w:spacing w:before="0" w:after="0"/>
              <w:rPr>
                <w:b/>
                <w:bCs/>
                <w:szCs w:val="24"/>
              </w:rPr>
            </w:pPr>
            <w:r w:rsidRPr="004569A5">
              <w:rPr>
                <w:b/>
                <w:bCs/>
                <w:szCs w:val="24"/>
              </w:rPr>
              <w:lastRenderedPageBreak/>
              <w:t>Отсроченная серологическая трансфузионная реакция:</w:t>
            </w:r>
          </w:p>
          <w:p w14:paraId="70339AFA" w14:textId="77777777" w:rsidR="004569A5" w:rsidRPr="004569A5" w:rsidRDefault="004569A5" w:rsidP="004569A5">
            <w:pPr>
              <w:spacing w:before="0" w:after="0"/>
              <w:ind w:left="360"/>
              <w:rPr>
                <w:b/>
                <w:bCs/>
                <w:szCs w:val="24"/>
              </w:rPr>
            </w:pPr>
            <w:r w:rsidRPr="004569A5">
              <w:rPr>
                <w:szCs w:val="24"/>
              </w:rPr>
              <w:t>установленное наличие антиэритроцитарных антител: положительная непрямая проба Кумбса при определении индивидуальной совместимости крови донора и реципиента в лаборатории иммуногематологии или если таковая не проводилась, ЛИБО предполагаемое - при эритроцитарном химеризме</w:t>
            </w:r>
          </w:p>
        </w:tc>
      </w:tr>
      <w:tr w:rsidR="004569A5" w:rsidRPr="004569A5" w14:paraId="60CC8CFA" w14:textId="77777777" w:rsidTr="006D503D">
        <w:tc>
          <w:tcPr>
            <w:tcW w:w="3208" w:type="dxa"/>
            <w:shd w:val="clear" w:color="auto" w:fill="auto"/>
          </w:tcPr>
          <w:p w14:paraId="0E96BBB6" w14:textId="77777777" w:rsidR="004569A5" w:rsidRPr="004569A5" w:rsidRDefault="004569A5" w:rsidP="004569A5">
            <w:pPr>
              <w:spacing w:before="0" w:after="0"/>
              <w:rPr>
                <w:szCs w:val="24"/>
              </w:rPr>
            </w:pPr>
            <w:r w:rsidRPr="004569A5">
              <w:rPr>
                <w:szCs w:val="24"/>
              </w:rPr>
              <w:t xml:space="preserve">Отсроченная серологическая трансфузионная реакция </w:t>
            </w:r>
          </w:p>
        </w:tc>
        <w:tc>
          <w:tcPr>
            <w:tcW w:w="3082" w:type="dxa"/>
            <w:shd w:val="clear" w:color="auto" w:fill="auto"/>
          </w:tcPr>
          <w:p w14:paraId="47ABDE7A" w14:textId="77777777" w:rsidR="004569A5" w:rsidRPr="004569A5" w:rsidRDefault="004569A5" w:rsidP="004569A5">
            <w:pPr>
              <w:spacing w:before="0" w:after="0"/>
              <w:rPr>
                <w:szCs w:val="24"/>
              </w:rPr>
            </w:pPr>
            <w:r w:rsidRPr="004569A5">
              <w:rPr>
                <w:szCs w:val="24"/>
              </w:rPr>
              <w:t>Любой компонент донорской крови</w:t>
            </w:r>
          </w:p>
        </w:tc>
        <w:tc>
          <w:tcPr>
            <w:tcW w:w="8270" w:type="dxa"/>
            <w:shd w:val="clear" w:color="auto" w:fill="auto"/>
          </w:tcPr>
          <w:p w14:paraId="2782D25A" w14:textId="77777777" w:rsidR="004569A5" w:rsidRPr="004569A5" w:rsidRDefault="004569A5" w:rsidP="004569A5">
            <w:pPr>
              <w:spacing w:before="0" w:after="0"/>
              <w:rPr>
                <w:szCs w:val="24"/>
              </w:rPr>
            </w:pPr>
            <w:r w:rsidRPr="004569A5">
              <w:rPr>
                <w:szCs w:val="24"/>
              </w:rPr>
              <w:t>10 мл 10% кальция глюконата в 100 мл 0,9% раствора NaC</w:t>
            </w:r>
            <w:r w:rsidRPr="004569A5">
              <w:rPr>
                <w:szCs w:val="24"/>
                <w:lang w:val="en-US"/>
              </w:rPr>
              <w:t>l</w:t>
            </w:r>
            <w:r w:rsidRPr="004569A5">
              <w:rPr>
                <w:szCs w:val="24"/>
              </w:rPr>
              <w:t xml:space="preserve"> в/в капельно.</w:t>
            </w:r>
          </w:p>
        </w:tc>
      </w:tr>
      <w:tr w:rsidR="004569A5" w:rsidRPr="004569A5" w14:paraId="6E70C7FA" w14:textId="77777777" w:rsidTr="006D503D">
        <w:tc>
          <w:tcPr>
            <w:tcW w:w="14560" w:type="dxa"/>
            <w:gridSpan w:val="3"/>
            <w:shd w:val="clear" w:color="auto" w:fill="auto"/>
          </w:tcPr>
          <w:p w14:paraId="22493B33" w14:textId="77777777" w:rsidR="004569A5" w:rsidRPr="004569A5" w:rsidRDefault="004569A5" w:rsidP="00CE6C1C">
            <w:pPr>
              <w:pStyle w:val="a6"/>
              <w:numPr>
                <w:ilvl w:val="0"/>
                <w:numId w:val="132"/>
              </w:numPr>
              <w:spacing w:before="0" w:after="0"/>
              <w:rPr>
                <w:b/>
                <w:bCs/>
                <w:szCs w:val="24"/>
              </w:rPr>
            </w:pPr>
            <w:r w:rsidRPr="004569A5">
              <w:rPr>
                <w:b/>
                <w:bCs/>
                <w:szCs w:val="24"/>
              </w:rPr>
              <w:t>Острый или отсроченный иммунный гемолиз</w:t>
            </w:r>
          </w:p>
        </w:tc>
      </w:tr>
      <w:tr w:rsidR="004569A5" w:rsidRPr="004569A5" w14:paraId="678C6712" w14:textId="77777777" w:rsidTr="006D503D">
        <w:tc>
          <w:tcPr>
            <w:tcW w:w="3208" w:type="dxa"/>
            <w:shd w:val="clear" w:color="auto" w:fill="auto"/>
          </w:tcPr>
          <w:p w14:paraId="77B4A15A" w14:textId="77777777" w:rsidR="004569A5" w:rsidRPr="004569A5" w:rsidRDefault="004569A5" w:rsidP="00CE6C1C">
            <w:pPr>
              <w:pStyle w:val="a6"/>
              <w:numPr>
                <w:ilvl w:val="0"/>
                <w:numId w:val="130"/>
              </w:numPr>
              <w:spacing w:before="0" w:after="0"/>
              <w:ind w:left="0"/>
              <w:rPr>
                <w:szCs w:val="24"/>
              </w:rPr>
            </w:pPr>
            <w:r w:rsidRPr="004569A5">
              <w:rPr>
                <w:szCs w:val="24"/>
              </w:rPr>
              <w:t>Гемолиз в анамнезе (клинических признаков гемолиза в настоящее время нет)</w:t>
            </w:r>
          </w:p>
        </w:tc>
        <w:tc>
          <w:tcPr>
            <w:tcW w:w="3082" w:type="dxa"/>
            <w:shd w:val="clear" w:color="auto" w:fill="auto"/>
          </w:tcPr>
          <w:p w14:paraId="679EEA4F" w14:textId="77777777" w:rsidR="004569A5" w:rsidRPr="004569A5" w:rsidRDefault="004569A5" w:rsidP="004569A5">
            <w:pPr>
              <w:spacing w:before="0" w:after="0"/>
              <w:rPr>
                <w:szCs w:val="24"/>
              </w:rPr>
            </w:pPr>
            <w:r w:rsidRPr="004569A5">
              <w:rPr>
                <w:szCs w:val="24"/>
              </w:rPr>
              <w:t>Любой компонент донорской крови</w:t>
            </w:r>
          </w:p>
        </w:tc>
        <w:tc>
          <w:tcPr>
            <w:tcW w:w="8270" w:type="dxa"/>
            <w:shd w:val="clear" w:color="auto" w:fill="auto"/>
          </w:tcPr>
          <w:p w14:paraId="568FD933" w14:textId="77777777" w:rsidR="004569A5" w:rsidRPr="004569A5" w:rsidRDefault="004569A5" w:rsidP="004569A5">
            <w:pPr>
              <w:spacing w:before="0" w:after="0"/>
              <w:rPr>
                <w:szCs w:val="24"/>
              </w:rPr>
            </w:pPr>
            <w:r w:rsidRPr="004569A5">
              <w:rPr>
                <w:szCs w:val="24"/>
              </w:rPr>
              <w:t>10 мл 10% кальция глюконата в 100 мл 0,9% раствора NaC</w:t>
            </w:r>
            <w:r w:rsidRPr="004569A5">
              <w:rPr>
                <w:szCs w:val="24"/>
                <w:lang w:val="en-US"/>
              </w:rPr>
              <w:t>l</w:t>
            </w:r>
            <w:r w:rsidRPr="004569A5">
              <w:rPr>
                <w:szCs w:val="24"/>
              </w:rPr>
              <w:t xml:space="preserve"> в/в капельно</w:t>
            </w:r>
          </w:p>
        </w:tc>
      </w:tr>
      <w:tr w:rsidR="004569A5" w:rsidRPr="004569A5" w14:paraId="3070E76C" w14:textId="77777777" w:rsidTr="006D503D">
        <w:tc>
          <w:tcPr>
            <w:tcW w:w="3208" w:type="dxa"/>
            <w:vMerge w:val="restart"/>
            <w:shd w:val="clear" w:color="auto" w:fill="auto"/>
          </w:tcPr>
          <w:p w14:paraId="105B0CD0" w14:textId="77777777" w:rsidR="004569A5" w:rsidRPr="004569A5" w:rsidRDefault="004569A5" w:rsidP="00CE6C1C">
            <w:pPr>
              <w:pStyle w:val="a6"/>
              <w:numPr>
                <w:ilvl w:val="0"/>
                <w:numId w:val="130"/>
              </w:numPr>
              <w:spacing w:before="0" w:after="0"/>
              <w:ind w:left="0"/>
              <w:rPr>
                <w:szCs w:val="24"/>
              </w:rPr>
            </w:pPr>
            <w:r w:rsidRPr="004569A5">
              <w:rPr>
                <w:szCs w:val="24"/>
              </w:rPr>
              <w:t>Активный гемолиз (признаки гемолиза сохраняются)</w:t>
            </w:r>
          </w:p>
        </w:tc>
        <w:tc>
          <w:tcPr>
            <w:tcW w:w="3082" w:type="dxa"/>
            <w:shd w:val="clear" w:color="auto" w:fill="auto"/>
          </w:tcPr>
          <w:p w14:paraId="100730ED" w14:textId="77777777" w:rsidR="004569A5" w:rsidRPr="004569A5" w:rsidRDefault="004569A5" w:rsidP="004569A5">
            <w:pPr>
              <w:spacing w:before="0" w:after="0"/>
              <w:rPr>
                <w:szCs w:val="24"/>
              </w:rPr>
            </w:pPr>
            <w:r w:rsidRPr="004569A5">
              <w:rPr>
                <w:szCs w:val="24"/>
              </w:rPr>
              <w:t>Эритроцитсодержащие компоненты донорской крови</w:t>
            </w:r>
          </w:p>
        </w:tc>
        <w:tc>
          <w:tcPr>
            <w:tcW w:w="8270" w:type="dxa"/>
            <w:shd w:val="clear" w:color="auto" w:fill="auto"/>
          </w:tcPr>
          <w:p w14:paraId="7EECB1C3" w14:textId="77777777" w:rsidR="004569A5" w:rsidRPr="004569A5" w:rsidRDefault="004569A5" w:rsidP="004569A5">
            <w:pPr>
              <w:spacing w:before="0" w:after="0"/>
              <w:rPr>
                <w:szCs w:val="24"/>
              </w:rPr>
            </w:pPr>
            <w:r w:rsidRPr="004569A5">
              <w:rPr>
                <w:szCs w:val="24"/>
              </w:rPr>
              <w:t>10 мл 10% кальция глюконата в 250-500 мл 0,9% раствора NaC</w:t>
            </w:r>
            <w:r w:rsidRPr="004569A5">
              <w:rPr>
                <w:szCs w:val="24"/>
                <w:lang w:val="en-US"/>
              </w:rPr>
              <w:t>l</w:t>
            </w:r>
            <w:r w:rsidRPr="004569A5">
              <w:rPr>
                <w:szCs w:val="24"/>
              </w:rPr>
              <w:t xml:space="preserve"> в/в капельно.</w:t>
            </w:r>
          </w:p>
          <w:p w14:paraId="596C727C" w14:textId="77777777" w:rsidR="004569A5" w:rsidRPr="004569A5" w:rsidRDefault="004569A5" w:rsidP="004569A5">
            <w:pPr>
              <w:spacing w:before="0" w:after="0"/>
              <w:rPr>
                <w:szCs w:val="24"/>
              </w:rPr>
            </w:pPr>
            <w:r w:rsidRPr="004569A5">
              <w:rPr>
                <w:szCs w:val="24"/>
              </w:rPr>
              <w:t>При высоком риске дальнейшего усиления иммунного гемолиза следует индивидуально рассмотреть возможность введения глюкокортикостероидов**, ритуксимаба.</w:t>
            </w:r>
          </w:p>
        </w:tc>
      </w:tr>
      <w:tr w:rsidR="004569A5" w:rsidRPr="004569A5" w14:paraId="6F7ECA7A" w14:textId="77777777" w:rsidTr="006D503D">
        <w:tc>
          <w:tcPr>
            <w:tcW w:w="3208" w:type="dxa"/>
            <w:vMerge/>
            <w:shd w:val="clear" w:color="auto" w:fill="auto"/>
          </w:tcPr>
          <w:p w14:paraId="766AF50B" w14:textId="77777777" w:rsidR="004569A5" w:rsidRPr="004569A5" w:rsidRDefault="004569A5" w:rsidP="004569A5">
            <w:pPr>
              <w:spacing w:before="0" w:after="0"/>
              <w:rPr>
                <w:szCs w:val="24"/>
              </w:rPr>
            </w:pPr>
          </w:p>
        </w:tc>
        <w:tc>
          <w:tcPr>
            <w:tcW w:w="3082" w:type="dxa"/>
            <w:shd w:val="clear" w:color="auto" w:fill="auto"/>
          </w:tcPr>
          <w:p w14:paraId="0047ACE6" w14:textId="77777777" w:rsidR="004569A5" w:rsidRPr="004569A5" w:rsidRDefault="004569A5" w:rsidP="004569A5">
            <w:pPr>
              <w:spacing w:before="0" w:after="0"/>
              <w:rPr>
                <w:szCs w:val="24"/>
              </w:rPr>
            </w:pPr>
            <w:r w:rsidRPr="004569A5">
              <w:rPr>
                <w:szCs w:val="24"/>
              </w:rPr>
              <w:t>Концентрат тромбоцитов, свежезамороженная плазма, криопреципитат, криосупернатант</w:t>
            </w:r>
          </w:p>
        </w:tc>
        <w:tc>
          <w:tcPr>
            <w:tcW w:w="8270" w:type="dxa"/>
            <w:shd w:val="clear" w:color="auto" w:fill="auto"/>
          </w:tcPr>
          <w:p w14:paraId="58C09772" w14:textId="77777777" w:rsidR="004569A5" w:rsidRPr="004569A5" w:rsidRDefault="004569A5" w:rsidP="004569A5">
            <w:pPr>
              <w:spacing w:before="0" w:after="0"/>
              <w:rPr>
                <w:szCs w:val="24"/>
              </w:rPr>
            </w:pPr>
            <w:r w:rsidRPr="004569A5">
              <w:rPr>
                <w:szCs w:val="24"/>
              </w:rPr>
              <w:t>10 мл 10% кальция глюконата в 500 мл 0,9% раствора NaC</w:t>
            </w:r>
            <w:r w:rsidRPr="004569A5">
              <w:rPr>
                <w:szCs w:val="24"/>
                <w:lang w:val="en-US"/>
              </w:rPr>
              <w:t>l</w:t>
            </w:r>
            <w:r w:rsidRPr="004569A5">
              <w:rPr>
                <w:szCs w:val="24"/>
              </w:rPr>
              <w:t xml:space="preserve"> в/в капельно</w:t>
            </w:r>
          </w:p>
        </w:tc>
      </w:tr>
      <w:tr w:rsidR="004569A5" w:rsidRPr="004569A5" w14:paraId="742D7BD3" w14:textId="77777777" w:rsidTr="006D503D">
        <w:tc>
          <w:tcPr>
            <w:tcW w:w="14560" w:type="dxa"/>
            <w:gridSpan w:val="3"/>
            <w:shd w:val="clear" w:color="auto" w:fill="auto"/>
          </w:tcPr>
          <w:p w14:paraId="6E2A9F48" w14:textId="77777777" w:rsidR="004569A5" w:rsidRPr="004569A5" w:rsidRDefault="004569A5" w:rsidP="00CE6C1C">
            <w:pPr>
              <w:pStyle w:val="a6"/>
              <w:numPr>
                <w:ilvl w:val="0"/>
                <w:numId w:val="132"/>
              </w:numPr>
              <w:spacing w:before="0" w:after="0"/>
              <w:rPr>
                <w:b/>
                <w:bCs/>
                <w:szCs w:val="24"/>
              </w:rPr>
            </w:pPr>
            <w:r w:rsidRPr="004569A5">
              <w:rPr>
                <w:b/>
                <w:bCs/>
                <w:szCs w:val="24"/>
              </w:rPr>
              <w:t>Посттрансфузионная болезнь «трансплантат против хозяина»</w:t>
            </w:r>
          </w:p>
        </w:tc>
      </w:tr>
      <w:tr w:rsidR="004569A5" w:rsidRPr="004569A5" w14:paraId="2972988F" w14:textId="77777777" w:rsidTr="006D503D">
        <w:tc>
          <w:tcPr>
            <w:tcW w:w="3208" w:type="dxa"/>
            <w:shd w:val="clear" w:color="auto" w:fill="auto"/>
          </w:tcPr>
          <w:p w14:paraId="0FF4326F" w14:textId="77777777" w:rsidR="004569A5" w:rsidRPr="004569A5" w:rsidRDefault="004569A5" w:rsidP="004569A5">
            <w:pPr>
              <w:spacing w:before="0" w:after="0"/>
              <w:rPr>
                <w:szCs w:val="24"/>
              </w:rPr>
            </w:pPr>
            <w:r w:rsidRPr="004569A5">
              <w:rPr>
                <w:szCs w:val="24"/>
              </w:rPr>
              <w:t xml:space="preserve">Посттрансфузионная болезнь «трансплантат </w:t>
            </w:r>
            <w:r w:rsidRPr="004569A5">
              <w:rPr>
                <w:szCs w:val="24"/>
              </w:rPr>
              <w:lastRenderedPageBreak/>
              <w:t>против хозяина»</w:t>
            </w:r>
          </w:p>
        </w:tc>
        <w:tc>
          <w:tcPr>
            <w:tcW w:w="3082" w:type="dxa"/>
            <w:shd w:val="clear" w:color="auto" w:fill="auto"/>
          </w:tcPr>
          <w:p w14:paraId="263F8BA4" w14:textId="77777777" w:rsidR="004569A5" w:rsidRPr="004569A5" w:rsidRDefault="004569A5" w:rsidP="004569A5">
            <w:pPr>
              <w:spacing w:before="0" w:after="0"/>
              <w:rPr>
                <w:szCs w:val="24"/>
              </w:rPr>
            </w:pPr>
            <w:r w:rsidRPr="004569A5">
              <w:rPr>
                <w:szCs w:val="24"/>
              </w:rPr>
              <w:lastRenderedPageBreak/>
              <w:t>Любой компонент донорской крови</w:t>
            </w:r>
          </w:p>
        </w:tc>
        <w:tc>
          <w:tcPr>
            <w:tcW w:w="8270" w:type="dxa"/>
            <w:shd w:val="clear" w:color="auto" w:fill="auto"/>
          </w:tcPr>
          <w:p w14:paraId="6EDCD8B5" w14:textId="77777777" w:rsidR="004569A5" w:rsidRPr="004569A5" w:rsidRDefault="004569A5" w:rsidP="004569A5">
            <w:pPr>
              <w:spacing w:before="0" w:after="0"/>
              <w:rPr>
                <w:szCs w:val="24"/>
              </w:rPr>
            </w:pPr>
            <w:r w:rsidRPr="004569A5">
              <w:rPr>
                <w:szCs w:val="24"/>
              </w:rPr>
              <w:t>10 мл 10% кальция глюконата в 100 мл 0,9% раствора NaC</w:t>
            </w:r>
            <w:r w:rsidRPr="004569A5">
              <w:rPr>
                <w:szCs w:val="24"/>
                <w:lang w:val="en-US"/>
              </w:rPr>
              <w:t>l</w:t>
            </w:r>
            <w:r w:rsidRPr="004569A5">
              <w:rPr>
                <w:szCs w:val="24"/>
              </w:rPr>
              <w:t xml:space="preserve"> в/в капельно</w:t>
            </w:r>
          </w:p>
        </w:tc>
      </w:tr>
      <w:tr w:rsidR="004569A5" w:rsidRPr="004569A5" w14:paraId="6FB986E5" w14:textId="77777777" w:rsidTr="006D503D">
        <w:tc>
          <w:tcPr>
            <w:tcW w:w="14560" w:type="dxa"/>
            <w:gridSpan w:val="3"/>
            <w:shd w:val="clear" w:color="auto" w:fill="auto"/>
          </w:tcPr>
          <w:p w14:paraId="2C5362B8" w14:textId="77777777" w:rsidR="004569A5" w:rsidRPr="004569A5" w:rsidRDefault="004569A5" w:rsidP="00CE6C1C">
            <w:pPr>
              <w:pStyle w:val="a6"/>
              <w:numPr>
                <w:ilvl w:val="0"/>
                <w:numId w:val="132"/>
              </w:numPr>
              <w:spacing w:before="0" w:after="0"/>
              <w:rPr>
                <w:b/>
                <w:bCs/>
                <w:szCs w:val="24"/>
              </w:rPr>
            </w:pPr>
            <w:r w:rsidRPr="004569A5">
              <w:rPr>
                <w:b/>
                <w:bCs/>
                <w:szCs w:val="24"/>
              </w:rPr>
              <w:lastRenderedPageBreak/>
              <w:t xml:space="preserve">Посттрансфузионная пурпура: </w:t>
            </w:r>
          </w:p>
          <w:p w14:paraId="15FEEC3C" w14:textId="77777777" w:rsidR="004569A5" w:rsidRPr="004569A5" w:rsidRDefault="004569A5" w:rsidP="004569A5">
            <w:pPr>
              <w:spacing w:before="0" w:after="0"/>
              <w:rPr>
                <w:b/>
                <w:bCs/>
                <w:szCs w:val="24"/>
              </w:rPr>
            </w:pPr>
            <w:r w:rsidRPr="004569A5">
              <w:rPr>
                <w:szCs w:val="24"/>
              </w:rPr>
              <w:t>наличие антилейкоцитарных и (или) специфических антитромбоцитарных антител, рефрактерность к трансфузиям тромбоцитсодержащих сред</w:t>
            </w:r>
          </w:p>
        </w:tc>
      </w:tr>
      <w:tr w:rsidR="004569A5" w:rsidRPr="004569A5" w14:paraId="284D670B" w14:textId="77777777" w:rsidTr="006D503D">
        <w:tc>
          <w:tcPr>
            <w:tcW w:w="3208" w:type="dxa"/>
            <w:vMerge w:val="restart"/>
            <w:shd w:val="clear" w:color="auto" w:fill="auto"/>
          </w:tcPr>
          <w:p w14:paraId="3B78FBDF" w14:textId="77777777" w:rsidR="004569A5" w:rsidRPr="004569A5" w:rsidRDefault="004569A5" w:rsidP="004569A5">
            <w:pPr>
              <w:spacing w:before="0" w:after="0"/>
              <w:rPr>
                <w:szCs w:val="24"/>
              </w:rPr>
            </w:pPr>
            <w:r w:rsidRPr="004569A5">
              <w:rPr>
                <w:szCs w:val="24"/>
              </w:rPr>
              <w:t xml:space="preserve">Посттрансфузионная пурпура </w:t>
            </w:r>
          </w:p>
        </w:tc>
        <w:tc>
          <w:tcPr>
            <w:tcW w:w="3082" w:type="dxa"/>
            <w:shd w:val="clear" w:color="auto" w:fill="auto"/>
          </w:tcPr>
          <w:p w14:paraId="2B637D71" w14:textId="77777777" w:rsidR="004569A5" w:rsidRPr="004569A5" w:rsidRDefault="004569A5" w:rsidP="004569A5">
            <w:pPr>
              <w:spacing w:before="0" w:after="0"/>
              <w:rPr>
                <w:szCs w:val="24"/>
              </w:rPr>
            </w:pPr>
            <w:r w:rsidRPr="004569A5">
              <w:rPr>
                <w:szCs w:val="24"/>
              </w:rPr>
              <w:t>Индивидуально подобранный концентрат тромбоцитов методом адгезии на твердой фазе / в лимфоцитотоксическом тесте</w:t>
            </w:r>
          </w:p>
        </w:tc>
        <w:tc>
          <w:tcPr>
            <w:tcW w:w="8270" w:type="dxa"/>
            <w:shd w:val="clear" w:color="auto" w:fill="auto"/>
          </w:tcPr>
          <w:p w14:paraId="22D03351" w14:textId="77777777" w:rsidR="004569A5" w:rsidRPr="004569A5" w:rsidRDefault="004569A5" w:rsidP="004569A5">
            <w:pPr>
              <w:spacing w:before="0" w:after="0"/>
              <w:rPr>
                <w:szCs w:val="24"/>
              </w:rPr>
            </w:pPr>
            <w:r w:rsidRPr="004569A5">
              <w:rPr>
                <w:szCs w:val="24"/>
              </w:rPr>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4569A5">
              <w:rPr>
                <w:szCs w:val="24"/>
                <w:lang w:val="en-US"/>
              </w:rPr>
              <w:t>l</w:t>
            </w:r>
            <w:r w:rsidRPr="004569A5">
              <w:rPr>
                <w:szCs w:val="24"/>
              </w:rPr>
              <w:t xml:space="preserve"> в/в капельно</w:t>
            </w:r>
          </w:p>
        </w:tc>
      </w:tr>
      <w:tr w:rsidR="004569A5" w:rsidRPr="004569A5" w14:paraId="78AF6A71" w14:textId="77777777" w:rsidTr="006D503D">
        <w:tc>
          <w:tcPr>
            <w:tcW w:w="3208" w:type="dxa"/>
            <w:vMerge/>
            <w:shd w:val="clear" w:color="auto" w:fill="auto"/>
          </w:tcPr>
          <w:p w14:paraId="3C76E8D0" w14:textId="77777777" w:rsidR="004569A5" w:rsidRPr="004569A5" w:rsidRDefault="004569A5" w:rsidP="004569A5">
            <w:pPr>
              <w:spacing w:before="0" w:after="0"/>
              <w:rPr>
                <w:szCs w:val="24"/>
              </w:rPr>
            </w:pPr>
          </w:p>
        </w:tc>
        <w:tc>
          <w:tcPr>
            <w:tcW w:w="3082" w:type="dxa"/>
            <w:shd w:val="clear" w:color="auto" w:fill="auto"/>
          </w:tcPr>
          <w:p w14:paraId="38CE48E8" w14:textId="77777777" w:rsidR="004569A5" w:rsidRPr="004569A5" w:rsidRDefault="004569A5" w:rsidP="004569A5">
            <w:pPr>
              <w:spacing w:before="0" w:after="0"/>
              <w:rPr>
                <w:szCs w:val="24"/>
              </w:rPr>
            </w:pPr>
            <w:r w:rsidRPr="004569A5">
              <w:rPr>
                <w:szCs w:val="24"/>
              </w:rPr>
              <w:t>Концентрат тромбоцитов с невозможностью проведения индивидуального подбора</w:t>
            </w:r>
          </w:p>
        </w:tc>
        <w:tc>
          <w:tcPr>
            <w:tcW w:w="8270" w:type="dxa"/>
            <w:shd w:val="clear" w:color="auto" w:fill="auto"/>
          </w:tcPr>
          <w:p w14:paraId="5CCFC1D9" w14:textId="77777777" w:rsidR="004569A5" w:rsidRPr="004569A5" w:rsidRDefault="004569A5" w:rsidP="004569A5">
            <w:pPr>
              <w:spacing w:before="0" w:after="0"/>
              <w:rPr>
                <w:szCs w:val="24"/>
              </w:rPr>
            </w:pPr>
            <w:r w:rsidRPr="004569A5">
              <w:rPr>
                <w:szCs w:val="24"/>
              </w:rPr>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4569A5">
              <w:rPr>
                <w:szCs w:val="24"/>
                <w:lang w:val="en-US"/>
              </w:rPr>
              <w:t>l</w:t>
            </w:r>
            <w:r w:rsidRPr="004569A5">
              <w:rPr>
                <w:szCs w:val="24"/>
              </w:rPr>
              <w:t xml:space="preserve"> в/в капельно.</w:t>
            </w:r>
          </w:p>
          <w:p w14:paraId="294C8C4F" w14:textId="77777777" w:rsidR="004569A5" w:rsidRPr="004569A5" w:rsidRDefault="004569A5" w:rsidP="004569A5">
            <w:pPr>
              <w:spacing w:before="0" w:after="0"/>
              <w:rPr>
                <w:szCs w:val="24"/>
              </w:rPr>
            </w:pPr>
            <w:r w:rsidRPr="004569A5">
              <w:rPr>
                <w:szCs w:val="24"/>
              </w:rPr>
              <w:t>Индивидуально рассмотреть возможность разового введения глюкокортикостероидов** с целью снижения дальнейшей аллоиммунизации и уменьшения выраженности возможной посттрансфузионной реакции или осложнений на данную трансфузию (</w:t>
            </w:r>
            <w:r w:rsidRPr="004569A5">
              <w:rPr>
                <w:szCs w:val="24"/>
                <w:shd w:val="clear" w:color="auto" w:fill="FFFFFF"/>
              </w:rPr>
              <w:t>следует </w:t>
            </w:r>
            <w:r w:rsidRPr="004569A5">
              <w:rPr>
                <w:rStyle w:val="a5"/>
                <w:szCs w:val="24"/>
                <w:shd w:val="clear" w:color="auto" w:fill="FFFFFF"/>
              </w:rPr>
              <w:t>соотнести</w:t>
            </w:r>
            <w:r w:rsidRPr="004569A5">
              <w:rPr>
                <w:szCs w:val="24"/>
                <w:shd w:val="clear" w:color="auto" w:fill="FFFFFF"/>
              </w:rPr>
              <w:t> потенциальные </w:t>
            </w:r>
            <w:r w:rsidRPr="004569A5">
              <w:rPr>
                <w:rStyle w:val="a5"/>
                <w:szCs w:val="24"/>
                <w:shd w:val="clear" w:color="auto" w:fill="FFFFFF"/>
              </w:rPr>
              <w:t>риски</w:t>
            </w:r>
            <w:r w:rsidRPr="004569A5">
              <w:rPr>
                <w:szCs w:val="24"/>
                <w:shd w:val="clear" w:color="auto" w:fill="FFFFFF"/>
              </w:rPr>
              <w:t> и ожидаемую </w:t>
            </w:r>
            <w:r w:rsidRPr="004569A5">
              <w:rPr>
                <w:rStyle w:val="a5"/>
                <w:szCs w:val="24"/>
                <w:shd w:val="clear" w:color="auto" w:fill="FFFFFF"/>
              </w:rPr>
              <w:t>пользу</w:t>
            </w:r>
            <w:r w:rsidRPr="004569A5">
              <w:rPr>
                <w:szCs w:val="24"/>
              </w:rPr>
              <w:t>).</w:t>
            </w:r>
          </w:p>
        </w:tc>
      </w:tr>
      <w:tr w:rsidR="004569A5" w:rsidRPr="004569A5" w14:paraId="35DC123B" w14:textId="77777777" w:rsidTr="006D503D">
        <w:tc>
          <w:tcPr>
            <w:tcW w:w="3208" w:type="dxa"/>
            <w:vMerge/>
            <w:shd w:val="clear" w:color="auto" w:fill="auto"/>
          </w:tcPr>
          <w:p w14:paraId="7C9376A5" w14:textId="77777777" w:rsidR="004569A5" w:rsidRPr="004569A5" w:rsidRDefault="004569A5" w:rsidP="004569A5">
            <w:pPr>
              <w:spacing w:before="0" w:after="0"/>
              <w:rPr>
                <w:szCs w:val="24"/>
              </w:rPr>
            </w:pPr>
          </w:p>
        </w:tc>
        <w:tc>
          <w:tcPr>
            <w:tcW w:w="3082" w:type="dxa"/>
            <w:shd w:val="clear" w:color="auto" w:fill="auto"/>
          </w:tcPr>
          <w:p w14:paraId="403B930D" w14:textId="77777777" w:rsidR="004569A5" w:rsidRPr="004569A5" w:rsidRDefault="004569A5" w:rsidP="004569A5">
            <w:pPr>
              <w:spacing w:before="0" w:after="0"/>
              <w:rPr>
                <w:szCs w:val="24"/>
              </w:rPr>
            </w:pPr>
            <w:r w:rsidRPr="004569A5">
              <w:rPr>
                <w:szCs w:val="24"/>
              </w:rPr>
              <w:t>Другие компоненты донорской крови</w:t>
            </w:r>
          </w:p>
        </w:tc>
        <w:tc>
          <w:tcPr>
            <w:tcW w:w="8270" w:type="dxa"/>
            <w:shd w:val="clear" w:color="auto" w:fill="auto"/>
          </w:tcPr>
          <w:p w14:paraId="48851DFB" w14:textId="77777777" w:rsidR="004569A5" w:rsidRPr="004569A5" w:rsidRDefault="004569A5" w:rsidP="004569A5">
            <w:pPr>
              <w:spacing w:before="0" w:after="0"/>
              <w:rPr>
                <w:szCs w:val="24"/>
              </w:rPr>
            </w:pPr>
            <w:r w:rsidRPr="004569A5">
              <w:rPr>
                <w:szCs w:val="24"/>
              </w:rPr>
              <w:t>10 мл 10% кальция глюконата в 100 мл 0,9% раствора NaC</w:t>
            </w:r>
            <w:r w:rsidRPr="004569A5">
              <w:rPr>
                <w:szCs w:val="24"/>
                <w:lang w:val="en-US"/>
              </w:rPr>
              <w:t>l</w:t>
            </w:r>
            <w:r w:rsidRPr="004569A5">
              <w:rPr>
                <w:szCs w:val="24"/>
              </w:rPr>
              <w:t xml:space="preserve"> в/в капельно</w:t>
            </w:r>
          </w:p>
        </w:tc>
      </w:tr>
    </w:tbl>
    <w:p w14:paraId="56B4386D" w14:textId="77777777" w:rsidR="004569A5" w:rsidRPr="004569A5" w:rsidRDefault="004569A5" w:rsidP="004569A5">
      <w:pPr>
        <w:spacing w:before="0" w:after="0"/>
        <w:rPr>
          <w:szCs w:val="24"/>
        </w:rPr>
      </w:pPr>
      <w:r w:rsidRPr="004569A5">
        <w:rPr>
          <w:szCs w:val="24"/>
        </w:rPr>
        <w:t>* Предшествующие реакции и осложнения, связанные с трансфузией донорской крови и (или) ее компонентов, не влияющие на объем последующей премедикации при проведении трансфузионной терапии:</w:t>
      </w:r>
    </w:p>
    <w:p w14:paraId="5AE58304" w14:textId="77777777" w:rsidR="004569A5" w:rsidRPr="004569A5" w:rsidRDefault="004569A5" w:rsidP="00CE6C1C">
      <w:pPr>
        <w:pStyle w:val="a6"/>
        <w:numPr>
          <w:ilvl w:val="0"/>
          <w:numId w:val="131"/>
        </w:numPr>
        <w:spacing w:before="0" w:after="0"/>
        <w:rPr>
          <w:szCs w:val="24"/>
        </w:rPr>
      </w:pPr>
      <w:r w:rsidRPr="004569A5">
        <w:rPr>
          <w:szCs w:val="24"/>
        </w:rPr>
        <w:t>Иммунные:</w:t>
      </w:r>
    </w:p>
    <w:p w14:paraId="31E00CFE" w14:textId="77777777" w:rsidR="004569A5" w:rsidRPr="004569A5" w:rsidRDefault="004569A5" w:rsidP="00CE6C1C">
      <w:pPr>
        <w:pStyle w:val="a6"/>
        <w:numPr>
          <w:ilvl w:val="0"/>
          <w:numId w:val="126"/>
        </w:numPr>
        <w:spacing w:before="0" w:after="0"/>
        <w:rPr>
          <w:szCs w:val="24"/>
        </w:rPr>
      </w:pPr>
      <w:r w:rsidRPr="004569A5">
        <w:rPr>
          <w:szCs w:val="24"/>
        </w:rPr>
        <w:t>Обусловленное трансфузией острое повреждение легких</w:t>
      </w:r>
    </w:p>
    <w:p w14:paraId="7B5F2C42" w14:textId="77777777" w:rsidR="004569A5" w:rsidRPr="004569A5" w:rsidRDefault="004569A5" w:rsidP="00CE6C1C">
      <w:pPr>
        <w:pStyle w:val="a6"/>
        <w:numPr>
          <w:ilvl w:val="0"/>
          <w:numId w:val="126"/>
        </w:numPr>
        <w:spacing w:before="0" w:after="0"/>
        <w:rPr>
          <w:szCs w:val="24"/>
        </w:rPr>
      </w:pPr>
      <w:r w:rsidRPr="004569A5">
        <w:rPr>
          <w:szCs w:val="24"/>
        </w:rPr>
        <w:t>Обусловленная трансфузией одышка</w:t>
      </w:r>
    </w:p>
    <w:p w14:paraId="0D31E4D4" w14:textId="77777777" w:rsidR="004569A5" w:rsidRPr="004569A5" w:rsidRDefault="004569A5" w:rsidP="00CE6C1C">
      <w:pPr>
        <w:pStyle w:val="a6"/>
        <w:numPr>
          <w:ilvl w:val="0"/>
          <w:numId w:val="131"/>
        </w:numPr>
        <w:spacing w:before="0" w:after="0"/>
        <w:rPr>
          <w:szCs w:val="24"/>
        </w:rPr>
      </w:pPr>
      <w:r w:rsidRPr="004569A5">
        <w:rPr>
          <w:szCs w:val="24"/>
        </w:rPr>
        <w:lastRenderedPageBreak/>
        <w:t>Неиммуные:</w:t>
      </w:r>
    </w:p>
    <w:p w14:paraId="4E244E70" w14:textId="77777777" w:rsidR="004569A5" w:rsidRPr="004569A5" w:rsidRDefault="004569A5" w:rsidP="00CE6C1C">
      <w:pPr>
        <w:pStyle w:val="a6"/>
        <w:numPr>
          <w:ilvl w:val="0"/>
          <w:numId w:val="128"/>
        </w:numPr>
        <w:spacing w:before="0" w:after="0"/>
        <w:rPr>
          <w:szCs w:val="24"/>
        </w:rPr>
      </w:pPr>
      <w:r w:rsidRPr="004569A5">
        <w:rPr>
          <w:szCs w:val="24"/>
        </w:rPr>
        <w:t>Обусловленная трансфузией циркуляторная перегрузка</w:t>
      </w:r>
    </w:p>
    <w:p w14:paraId="61E20C15" w14:textId="77777777" w:rsidR="004569A5" w:rsidRPr="004569A5" w:rsidRDefault="004569A5" w:rsidP="00CE6C1C">
      <w:pPr>
        <w:pStyle w:val="a6"/>
        <w:numPr>
          <w:ilvl w:val="0"/>
          <w:numId w:val="128"/>
        </w:numPr>
        <w:spacing w:before="0" w:after="0"/>
        <w:rPr>
          <w:szCs w:val="24"/>
        </w:rPr>
      </w:pPr>
      <w:r w:rsidRPr="004569A5">
        <w:rPr>
          <w:szCs w:val="24"/>
        </w:rPr>
        <w:t>Посттрансфузионная гипертензия</w:t>
      </w:r>
    </w:p>
    <w:p w14:paraId="37F662F6" w14:textId="77777777" w:rsidR="004569A5" w:rsidRPr="004569A5" w:rsidRDefault="004569A5" w:rsidP="00CE6C1C">
      <w:pPr>
        <w:pStyle w:val="a6"/>
        <w:numPr>
          <w:ilvl w:val="0"/>
          <w:numId w:val="128"/>
        </w:numPr>
        <w:spacing w:before="0" w:after="0"/>
        <w:rPr>
          <w:szCs w:val="24"/>
        </w:rPr>
      </w:pPr>
      <w:r w:rsidRPr="004569A5">
        <w:rPr>
          <w:szCs w:val="24"/>
        </w:rPr>
        <w:t>Острый неиммунный гемолиз</w:t>
      </w:r>
    </w:p>
    <w:p w14:paraId="023F4F56" w14:textId="77777777" w:rsidR="004569A5" w:rsidRPr="004569A5" w:rsidRDefault="004569A5" w:rsidP="00CE6C1C">
      <w:pPr>
        <w:pStyle w:val="a6"/>
        <w:numPr>
          <w:ilvl w:val="0"/>
          <w:numId w:val="128"/>
        </w:numPr>
        <w:spacing w:before="0" w:after="0"/>
        <w:rPr>
          <w:szCs w:val="24"/>
        </w:rPr>
      </w:pPr>
      <w:r w:rsidRPr="004569A5">
        <w:rPr>
          <w:szCs w:val="24"/>
        </w:rPr>
        <w:t>Септический шок</w:t>
      </w:r>
    </w:p>
    <w:p w14:paraId="51D35328" w14:textId="77777777" w:rsidR="004569A5" w:rsidRPr="004569A5" w:rsidRDefault="004569A5" w:rsidP="00CE6C1C">
      <w:pPr>
        <w:pStyle w:val="a6"/>
        <w:numPr>
          <w:ilvl w:val="0"/>
          <w:numId w:val="128"/>
        </w:numPr>
        <w:spacing w:before="0" w:after="0"/>
        <w:rPr>
          <w:szCs w:val="24"/>
        </w:rPr>
      </w:pPr>
      <w:r w:rsidRPr="004569A5">
        <w:rPr>
          <w:szCs w:val="24"/>
        </w:rPr>
        <w:t>Хроническая перегрузка железом</w:t>
      </w:r>
    </w:p>
    <w:p w14:paraId="71167B91" w14:textId="57FC9D0C" w:rsidR="004569A5" w:rsidRPr="004569A5" w:rsidRDefault="004569A5" w:rsidP="004569A5">
      <w:pPr>
        <w:spacing w:before="0" w:after="0"/>
        <w:rPr>
          <w:szCs w:val="24"/>
        </w:rPr>
      </w:pPr>
      <w:r w:rsidRPr="004569A5">
        <w:rPr>
          <w:szCs w:val="24"/>
        </w:rPr>
        <w:t xml:space="preserve">** Решение вопроса о введении глюкокортикостероидов и выбор дозы зависит от выраженности посттрансфузионной реакции или осложнения в анамнезе, степени тяжести сопутствующей патологии – инфекционные осложнения (особенно в период глубокой нейтропении), сахарный диабет, артериальная гипертензия и другие. Глюкокортикостероидные препараты в эквивалентных дозировках, применяемые в качестве премедикации перед трансфузией: 10-50 мг преднизолона, либо 2-6 мг дексаметазона, либо 25-100 мг гидрокортизона, либо 62,5-250 мг метилпреднизолона. </w:t>
      </w:r>
    </w:p>
    <w:p w14:paraId="068F5E0B" w14:textId="48DDCAA5" w:rsidR="004569A5" w:rsidRPr="00FD15FE" w:rsidRDefault="00FD15FE" w:rsidP="00FD15FE">
      <w:pPr>
        <w:numPr>
          <w:ilvl w:val="0"/>
          <w:numId w:val="124"/>
        </w:numPr>
        <w:spacing w:before="0" w:after="0"/>
        <w:ind w:left="567" w:hanging="567"/>
        <w:rPr>
          <w:b/>
          <w:szCs w:val="24"/>
          <w:lang w:eastAsia="ru-RU"/>
        </w:rPr>
      </w:pPr>
      <w:r>
        <w:rPr>
          <w:b/>
          <w:szCs w:val="24"/>
          <w:lang w:eastAsia="ru-RU"/>
        </w:rPr>
        <w:t>Список л</w:t>
      </w:r>
      <w:r w:rsidR="004569A5" w:rsidRPr="00FD15FE">
        <w:rPr>
          <w:b/>
          <w:szCs w:val="24"/>
          <w:lang w:eastAsia="ru-RU"/>
        </w:rPr>
        <w:t>итератур</w:t>
      </w:r>
      <w:r>
        <w:rPr>
          <w:b/>
          <w:szCs w:val="24"/>
          <w:lang w:eastAsia="ru-RU"/>
        </w:rPr>
        <w:t>ы</w:t>
      </w:r>
    </w:p>
    <w:p w14:paraId="451782EB" w14:textId="77777777" w:rsidR="004569A5" w:rsidRPr="00CA7AD8" w:rsidRDefault="004569A5" w:rsidP="004569A5">
      <w:pPr>
        <w:pStyle w:val="aff3"/>
        <w:spacing w:after="0" w:line="360" w:lineRule="auto"/>
        <w:jc w:val="both"/>
        <w:rPr>
          <w:i w:val="0"/>
        </w:rPr>
      </w:pPr>
      <w:r w:rsidRPr="004569A5">
        <w:rPr>
          <w:i w:val="0"/>
        </w:rPr>
        <w:t>1. Koch CG, Li L, Sessler DI et al. Duration of red-cell storage and complications after cardiac surgery. N</w:t>
      </w:r>
      <w:r w:rsidRPr="00CA7AD8">
        <w:rPr>
          <w:i w:val="0"/>
        </w:rPr>
        <w:t xml:space="preserve"> </w:t>
      </w:r>
      <w:r w:rsidRPr="004569A5">
        <w:rPr>
          <w:i w:val="0"/>
        </w:rPr>
        <w:t>Engl</w:t>
      </w:r>
      <w:r w:rsidRPr="00CA7AD8">
        <w:rPr>
          <w:i w:val="0"/>
        </w:rPr>
        <w:t xml:space="preserve"> </w:t>
      </w:r>
      <w:r w:rsidRPr="004569A5">
        <w:rPr>
          <w:i w:val="0"/>
        </w:rPr>
        <w:t>J</w:t>
      </w:r>
      <w:r w:rsidRPr="00CA7AD8">
        <w:rPr>
          <w:i w:val="0"/>
        </w:rPr>
        <w:t xml:space="preserve"> </w:t>
      </w:r>
      <w:r w:rsidRPr="004569A5">
        <w:rPr>
          <w:i w:val="0"/>
        </w:rPr>
        <w:t>Med</w:t>
      </w:r>
      <w:r w:rsidRPr="00CA7AD8">
        <w:rPr>
          <w:i w:val="0"/>
        </w:rPr>
        <w:t xml:space="preserve"> 2008; 358:1229—1239.</w:t>
      </w:r>
    </w:p>
    <w:p w14:paraId="320650AE" w14:textId="77777777" w:rsidR="004569A5" w:rsidRPr="004569A5" w:rsidRDefault="004569A5" w:rsidP="004569A5">
      <w:pPr>
        <w:pStyle w:val="aff3"/>
        <w:spacing w:after="0" w:line="360" w:lineRule="auto"/>
        <w:jc w:val="both"/>
        <w:rPr>
          <w:i w:val="0"/>
        </w:rPr>
      </w:pPr>
      <w:r w:rsidRPr="004569A5">
        <w:rPr>
          <w:i w:val="0"/>
          <w:lang w:val="ru-RU"/>
        </w:rPr>
        <w:t>2. Михайлова</w:t>
      </w:r>
      <w:r w:rsidRPr="004569A5">
        <w:rPr>
          <w:i w:val="0"/>
        </w:rPr>
        <w:t> </w:t>
      </w:r>
      <w:r w:rsidRPr="004569A5">
        <w:rPr>
          <w:i w:val="0"/>
          <w:lang w:val="ru-RU"/>
        </w:rPr>
        <w:t>Е.</w:t>
      </w:r>
      <w:r w:rsidRPr="004569A5">
        <w:rPr>
          <w:i w:val="0"/>
        </w:rPr>
        <w:t> </w:t>
      </w:r>
      <w:r w:rsidRPr="004569A5">
        <w:rPr>
          <w:i w:val="0"/>
          <w:lang w:val="ru-RU"/>
        </w:rPr>
        <w:t>А., Клясова</w:t>
      </w:r>
      <w:r w:rsidRPr="004569A5">
        <w:rPr>
          <w:i w:val="0"/>
        </w:rPr>
        <w:t> </w:t>
      </w:r>
      <w:r w:rsidRPr="004569A5">
        <w:rPr>
          <w:i w:val="0"/>
          <w:lang w:val="ru-RU"/>
        </w:rPr>
        <w:t>Г.</w:t>
      </w:r>
      <w:r w:rsidRPr="004569A5">
        <w:rPr>
          <w:i w:val="0"/>
        </w:rPr>
        <w:t> </w:t>
      </w:r>
      <w:r w:rsidRPr="004569A5">
        <w:rPr>
          <w:i w:val="0"/>
          <w:lang w:val="ru-RU"/>
        </w:rPr>
        <w:t>А., Устинова</w:t>
      </w:r>
      <w:r w:rsidRPr="004569A5">
        <w:rPr>
          <w:i w:val="0"/>
        </w:rPr>
        <w:t> </w:t>
      </w:r>
      <w:r w:rsidRPr="004569A5">
        <w:rPr>
          <w:i w:val="0"/>
          <w:lang w:val="ru-RU"/>
        </w:rPr>
        <w:t>Е.</w:t>
      </w:r>
      <w:r w:rsidRPr="004569A5">
        <w:rPr>
          <w:i w:val="0"/>
        </w:rPr>
        <w:t> </w:t>
      </w:r>
      <w:r w:rsidRPr="004569A5">
        <w:rPr>
          <w:i w:val="0"/>
          <w:lang w:val="ru-RU"/>
        </w:rPr>
        <w:t>Н., Савченко</w:t>
      </w:r>
      <w:r w:rsidRPr="004569A5">
        <w:rPr>
          <w:i w:val="0"/>
        </w:rPr>
        <w:t> </w:t>
      </w:r>
      <w:r w:rsidRPr="004569A5">
        <w:rPr>
          <w:i w:val="0"/>
          <w:lang w:val="ru-RU"/>
        </w:rPr>
        <w:t>В.</w:t>
      </w:r>
      <w:r w:rsidRPr="004569A5">
        <w:rPr>
          <w:i w:val="0"/>
        </w:rPr>
        <w:t> </w:t>
      </w:r>
      <w:r w:rsidRPr="004569A5">
        <w:rPr>
          <w:i w:val="0"/>
          <w:lang w:val="ru-RU"/>
        </w:rPr>
        <w:t>Г. Программная терапия апластической анемии. Клинические</w:t>
      </w:r>
      <w:r w:rsidRPr="004569A5">
        <w:rPr>
          <w:i w:val="0"/>
        </w:rPr>
        <w:t xml:space="preserve"> </w:t>
      </w:r>
      <w:r w:rsidRPr="004569A5">
        <w:rPr>
          <w:i w:val="0"/>
          <w:lang w:val="ru-RU"/>
        </w:rPr>
        <w:t>рекомендации</w:t>
      </w:r>
      <w:r w:rsidRPr="004569A5">
        <w:rPr>
          <w:i w:val="0"/>
        </w:rPr>
        <w:t xml:space="preserve">. — </w:t>
      </w:r>
      <w:r w:rsidRPr="004569A5">
        <w:rPr>
          <w:i w:val="0"/>
          <w:lang w:val="ru-RU"/>
        </w:rPr>
        <w:t>М</w:t>
      </w:r>
      <w:r w:rsidRPr="004569A5">
        <w:rPr>
          <w:i w:val="0"/>
        </w:rPr>
        <w:t xml:space="preserve">.: </w:t>
      </w:r>
      <w:r w:rsidRPr="004569A5">
        <w:rPr>
          <w:i w:val="0"/>
          <w:lang w:val="ru-RU"/>
        </w:rPr>
        <w:t>ГУ</w:t>
      </w:r>
      <w:r w:rsidRPr="004569A5">
        <w:rPr>
          <w:i w:val="0"/>
        </w:rPr>
        <w:t xml:space="preserve"> </w:t>
      </w:r>
      <w:r w:rsidRPr="004569A5">
        <w:rPr>
          <w:i w:val="0"/>
          <w:lang w:val="ru-RU"/>
        </w:rPr>
        <w:t>ГНЦ</w:t>
      </w:r>
      <w:r w:rsidRPr="004569A5">
        <w:rPr>
          <w:i w:val="0"/>
        </w:rPr>
        <w:t xml:space="preserve"> </w:t>
      </w:r>
      <w:r w:rsidRPr="004569A5">
        <w:rPr>
          <w:i w:val="0"/>
          <w:lang w:val="ru-RU"/>
        </w:rPr>
        <w:t>РАМН</w:t>
      </w:r>
      <w:r w:rsidRPr="004569A5">
        <w:rPr>
          <w:i w:val="0"/>
        </w:rPr>
        <w:t>, 2008.</w:t>
      </w:r>
    </w:p>
    <w:p w14:paraId="3751FED9" w14:textId="77777777" w:rsidR="004569A5" w:rsidRPr="004569A5" w:rsidRDefault="004569A5" w:rsidP="004569A5">
      <w:pPr>
        <w:pStyle w:val="aff3"/>
        <w:spacing w:after="0" w:line="360" w:lineRule="auto"/>
        <w:jc w:val="both"/>
        <w:rPr>
          <w:i w:val="0"/>
        </w:rPr>
      </w:pPr>
      <w:r w:rsidRPr="004569A5">
        <w:rPr>
          <w:i w:val="0"/>
        </w:rPr>
        <w:t>3. Tinmouth AT, Freedman J. Prophilactic platelet transfusion. Transfus Med Rev 2003; 17:181—193.</w:t>
      </w:r>
    </w:p>
    <w:p w14:paraId="5FAAAA4A" w14:textId="77777777" w:rsidR="004569A5" w:rsidRPr="00CA7AD8" w:rsidRDefault="004569A5" w:rsidP="004569A5">
      <w:pPr>
        <w:pStyle w:val="aff3"/>
        <w:spacing w:after="0" w:line="360" w:lineRule="auto"/>
        <w:jc w:val="both"/>
        <w:rPr>
          <w:i w:val="0"/>
        </w:rPr>
      </w:pPr>
      <w:r w:rsidRPr="004569A5">
        <w:rPr>
          <w:i w:val="0"/>
        </w:rPr>
        <w:t xml:space="preserve">4. </w:t>
      </w:r>
      <w:r w:rsidRPr="004569A5">
        <w:rPr>
          <w:i w:val="0"/>
          <w:lang w:val="de-DE"/>
        </w:rPr>
        <w:t>Kaufman RM</w:t>
      </w:r>
      <w:r w:rsidRPr="004569A5">
        <w:rPr>
          <w:i w:val="0"/>
        </w:rPr>
        <w:t xml:space="preserve">, </w:t>
      </w:r>
      <w:r w:rsidRPr="004569A5">
        <w:rPr>
          <w:i w:val="0"/>
          <w:lang w:val="de-DE"/>
        </w:rPr>
        <w:t>Djulbegovic B</w:t>
      </w:r>
      <w:r w:rsidRPr="004569A5">
        <w:rPr>
          <w:i w:val="0"/>
        </w:rPr>
        <w:t xml:space="preserve">, </w:t>
      </w:r>
      <w:r w:rsidRPr="004569A5">
        <w:rPr>
          <w:i w:val="0"/>
          <w:lang w:val="de-DE"/>
        </w:rPr>
        <w:t>Gernsheimer T</w:t>
      </w:r>
      <w:r w:rsidRPr="004569A5">
        <w:rPr>
          <w:i w:val="0"/>
        </w:rPr>
        <w:t xml:space="preserve"> </w:t>
      </w:r>
      <w:r w:rsidRPr="004569A5">
        <w:rPr>
          <w:i w:val="0"/>
          <w:lang w:val="de-DE"/>
        </w:rPr>
        <w:t>et al</w:t>
      </w:r>
      <w:r w:rsidRPr="004569A5">
        <w:rPr>
          <w:i w:val="0"/>
        </w:rPr>
        <w:t>. Platelet Transfusion: A Clinical Practice Guideline From the AABB. Clinical</w:t>
      </w:r>
      <w:r w:rsidRPr="00CA7AD8">
        <w:rPr>
          <w:i w:val="0"/>
        </w:rPr>
        <w:t xml:space="preserve"> </w:t>
      </w:r>
      <w:r w:rsidRPr="004569A5">
        <w:rPr>
          <w:i w:val="0"/>
        </w:rPr>
        <w:t>Guideline</w:t>
      </w:r>
      <w:r w:rsidRPr="00CA7AD8">
        <w:rPr>
          <w:i w:val="0"/>
        </w:rPr>
        <w:t xml:space="preserve"> 2015;162:205—213.</w:t>
      </w:r>
    </w:p>
    <w:p w14:paraId="3153C275" w14:textId="77777777" w:rsidR="004569A5" w:rsidRPr="004569A5" w:rsidRDefault="004569A5" w:rsidP="004569A5">
      <w:pPr>
        <w:pStyle w:val="aff3"/>
        <w:spacing w:after="0" w:line="360" w:lineRule="auto"/>
        <w:jc w:val="both"/>
        <w:rPr>
          <w:i w:val="0"/>
          <w:lang w:val="ru-RU"/>
        </w:rPr>
      </w:pPr>
      <w:r w:rsidRPr="004569A5">
        <w:rPr>
          <w:i w:val="0"/>
          <w:lang w:val="ru-RU"/>
        </w:rPr>
        <w:t>5. Шулутко Е. М., Судейкина Н. Н., Городецкий В. М. Рекомендации по обеспечению венозного доступа</w:t>
      </w:r>
      <w:r w:rsidRPr="004569A5">
        <w:rPr>
          <w:i w:val="0"/>
        </w:rPr>
        <w:t> </w:t>
      </w:r>
      <w:r w:rsidRPr="004569A5">
        <w:rPr>
          <w:i w:val="0"/>
          <w:lang w:val="ru-RU"/>
        </w:rPr>
        <w:t>//. В кн.: Программное лечение заболеваний системы крови.</w:t>
      </w:r>
      <w:r w:rsidRPr="004569A5">
        <w:rPr>
          <w:i w:val="0"/>
        </w:rPr>
        <w:t> </w:t>
      </w:r>
      <w:r w:rsidRPr="004569A5">
        <w:rPr>
          <w:i w:val="0"/>
          <w:lang w:val="ru-RU"/>
        </w:rPr>
        <w:t>— М.: Практика, 2012; т.</w:t>
      </w:r>
      <w:r w:rsidRPr="004569A5">
        <w:rPr>
          <w:i w:val="0"/>
        </w:rPr>
        <w:t> </w:t>
      </w:r>
      <w:r w:rsidRPr="004569A5">
        <w:rPr>
          <w:i w:val="0"/>
          <w:lang w:val="ru-RU"/>
        </w:rPr>
        <w:t>2, с. 903—946.</w:t>
      </w:r>
    </w:p>
    <w:p w14:paraId="7557D9B8" w14:textId="77777777" w:rsidR="004569A5" w:rsidRPr="004569A5" w:rsidRDefault="004569A5" w:rsidP="004569A5">
      <w:pPr>
        <w:pStyle w:val="aff3"/>
        <w:spacing w:after="0" w:line="360" w:lineRule="auto"/>
        <w:jc w:val="both"/>
        <w:rPr>
          <w:i w:val="0"/>
          <w:lang w:val="ru-RU"/>
        </w:rPr>
      </w:pPr>
      <w:r w:rsidRPr="004569A5">
        <w:rPr>
          <w:i w:val="0"/>
          <w:lang w:val="ru-RU"/>
        </w:rPr>
        <w:t>6. Паровичникова</w:t>
      </w:r>
      <w:r w:rsidRPr="004569A5">
        <w:rPr>
          <w:i w:val="0"/>
        </w:rPr>
        <w:t> </w:t>
      </w:r>
      <w:r w:rsidRPr="004569A5">
        <w:rPr>
          <w:i w:val="0"/>
          <w:lang w:val="ru-RU"/>
        </w:rPr>
        <w:t xml:space="preserve">Е. Н., Соколов А. Н. Протокол лечения острого промиелоцитарного лейкоза </w:t>
      </w:r>
      <w:r w:rsidRPr="004569A5">
        <w:rPr>
          <w:i w:val="0"/>
        </w:rPr>
        <w:t>AIDA</w:t>
      </w:r>
      <w:r w:rsidRPr="004569A5">
        <w:rPr>
          <w:i w:val="0"/>
          <w:lang w:val="ru-RU"/>
        </w:rPr>
        <w:t> //. В кн.: Программное лечение заболеваний системы крови.</w:t>
      </w:r>
      <w:r w:rsidRPr="004569A5">
        <w:rPr>
          <w:i w:val="0"/>
        </w:rPr>
        <w:t> </w:t>
      </w:r>
      <w:r w:rsidRPr="004569A5">
        <w:rPr>
          <w:i w:val="0"/>
          <w:lang w:val="ru-RU"/>
        </w:rPr>
        <w:t>— М.: Практика, 2012; т.</w:t>
      </w:r>
      <w:r w:rsidRPr="004569A5">
        <w:rPr>
          <w:i w:val="0"/>
        </w:rPr>
        <w:t> </w:t>
      </w:r>
      <w:r w:rsidRPr="004569A5">
        <w:rPr>
          <w:i w:val="0"/>
          <w:lang w:val="ru-RU"/>
        </w:rPr>
        <w:t>2, с. 267—285.</w:t>
      </w:r>
    </w:p>
    <w:p w14:paraId="4648522B" w14:textId="77777777" w:rsidR="004569A5" w:rsidRPr="004569A5" w:rsidRDefault="004569A5" w:rsidP="004569A5">
      <w:pPr>
        <w:pStyle w:val="aff3"/>
        <w:spacing w:after="0" w:line="360" w:lineRule="auto"/>
        <w:jc w:val="both"/>
        <w:rPr>
          <w:i w:val="0"/>
          <w:lang w:val="ru-RU"/>
        </w:rPr>
      </w:pPr>
      <w:r w:rsidRPr="004569A5">
        <w:rPr>
          <w:i w:val="0"/>
          <w:lang w:val="ru-RU"/>
        </w:rPr>
        <w:t>7. Приказ МЗ РФ от 2 апреля 2013 г. № 183н «Об утверждении правил клинического использования донорской крови и (или) ее компонентов».</w:t>
      </w:r>
    </w:p>
    <w:p w14:paraId="5F850BDE" w14:textId="77777777" w:rsidR="004569A5" w:rsidRPr="004569A5" w:rsidRDefault="004569A5" w:rsidP="004569A5">
      <w:pPr>
        <w:pStyle w:val="aff3"/>
        <w:spacing w:after="0" w:line="360" w:lineRule="auto"/>
        <w:jc w:val="both"/>
        <w:rPr>
          <w:i w:val="0"/>
          <w:lang w:val="ru-RU"/>
        </w:rPr>
      </w:pPr>
      <w:r w:rsidRPr="004569A5">
        <w:rPr>
          <w:i w:val="0"/>
          <w:lang w:val="ru-RU"/>
        </w:rPr>
        <w:t>8. Буланов А. Ю., Городецкий В. М., Шулутко Е. М. Протокол терапии острой кровопотери: основные положения. Вестник интенсивной терапии 2004; 5:193—195.</w:t>
      </w:r>
    </w:p>
    <w:p w14:paraId="0E253219" w14:textId="77777777" w:rsidR="004569A5" w:rsidRPr="004569A5" w:rsidRDefault="004569A5" w:rsidP="004569A5">
      <w:pPr>
        <w:pStyle w:val="aff3"/>
        <w:spacing w:after="0" w:line="360" w:lineRule="auto"/>
        <w:jc w:val="both"/>
        <w:rPr>
          <w:i w:val="0"/>
        </w:rPr>
      </w:pPr>
      <w:r w:rsidRPr="00CA7AD8">
        <w:rPr>
          <w:i w:val="0"/>
        </w:rPr>
        <w:t xml:space="preserve">9. </w:t>
      </w:r>
      <w:r w:rsidRPr="004569A5">
        <w:rPr>
          <w:i w:val="0"/>
        </w:rPr>
        <w:t>Torunn AO</w:t>
      </w:r>
      <w:r w:rsidRPr="00CA7AD8">
        <w:rPr>
          <w:i w:val="0"/>
        </w:rPr>
        <w:t xml:space="preserve">, </w:t>
      </w:r>
      <w:r w:rsidRPr="004569A5">
        <w:rPr>
          <w:i w:val="0"/>
        </w:rPr>
        <w:t>Bruserud Q</w:t>
      </w:r>
      <w:r w:rsidRPr="00CA7AD8">
        <w:rPr>
          <w:i w:val="0"/>
        </w:rPr>
        <w:t>,</w:t>
      </w:r>
      <w:r w:rsidRPr="004569A5">
        <w:rPr>
          <w:i w:val="0"/>
        </w:rPr>
        <w:t>Wenzel</w:t>
      </w:r>
      <w:r w:rsidRPr="00CA7AD8">
        <w:rPr>
          <w:i w:val="0"/>
        </w:rPr>
        <w:t>-</w:t>
      </w:r>
      <w:r w:rsidRPr="004569A5">
        <w:rPr>
          <w:i w:val="0"/>
        </w:rPr>
        <w:t>Larsen T</w:t>
      </w:r>
      <w:r w:rsidRPr="00CA7AD8">
        <w:rPr>
          <w:i w:val="0"/>
        </w:rPr>
        <w:t xml:space="preserve"> </w:t>
      </w:r>
      <w:r w:rsidRPr="004569A5">
        <w:rPr>
          <w:i w:val="0"/>
        </w:rPr>
        <w:t>et al</w:t>
      </w:r>
      <w:r w:rsidRPr="00CA7AD8">
        <w:rPr>
          <w:i w:val="0"/>
        </w:rPr>
        <w:t xml:space="preserve">. </w:t>
      </w:r>
      <w:r w:rsidRPr="004569A5">
        <w:rPr>
          <w:i w:val="0"/>
        </w:rPr>
        <w:t>Therapeutic efficacy of platelet transfusion in patients with acute leukemia: an evaluation of methods. Transfusion 2010; 50:766—775.</w:t>
      </w:r>
    </w:p>
    <w:p w14:paraId="43FF9284" w14:textId="77777777" w:rsidR="004569A5" w:rsidRPr="004569A5" w:rsidRDefault="004569A5" w:rsidP="004569A5">
      <w:pPr>
        <w:pStyle w:val="aff3"/>
        <w:spacing w:after="0" w:line="360" w:lineRule="auto"/>
        <w:jc w:val="both"/>
        <w:rPr>
          <w:i w:val="0"/>
        </w:rPr>
      </w:pPr>
      <w:r w:rsidRPr="004569A5">
        <w:rPr>
          <w:i w:val="0"/>
        </w:rPr>
        <w:lastRenderedPageBreak/>
        <w:t>10. Stanworth SJ, Estcourt LJ, Powter G. A no-prophilaxis platelet-transfusion strategy for hematologic cancers. N Engl J Med 2013; 368:1771—1780.</w:t>
      </w:r>
    </w:p>
    <w:p w14:paraId="3EA4BCF3" w14:textId="77777777" w:rsidR="004569A5" w:rsidRPr="004569A5" w:rsidRDefault="004569A5" w:rsidP="004569A5">
      <w:pPr>
        <w:pStyle w:val="aff3"/>
        <w:spacing w:after="0" w:line="360" w:lineRule="auto"/>
        <w:jc w:val="both"/>
        <w:rPr>
          <w:i w:val="0"/>
        </w:rPr>
      </w:pPr>
      <w:r w:rsidRPr="004569A5">
        <w:rPr>
          <w:i w:val="0"/>
        </w:rPr>
        <w:t>11. Estcourt L, Stanworth S, Doree C et al. Prophylactic platelet transfusion for prevention of bleeding in patients with haematological disorders after chemotherapy and stem cell transplantation. Cochrane Database Syst Rev 2012; 5:CD004269.</w:t>
      </w:r>
    </w:p>
    <w:p w14:paraId="50F19ECD" w14:textId="77777777" w:rsidR="004569A5" w:rsidRPr="004569A5" w:rsidRDefault="004569A5" w:rsidP="004569A5">
      <w:pPr>
        <w:pStyle w:val="aff3"/>
        <w:spacing w:after="0" w:line="360" w:lineRule="auto"/>
        <w:jc w:val="both"/>
        <w:rPr>
          <w:i w:val="0"/>
        </w:rPr>
      </w:pPr>
      <w:r w:rsidRPr="004569A5">
        <w:rPr>
          <w:i w:val="0"/>
        </w:rPr>
        <w:t>12. Stanworth SJ, Hyde C, Brunskill S et al. Platelet transfusion prophylaxis for patients with haematological malignancies: where to now? Br J Haematol 2005; 131:588—595.</w:t>
      </w:r>
    </w:p>
    <w:p w14:paraId="60660739" w14:textId="77777777" w:rsidR="004569A5" w:rsidRPr="004569A5" w:rsidRDefault="004569A5" w:rsidP="004569A5">
      <w:pPr>
        <w:pStyle w:val="aff3"/>
        <w:spacing w:after="0" w:line="360" w:lineRule="auto"/>
        <w:jc w:val="both"/>
        <w:rPr>
          <w:i w:val="0"/>
        </w:rPr>
      </w:pPr>
      <w:r w:rsidRPr="004569A5">
        <w:rPr>
          <w:i w:val="0"/>
        </w:rPr>
        <w:t>13. Strauss RG. Low-dose prophylactic platelet transfusions: time for further study, but too early for routine clinical practice. Transfusion 2004; 44:1680—1682.</w:t>
      </w:r>
    </w:p>
    <w:p w14:paraId="452FED00" w14:textId="77777777" w:rsidR="004569A5" w:rsidRPr="004569A5" w:rsidRDefault="004569A5" w:rsidP="004569A5">
      <w:pPr>
        <w:pStyle w:val="aff3"/>
        <w:spacing w:after="0" w:line="360" w:lineRule="auto"/>
        <w:jc w:val="both"/>
        <w:rPr>
          <w:i w:val="0"/>
        </w:rPr>
      </w:pPr>
      <w:r w:rsidRPr="004569A5">
        <w:rPr>
          <w:i w:val="0"/>
        </w:rPr>
        <w:t>14. Consensus conference. Platelet transfusion therapy. JAMA 1987; 257:1777—1780.</w:t>
      </w:r>
    </w:p>
    <w:p w14:paraId="5AA3E3ED" w14:textId="77777777" w:rsidR="004569A5" w:rsidRPr="004569A5" w:rsidRDefault="004569A5" w:rsidP="004569A5">
      <w:pPr>
        <w:pStyle w:val="aff3"/>
        <w:spacing w:after="0" w:line="360" w:lineRule="auto"/>
        <w:jc w:val="both"/>
        <w:rPr>
          <w:i w:val="0"/>
        </w:rPr>
      </w:pPr>
      <w:r w:rsidRPr="004569A5">
        <w:rPr>
          <w:i w:val="0"/>
        </w:rPr>
        <w:t>15. British Committee for Standards in Haematology, Blood Transfusion Task Force. Guidelines for the use of platelet transfusions. Br J Haematol 2003; 122:10—23.</w:t>
      </w:r>
    </w:p>
    <w:p w14:paraId="5C6BED83" w14:textId="77777777" w:rsidR="004569A5" w:rsidRPr="004569A5" w:rsidRDefault="004569A5" w:rsidP="004569A5">
      <w:pPr>
        <w:pStyle w:val="aff3"/>
        <w:spacing w:after="0" w:line="360" w:lineRule="auto"/>
        <w:jc w:val="both"/>
        <w:rPr>
          <w:i w:val="0"/>
        </w:rPr>
      </w:pPr>
      <w:r w:rsidRPr="004569A5">
        <w:rPr>
          <w:i w:val="0"/>
        </w:rPr>
        <w:t>16. Heddle NM, Cook RJ, Sigouin C et al. A descriptive analysis of international transfusion practice and bleeding outcomes in patients with acute leukemia. Transfusion 2006; 46:903—911.</w:t>
      </w:r>
    </w:p>
    <w:p w14:paraId="3383A271" w14:textId="77777777" w:rsidR="004569A5" w:rsidRPr="004569A5" w:rsidRDefault="004569A5" w:rsidP="004569A5">
      <w:pPr>
        <w:pStyle w:val="aff3"/>
        <w:spacing w:after="0" w:line="360" w:lineRule="auto"/>
        <w:jc w:val="both"/>
        <w:rPr>
          <w:i w:val="0"/>
        </w:rPr>
      </w:pPr>
      <w:r w:rsidRPr="004569A5">
        <w:rPr>
          <w:i w:val="0"/>
        </w:rPr>
        <w:t>17. McFarland JG. Platelet and granulocyte antigens and antibodies // In: Technical manual. — Bethesda: American Association of Blood Banks, 2008; p. 525—540.</w:t>
      </w:r>
    </w:p>
    <w:p w14:paraId="5BFB9973" w14:textId="77777777" w:rsidR="004569A5" w:rsidRPr="004569A5" w:rsidRDefault="004569A5" w:rsidP="004569A5">
      <w:pPr>
        <w:pStyle w:val="aff3"/>
        <w:spacing w:after="0" w:line="360" w:lineRule="auto"/>
        <w:jc w:val="both"/>
        <w:rPr>
          <w:i w:val="0"/>
          <w:lang w:val="ru-RU"/>
        </w:rPr>
      </w:pPr>
      <w:r w:rsidRPr="004569A5">
        <w:rPr>
          <w:i w:val="0"/>
          <w:lang w:val="ru-RU"/>
        </w:rPr>
        <w:t>18. Баркаган З. С. Геморрагические заболевания и синдромы. — М.: Медицина, 1988.</w:t>
      </w:r>
    </w:p>
    <w:p w14:paraId="5E3AA6CB" w14:textId="77777777" w:rsidR="004569A5" w:rsidRPr="00FD15FE" w:rsidRDefault="004569A5" w:rsidP="004569A5">
      <w:pPr>
        <w:pStyle w:val="aff3"/>
        <w:spacing w:after="0" w:line="360" w:lineRule="auto"/>
        <w:jc w:val="both"/>
        <w:rPr>
          <w:i w:val="0"/>
        </w:rPr>
      </w:pPr>
      <w:r w:rsidRPr="004569A5">
        <w:rPr>
          <w:i w:val="0"/>
          <w:lang w:val="fr-FR"/>
        </w:rPr>
        <w:t xml:space="preserve">19. Nascimento B, Rizoli S, Rubenfeld G et al. </w:t>
      </w:r>
      <w:r w:rsidRPr="004569A5">
        <w:rPr>
          <w:i w:val="0"/>
        </w:rPr>
        <w:t>Cryoprecipitate transfusion: assessing appropriateness and dosing in trauma. Transfus</w:t>
      </w:r>
      <w:r w:rsidRPr="00FD15FE">
        <w:rPr>
          <w:i w:val="0"/>
        </w:rPr>
        <w:t xml:space="preserve"> </w:t>
      </w:r>
      <w:r w:rsidRPr="004569A5">
        <w:rPr>
          <w:i w:val="0"/>
        </w:rPr>
        <w:t>Med</w:t>
      </w:r>
      <w:r w:rsidRPr="00FD15FE">
        <w:rPr>
          <w:i w:val="0"/>
        </w:rPr>
        <w:t xml:space="preserve"> 2011; 21:394—401.</w:t>
      </w:r>
    </w:p>
    <w:p w14:paraId="0BB61082" w14:textId="22FBA303" w:rsidR="004569A5" w:rsidRPr="004569A5" w:rsidRDefault="004569A5" w:rsidP="004569A5">
      <w:pPr>
        <w:pStyle w:val="aff3"/>
        <w:spacing w:after="0" w:line="360" w:lineRule="auto"/>
        <w:jc w:val="both"/>
        <w:rPr>
          <w:i w:val="0"/>
          <w:lang w:val="ru-RU"/>
        </w:rPr>
      </w:pPr>
      <w:r w:rsidRPr="006D503D">
        <w:rPr>
          <w:i w:val="0"/>
        </w:rPr>
        <w:t xml:space="preserve">20. </w:t>
      </w:r>
      <w:r w:rsidRPr="004569A5">
        <w:rPr>
          <w:i w:val="0"/>
        </w:rPr>
        <w:t xml:space="preserve"> Heddle NM, Blajchman MA, Meyer RM et al. A randomized controlled trial comparing the frequency of acute reactions to plasma-removed platelets and prestorage WBC-reduced platelets. Transfusion</w:t>
      </w:r>
      <w:r w:rsidRPr="004569A5">
        <w:rPr>
          <w:i w:val="0"/>
          <w:lang w:val="ru-RU"/>
        </w:rPr>
        <w:t xml:space="preserve"> 2002; 42:556—566.</w:t>
      </w:r>
    </w:p>
    <w:p w14:paraId="62A40658" w14:textId="43A479BA" w:rsidR="004569A5" w:rsidRPr="004569A5" w:rsidRDefault="004569A5" w:rsidP="004569A5">
      <w:pPr>
        <w:widowControl w:val="0"/>
        <w:autoSpaceDE w:val="0"/>
        <w:autoSpaceDN w:val="0"/>
        <w:adjustRightInd w:val="0"/>
        <w:spacing w:before="0" w:after="0"/>
        <w:rPr>
          <w:noProof/>
          <w:szCs w:val="24"/>
        </w:rPr>
      </w:pPr>
      <w:r w:rsidRPr="004569A5">
        <w:rPr>
          <w:noProof/>
          <w:szCs w:val="24"/>
        </w:rPr>
        <w:t>2</w:t>
      </w:r>
      <w:r w:rsidR="006D503D">
        <w:rPr>
          <w:noProof/>
          <w:szCs w:val="24"/>
        </w:rPr>
        <w:t>1</w:t>
      </w:r>
      <w:r w:rsidRPr="004569A5">
        <w:rPr>
          <w:noProof/>
          <w:szCs w:val="24"/>
        </w:rPr>
        <w:t xml:space="preserve">. Клиническое использование эритроцитсодержащих компнентов донорской крови. Гематология и трансфузиология. 2018; </w:t>
      </w:r>
    </w:p>
    <w:p w14:paraId="6BBD84B7" w14:textId="17DEC052" w:rsidR="006D503D" w:rsidRDefault="006D503D">
      <w:pPr>
        <w:spacing w:before="0" w:after="0" w:line="240" w:lineRule="auto"/>
        <w:jc w:val="left"/>
      </w:pPr>
      <w:r>
        <w:br w:type="page"/>
      </w:r>
    </w:p>
    <w:p w14:paraId="6CBA1D5E" w14:textId="754BBD91" w:rsidR="006D503D" w:rsidRPr="006D503D" w:rsidRDefault="006D503D" w:rsidP="006D503D">
      <w:pPr>
        <w:pStyle w:val="1"/>
      </w:pPr>
      <w:bookmarkStart w:id="87" w:name="_Toc53140932"/>
      <w:r w:rsidRPr="003E0025">
        <w:lastRenderedPageBreak/>
        <w:t>Приложение Г</w:t>
      </w:r>
      <w:r>
        <w:t xml:space="preserve">12. </w:t>
      </w:r>
      <w:r w:rsidRPr="00266EEA">
        <w:t>«</w:t>
      </w:r>
      <w:r w:rsidRPr="00761653">
        <w:t xml:space="preserve">Диагностика и лечение </w:t>
      </w:r>
      <w:r>
        <w:t xml:space="preserve">бактериальных </w:t>
      </w:r>
      <w:r w:rsidRPr="00761653">
        <w:t>инфекционных осложнений</w:t>
      </w:r>
      <w:r>
        <w:t>»</w:t>
      </w:r>
      <w:bookmarkEnd w:id="87"/>
    </w:p>
    <w:p w14:paraId="3310AA11" w14:textId="77777777" w:rsidR="006D503D" w:rsidRPr="00334A8A" w:rsidRDefault="006D503D" w:rsidP="006D503D">
      <w:pPr>
        <w:ind w:right="49" w:firstLine="708"/>
        <w:contextualSpacing/>
        <w:rPr>
          <w:b/>
        </w:rPr>
      </w:pPr>
      <w:r w:rsidRPr="00334A8A">
        <w:rPr>
          <w:b/>
        </w:rPr>
        <w:t>Список сокращений</w:t>
      </w:r>
    </w:p>
    <w:p w14:paraId="21591CB4" w14:textId="77777777" w:rsidR="006D503D" w:rsidRPr="00761653" w:rsidRDefault="006D503D" w:rsidP="006D503D">
      <w:r w:rsidRPr="00761653">
        <w:t>БАЛ – бронхоальвеолярный лаваж</w:t>
      </w:r>
    </w:p>
    <w:p w14:paraId="72AEE6A7" w14:textId="77777777" w:rsidR="006D503D" w:rsidRPr="00761653" w:rsidRDefault="006D503D" w:rsidP="006D503D">
      <w:r w:rsidRPr="00761653">
        <w:t>БЛРС – β-лактамазы расширенного спектра</w:t>
      </w:r>
    </w:p>
    <w:p w14:paraId="3AD37686" w14:textId="77777777" w:rsidR="006D503D" w:rsidRPr="00761653" w:rsidRDefault="006D503D" w:rsidP="006D503D">
      <w:r w:rsidRPr="00761653">
        <w:t>ДНК – дезоксирибонуклеиновая кислота</w:t>
      </w:r>
    </w:p>
    <w:p w14:paraId="5D76D50F" w14:textId="77777777" w:rsidR="006D503D" w:rsidRPr="00761653" w:rsidRDefault="006D503D" w:rsidP="006D503D">
      <w:r w:rsidRPr="00761653">
        <w:t>КОЕ – колониеобразующая единица</w:t>
      </w:r>
    </w:p>
    <w:p w14:paraId="32D88D3F" w14:textId="77777777" w:rsidR="006D503D" w:rsidRPr="00761653" w:rsidRDefault="006D503D" w:rsidP="006D503D">
      <w:r w:rsidRPr="00761653">
        <w:t>КТ</w:t>
      </w:r>
      <w:r>
        <w:t xml:space="preserve"> / СКТ</w:t>
      </w:r>
      <w:r w:rsidRPr="00761653">
        <w:t xml:space="preserve"> –</w:t>
      </w:r>
      <w:r>
        <w:t xml:space="preserve"> </w:t>
      </w:r>
      <w:r w:rsidRPr="00761653">
        <w:t xml:space="preserve">компьютерная томография </w:t>
      </w:r>
      <w:r>
        <w:t xml:space="preserve">/ спиральная </w:t>
      </w:r>
      <w:r w:rsidRPr="00761653">
        <w:t>компьютерная томография</w:t>
      </w:r>
    </w:p>
    <w:p w14:paraId="38AF79D6" w14:textId="77777777" w:rsidR="006D503D" w:rsidRDefault="006D503D" w:rsidP="006D503D">
      <w:r w:rsidRPr="00761653">
        <w:t>МЕ – международная единица</w:t>
      </w:r>
    </w:p>
    <w:p w14:paraId="3EE1D950" w14:textId="77777777" w:rsidR="006D503D" w:rsidRPr="00761653" w:rsidRDefault="006D503D" w:rsidP="006D503D">
      <w:r w:rsidRPr="00761653">
        <w:rPr>
          <w:bCs/>
          <w:iCs/>
        </w:rPr>
        <w:t>МПК – минимальная подавляющая концентрация</w:t>
      </w:r>
    </w:p>
    <w:p w14:paraId="795AB258" w14:textId="77777777" w:rsidR="006D503D" w:rsidRPr="00761653" w:rsidRDefault="006D503D" w:rsidP="006D503D">
      <w:r w:rsidRPr="00761653">
        <w:t>МРТ – магнитно-резонансная томография</w:t>
      </w:r>
    </w:p>
    <w:p w14:paraId="2778C378" w14:textId="77777777" w:rsidR="006D503D" w:rsidRPr="00761653" w:rsidRDefault="006D503D" w:rsidP="006D503D">
      <w:r w:rsidRPr="00761653">
        <w:t>ПЦР – полимеразная цепная реакция</w:t>
      </w:r>
    </w:p>
    <w:p w14:paraId="5EEFA2D7" w14:textId="77777777" w:rsidR="006D503D" w:rsidRPr="00761653" w:rsidRDefault="006D503D" w:rsidP="006D503D">
      <w:r w:rsidRPr="00761653">
        <w:t>СМЖ – спинномозговая жидкость</w:t>
      </w:r>
    </w:p>
    <w:p w14:paraId="2A47008D" w14:textId="77777777" w:rsidR="006D503D" w:rsidRPr="00761653" w:rsidRDefault="006D503D" w:rsidP="006D503D">
      <w:r w:rsidRPr="00761653">
        <w:t>ТГСК – трансплантация гемопоэтических стволовых клеток</w:t>
      </w:r>
    </w:p>
    <w:p w14:paraId="00ECF107" w14:textId="77777777" w:rsidR="006D503D" w:rsidRPr="00761653" w:rsidRDefault="006D503D" w:rsidP="006D503D">
      <w:r w:rsidRPr="00761653">
        <w:t>УЗИ –</w:t>
      </w:r>
      <w:r>
        <w:t xml:space="preserve"> </w:t>
      </w:r>
      <w:r w:rsidRPr="00761653">
        <w:t>ультразвуковое исследование</w:t>
      </w:r>
    </w:p>
    <w:p w14:paraId="1CE737D1" w14:textId="77777777" w:rsidR="006D503D" w:rsidRPr="00761653" w:rsidRDefault="006D503D" w:rsidP="006D503D">
      <w:r w:rsidRPr="00761653">
        <w:t>ЭхоКГ – эхокардиография</w:t>
      </w:r>
    </w:p>
    <w:p w14:paraId="6D550F16" w14:textId="77777777" w:rsidR="006D503D" w:rsidRPr="00761653" w:rsidRDefault="006D503D" w:rsidP="006D503D">
      <w:r w:rsidRPr="00761653">
        <w:t>ЦВК – центральный венозный катетер</w:t>
      </w:r>
    </w:p>
    <w:p w14:paraId="7330B33E" w14:textId="77777777" w:rsidR="006D503D" w:rsidRPr="00761653" w:rsidRDefault="006D503D" w:rsidP="006D503D">
      <w:r w:rsidRPr="00761653">
        <w:t>ЦНС – центральная нервная система</w:t>
      </w:r>
    </w:p>
    <w:p w14:paraId="2E593781" w14:textId="77777777" w:rsidR="006D503D" w:rsidRPr="00761653" w:rsidRDefault="006D503D" w:rsidP="006D503D">
      <w:pPr>
        <w:rPr>
          <w:i/>
        </w:rPr>
      </w:pPr>
      <w:r w:rsidRPr="00761653">
        <w:rPr>
          <w:i/>
        </w:rPr>
        <w:t>A. baumannii</w:t>
      </w:r>
      <w:r w:rsidRPr="00761653">
        <w:t xml:space="preserve"> – </w:t>
      </w:r>
      <w:r w:rsidRPr="00761653">
        <w:rPr>
          <w:i/>
        </w:rPr>
        <w:t>Acinetobacter baumannii</w:t>
      </w:r>
    </w:p>
    <w:p w14:paraId="2FB30B95" w14:textId="77777777" w:rsidR="006D503D" w:rsidRPr="006D503D" w:rsidRDefault="006D503D" w:rsidP="006D503D">
      <w:pPr>
        <w:rPr>
          <w:i/>
          <w:lang w:val="en-US"/>
        </w:rPr>
      </w:pPr>
      <w:r w:rsidRPr="006D503D">
        <w:rPr>
          <w:i/>
          <w:lang w:val="en-US"/>
        </w:rPr>
        <w:t>C. albicans – Candida albicans</w:t>
      </w:r>
    </w:p>
    <w:p w14:paraId="02D0240E" w14:textId="77777777" w:rsidR="006D503D" w:rsidRPr="006D503D" w:rsidRDefault="006D503D" w:rsidP="006D503D">
      <w:pPr>
        <w:rPr>
          <w:i/>
          <w:lang w:val="en-US"/>
        </w:rPr>
      </w:pPr>
      <w:r w:rsidRPr="006D503D">
        <w:rPr>
          <w:i/>
          <w:lang w:val="en-US"/>
        </w:rPr>
        <w:t>C. neumonia – Chlamydophila neumonia</w:t>
      </w:r>
    </w:p>
    <w:p w14:paraId="0603E729" w14:textId="77777777" w:rsidR="006D503D" w:rsidRPr="006D503D" w:rsidRDefault="006D503D" w:rsidP="006D503D">
      <w:pPr>
        <w:rPr>
          <w:lang w:val="en-US"/>
        </w:rPr>
      </w:pPr>
      <w:r w:rsidRPr="006D503D">
        <w:rPr>
          <w:lang w:val="en-US"/>
        </w:rPr>
        <w:t>CIM – carbapenem inactivation method</w:t>
      </w:r>
    </w:p>
    <w:p w14:paraId="5EC7BA9B" w14:textId="77777777" w:rsidR="006D503D" w:rsidRPr="006D503D" w:rsidRDefault="006D503D" w:rsidP="006D503D">
      <w:pPr>
        <w:rPr>
          <w:i/>
          <w:lang w:val="en-US"/>
        </w:rPr>
      </w:pPr>
      <w:r w:rsidRPr="006D503D">
        <w:rPr>
          <w:i/>
          <w:lang w:val="en-US"/>
        </w:rPr>
        <w:t>C. difficile – Clostridioides difficile</w:t>
      </w:r>
    </w:p>
    <w:p w14:paraId="2F4EAB50" w14:textId="77777777" w:rsidR="006D503D" w:rsidRPr="006D503D" w:rsidRDefault="006D503D" w:rsidP="006D503D">
      <w:pPr>
        <w:rPr>
          <w:i/>
          <w:lang w:val="en-US"/>
        </w:rPr>
      </w:pPr>
      <w:r w:rsidRPr="006D503D">
        <w:rPr>
          <w:i/>
          <w:lang w:val="en-US"/>
        </w:rPr>
        <w:t>E. faecalis – Enterococcus faecalis</w:t>
      </w:r>
    </w:p>
    <w:p w14:paraId="780EFA8B" w14:textId="77777777" w:rsidR="006D503D" w:rsidRPr="006D503D" w:rsidRDefault="006D503D" w:rsidP="006D503D">
      <w:pPr>
        <w:rPr>
          <w:i/>
          <w:lang w:val="en-US"/>
        </w:rPr>
      </w:pPr>
      <w:r w:rsidRPr="006D503D">
        <w:rPr>
          <w:i/>
          <w:lang w:val="en-US"/>
        </w:rPr>
        <w:t>E. faecium – Enterococcus faecium</w:t>
      </w:r>
    </w:p>
    <w:p w14:paraId="71AEA892" w14:textId="77777777" w:rsidR="006D503D" w:rsidRPr="006D503D" w:rsidRDefault="006D503D" w:rsidP="006D503D">
      <w:pPr>
        <w:rPr>
          <w:i/>
          <w:lang w:val="en-US"/>
        </w:rPr>
      </w:pPr>
      <w:r w:rsidRPr="006D503D">
        <w:rPr>
          <w:i/>
          <w:lang w:val="en-US"/>
        </w:rPr>
        <w:t>E. coli – Escherichia coli</w:t>
      </w:r>
    </w:p>
    <w:p w14:paraId="5485CF77" w14:textId="77777777" w:rsidR="006D503D" w:rsidRPr="006D503D" w:rsidRDefault="006D503D" w:rsidP="006D503D">
      <w:pPr>
        <w:rPr>
          <w:i/>
          <w:lang w:val="en-US"/>
        </w:rPr>
      </w:pPr>
      <w:r w:rsidRPr="006D503D">
        <w:rPr>
          <w:i/>
          <w:lang w:val="en-US"/>
        </w:rPr>
        <w:lastRenderedPageBreak/>
        <w:t>K. neumonia – Klebsiella neumonia</w:t>
      </w:r>
    </w:p>
    <w:p w14:paraId="2C74EDC3" w14:textId="77777777" w:rsidR="006D503D" w:rsidRPr="006D503D" w:rsidRDefault="006D503D" w:rsidP="006D503D">
      <w:pPr>
        <w:rPr>
          <w:lang w:val="en-US"/>
        </w:rPr>
      </w:pPr>
      <w:r w:rsidRPr="006D503D">
        <w:rPr>
          <w:lang w:val="en-US"/>
        </w:rPr>
        <w:t xml:space="preserve">KPC – </w:t>
      </w:r>
      <w:r w:rsidRPr="006D503D">
        <w:rPr>
          <w:i/>
          <w:lang w:val="en-US"/>
        </w:rPr>
        <w:t>Klebsiella neumonia</w:t>
      </w:r>
      <w:r w:rsidRPr="006D503D">
        <w:rPr>
          <w:lang w:val="en-US"/>
        </w:rPr>
        <w:t xml:space="preserve"> carbapenemase</w:t>
      </w:r>
    </w:p>
    <w:p w14:paraId="1CD20A0A" w14:textId="77777777" w:rsidR="006D503D" w:rsidRPr="006D503D" w:rsidRDefault="006D503D" w:rsidP="006D503D">
      <w:pPr>
        <w:rPr>
          <w:i/>
          <w:lang w:val="en-US"/>
        </w:rPr>
      </w:pPr>
      <w:r w:rsidRPr="006D503D">
        <w:rPr>
          <w:i/>
          <w:lang w:val="en-US"/>
        </w:rPr>
        <w:t>L. pneumophila</w:t>
      </w:r>
      <w:r w:rsidRPr="006D503D">
        <w:rPr>
          <w:lang w:val="en-US"/>
        </w:rPr>
        <w:t xml:space="preserve"> – </w:t>
      </w:r>
      <w:r w:rsidRPr="006D503D">
        <w:rPr>
          <w:i/>
          <w:lang w:val="en-US"/>
        </w:rPr>
        <w:t>Legionella pneumophila</w:t>
      </w:r>
    </w:p>
    <w:p w14:paraId="40D7DDF3" w14:textId="77777777" w:rsidR="006D503D" w:rsidRPr="006D503D" w:rsidRDefault="006D503D" w:rsidP="006D503D">
      <w:pPr>
        <w:rPr>
          <w:i/>
          <w:lang w:val="en-US"/>
        </w:rPr>
      </w:pPr>
      <w:r w:rsidRPr="006D503D">
        <w:rPr>
          <w:i/>
          <w:lang w:val="en-US"/>
        </w:rPr>
        <w:t>L. monocytogenes – Listeria monocytogenes</w:t>
      </w:r>
    </w:p>
    <w:p w14:paraId="346A9596" w14:textId="77777777" w:rsidR="006D503D" w:rsidRPr="006D503D" w:rsidRDefault="006D503D" w:rsidP="006D503D">
      <w:pPr>
        <w:rPr>
          <w:lang w:val="en-US"/>
        </w:rPr>
      </w:pPr>
      <w:r w:rsidRPr="006D503D">
        <w:rPr>
          <w:lang w:val="en-US"/>
        </w:rPr>
        <w:t>mCIM – modified carbapenem inactivation method</w:t>
      </w:r>
    </w:p>
    <w:p w14:paraId="77F95AF4" w14:textId="77777777" w:rsidR="006D503D" w:rsidRPr="006D503D" w:rsidRDefault="006D503D" w:rsidP="006D503D">
      <w:pPr>
        <w:rPr>
          <w:i/>
          <w:lang w:val="en-US"/>
        </w:rPr>
      </w:pPr>
      <w:r w:rsidRPr="006D503D">
        <w:rPr>
          <w:i/>
          <w:lang w:val="en-US"/>
        </w:rPr>
        <w:t xml:space="preserve">M. </w:t>
      </w:r>
      <w:r>
        <w:rPr>
          <w:i/>
        </w:rPr>
        <w:pgNum/>
      </w:r>
      <w:r w:rsidRPr="006D503D">
        <w:rPr>
          <w:i/>
          <w:lang w:val="en-US"/>
        </w:rPr>
        <w:t xml:space="preserve">neumonia – Mycoplasma </w:t>
      </w:r>
      <w:r>
        <w:rPr>
          <w:i/>
        </w:rPr>
        <w:pgNum/>
      </w:r>
      <w:r w:rsidRPr="006D503D">
        <w:rPr>
          <w:i/>
          <w:lang w:val="en-US"/>
        </w:rPr>
        <w:t>neumonia</w:t>
      </w:r>
    </w:p>
    <w:p w14:paraId="34233D13" w14:textId="77777777" w:rsidR="006D503D" w:rsidRPr="006D503D" w:rsidRDefault="006D503D" w:rsidP="006D503D">
      <w:pPr>
        <w:rPr>
          <w:lang w:val="en-US"/>
        </w:rPr>
      </w:pPr>
      <w:r w:rsidRPr="006D503D">
        <w:rPr>
          <w:lang w:val="en-US"/>
        </w:rPr>
        <w:t>NDM – New Delhi metallo-</w:t>
      </w:r>
      <w:r w:rsidRPr="00761653">
        <w:t>β</w:t>
      </w:r>
      <w:r w:rsidRPr="006D503D">
        <w:rPr>
          <w:lang w:val="en-US"/>
        </w:rPr>
        <w:t>-lactamase</w:t>
      </w:r>
    </w:p>
    <w:p w14:paraId="46EAD419" w14:textId="77777777" w:rsidR="006D503D" w:rsidRPr="006D503D" w:rsidRDefault="006D503D" w:rsidP="006D503D">
      <w:pPr>
        <w:tabs>
          <w:tab w:val="center" w:pos="4890"/>
        </w:tabs>
        <w:rPr>
          <w:lang w:val="en-US"/>
        </w:rPr>
      </w:pPr>
      <w:r w:rsidRPr="006D503D">
        <w:rPr>
          <w:lang w:val="en-US"/>
        </w:rPr>
        <w:t>OXA-48 – oxacillinase-48</w:t>
      </w:r>
    </w:p>
    <w:p w14:paraId="39D7A6E3" w14:textId="77777777" w:rsidR="006D503D" w:rsidRPr="006D503D" w:rsidRDefault="006D503D" w:rsidP="006D503D">
      <w:pPr>
        <w:rPr>
          <w:i/>
          <w:lang w:val="en-US"/>
        </w:rPr>
      </w:pPr>
      <w:r w:rsidRPr="006D503D">
        <w:rPr>
          <w:i/>
          <w:lang w:val="en-US"/>
        </w:rPr>
        <w:t>P. jirovecii – Pneumocystis jirovecii</w:t>
      </w:r>
    </w:p>
    <w:p w14:paraId="212A2A35" w14:textId="77777777" w:rsidR="006D503D" w:rsidRPr="006D503D" w:rsidRDefault="006D503D" w:rsidP="006D503D">
      <w:pPr>
        <w:rPr>
          <w:i/>
          <w:lang w:val="en-US"/>
        </w:rPr>
      </w:pPr>
      <w:r w:rsidRPr="006D503D">
        <w:rPr>
          <w:i/>
          <w:lang w:val="en-US"/>
        </w:rPr>
        <w:t>S. aureus – Staphylococcus aureus</w:t>
      </w:r>
    </w:p>
    <w:p w14:paraId="69A201A0" w14:textId="77777777" w:rsidR="006D503D" w:rsidRPr="006D503D" w:rsidRDefault="006D503D" w:rsidP="006D503D">
      <w:pPr>
        <w:rPr>
          <w:i/>
          <w:lang w:val="en-US"/>
        </w:rPr>
      </w:pPr>
      <w:r w:rsidRPr="006D503D">
        <w:rPr>
          <w:i/>
          <w:lang w:val="en-US"/>
        </w:rPr>
        <w:t>S. maltophilia – Stenotrophomonas maltophilia</w:t>
      </w:r>
    </w:p>
    <w:p w14:paraId="3E8E4372" w14:textId="77777777" w:rsidR="006D503D" w:rsidRPr="000A6029" w:rsidRDefault="006D503D" w:rsidP="00CE6C1C">
      <w:pPr>
        <w:pStyle w:val="a6"/>
        <w:numPr>
          <w:ilvl w:val="0"/>
          <w:numId w:val="146"/>
        </w:numPr>
        <w:spacing w:before="0" w:after="0"/>
        <w:ind w:right="49"/>
        <w:rPr>
          <w:b/>
        </w:rPr>
      </w:pPr>
      <w:r w:rsidRPr="000A6029">
        <w:rPr>
          <w:b/>
        </w:rPr>
        <w:t>Общие сведения</w:t>
      </w:r>
    </w:p>
    <w:p w14:paraId="72BE4E0B" w14:textId="63A43BB6" w:rsidR="006D503D" w:rsidRDefault="006D503D" w:rsidP="006D503D">
      <w:pPr>
        <w:ind w:firstLine="709"/>
        <w:contextualSpacing/>
      </w:pPr>
      <w:r w:rsidRPr="00761653">
        <w:t xml:space="preserve">Инфекции являются ведущими осложнениями при лечении заболеваний системы крови. </w:t>
      </w:r>
      <w:r w:rsidR="000368F4">
        <w:t>Ч</w:t>
      </w:r>
      <w:r w:rsidRPr="00761653">
        <w:t xml:space="preserve">астота инфекционных осложнений варьирует от 10 до </w:t>
      </w:r>
      <w:r w:rsidR="000368F4">
        <w:t>70</w:t>
      </w:r>
      <w:r w:rsidRPr="00761653">
        <w:t xml:space="preserve">%, </w:t>
      </w:r>
      <w:r>
        <w:t xml:space="preserve">она </w:t>
      </w:r>
      <w:r w:rsidRPr="00761653">
        <w:t xml:space="preserve">выше в </w:t>
      </w:r>
      <w:r>
        <w:t xml:space="preserve">период </w:t>
      </w:r>
      <w:r w:rsidRPr="00761653">
        <w:t>индукции</w:t>
      </w:r>
      <w:r>
        <w:t xml:space="preserve"> ремиссии</w:t>
      </w:r>
      <w:r w:rsidRPr="00761653">
        <w:t>, при резистентном варианте опухоли, при высокодозной химиотерапии</w:t>
      </w:r>
      <w:r>
        <w:t xml:space="preserve">, </w:t>
      </w:r>
      <w:r w:rsidRPr="0076198F">
        <w:t>при сопуствующей гипогаммаглобулинемии, в период вынужденной гиподинамии и постоянного постельного режима</w:t>
      </w:r>
      <w:r w:rsidRPr="00761653">
        <w:t xml:space="preserve">.  </w:t>
      </w:r>
    </w:p>
    <w:p w14:paraId="09C4EFD7" w14:textId="0157D37C" w:rsidR="006D503D" w:rsidRPr="00761653" w:rsidRDefault="006D503D" w:rsidP="006D503D">
      <w:pPr>
        <w:ind w:firstLine="708"/>
      </w:pPr>
      <w:r w:rsidRPr="00761653">
        <w:t xml:space="preserve">Инфекционные осложнения у </w:t>
      </w:r>
      <w:r w:rsidR="000368F4">
        <w:t xml:space="preserve">больных множественной миеломой </w:t>
      </w:r>
      <w:r w:rsidRPr="00761653">
        <w:t xml:space="preserve">характеризуются разнообразием как по этиологии, так и по локализации инфекционного процесса. </w:t>
      </w:r>
      <w:r>
        <w:t>В методическом</w:t>
      </w:r>
      <w:r w:rsidRPr="00761653">
        <w:t xml:space="preserve"> р</w:t>
      </w:r>
      <w:r>
        <w:t>уководстве</w:t>
      </w:r>
      <w:r w:rsidRPr="00761653">
        <w:t xml:space="preserve"> представлен комплекс лабораторных исследований для диагностики инфекционных осложнений, а также подходы к терапии, которые отличаются от тактики лечения у пациентов вне нейтропении.</w:t>
      </w:r>
    </w:p>
    <w:p w14:paraId="6331B789" w14:textId="2CA16C5A" w:rsidR="006D503D" w:rsidRPr="000A6029" w:rsidRDefault="006D503D" w:rsidP="00CE6C1C">
      <w:pPr>
        <w:pStyle w:val="a6"/>
        <w:numPr>
          <w:ilvl w:val="0"/>
          <w:numId w:val="146"/>
        </w:numPr>
        <w:spacing w:before="0" w:after="0"/>
        <w:ind w:right="49"/>
        <w:rPr>
          <w:b/>
        </w:rPr>
      </w:pPr>
      <w:r w:rsidRPr="000A6029">
        <w:rPr>
          <w:b/>
        </w:rPr>
        <w:t>Факторы риска развити</w:t>
      </w:r>
      <w:r>
        <w:rPr>
          <w:b/>
        </w:rPr>
        <w:t>я</w:t>
      </w:r>
      <w:r w:rsidRPr="000A6029">
        <w:rPr>
          <w:b/>
        </w:rPr>
        <w:t xml:space="preserve"> инфекционных осложнений</w:t>
      </w:r>
      <w:r>
        <w:rPr>
          <w:b/>
        </w:rPr>
        <w:t xml:space="preserve"> </w:t>
      </w:r>
      <w:r w:rsidRPr="00717777">
        <w:rPr>
          <w:b/>
          <w:highlight w:val="red"/>
        </w:rPr>
        <w:t>у</w:t>
      </w:r>
      <w:r w:rsidR="00717777">
        <w:rPr>
          <w:b/>
        </w:rPr>
        <w:t xml:space="preserve"> </w:t>
      </w:r>
      <w:r>
        <w:rPr>
          <w:b/>
        </w:rPr>
        <w:t>гематологических пациентов</w:t>
      </w:r>
    </w:p>
    <w:p w14:paraId="055AF7F6" w14:textId="4F773E64" w:rsidR="006D503D" w:rsidRPr="00761653" w:rsidRDefault="006D503D" w:rsidP="006D503D">
      <w:pPr>
        <w:widowControl w:val="0"/>
        <w:autoSpaceDE w:val="0"/>
        <w:autoSpaceDN w:val="0"/>
        <w:adjustRightInd w:val="0"/>
        <w:ind w:right="49" w:firstLine="709"/>
        <w:contextualSpacing/>
      </w:pPr>
      <w:r w:rsidRPr="00761653">
        <w:t xml:space="preserve">Основным фактором, определяющим развитие инфекционных осложнений у </w:t>
      </w:r>
      <w:r>
        <w:t xml:space="preserve">гематологических пациентов, </w:t>
      </w:r>
      <w:r w:rsidRPr="00761653">
        <w:t>является нейтропения (нейтрофил</w:t>
      </w:r>
      <w:r>
        <w:t>ы</w:t>
      </w:r>
      <w:r w:rsidRPr="00761653">
        <w:t xml:space="preserve"> &lt;</w:t>
      </w:r>
      <w:r>
        <w:t xml:space="preserve"> </w:t>
      </w:r>
      <w:r w:rsidRPr="00761653">
        <w:t>0,5х10</w:t>
      </w:r>
      <w:r w:rsidRPr="00761653">
        <w:rPr>
          <w:vertAlign w:val="superscript"/>
        </w:rPr>
        <w:t>9</w:t>
      </w:r>
      <w:r w:rsidRPr="00761653">
        <w:t>/л) или лейкопения (лейкоцит</w:t>
      </w:r>
      <w:r>
        <w:t>ы</w:t>
      </w:r>
      <w:r w:rsidRPr="00761653">
        <w:t xml:space="preserve"> ≤ 1,000х10</w:t>
      </w:r>
      <w:r w:rsidRPr="00761653">
        <w:rPr>
          <w:vertAlign w:val="superscript"/>
        </w:rPr>
        <w:t>9</w:t>
      </w:r>
      <w:r w:rsidRPr="00761653">
        <w:t>/л). Важными параметрами являются число нейтрофилов, темп их снижения</w:t>
      </w:r>
      <w:r>
        <w:t xml:space="preserve">, </w:t>
      </w:r>
      <w:r w:rsidRPr="00761653">
        <w:t>длительность</w:t>
      </w:r>
      <w:r>
        <w:t xml:space="preserve"> нейтропении.</w:t>
      </w:r>
      <w:r w:rsidRPr="00761653">
        <w:t xml:space="preserve"> Частота инфекций существенно возрастает при длительности нейтропении </w:t>
      </w:r>
      <w:r>
        <w:t>более</w:t>
      </w:r>
      <w:r w:rsidRPr="00761653">
        <w:t xml:space="preserve"> 10 дней. Риск развития инфекций возрастает при нарушении фагоцитарной функции</w:t>
      </w:r>
      <w:r>
        <w:t xml:space="preserve"> нейтрофилов</w:t>
      </w:r>
      <w:r w:rsidRPr="00761653">
        <w:t xml:space="preserve">, при дефектах </w:t>
      </w:r>
      <w:r w:rsidRPr="00761653">
        <w:lastRenderedPageBreak/>
        <w:t>клеточного и гуморального иммунитета, повреждении слизистых оболочек желудочно-кишечного тракта</w:t>
      </w:r>
      <w:r>
        <w:t xml:space="preserve"> (</w:t>
      </w:r>
      <w:r w:rsidRPr="00761653">
        <w:t>особенно мукозитах III-IV степени</w:t>
      </w:r>
      <w:r>
        <w:t>)</w:t>
      </w:r>
      <w:r w:rsidRPr="00761653">
        <w:t xml:space="preserve">, наличии </w:t>
      </w:r>
      <w:r w:rsidR="00717777">
        <w:t xml:space="preserve"> </w:t>
      </w:r>
      <w:r w:rsidRPr="00761653">
        <w:t>центрального венозного катетера (ЦВК). Источником развити</w:t>
      </w:r>
      <w:r>
        <w:t>я</w:t>
      </w:r>
      <w:r w:rsidRPr="00761653">
        <w:t xml:space="preserve"> инфекции, как правило, является желудочно-кишечный тракт, когда активно происходит транслокация микрооргани</w:t>
      </w:r>
      <w:r>
        <w:t>з</w:t>
      </w:r>
      <w:r w:rsidRPr="00761653">
        <w:t xml:space="preserve">мов со слизистой оболочки, поврежденной в результате химиотерапии. Другие </w:t>
      </w:r>
      <w:r>
        <w:t xml:space="preserve">основные </w:t>
      </w:r>
      <w:r w:rsidRPr="00761653">
        <w:t xml:space="preserve">входные ворота инфекции при нейтропении – ЦВК. </w:t>
      </w:r>
    </w:p>
    <w:p w14:paraId="0DE74F25" w14:textId="77777777" w:rsidR="006D503D" w:rsidRPr="000A6029" w:rsidRDefault="006D503D" w:rsidP="00CE6C1C">
      <w:pPr>
        <w:pStyle w:val="a6"/>
        <w:widowControl w:val="0"/>
        <w:numPr>
          <w:ilvl w:val="0"/>
          <w:numId w:val="146"/>
        </w:numPr>
        <w:autoSpaceDE w:val="0"/>
        <w:autoSpaceDN w:val="0"/>
        <w:adjustRightInd w:val="0"/>
        <w:spacing w:before="0" w:after="0"/>
        <w:ind w:right="49"/>
        <w:rPr>
          <w:b/>
        </w:rPr>
      </w:pPr>
      <w:r w:rsidRPr="000A6029">
        <w:rPr>
          <w:b/>
        </w:rPr>
        <w:t>Этиология инфекционных осложнений</w:t>
      </w:r>
    </w:p>
    <w:p w14:paraId="7DD3E972" w14:textId="77777777" w:rsidR="006D503D" w:rsidRPr="00761653" w:rsidRDefault="006D503D" w:rsidP="006D503D">
      <w:pPr>
        <w:widowControl w:val="0"/>
        <w:autoSpaceDE w:val="0"/>
        <w:autoSpaceDN w:val="0"/>
        <w:adjustRightInd w:val="0"/>
        <w:ind w:right="49" w:firstLine="709"/>
        <w:contextualSpacing/>
      </w:pPr>
      <w:r w:rsidRPr="00761653">
        <w:t xml:space="preserve">Этиологическая структура возбудителей у </w:t>
      </w:r>
      <w:r>
        <w:t>гематологических пациентов</w:t>
      </w:r>
      <w:r w:rsidRPr="00761653">
        <w:t xml:space="preserve"> </w:t>
      </w:r>
      <w:r>
        <w:t>разнообразна</w:t>
      </w:r>
      <w:r w:rsidRPr="00761653">
        <w:t xml:space="preserve"> и включает бактерии, грибы (дрожжевые и плесневые), герпесвирусы. В первые 7-10 дней инфекционный процесс, как правило, бывает обусловлен бактериями, а по мере удлинения нейтропении возрастает риск возникновения инвазивного аспергиллеза [</w:t>
      </w:r>
      <w:r>
        <w:t>1</w:t>
      </w:r>
      <w:r w:rsidRPr="00761653">
        <w:t>]. В этиологии инфекций кровотока на долю грамотрицательных бактерий приходится 49,7%, грамположительных бактерий - 42,7%, дрожжеподобных грибов – 7,4% [</w:t>
      </w:r>
      <w:r w:rsidRPr="0076198F">
        <w:t>3</w:t>
      </w:r>
      <w:r w:rsidRPr="00761653">
        <w:t xml:space="preserve">]. Основными возбудителями сепсиса являются </w:t>
      </w:r>
      <w:r w:rsidRPr="00761653">
        <w:rPr>
          <w:i/>
          <w:iCs/>
        </w:rPr>
        <w:t>Escherichia coli</w:t>
      </w:r>
      <w:r w:rsidRPr="00761653">
        <w:t xml:space="preserve"> (17,8%), коагулазонегативные стафилококки (17,4%), </w:t>
      </w:r>
      <w:r w:rsidRPr="00761653">
        <w:rPr>
          <w:i/>
          <w:iCs/>
        </w:rPr>
        <w:t>Enterococcus</w:t>
      </w:r>
      <w:r w:rsidRPr="00761653">
        <w:t xml:space="preserve"> spp. (10,3%), </w:t>
      </w:r>
      <w:r w:rsidRPr="00761653">
        <w:rPr>
          <w:i/>
          <w:iCs/>
        </w:rPr>
        <w:t>Pseudomonas aeruginosa</w:t>
      </w:r>
      <w:r w:rsidRPr="00761653">
        <w:t xml:space="preserve"> (7,6%), </w:t>
      </w:r>
      <w:r w:rsidRPr="00761653">
        <w:rPr>
          <w:i/>
          <w:iCs/>
        </w:rPr>
        <w:t>Klebsiella pneumoniae</w:t>
      </w:r>
      <w:r w:rsidRPr="00761653">
        <w:t xml:space="preserve"> (8,2%). В последние годы увеличилась детекция </w:t>
      </w:r>
      <w:r w:rsidRPr="00761653">
        <w:rPr>
          <w:i/>
          <w:iCs/>
        </w:rPr>
        <w:t>Acinetobacte</w:t>
      </w:r>
      <w:r w:rsidRPr="00761653">
        <w:rPr>
          <w:i/>
        </w:rPr>
        <w:t>r</w:t>
      </w:r>
      <w:r w:rsidRPr="00761653">
        <w:t xml:space="preserve"> spp. и </w:t>
      </w:r>
      <w:r w:rsidRPr="00761653">
        <w:rPr>
          <w:i/>
          <w:iCs/>
        </w:rPr>
        <w:t>Stenotrophomonas maltophilia</w:t>
      </w:r>
      <w:r w:rsidRPr="00761653">
        <w:t xml:space="preserve">, и они входят в число пяти ведущих грамотрицательных бактерий при инфекциях кровотока после </w:t>
      </w:r>
      <w:r w:rsidRPr="00761653">
        <w:rPr>
          <w:i/>
          <w:iCs/>
        </w:rPr>
        <w:t>E.coli</w:t>
      </w:r>
      <w:r w:rsidRPr="00761653">
        <w:t xml:space="preserve">, </w:t>
      </w:r>
      <w:r w:rsidRPr="00761653">
        <w:rPr>
          <w:i/>
          <w:iCs/>
        </w:rPr>
        <w:t>K. pneumoniae, P.aeruginosa</w:t>
      </w:r>
      <w:r w:rsidRPr="00761653">
        <w:t>.</w:t>
      </w:r>
    </w:p>
    <w:p w14:paraId="45AFC4A8" w14:textId="77777777" w:rsidR="006D503D" w:rsidRPr="00761653" w:rsidRDefault="006D503D" w:rsidP="006D503D">
      <w:pPr>
        <w:widowControl w:val="0"/>
        <w:autoSpaceDE w:val="0"/>
        <w:autoSpaceDN w:val="0"/>
        <w:adjustRightInd w:val="0"/>
        <w:ind w:right="49" w:firstLine="709"/>
        <w:contextualSpacing/>
      </w:pPr>
      <w:r w:rsidRPr="00761653">
        <w:t>Основными механизмами устойчивости у энтеробактерий являются продукция бета-лактамаз расширенного спектра (БЛРС</w:t>
      </w:r>
      <w:r>
        <w:t>) –</w:t>
      </w:r>
      <w:r w:rsidRPr="00761653">
        <w:t xml:space="preserve"> </w:t>
      </w:r>
      <w:r>
        <w:t xml:space="preserve">в </w:t>
      </w:r>
      <w:r w:rsidRPr="00761653">
        <w:t xml:space="preserve">40-50% </w:t>
      </w:r>
      <w:r>
        <w:t xml:space="preserve">случаев, </w:t>
      </w:r>
      <w:r w:rsidRPr="00761653">
        <w:t xml:space="preserve">и детекция карбапенемаз, преимущественно у </w:t>
      </w:r>
      <w:r w:rsidRPr="00761653">
        <w:rPr>
          <w:i/>
        </w:rPr>
        <w:t xml:space="preserve">K. pneumoniae </w:t>
      </w:r>
      <w:r w:rsidRPr="00761653">
        <w:t xml:space="preserve">(10-30%). Устойчивость </w:t>
      </w:r>
      <w:r w:rsidRPr="00761653">
        <w:rPr>
          <w:i/>
        </w:rPr>
        <w:t>P. aerugino</w:t>
      </w:r>
      <w:r w:rsidRPr="00761653">
        <w:t xml:space="preserve">sa составляет к карбапенемам и колистину 40-50% и 29%, соответственно, шатммов </w:t>
      </w:r>
      <w:r w:rsidRPr="00761653">
        <w:rPr>
          <w:i/>
        </w:rPr>
        <w:t>Acinetobacter baumannii</w:t>
      </w:r>
      <w:r w:rsidRPr="00761653">
        <w:t xml:space="preserve"> к карбапенемам - 65-70% [4]. Среди грамположительных бактерий отмечена устойчивость </w:t>
      </w:r>
      <w:r w:rsidRPr="00761653">
        <w:rPr>
          <w:i/>
          <w:iCs/>
        </w:rPr>
        <w:t xml:space="preserve">Enterococcus faecium </w:t>
      </w:r>
      <w:r w:rsidRPr="00761653">
        <w:t xml:space="preserve">к ванкомицину (15%) [Клясова 2018]. Для грибов рода </w:t>
      </w:r>
      <w:r w:rsidRPr="00761653">
        <w:rPr>
          <w:i/>
        </w:rPr>
        <w:t>Candida</w:t>
      </w:r>
      <w:r w:rsidRPr="00761653">
        <w:t xml:space="preserve"> характерно снижение доли </w:t>
      </w:r>
      <w:r w:rsidRPr="00761653">
        <w:rPr>
          <w:i/>
        </w:rPr>
        <w:t>С. albicans</w:t>
      </w:r>
      <w:r w:rsidRPr="00761653">
        <w:t xml:space="preserve"> до 30% и широкое видовое разнообразие </w:t>
      </w:r>
      <w:r w:rsidRPr="00761653">
        <w:rPr>
          <w:i/>
          <w:iCs/>
        </w:rPr>
        <w:t>Candida</w:t>
      </w:r>
      <w:r w:rsidRPr="00761653">
        <w:t xml:space="preserve"> non-</w:t>
      </w:r>
      <w:r w:rsidRPr="00761653">
        <w:rPr>
          <w:i/>
          <w:iCs/>
        </w:rPr>
        <w:t>albicans</w:t>
      </w:r>
      <w:r w:rsidRPr="00761653">
        <w:t>. [3]</w:t>
      </w:r>
    </w:p>
    <w:p w14:paraId="03183FD2" w14:textId="77777777" w:rsidR="006D503D" w:rsidRPr="000A6029" w:rsidRDefault="006D503D" w:rsidP="00CE6C1C">
      <w:pPr>
        <w:pStyle w:val="a6"/>
        <w:widowControl w:val="0"/>
        <w:numPr>
          <w:ilvl w:val="0"/>
          <w:numId w:val="146"/>
        </w:numPr>
        <w:autoSpaceDE w:val="0"/>
        <w:autoSpaceDN w:val="0"/>
        <w:adjustRightInd w:val="0"/>
        <w:spacing w:before="0" w:after="0"/>
        <w:ind w:right="49"/>
        <w:rPr>
          <w:b/>
        </w:rPr>
      </w:pPr>
      <w:r w:rsidRPr="000A6029">
        <w:rPr>
          <w:b/>
        </w:rPr>
        <w:t>Клинические проявления инфекций</w:t>
      </w:r>
    </w:p>
    <w:p w14:paraId="54550626" w14:textId="77777777" w:rsidR="006D503D" w:rsidRDefault="006D503D" w:rsidP="006D503D">
      <w:pPr>
        <w:widowControl w:val="0"/>
        <w:autoSpaceDE w:val="0"/>
        <w:autoSpaceDN w:val="0"/>
        <w:adjustRightInd w:val="0"/>
        <w:ind w:right="49" w:firstLine="709"/>
        <w:contextualSpacing/>
      </w:pPr>
      <w:r w:rsidRPr="00761653">
        <w:t xml:space="preserve">Для инфекций периода нейтропении/лейкопении характерными признаками являются </w:t>
      </w:r>
    </w:p>
    <w:p w14:paraId="5CD9B5C0" w14:textId="77777777" w:rsidR="006D503D" w:rsidRDefault="006D503D" w:rsidP="00CE6C1C">
      <w:pPr>
        <w:pStyle w:val="a6"/>
        <w:widowControl w:val="0"/>
        <w:numPr>
          <w:ilvl w:val="0"/>
          <w:numId w:val="134"/>
        </w:numPr>
        <w:autoSpaceDE w:val="0"/>
        <w:autoSpaceDN w:val="0"/>
        <w:adjustRightInd w:val="0"/>
        <w:spacing w:before="0" w:after="0"/>
        <w:ind w:right="49"/>
      </w:pPr>
      <w:r w:rsidRPr="00940E71">
        <w:t xml:space="preserve">скудность </w:t>
      </w:r>
      <w:r>
        <w:t xml:space="preserve">клинических проявлений; </w:t>
      </w:r>
    </w:p>
    <w:p w14:paraId="271E5E58" w14:textId="77777777" w:rsidR="006D503D" w:rsidRDefault="006D503D" w:rsidP="00CE6C1C">
      <w:pPr>
        <w:pStyle w:val="a6"/>
        <w:widowControl w:val="0"/>
        <w:numPr>
          <w:ilvl w:val="0"/>
          <w:numId w:val="134"/>
        </w:numPr>
        <w:autoSpaceDE w:val="0"/>
        <w:autoSpaceDN w:val="0"/>
        <w:adjustRightInd w:val="0"/>
        <w:spacing w:before="0" w:after="0"/>
        <w:ind w:right="49"/>
      </w:pPr>
      <w:r w:rsidRPr="00940E71">
        <w:t xml:space="preserve">вероятность наличия одновременно разных возбудителей и разной </w:t>
      </w:r>
      <w:r w:rsidRPr="00940E71">
        <w:lastRenderedPageBreak/>
        <w:t>локал</w:t>
      </w:r>
      <w:r>
        <w:t xml:space="preserve">изации инфекционного процесса; </w:t>
      </w:r>
    </w:p>
    <w:p w14:paraId="53161668" w14:textId="77777777" w:rsidR="006D503D" w:rsidRPr="00940E71" w:rsidRDefault="006D503D" w:rsidP="00CE6C1C">
      <w:pPr>
        <w:pStyle w:val="a6"/>
        <w:widowControl w:val="0"/>
        <w:numPr>
          <w:ilvl w:val="0"/>
          <w:numId w:val="134"/>
        </w:numPr>
        <w:autoSpaceDE w:val="0"/>
        <w:autoSpaceDN w:val="0"/>
        <w:adjustRightInd w:val="0"/>
        <w:spacing w:before="0" w:after="0"/>
        <w:ind w:right="49"/>
      </w:pPr>
      <w:r w:rsidRPr="00940E71">
        <w:t xml:space="preserve">возможность появления других возбудителей и другого по локализации инфекционного процесса по мере удлинения </w:t>
      </w:r>
      <w:r>
        <w:t xml:space="preserve">периода </w:t>
      </w:r>
      <w:r w:rsidRPr="00940E71">
        <w:t xml:space="preserve">нейтропении. </w:t>
      </w:r>
    </w:p>
    <w:p w14:paraId="116675B7" w14:textId="77777777" w:rsidR="006D503D" w:rsidRPr="00761653" w:rsidRDefault="006D503D" w:rsidP="006D503D">
      <w:pPr>
        <w:widowControl w:val="0"/>
        <w:autoSpaceDE w:val="0"/>
        <w:autoSpaceDN w:val="0"/>
        <w:adjustRightInd w:val="0"/>
        <w:ind w:right="49" w:firstLine="709"/>
        <w:contextualSpacing/>
      </w:pPr>
      <w:r w:rsidRPr="00761653">
        <w:t>Под лихорадкой подразумевают однократно зарегистрированное повышение температуры тела ≥38,0°С, не связанное с другими причинами</w:t>
      </w:r>
      <w:r>
        <w:t xml:space="preserve"> (</w:t>
      </w:r>
      <w:r w:rsidRPr="00761653">
        <w:t>реакции на трансфузии компонентов крови</w:t>
      </w:r>
      <w:r>
        <w:t xml:space="preserve">, на </w:t>
      </w:r>
      <w:r w:rsidRPr="00761653">
        <w:t>вводимы</w:t>
      </w:r>
      <w:r>
        <w:t>е</w:t>
      </w:r>
      <w:r w:rsidRPr="00761653">
        <w:t xml:space="preserve"> медикамент</w:t>
      </w:r>
      <w:r>
        <w:t>ы</w:t>
      </w:r>
      <w:r w:rsidRPr="00761653">
        <w:t>, опухолевая лихоракдка</w:t>
      </w:r>
      <w:r>
        <w:t>)</w:t>
      </w:r>
      <w:r w:rsidRPr="00761653">
        <w:t>.</w:t>
      </w:r>
    </w:p>
    <w:p w14:paraId="5384D324" w14:textId="77777777" w:rsidR="00BF079B" w:rsidRDefault="006D503D" w:rsidP="00BF079B">
      <w:pPr>
        <w:widowControl w:val="0"/>
        <w:autoSpaceDE w:val="0"/>
        <w:autoSpaceDN w:val="0"/>
        <w:adjustRightInd w:val="0"/>
        <w:ind w:right="49" w:firstLine="709"/>
        <w:contextualSpacing/>
      </w:pPr>
      <w:r w:rsidRPr="00761653">
        <w:t xml:space="preserve">Существует обобщающий термин “фебрильная нейтропения”, включающий все случаи фебрильной температуры у </w:t>
      </w:r>
      <w:r>
        <w:t>пациентов</w:t>
      </w:r>
      <w:r w:rsidRPr="00761653">
        <w:t xml:space="preserve"> с нейтропенией/лейкопенией. В 90-ые годы наиболее частым проявлением фебрильной нейтропении (≈ 50% случаев) являлась лихорадка неясной этиологии, к которой относят только повышение температуры без каких-либо других проявлений инфекции в период нейтропении [5]. Реже встречались клинически и микробиологически доказанные инфекции. К клинически доказанным относят случаи инфекции, которые удается верифицировать с помощью физикальных или инструментальных методов диагностики при отсутствии микробиологического подтверждения. Наиболее частыми проявлениями клинически дока</w:t>
      </w:r>
      <w:r>
        <w:t>занных инфекций</w:t>
      </w:r>
      <w:r w:rsidRPr="00761653">
        <w:t xml:space="preserve"> являются пневмония, инфекция мягких тканей, инфекция промежности</w:t>
      </w:r>
      <w:r>
        <w:t xml:space="preserve"> (в т.ч. парапроктит)</w:t>
      </w:r>
      <w:r w:rsidRPr="00761653">
        <w:t xml:space="preserve">. Микробиологическим подтверждением инфекции в период гранулоцитопении в большинстве случаев является выделение микроорганизмов из гемокультуры. В последнее время возможности диагностики инфекционных осложнений существенно расширились как за счет внедрения новых и совершенствования ранее используемых методов, так и сокращения времени исследования благодаря введению в лабораторную практику автоматических анализаторов и новых технологий для идентификации микроорганизмов. </w:t>
      </w:r>
    </w:p>
    <w:p w14:paraId="0884ADE9" w14:textId="29A4E505" w:rsidR="006D503D" w:rsidRPr="000A6029" w:rsidRDefault="006D503D" w:rsidP="00BF079B">
      <w:pPr>
        <w:widowControl w:val="0"/>
        <w:autoSpaceDE w:val="0"/>
        <w:autoSpaceDN w:val="0"/>
        <w:adjustRightInd w:val="0"/>
        <w:ind w:right="49" w:firstLine="709"/>
        <w:contextualSpacing/>
        <w:rPr>
          <w:b/>
        </w:rPr>
      </w:pPr>
      <w:r w:rsidRPr="000A6029">
        <w:rPr>
          <w:b/>
        </w:rPr>
        <w:t>Диагностика инфекционных осложнений.</w:t>
      </w:r>
    </w:p>
    <w:p w14:paraId="65106D9A" w14:textId="77777777" w:rsidR="006D503D" w:rsidRPr="0076198F" w:rsidRDefault="006D503D" w:rsidP="00BF079B">
      <w:pPr>
        <w:tabs>
          <w:tab w:val="left" w:pos="0"/>
          <w:tab w:val="left" w:pos="567"/>
        </w:tabs>
        <w:spacing w:before="0" w:after="0"/>
        <w:ind w:firstLine="709"/>
      </w:pPr>
      <w:r w:rsidRPr="0076198F">
        <w:t xml:space="preserve">Во всех случаях </w:t>
      </w:r>
      <w:r>
        <w:t xml:space="preserve">вероятного или установленного </w:t>
      </w:r>
      <w:r w:rsidRPr="0076198F">
        <w:t>инфекционного процесса следует активно проводить диагностику, направленную на выявление, как очагов инфекции, так и этиологических агентов.</w:t>
      </w:r>
    </w:p>
    <w:p w14:paraId="4249A25C" w14:textId="77777777" w:rsidR="006D503D" w:rsidRPr="0076198F" w:rsidRDefault="006D503D" w:rsidP="00BF079B">
      <w:pPr>
        <w:tabs>
          <w:tab w:val="left" w:pos="0"/>
          <w:tab w:val="left" w:pos="567"/>
        </w:tabs>
        <w:spacing w:before="0" w:after="0"/>
        <w:ind w:firstLine="709"/>
      </w:pPr>
      <w:r w:rsidRPr="0076198F">
        <w:t xml:space="preserve">При подозрении на инфекцию образцы клинического материала от </w:t>
      </w:r>
      <w:r>
        <w:t>пациента</w:t>
      </w:r>
      <w:r w:rsidRPr="0076198F">
        <w:t xml:space="preserve"> должны быть взяты незамедлительно. </w:t>
      </w:r>
      <w:r>
        <w:t>Необходимо</w:t>
      </w:r>
      <w:r w:rsidRPr="0076198F">
        <w:t xml:space="preserve"> пристально</w:t>
      </w:r>
      <w:r>
        <w:t>е</w:t>
      </w:r>
      <w:r w:rsidRPr="0076198F">
        <w:t xml:space="preserve"> внимания и проведени</w:t>
      </w:r>
      <w:r>
        <w:t>е</w:t>
      </w:r>
      <w:r w:rsidRPr="0076198F">
        <w:t xml:space="preserve"> тщательных микробиологических исследований у </w:t>
      </w:r>
      <w:r>
        <w:t>пациентов</w:t>
      </w:r>
      <w:r w:rsidRPr="0076198F">
        <w:t>, принимающих глюкокортико</w:t>
      </w:r>
      <w:r>
        <w:t>стероиды, и у лиц пожилого возраста, так как у</w:t>
      </w:r>
      <w:r w:rsidRPr="0076198F">
        <w:t xml:space="preserve"> этой группы пациентов у 70% тяжелобольных в возрасте </w:t>
      </w:r>
      <w:r>
        <w:t>старше</w:t>
      </w:r>
      <w:r w:rsidRPr="0076198F">
        <w:t xml:space="preserve"> 66 лет септицемия может протекать </w:t>
      </w:r>
      <w:r>
        <w:t xml:space="preserve">с нормотермией или умеренным </w:t>
      </w:r>
      <w:r w:rsidRPr="0076198F">
        <w:t>субфебрил</w:t>
      </w:r>
      <w:r>
        <w:t>итетом</w:t>
      </w:r>
      <w:r w:rsidRPr="0076198F">
        <w:t xml:space="preserve">. </w:t>
      </w:r>
    </w:p>
    <w:p w14:paraId="1DE66F1A" w14:textId="77777777" w:rsidR="006D503D" w:rsidRPr="000A6029" w:rsidRDefault="006D503D" w:rsidP="006D503D">
      <w:pPr>
        <w:tabs>
          <w:tab w:val="left" w:pos="0"/>
          <w:tab w:val="left" w:pos="567"/>
        </w:tabs>
        <w:rPr>
          <w:b/>
        </w:rPr>
      </w:pPr>
      <w:r w:rsidRPr="000A6029">
        <w:rPr>
          <w:b/>
        </w:rPr>
        <w:lastRenderedPageBreak/>
        <w:tab/>
      </w:r>
      <w:r>
        <w:rPr>
          <w:b/>
        </w:rPr>
        <w:t xml:space="preserve">5.1 </w:t>
      </w:r>
      <w:r w:rsidRPr="000A6029">
        <w:rPr>
          <w:b/>
        </w:rPr>
        <w:t>Ежедневный осмотр пациента</w:t>
      </w:r>
    </w:p>
    <w:p w14:paraId="2C40FD75" w14:textId="77777777" w:rsidR="006D503D" w:rsidRPr="0076198F" w:rsidRDefault="006D503D" w:rsidP="006D503D">
      <w:pPr>
        <w:tabs>
          <w:tab w:val="left" w:pos="0"/>
          <w:tab w:val="left" w:pos="567"/>
        </w:tabs>
        <w:ind w:firstLine="709"/>
      </w:pPr>
      <w:r w:rsidRPr="0076198F">
        <w:t xml:space="preserve">При нейтропении ежедневно проводят тщательный осмотр пациента, который наряду с обычными терапевтическими стандартами обследования </w:t>
      </w:r>
      <w:r>
        <w:t>включает следующие подходы:</w:t>
      </w:r>
      <w:r w:rsidRPr="0076198F">
        <w:t xml:space="preserve"> </w:t>
      </w:r>
    </w:p>
    <w:p w14:paraId="54483025" w14:textId="77777777" w:rsidR="006D503D" w:rsidRPr="0076198F" w:rsidRDefault="006D503D" w:rsidP="00CE6C1C">
      <w:pPr>
        <w:numPr>
          <w:ilvl w:val="0"/>
          <w:numId w:val="145"/>
        </w:numPr>
        <w:tabs>
          <w:tab w:val="left" w:pos="0"/>
          <w:tab w:val="left" w:pos="567"/>
        </w:tabs>
        <w:spacing w:before="0" w:after="0"/>
        <w:ind w:left="0" w:firstLine="0"/>
      </w:pPr>
      <w:r w:rsidRPr="0076198F">
        <w:t>Активный опрос больного относительно возможных симптомов инфекции, включая наличие болей по ходу пищевода, в промежности.</w:t>
      </w:r>
    </w:p>
    <w:p w14:paraId="706BCF95" w14:textId="77777777" w:rsidR="006D503D" w:rsidRPr="0076198F" w:rsidRDefault="006D503D" w:rsidP="00CE6C1C">
      <w:pPr>
        <w:numPr>
          <w:ilvl w:val="0"/>
          <w:numId w:val="145"/>
        </w:numPr>
        <w:tabs>
          <w:tab w:val="left" w:pos="0"/>
          <w:tab w:val="left" w:pos="567"/>
        </w:tabs>
        <w:spacing w:before="0" w:after="0"/>
        <w:ind w:left="0" w:firstLine="0"/>
      </w:pPr>
      <w:r w:rsidRPr="0076198F">
        <w:t>Ежедневный осмотр слизистой оболочки полости рта при нейтропении, особенно периодонта. Обращают внимание на рыхлость, отек слизистой оболочки (мукозит), наличие налетов, язв.</w:t>
      </w:r>
    </w:p>
    <w:p w14:paraId="730786A7" w14:textId="77777777" w:rsidR="006D503D" w:rsidRPr="0076198F" w:rsidRDefault="006D503D" w:rsidP="00CE6C1C">
      <w:pPr>
        <w:numPr>
          <w:ilvl w:val="0"/>
          <w:numId w:val="145"/>
        </w:numPr>
        <w:tabs>
          <w:tab w:val="left" w:pos="0"/>
          <w:tab w:val="left" w:pos="567"/>
        </w:tabs>
        <w:spacing w:before="0" w:after="0"/>
        <w:ind w:left="0" w:firstLine="0"/>
      </w:pPr>
      <w:r w:rsidRPr="0076198F">
        <w:t>Осмотр кожи в отношении возможного появления септикопиемических очагов при лихорадке, даже в отсутствие жалоб</w:t>
      </w:r>
      <w:r>
        <w:t xml:space="preserve"> (п</w:t>
      </w:r>
      <w:r w:rsidRPr="0076198F">
        <w:t>ри лечении глюкокортико</w:t>
      </w:r>
      <w:r>
        <w:t>стеро</w:t>
      </w:r>
      <w:r w:rsidRPr="0076198F">
        <w:t>идами септикопиемические очаги могут быть при нормальной температуре</w:t>
      </w:r>
      <w:r>
        <w:t xml:space="preserve"> тела)</w:t>
      </w:r>
      <w:r w:rsidRPr="0076198F">
        <w:t>.</w:t>
      </w:r>
    </w:p>
    <w:p w14:paraId="02C5BAB8" w14:textId="77777777" w:rsidR="006D503D" w:rsidRPr="0076198F" w:rsidRDefault="006D503D" w:rsidP="00CE6C1C">
      <w:pPr>
        <w:numPr>
          <w:ilvl w:val="0"/>
          <w:numId w:val="145"/>
        </w:numPr>
        <w:tabs>
          <w:tab w:val="left" w:pos="0"/>
          <w:tab w:val="left" w:pos="567"/>
        </w:tabs>
        <w:spacing w:before="0" w:after="0"/>
        <w:ind w:left="0" w:firstLine="0"/>
      </w:pPr>
      <w:r w:rsidRPr="0076198F">
        <w:t xml:space="preserve">Осмотр места установки венозного катетера. </w:t>
      </w:r>
    </w:p>
    <w:p w14:paraId="7698D6AB" w14:textId="77777777" w:rsidR="006D503D" w:rsidRPr="0076198F" w:rsidRDefault="006D503D" w:rsidP="00CE6C1C">
      <w:pPr>
        <w:numPr>
          <w:ilvl w:val="0"/>
          <w:numId w:val="145"/>
        </w:numPr>
        <w:tabs>
          <w:tab w:val="left" w:pos="0"/>
          <w:tab w:val="left" w:pos="567"/>
        </w:tabs>
        <w:spacing w:before="0" w:after="0"/>
        <w:ind w:left="0" w:firstLine="0"/>
      </w:pPr>
      <w:r w:rsidRPr="0076198F">
        <w:t>Внимательная аускультация грудной клетки</w:t>
      </w:r>
      <w:r>
        <w:t xml:space="preserve"> (ж</w:t>
      </w:r>
      <w:r w:rsidRPr="0076198F">
        <w:t>есткое дыхание в отсутствие хрипов, минимальное количество влажных хрипов на ограниченном участке могут быть начальным проявлением пневмонии</w:t>
      </w:r>
      <w:r>
        <w:t>)</w:t>
      </w:r>
      <w:r w:rsidRPr="0076198F">
        <w:t xml:space="preserve">. </w:t>
      </w:r>
    </w:p>
    <w:p w14:paraId="6070564F" w14:textId="77777777" w:rsidR="006D503D" w:rsidRPr="0076198F" w:rsidRDefault="006D503D" w:rsidP="00CE6C1C">
      <w:pPr>
        <w:numPr>
          <w:ilvl w:val="0"/>
          <w:numId w:val="145"/>
        </w:numPr>
        <w:tabs>
          <w:tab w:val="left" w:pos="0"/>
          <w:tab w:val="left" w:pos="567"/>
        </w:tabs>
        <w:spacing w:before="0" w:after="0"/>
        <w:ind w:left="0" w:firstLine="0"/>
      </w:pPr>
      <w:r w:rsidRPr="0076198F">
        <w:t>Тщательная пальпация живота</w:t>
      </w:r>
      <w:r>
        <w:t xml:space="preserve"> (п</w:t>
      </w:r>
      <w:r w:rsidRPr="0076198F">
        <w:t>ервые симптомы псевдомембранозного колита —появление боли или «урчание» при пальпации в правой подвздошной области (область слепой кишки).</w:t>
      </w:r>
    </w:p>
    <w:p w14:paraId="50ABEC97" w14:textId="77777777" w:rsidR="006D503D" w:rsidRPr="000A6029" w:rsidRDefault="006D503D" w:rsidP="006D503D">
      <w:pPr>
        <w:widowControl w:val="0"/>
        <w:autoSpaceDE w:val="0"/>
        <w:autoSpaceDN w:val="0"/>
        <w:adjustRightInd w:val="0"/>
        <w:ind w:right="49" w:firstLine="709"/>
        <w:contextualSpacing/>
        <w:rPr>
          <w:b/>
        </w:rPr>
      </w:pPr>
      <w:r w:rsidRPr="000A6029">
        <w:rPr>
          <w:b/>
        </w:rPr>
        <w:t>5.2 Микробиологические исследования.</w:t>
      </w:r>
    </w:p>
    <w:p w14:paraId="6EA0392A" w14:textId="77777777" w:rsidR="006D503D" w:rsidRPr="000A6029" w:rsidRDefault="006D503D" w:rsidP="006D503D">
      <w:pPr>
        <w:widowControl w:val="0"/>
        <w:autoSpaceDE w:val="0"/>
        <w:autoSpaceDN w:val="0"/>
        <w:adjustRightInd w:val="0"/>
        <w:spacing w:before="60" w:after="60"/>
        <w:ind w:right="49" w:firstLine="709"/>
        <w:contextualSpacing/>
        <w:rPr>
          <w:b/>
        </w:rPr>
      </w:pPr>
      <w:r>
        <w:rPr>
          <w:b/>
          <w:bCs/>
        </w:rPr>
        <w:t xml:space="preserve">5.2.1 </w:t>
      </w:r>
      <w:r w:rsidRPr="000A6029">
        <w:rPr>
          <w:b/>
          <w:bCs/>
        </w:rPr>
        <w:t>Микробиологическое исследование крови</w:t>
      </w:r>
    </w:p>
    <w:p w14:paraId="13BDF812" w14:textId="77777777" w:rsidR="006D503D" w:rsidRPr="00761653" w:rsidRDefault="006D503D" w:rsidP="006D503D">
      <w:pPr>
        <w:widowControl w:val="0"/>
        <w:autoSpaceDE w:val="0"/>
        <w:autoSpaceDN w:val="0"/>
        <w:adjustRightInd w:val="0"/>
        <w:spacing w:before="60" w:after="60"/>
        <w:ind w:right="49" w:firstLine="709"/>
        <w:contextualSpacing/>
      </w:pPr>
      <w:r w:rsidRPr="00761653">
        <w:t xml:space="preserve">Для микробиологического исследования крови используют автоматический анализатор для гемокультур. Проводят исследование у </w:t>
      </w:r>
      <w:r>
        <w:t>пациентов</w:t>
      </w:r>
      <w:r w:rsidRPr="00761653">
        <w:t xml:space="preserve"> с температурой ≥38°С или наличии септикопиемических очагов на коже. Кровь берут одновременно из вены и из ЦВК или из двух разных вен в 2-4 флакона (аэробы/анаэробы), предназначенных для инкубирования в автоматическом анализаторе для гемокультур. На основании разницы во времени регистрации положительной гемокультуры, взятой одновременно из ЦВК и из вены может быть заподозрено инфицирование ЦВК. В этом случае положительная гемокультура, взятая из ЦВК, опережает на 2 часа и более положительную гемокультуру из вены. Кровь для микробиологического исследования проводят с максимальным соблюдением правил асептики, в каждый флакон вводят 10 мл крови </w:t>
      </w:r>
      <w:r>
        <w:t>пациента</w:t>
      </w:r>
      <w:r w:rsidRPr="00761653">
        <w:t xml:space="preserve">. Введение меньшего объема крови снижает вероятность получения положительной гемокультуры. При инфекции кровотока выделение коагулазонегативных стафилококков и </w:t>
      </w:r>
      <w:r w:rsidRPr="00761653">
        <w:rPr>
          <w:i/>
          <w:iCs/>
        </w:rPr>
        <w:lastRenderedPageBreak/>
        <w:t xml:space="preserve">Corynebacterium </w:t>
      </w:r>
      <w:r w:rsidRPr="00761653">
        <w:t xml:space="preserve">spp. должно быть подтверждено двумя положительными гемокультурами, поскольку эти микроорганизмы принадлежат к облигатной микрофлоре, и детекция их только в одном из двух флаконов расценивается как контаминация исследуемых образцов крови (облигатная микрофлора). </w:t>
      </w:r>
    </w:p>
    <w:p w14:paraId="79E28F18" w14:textId="77777777" w:rsidR="006D503D" w:rsidRPr="000A6029" w:rsidRDefault="006D503D" w:rsidP="006D503D">
      <w:pPr>
        <w:widowControl w:val="0"/>
        <w:autoSpaceDE w:val="0"/>
        <w:autoSpaceDN w:val="0"/>
        <w:adjustRightInd w:val="0"/>
        <w:spacing w:before="240" w:after="60"/>
        <w:ind w:right="49" w:firstLine="709"/>
        <w:contextualSpacing/>
        <w:rPr>
          <w:b/>
          <w:bCs/>
        </w:rPr>
      </w:pPr>
      <w:r w:rsidRPr="000A6029">
        <w:rPr>
          <w:b/>
          <w:bCs/>
        </w:rPr>
        <w:t>5.2.2 Микробиологическое исследование центрального венозного катетера (ЦВК)</w:t>
      </w:r>
    </w:p>
    <w:p w14:paraId="039893A5" w14:textId="77777777" w:rsidR="006D503D" w:rsidRPr="00761653" w:rsidRDefault="006D503D" w:rsidP="006D503D">
      <w:pPr>
        <w:widowControl w:val="0"/>
        <w:autoSpaceDE w:val="0"/>
        <w:autoSpaceDN w:val="0"/>
        <w:adjustRightInd w:val="0"/>
        <w:spacing w:before="240" w:after="60"/>
        <w:ind w:right="49" w:firstLine="709"/>
        <w:contextualSpacing/>
      </w:pPr>
      <w:r w:rsidRPr="00761653">
        <w:rPr>
          <w:bCs/>
        </w:rPr>
        <w:t>ЦВК удаляют и направляют на микробиологическое исследование</w:t>
      </w:r>
      <w:r w:rsidRPr="00761653">
        <w:t xml:space="preserve"> при подозрении на катетер-ассоциированную инфекцию (разница во времени детекции положительной гемокультуры, взятой одновременно из вены и из ЦВК), при выделении из гемокультуры дрожжевых или плесневых грибов, при переводе </w:t>
      </w:r>
      <w:r>
        <w:t>пациента</w:t>
      </w:r>
      <w:r w:rsidRPr="00761653">
        <w:t xml:space="preserve"> из другого стационара с ЦВК (высокая вероятность инфицирования ЦВК). Для бактериологического исследования в лабораторию направляют асептически удаленный дистальный отрезок катетера длиной 5-6 см в стерильной емкости. Исследование ЦВК проводят полуколичественным (метод Маки) или количественным методом. Диагностически значимым подтверждением инфицирования ЦВК является выделение микроорганизмов в количестве ≥15 колониеобразующих единиц (КОЕ) при полуколичественном исследовании, или ≥10</w:t>
      </w:r>
      <w:r w:rsidRPr="00761653">
        <w:rPr>
          <w:vertAlign w:val="superscript"/>
        </w:rPr>
        <w:t>3</w:t>
      </w:r>
      <w:r w:rsidRPr="00761653">
        <w:t xml:space="preserve"> КОЕ/мл - при количественном исследовании. </w:t>
      </w:r>
    </w:p>
    <w:p w14:paraId="0F64C117" w14:textId="77777777" w:rsidR="006D503D" w:rsidRPr="00761653" w:rsidRDefault="006D503D" w:rsidP="006D503D">
      <w:pPr>
        <w:widowControl w:val="0"/>
        <w:autoSpaceDE w:val="0"/>
        <w:autoSpaceDN w:val="0"/>
        <w:adjustRightInd w:val="0"/>
        <w:ind w:right="49" w:firstLine="709"/>
        <w:contextualSpacing/>
      </w:pPr>
      <w:r w:rsidRPr="00761653">
        <w:t>При наличии признаков воспаления и отделяемого в месте установки ЦВК проводят микробиологическое исследование мазков из этой области. Исследуют мазки на наличие нетуберкулезных микобактерий, если изменения на коже в области ЦВК приобретают хронический характер. Не проводят рутинное исследование всех удаленных катетеров.</w:t>
      </w:r>
    </w:p>
    <w:p w14:paraId="27503FE9" w14:textId="77777777" w:rsidR="006D503D" w:rsidRPr="000A6029" w:rsidRDefault="006D503D" w:rsidP="006D503D">
      <w:pPr>
        <w:widowControl w:val="0"/>
        <w:autoSpaceDE w:val="0"/>
        <w:autoSpaceDN w:val="0"/>
        <w:adjustRightInd w:val="0"/>
        <w:ind w:right="49" w:firstLine="709"/>
        <w:contextualSpacing/>
        <w:rPr>
          <w:b/>
        </w:rPr>
      </w:pPr>
      <w:r w:rsidRPr="000A6029">
        <w:rPr>
          <w:b/>
          <w:bCs/>
        </w:rPr>
        <w:t>5.2.3 Микробиологическое исследование мочи</w:t>
      </w:r>
    </w:p>
    <w:p w14:paraId="4CB09C18" w14:textId="77777777" w:rsidR="006D503D" w:rsidRPr="00761653" w:rsidRDefault="006D503D" w:rsidP="006D503D">
      <w:pPr>
        <w:widowControl w:val="0"/>
        <w:tabs>
          <w:tab w:val="left" w:pos="0"/>
        </w:tabs>
        <w:autoSpaceDE w:val="0"/>
        <w:autoSpaceDN w:val="0"/>
        <w:adjustRightInd w:val="0"/>
        <w:spacing w:before="60" w:after="60"/>
        <w:ind w:right="49" w:firstLine="709"/>
        <w:contextualSpacing/>
      </w:pPr>
      <w:r w:rsidRPr="00761653">
        <w:t xml:space="preserve">Показаниями для исследования являются клинические симптомы инфекции мочевыводящих путей, лейкоцитурия, температура более 5 дней в период нейтропении. Для </w:t>
      </w:r>
      <w:r>
        <w:t xml:space="preserve">микробиологического </w:t>
      </w:r>
      <w:r w:rsidRPr="00761653">
        <w:t>исследования направляют утреннюю среднюю порцию мочи</w:t>
      </w:r>
      <w:r>
        <w:t xml:space="preserve">, </w:t>
      </w:r>
      <w:r w:rsidRPr="00D40538">
        <w:t>проводят исследования на наличие различных бактериальных патогенов</w:t>
      </w:r>
      <w:r>
        <w:t>, начиная с наиболее частых в гематологической практике (см.ниже)</w:t>
      </w:r>
      <w:r w:rsidRPr="00D40538">
        <w:t xml:space="preserve">. Бактериурия </w:t>
      </w:r>
      <w:r w:rsidRPr="00761653">
        <w:t xml:space="preserve">является диагностически значимой, если выделен </w:t>
      </w:r>
      <w:r w:rsidRPr="00761653">
        <w:rPr>
          <w:bCs/>
        </w:rPr>
        <w:t>один микроорганизм</w:t>
      </w:r>
      <w:r w:rsidRPr="00761653">
        <w:t xml:space="preserve"> в количестве ≥10</w:t>
      </w:r>
      <w:r w:rsidRPr="00761653">
        <w:rPr>
          <w:vertAlign w:val="superscript"/>
        </w:rPr>
        <w:t>3</w:t>
      </w:r>
      <w:r w:rsidRPr="00761653">
        <w:t> КОЕ/мл. Микробиологическое исследование мочи повторяют на следующий день, если выделены два микрорганизма в количестве ≥10</w:t>
      </w:r>
      <w:r w:rsidRPr="00761653">
        <w:rPr>
          <w:vertAlign w:val="superscript"/>
        </w:rPr>
        <w:t>3</w:t>
      </w:r>
      <w:r w:rsidRPr="00761653">
        <w:t xml:space="preserve"> КОЕ/мл. Повторное выделение тех же микроорганизмов, как в первом исследовании, подтверждает наличие инфекции мочевыводящих путей. В гематологии наиболее частыми возбудителями инфекции мочевыводящих путей в стационаре являются энтеробактерии, среди них </w:t>
      </w:r>
      <w:r w:rsidRPr="00761653">
        <w:rPr>
          <w:i/>
          <w:iCs/>
        </w:rPr>
        <w:t>E. coli,</w:t>
      </w:r>
      <w:r w:rsidRPr="00761653">
        <w:t xml:space="preserve"> далее </w:t>
      </w:r>
      <w:r w:rsidRPr="00761653">
        <w:lastRenderedPageBreak/>
        <w:t xml:space="preserve">следуют </w:t>
      </w:r>
      <w:r w:rsidRPr="00761653">
        <w:rPr>
          <w:i/>
          <w:iCs/>
        </w:rPr>
        <w:t>Enterococcus</w:t>
      </w:r>
      <w:r w:rsidRPr="00761653">
        <w:t xml:space="preserve"> spp., </w:t>
      </w:r>
      <w:r w:rsidRPr="00761653">
        <w:rPr>
          <w:i/>
          <w:iCs/>
        </w:rPr>
        <w:t>P. aeruginosa.</w:t>
      </w:r>
      <w:r w:rsidRPr="00761653">
        <w:t xml:space="preserve"> Неоднократное выделение из мочи </w:t>
      </w:r>
      <w:r w:rsidRPr="00761653">
        <w:rPr>
          <w:i/>
          <w:iCs/>
        </w:rPr>
        <w:t>Сandida</w:t>
      </w:r>
      <w:r w:rsidRPr="00761653">
        <w:t xml:space="preserve"> spp. у </w:t>
      </w:r>
      <w:r>
        <w:t>пациентов</w:t>
      </w:r>
      <w:r w:rsidRPr="00761653">
        <w:t xml:space="preserve"> с фебрильной нейтропенией может свидетельствовать о высокой вероятности наличия диссеминированного инвазивного кандидоза. Определяют чувствительность к антибиотикам всех микроорганизмов, выделенных в диагностически значимых количествах.</w:t>
      </w:r>
    </w:p>
    <w:p w14:paraId="2E612561" w14:textId="77777777" w:rsidR="006D503D" w:rsidRPr="00C73751" w:rsidRDefault="006D503D" w:rsidP="00CE6C1C">
      <w:pPr>
        <w:pStyle w:val="a6"/>
        <w:widowControl w:val="0"/>
        <w:numPr>
          <w:ilvl w:val="1"/>
          <w:numId w:val="146"/>
        </w:numPr>
        <w:autoSpaceDE w:val="0"/>
        <w:autoSpaceDN w:val="0"/>
        <w:adjustRightInd w:val="0"/>
        <w:spacing w:before="240" w:after="60"/>
        <w:ind w:right="49"/>
        <w:rPr>
          <w:b/>
          <w:bCs/>
        </w:rPr>
      </w:pPr>
      <w:r>
        <w:rPr>
          <w:b/>
          <w:bCs/>
        </w:rPr>
        <w:t xml:space="preserve">4 </w:t>
      </w:r>
      <w:r w:rsidRPr="00C73751">
        <w:rPr>
          <w:b/>
          <w:bCs/>
        </w:rPr>
        <w:t xml:space="preserve">Микроскопическое, </w:t>
      </w:r>
      <w:r w:rsidRPr="00D40538">
        <w:rPr>
          <w:b/>
          <w:bCs/>
        </w:rPr>
        <w:t xml:space="preserve">микробиологическое и молекулярно-биологическое </w:t>
      </w:r>
      <w:r w:rsidRPr="00C73751">
        <w:rPr>
          <w:b/>
          <w:bCs/>
        </w:rPr>
        <w:t xml:space="preserve">исследование спинномозговой жидкости </w:t>
      </w:r>
    </w:p>
    <w:p w14:paraId="5FE3B9DA" w14:textId="77777777" w:rsidR="006D503D" w:rsidRPr="00761653" w:rsidRDefault="006D503D" w:rsidP="006D503D">
      <w:pPr>
        <w:widowControl w:val="0"/>
        <w:tabs>
          <w:tab w:val="left" w:pos="0"/>
        </w:tabs>
        <w:autoSpaceDE w:val="0"/>
        <w:autoSpaceDN w:val="0"/>
        <w:adjustRightInd w:val="0"/>
        <w:spacing w:before="60" w:after="60"/>
        <w:ind w:right="49" w:firstLine="709"/>
        <w:contextualSpacing/>
      </w:pPr>
      <w:r w:rsidRPr="00761653">
        <w:t>Показания к исследованию – наличие симптомов менингита, «мозговая» симптоматика на фоне фебрильной нейтропении, обнаружение очага (очагов) в головном мозге при компьютерной томографии</w:t>
      </w:r>
      <w:r>
        <w:t>/спиральной компьютерной томографии</w:t>
      </w:r>
      <w:r w:rsidRPr="00761653">
        <w:t xml:space="preserve"> (КТ</w:t>
      </w:r>
      <w:r>
        <w:t>/СКТ)</w:t>
      </w:r>
      <w:r w:rsidRPr="00761653">
        <w:t xml:space="preserve"> или магнитно-резонансной томографии (МРТ). Исследование спинномозговой жидкости (СМЖ) включает микроскопию, посев на бактерии и грибы, определение антигена </w:t>
      </w:r>
      <w:r w:rsidRPr="00761653">
        <w:rPr>
          <w:i/>
          <w:iCs/>
        </w:rPr>
        <w:t xml:space="preserve">Cryptococcus </w:t>
      </w:r>
      <w:r w:rsidRPr="00761653">
        <w:t xml:space="preserve">spp. (глюкороксиломаннан), определение антигена </w:t>
      </w:r>
      <w:r w:rsidRPr="00761653">
        <w:rPr>
          <w:i/>
          <w:iCs/>
        </w:rPr>
        <w:t>Aspergillus</w:t>
      </w:r>
      <w:r w:rsidRPr="00761653">
        <w:t xml:space="preserve"> spp. (галактоманнан) у </w:t>
      </w:r>
      <w:r>
        <w:t>пациентов</w:t>
      </w:r>
      <w:r w:rsidRPr="00761653">
        <w:t xml:space="preserve"> с инвазивным аспергиллезом легких или околоносовых пазух, определение дезоксирибонуклеиновой кислоты (ДНК) герпесвирусов методом полимеразной цепной реакции (ПЦР), при наличии нейтрофильного цитоза – определение антигенов бактерий (</w:t>
      </w:r>
      <w:r w:rsidRPr="00761653">
        <w:rPr>
          <w:i/>
          <w:iCs/>
        </w:rPr>
        <w:t>Streptococcus pneumoniae, Haemophilus</w:t>
      </w:r>
      <w:r w:rsidRPr="00761653">
        <w:t xml:space="preserve"> </w:t>
      </w:r>
      <w:r w:rsidRPr="00761653">
        <w:rPr>
          <w:i/>
          <w:iCs/>
        </w:rPr>
        <w:t>influenzae, Neisseria meningitidis,</w:t>
      </w:r>
      <w:r w:rsidRPr="00761653">
        <w:t xml:space="preserve"> стрептококки группы В), при наличии очагов в головном мозге – определение ДНК </w:t>
      </w:r>
      <w:r w:rsidRPr="00761653">
        <w:rPr>
          <w:i/>
          <w:iCs/>
        </w:rPr>
        <w:t>Toxoplasma gondii</w:t>
      </w:r>
      <w:r w:rsidRPr="00761653">
        <w:t xml:space="preserve"> методом ПЦР (группу риска представляют реципиенты аллогенной ТГСК).</w:t>
      </w:r>
    </w:p>
    <w:p w14:paraId="3E5DC234" w14:textId="77777777" w:rsidR="006D503D" w:rsidRDefault="006D503D" w:rsidP="006D503D">
      <w:pPr>
        <w:widowControl w:val="0"/>
        <w:tabs>
          <w:tab w:val="left" w:pos="0"/>
        </w:tabs>
        <w:autoSpaceDE w:val="0"/>
        <w:autoSpaceDN w:val="0"/>
        <w:adjustRightInd w:val="0"/>
        <w:spacing w:before="60" w:after="60"/>
        <w:ind w:right="49" w:firstLine="709"/>
        <w:contextualSpacing/>
        <w:rPr>
          <w:b/>
          <w:u w:val="single"/>
        </w:rPr>
      </w:pPr>
      <w:r>
        <w:rPr>
          <w:b/>
        </w:rPr>
        <w:t xml:space="preserve">5.2.5 </w:t>
      </w:r>
      <w:r w:rsidRPr="00C73751">
        <w:rPr>
          <w:b/>
        </w:rPr>
        <w:t>Микробиологическое исследование кала</w:t>
      </w:r>
      <w:r w:rsidRPr="00761653">
        <w:rPr>
          <w:b/>
          <w:u w:val="single"/>
        </w:rPr>
        <w:t xml:space="preserve"> </w:t>
      </w:r>
    </w:p>
    <w:p w14:paraId="2DF00ED9" w14:textId="28100205" w:rsidR="006D503D" w:rsidRPr="00C73751" w:rsidRDefault="006D503D" w:rsidP="006D503D">
      <w:pPr>
        <w:widowControl w:val="0"/>
        <w:tabs>
          <w:tab w:val="left" w:pos="0"/>
        </w:tabs>
        <w:autoSpaceDE w:val="0"/>
        <w:autoSpaceDN w:val="0"/>
        <w:adjustRightInd w:val="0"/>
        <w:spacing w:before="60" w:after="60"/>
        <w:ind w:right="49" w:firstLine="709"/>
        <w:contextualSpacing/>
      </w:pPr>
      <w:r>
        <w:t>И</w:t>
      </w:r>
      <w:r w:rsidRPr="00761653">
        <w:t xml:space="preserve">сследование </w:t>
      </w:r>
      <w:r>
        <w:t xml:space="preserve">проводят </w:t>
      </w:r>
      <w:r w:rsidRPr="00761653">
        <w:t xml:space="preserve">у </w:t>
      </w:r>
      <w:r>
        <w:t>пациентов с диареей для о</w:t>
      </w:r>
      <w:r w:rsidRPr="00C73751">
        <w:t>пред</w:t>
      </w:r>
      <w:r w:rsidRPr="004C0C25">
        <w:t>елени</w:t>
      </w:r>
      <w:r w:rsidR="00717777" w:rsidRPr="004C0C25">
        <w:t>я</w:t>
      </w:r>
      <w:r w:rsidRPr="00C73751">
        <w:t xml:space="preserve"> токсинов </w:t>
      </w:r>
      <w:r w:rsidRPr="00C73751">
        <w:rPr>
          <w:i/>
        </w:rPr>
        <w:t>Clostridioides difficile</w:t>
      </w:r>
      <w:r w:rsidRPr="00C73751">
        <w:t xml:space="preserve"> в кале</w:t>
      </w:r>
      <w:r>
        <w:t xml:space="preserve">. </w:t>
      </w:r>
      <w:r w:rsidRPr="00C73751">
        <w:t xml:space="preserve">Если результат этого теста оказывается отрицательным, проводят количественное исследование на условно-патогенные микроорганизмы, а также на </w:t>
      </w:r>
      <w:r w:rsidRPr="00C73751">
        <w:rPr>
          <w:i/>
        </w:rPr>
        <w:t>С</w:t>
      </w:r>
      <w:r w:rsidRPr="00DB1FCB">
        <w:rPr>
          <w:i/>
        </w:rPr>
        <w:t>ryptosporidium</w:t>
      </w:r>
      <w:r w:rsidRPr="00C73751">
        <w:rPr>
          <w:i/>
        </w:rPr>
        <w:t xml:space="preserve"> </w:t>
      </w:r>
      <w:r w:rsidRPr="00DB1FCB">
        <w:rPr>
          <w:i/>
        </w:rPr>
        <w:t>parvum</w:t>
      </w:r>
      <w:r w:rsidRPr="00C73751">
        <w:rPr>
          <w:i/>
        </w:rPr>
        <w:t xml:space="preserve">, </w:t>
      </w:r>
      <w:r w:rsidRPr="00DB1FCB">
        <w:rPr>
          <w:i/>
        </w:rPr>
        <w:t>Salmonella</w:t>
      </w:r>
      <w:r w:rsidRPr="00C73751">
        <w:rPr>
          <w:i/>
        </w:rPr>
        <w:t xml:space="preserve"> </w:t>
      </w:r>
      <w:r w:rsidRPr="00DB1FCB">
        <w:rPr>
          <w:i/>
        </w:rPr>
        <w:t>spp</w:t>
      </w:r>
      <w:r w:rsidRPr="00C73751">
        <w:rPr>
          <w:i/>
        </w:rPr>
        <w:t xml:space="preserve">., </w:t>
      </w:r>
      <w:r w:rsidRPr="00DB1FCB">
        <w:rPr>
          <w:i/>
        </w:rPr>
        <w:t>Shigella</w:t>
      </w:r>
      <w:r w:rsidRPr="00C73751">
        <w:rPr>
          <w:i/>
        </w:rPr>
        <w:t xml:space="preserve"> </w:t>
      </w:r>
      <w:r w:rsidRPr="00DB1FCB">
        <w:rPr>
          <w:i/>
        </w:rPr>
        <w:t>spp</w:t>
      </w:r>
      <w:r w:rsidRPr="00C73751">
        <w:rPr>
          <w:i/>
        </w:rPr>
        <w:t xml:space="preserve">., </w:t>
      </w:r>
      <w:r w:rsidRPr="00DB1FCB">
        <w:rPr>
          <w:i/>
        </w:rPr>
        <w:t>Listeria</w:t>
      </w:r>
      <w:r w:rsidRPr="00C73751">
        <w:rPr>
          <w:i/>
        </w:rPr>
        <w:t xml:space="preserve"> </w:t>
      </w:r>
      <w:r w:rsidRPr="00DB1FCB">
        <w:rPr>
          <w:i/>
        </w:rPr>
        <w:t>spp</w:t>
      </w:r>
      <w:r w:rsidRPr="00C73751">
        <w:rPr>
          <w:i/>
        </w:rPr>
        <w:t xml:space="preserve">., </w:t>
      </w:r>
      <w:r w:rsidRPr="00DB1FCB">
        <w:rPr>
          <w:i/>
        </w:rPr>
        <w:t>Yersenia</w:t>
      </w:r>
      <w:r w:rsidRPr="00C73751">
        <w:rPr>
          <w:i/>
        </w:rPr>
        <w:t xml:space="preserve"> </w:t>
      </w:r>
      <w:r w:rsidRPr="00DB1FCB">
        <w:rPr>
          <w:i/>
        </w:rPr>
        <w:t>spp</w:t>
      </w:r>
      <w:r w:rsidRPr="00C73751">
        <w:rPr>
          <w:i/>
        </w:rPr>
        <w:t>.</w:t>
      </w:r>
      <w:r w:rsidRPr="00C73751">
        <w:t xml:space="preserve">, вирусы (ротавирусы, аденовирусы). Энтероколиты могут быть обусловлены </w:t>
      </w:r>
      <w:r w:rsidRPr="00DB1FCB">
        <w:rPr>
          <w:i/>
        </w:rPr>
        <w:t>Candida</w:t>
      </w:r>
      <w:r w:rsidRPr="00C73751">
        <w:rPr>
          <w:i/>
        </w:rPr>
        <w:t xml:space="preserve"> </w:t>
      </w:r>
      <w:r w:rsidRPr="00DB1FCB">
        <w:rPr>
          <w:i/>
        </w:rPr>
        <w:t>spp</w:t>
      </w:r>
      <w:r w:rsidRPr="00C73751">
        <w:t xml:space="preserve">. При количественном исследовании кала следует обращать внимание на выделение штаммов </w:t>
      </w:r>
      <w:r w:rsidRPr="00DB1FCB">
        <w:rPr>
          <w:i/>
        </w:rPr>
        <w:t>Pseudomonas</w:t>
      </w:r>
      <w:r w:rsidRPr="00C73751">
        <w:rPr>
          <w:i/>
        </w:rPr>
        <w:t xml:space="preserve"> </w:t>
      </w:r>
      <w:r w:rsidRPr="00DB1FCB">
        <w:rPr>
          <w:i/>
        </w:rPr>
        <w:t>aeruginosa</w:t>
      </w:r>
      <w:r w:rsidRPr="00C73751">
        <w:t>, энтеробактерий (</w:t>
      </w:r>
      <w:r w:rsidRPr="00DB1FCB">
        <w:rPr>
          <w:i/>
        </w:rPr>
        <w:t>Escherichia</w:t>
      </w:r>
      <w:r w:rsidRPr="00C73751">
        <w:rPr>
          <w:i/>
        </w:rPr>
        <w:t xml:space="preserve"> </w:t>
      </w:r>
      <w:r w:rsidRPr="00DB1FCB">
        <w:rPr>
          <w:i/>
        </w:rPr>
        <w:t>coli</w:t>
      </w:r>
      <w:r w:rsidRPr="00C73751">
        <w:rPr>
          <w:i/>
        </w:rPr>
        <w:t xml:space="preserve">, </w:t>
      </w:r>
      <w:r w:rsidRPr="00DB1FCB">
        <w:rPr>
          <w:i/>
        </w:rPr>
        <w:t>Klebsiella</w:t>
      </w:r>
      <w:r w:rsidRPr="00C73751">
        <w:rPr>
          <w:i/>
        </w:rPr>
        <w:t xml:space="preserve"> </w:t>
      </w:r>
      <w:r w:rsidRPr="00DB1FCB">
        <w:rPr>
          <w:i/>
        </w:rPr>
        <w:t>spp</w:t>
      </w:r>
      <w:r w:rsidRPr="00C73751">
        <w:rPr>
          <w:i/>
        </w:rPr>
        <w:t>.),</w:t>
      </w:r>
      <w:r w:rsidRPr="00C73751">
        <w:t xml:space="preserve"> продуцирующих БЛРС или карбапенемазы. У больных с персистирующей фебрильной нейтропенией и отсутствием положительной гемокультуры эти микроорганизмы могут быть причиной инфекции. </w:t>
      </w:r>
    </w:p>
    <w:p w14:paraId="6D765905" w14:textId="77777777" w:rsidR="006D503D" w:rsidRPr="00C73751" w:rsidRDefault="006D503D" w:rsidP="006D503D">
      <w:pPr>
        <w:widowControl w:val="0"/>
        <w:tabs>
          <w:tab w:val="left" w:pos="0"/>
        </w:tabs>
        <w:autoSpaceDE w:val="0"/>
        <w:autoSpaceDN w:val="0"/>
        <w:adjustRightInd w:val="0"/>
        <w:spacing w:before="60" w:after="60"/>
        <w:ind w:right="49" w:firstLine="709"/>
        <w:contextualSpacing/>
        <w:rPr>
          <w:b/>
        </w:rPr>
      </w:pPr>
      <w:r w:rsidRPr="00C73751">
        <w:rPr>
          <w:b/>
          <w:bCs/>
        </w:rPr>
        <w:t>5.2.6 Микробиологическое исследование мазка со слизистой оболочки ротоглотки</w:t>
      </w:r>
    </w:p>
    <w:p w14:paraId="70420BE0" w14:textId="77777777" w:rsidR="006D503D" w:rsidRPr="00761653" w:rsidRDefault="006D503D" w:rsidP="006D503D">
      <w:pPr>
        <w:widowControl w:val="0"/>
        <w:tabs>
          <w:tab w:val="left" w:pos="0"/>
        </w:tabs>
        <w:autoSpaceDE w:val="0"/>
        <w:autoSpaceDN w:val="0"/>
        <w:adjustRightInd w:val="0"/>
        <w:spacing w:before="60" w:after="60"/>
        <w:ind w:right="49" w:firstLine="709"/>
        <w:contextualSpacing/>
      </w:pPr>
      <w:r>
        <w:lastRenderedPageBreak/>
        <w:t>Исследования проводят при наличии</w:t>
      </w:r>
      <w:r w:rsidRPr="00761653">
        <w:t xml:space="preserve"> признаков </w:t>
      </w:r>
      <w:r>
        <w:t>стоматита (</w:t>
      </w:r>
      <w:r w:rsidRPr="00761653">
        <w:t>мукозита</w:t>
      </w:r>
      <w:r>
        <w:t>)</w:t>
      </w:r>
      <w:r w:rsidRPr="00761653">
        <w:t xml:space="preserve">. Проводят культуральное исследование на грамотрицательные бактерии и дрожжевые грибы. При выделении грамотрицательных бактерий осуществляют идентификацию до вида, определение чувствительности к антибиотикам, детекцию продукции β-лактамаз расишернного спектра (БЛРС) у энтеробактерий, постановку теста modified carbapenem inactivation method (mCIM) или carbapenem inactivation method (CIM) для определения продукции карбапенемаз среди карбапенемоустойчивых энтеробактерий и </w:t>
      </w:r>
      <w:r w:rsidRPr="00761653">
        <w:rPr>
          <w:i/>
          <w:iCs/>
        </w:rPr>
        <w:t>P. aeruginosa</w:t>
      </w:r>
      <w:r w:rsidRPr="00761653">
        <w:rPr>
          <w:iCs/>
        </w:rPr>
        <w:t xml:space="preserve">, определение групп карбапенемаз методом ПЦР при положительном тесте mCIM (или CIM). </w:t>
      </w:r>
      <w:r w:rsidRPr="00761653">
        <w:t xml:space="preserve">При выделении дрожжевых грибов со слизистой оболочки ротоглотки проводят только идентификацию до вида. </w:t>
      </w:r>
    </w:p>
    <w:p w14:paraId="30CE8258" w14:textId="77777777" w:rsidR="006D503D" w:rsidRPr="00C73751" w:rsidRDefault="006D503D" w:rsidP="006D503D">
      <w:pPr>
        <w:widowControl w:val="0"/>
        <w:autoSpaceDE w:val="0"/>
        <w:autoSpaceDN w:val="0"/>
        <w:adjustRightInd w:val="0"/>
        <w:spacing w:before="240" w:after="60"/>
        <w:ind w:right="49" w:firstLine="709"/>
        <w:contextualSpacing/>
        <w:rPr>
          <w:b/>
          <w:bCs/>
        </w:rPr>
      </w:pPr>
      <w:r>
        <w:rPr>
          <w:b/>
          <w:bCs/>
        </w:rPr>
        <w:t xml:space="preserve">5.2.7 </w:t>
      </w:r>
      <w:r w:rsidRPr="00C73751">
        <w:rPr>
          <w:b/>
          <w:bCs/>
        </w:rPr>
        <w:t>Микробиологическое исследование соскоба или биоптата со слизистой оболочки пищевода</w:t>
      </w:r>
    </w:p>
    <w:p w14:paraId="7D6B2815" w14:textId="0FCC40B0" w:rsidR="006D503D" w:rsidRPr="00761653" w:rsidRDefault="006D503D" w:rsidP="006D503D">
      <w:pPr>
        <w:widowControl w:val="0"/>
        <w:tabs>
          <w:tab w:val="left" w:pos="0"/>
        </w:tabs>
        <w:autoSpaceDE w:val="0"/>
        <w:autoSpaceDN w:val="0"/>
        <w:adjustRightInd w:val="0"/>
        <w:spacing w:before="60" w:after="60"/>
        <w:ind w:right="49" w:firstLine="709"/>
        <w:contextualSpacing/>
      </w:pPr>
      <w:r>
        <w:t xml:space="preserve">Исследования проводят при клиническоой картине эзофагита, </w:t>
      </w:r>
      <w:r w:rsidRPr="00761653">
        <w:t>бол</w:t>
      </w:r>
      <w:r>
        <w:t>и</w:t>
      </w:r>
      <w:r w:rsidRPr="00761653">
        <w:t xml:space="preserve"> по ходу пищевода. Во время эзофагоскопии проводят соскоб со слизистой оболочки пищевода (браш-метод при нейтропении) или биопсию (вне нейтропении и тромбоцитопении). Проводят культуральное исследование на бактерии и дрожжевые грибы, определение ДНК герпесвирусов </w:t>
      </w:r>
      <w:r>
        <w:t>(</w:t>
      </w:r>
      <w:r w:rsidRPr="00C73751">
        <w:t xml:space="preserve">ДНК вируса простого герпеса, </w:t>
      </w:r>
      <w:r>
        <w:t>цитомегаловируса)</w:t>
      </w:r>
      <w:r w:rsidRPr="00761653">
        <w:t xml:space="preserve"> методом ПЦР, идентификацию и определение чувствительности всех выделенных микроорганизмов</w:t>
      </w:r>
      <w:r>
        <w:t>, гистологическое исследование (с иммуногистохимическим исследованием при необходимости)</w:t>
      </w:r>
      <w:r w:rsidRPr="00761653">
        <w:t>.</w:t>
      </w:r>
    </w:p>
    <w:p w14:paraId="12ED9DBA" w14:textId="77777777" w:rsidR="006D503D" w:rsidRPr="00C73751" w:rsidRDefault="006D503D" w:rsidP="006D503D">
      <w:pPr>
        <w:widowControl w:val="0"/>
        <w:autoSpaceDE w:val="0"/>
        <w:autoSpaceDN w:val="0"/>
        <w:adjustRightInd w:val="0"/>
        <w:spacing w:before="240" w:after="60"/>
        <w:ind w:right="49" w:firstLine="709"/>
        <w:contextualSpacing/>
        <w:rPr>
          <w:b/>
          <w:bCs/>
        </w:rPr>
      </w:pPr>
      <w:r>
        <w:rPr>
          <w:b/>
          <w:bCs/>
        </w:rPr>
        <w:t xml:space="preserve">5.2.8 </w:t>
      </w:r>
      <w:r w:rsidRPr="00C73751">
        <w:rPr>
          <w:b/>
          <w:bCs/>
        </w:rPr>
        <w:t xml:space="preserve">Микробиологическое исследование ректальных мазков </w:t>
      </w:r>
    </w:p>
    <w:p w14:paraId="40C891DB" w14:textId="77777777" w:rsidR="006D503D" w:rsidRPr="00761653" w:rsidRDefault="006D503D" w:rsidP="006D503D">
      <w:pPr>
        <w:widowControl w:val="0"/>
        <w:tabs>
          <w:tab w:val="left" w:pos="0"/>
        </w:tabs>
        <w:autoSpaceDE w:val="0"/>
        <w:autoSpaceDN w:val="0"/>
        <w:adjustRightInd w:val="0"/>
        <w:spacing w:before="60" w:after="60"/>
        <w:ind w:right="49" w:firstLine="709"/>
        <w:contextualSpacing/>
      </w:pPr>
      <w:r w:rsidRPr="00761653">
        <w:t xml:space="preserve">Исследование проводят с целью детекции колонизации слизистой оболочки кишечника полирезистентными грамотрицательными бактериями и грибами рода </w:t>
      </w:r>
      <w:r w:rsidRPr="00761653">
        <w:rPr>
          <w:i/>
        </w:rPr>
        <w:t>Candida</w:t>
      </w:r>
      <w:r w:rsidRPr="00761653">
        <w:t>.</w:t>
      </w:r>
    </w:p>
    <w:p w14:paraId="69905B9E" w14:textId="77777777" w:rsidR="006D503D" w:rsidRDefault="006D503D" w:rsidP="006D503D">
      <w:pPr>
        <w:widowControl w:val="0"/>
        <w:tabs>
          <w:tab w:val="left" w:pos="0"/>
        </w:tabs>
        <w:autoSpaceDE w:val="0"/>
        <w:autoSpaceDN w:val="0"/>
        <w:adjustRightInd w:val="0"/>
        <w:spacing w:before="60" w:after="60"/>
        <w:ind w:right="49" w:firstLine="709"/>
        <w:contextualSpacing/>
      </w:pPr>
      <w:r w:rsidRPr="00761653">
        <w:t xml:space="preserve">Исследование </w:t>
      </w:r>
      <w:r>
        <w:t>показано:</w:t>
      </w:r>
      <w:r w:rsidRPr="00761653">
        <w:t xml:space="preserve"> </w:t>
      </w:r>
    </w:p>
    <w:p w14:paraId="6217AD2A" w14:textId="77777777" w:rsidR="006D503D" w:rsidRPr="00C73751" w:rsidRDefault="006D503D" w:rsidP="00CE6C1C">
      <w:pPr>
        <w:pStyle w:val="a6"/>
        <w:widowControl w:val="0"/>
        <w:numPr>
          <w:ilvl w:val="0"/>
          <w:numId w:val="135"/>
        </w:numPr>
        <w:tabs>
          <w:tab w:val="left" w:pos="0"/>
        </w:tabs>
        <w:autoSpaceDE w:val="0"/>
        <w:autoSpaceDN w:val="0"/>
        <w:adjustRightInd w:val="0"/>
        <w:spacing w:before="60" w:after="60"/>
        <w:ind w:left="0" w:right="49" w:firstLine="0"/>
      </w:pPr>
      <w:r w:rsidRPr="00CB604C">
        <w:t>при инфекции промежности</w:t>
      </w:r>
      <w:r>
        <w:t>, в</w:t>
      </w:r>
      <w:r w:rsidRPr="00C73751">
        <w:t>оспалени</w:t>
      </w:r>
      <w:r>
        <w:t>и</w:t>
      </w:r>
      <w:r w:rsidRPr="00C73751">
        <w:t xml:space="preserve"> или повреждени</w:t>
      </w:r>
      <w:r>
        <w:t>и</w:t>
      </w:r>
      <w:r w:rsidRPr="00C73751">
        <w:t xml:space="preserve"> слизистой прямой кишки (трещина, парапроктит и др.);</w:t>
      </w:r>
    </w:p>
    <w:p w14:paraId="415B0C42" w14:textId="77777777" w:rsidR="006D503D" w:rsidRDefault="006D503D" w:rsidP="00CE6C1C">
      <w:pPr>
        <w:pStyle w:val="a6"/>
        <w:widowControl w:val="0"/>
        <w:numPr>
          <w:ilvl w:val="0"/>
          <w:numId w:val="135"/>
        </w:numPr>
        <w:tabs>
          <w:tab w:val="left" w:pos="0"/>
        </w:tabs>
        <w:autoSpaceDE w:val="0"/>
        <w:autoSpaceDN w:val="0"/>
        <w:adjustRightInd w:val="0"/>
        <w:spacing w:before="60" w:after="60"/>
        <w:ind w:left="0" w:right="49" w:firstLine="0"/>
      </w:pPr>
      <w:r w:rsidRPr="00CB604C">
        <w:t xml:space="preserve">у </w:t>
      </w:r>
      <w:r>
        <w:t>пациентов</w:t>
      </w:r>
      <w:r w:rsidRPr="00CB604C">
        <w:t xml:space="preserve"> с персистирующей фебрильной нейтропенией длительностью от 4-5 дней и отсутствием диагностически значимых результатов исследований; </w:t>
      </w:r>
    </w:p>
    <w:p w14:paraId="5CF21E4F" w14:textId="77777777" w:rsidR="006D503D" w:rsidRDefault="006D503D" w:rsidP="00CE6C1C">
      <w:pPr>
        <w:pStyle w:val="a6"/>
        <w:widowControl w:val="0"/>
        <w:numPr>
          <w:ilvl w:val="0"/>
          <w:numId w:val="135"/>
        </w:numPr>
        <w:tabs>
          <w:tab w:val="left" w:pos="0"/>
        </w:tabs>
        <w:autoSpaceDE w:val="0"/>
        <w:autoSpaceDN w:val="0"/>
        <w:adjustRightInd w:val="0"/>
        <w:spacing w:before="60" w:after="60"/>
        <w:ind w:left="0" w:right="49" w:firstLine="0"/>
      </w:pPr>
      <w:r w:rsidRPr="00CB604C">
        <w:t xml:space="preserve">в качестве скрининга в группе высокого риска развития инфекций у </w:t>
      </w:r>
      <w:r>
        <w:t>пациентов</w:t>
      </w:r>
      <w:r w:rsidRPr="00CB604C">
        <w:t xml:space="preserve"> острыми лейкозами и у реципиентов аллогенного костного мозга при поступлении в стационар, затем каждые 7 дней до восстановления гранулоцитов в крови или лейкоцитов &gt;1,0×10</w:t>
      </w:r>
      <w:r w:rsidRPr="00CB604C">
        <w:rPr>
          <w:vertAlign w:val="superscript"/>
        </w:rPr>
        <w:t>9</w:t>
      </w:r>
      <w:r w:rsidRPr="00CB604C">
        <w:t xml:space="preserve">/л; </w:t>
      </w:r>
    </w:p>
    <w:p w14:paraId="4F81B0D6" w14:textId="77777777" w:rsidR="006D503D" w:rsidRPr="00CB604C" w:rsidRDefault="006D503D" w:rsidP="006D503D">
      <w:pPr>
        <w:widowControl w:val="0"/>
        <w:tabs>
          <w:tab w:val="left" w:pos="0"/>
        </w:tabs>
        <w:autoSpaceDE w:val="0"/>
        <w:autoSpaceDN w:val="0"/>
        <w:adjustRightInd w:val="0"/>
        <w:spacing w:before="60" w:after="60"/>
        <w:ind w:right="49"/>
      </w:pPr>
      <w:r>
        <w:tab/>
      </w:r>
      <w:r w:rsidRPr="00CB604C">
        <w:t xml:space="preserve">С учетом выделенных микроорганизмов может быть проведена коррекция </w:t>
      </w:r>
      <w:r w:rsidRPr="00CB604C">
        <w:lastRenderedPageBreak/>
        <w:t xml:space="preserve">антимикробной терапии при отсутствии диагностически значимых результатов исследований из клинически значимых образцов у </w:t>
      </w:r>
      <w:r>
        <w:t>пациентов</w:t>
      </w:r>
      <w:r w:rsidRPr="00CB604C">
        <w:t xml:space="preserve"> с персистирующей фебрильной нейтропенией. Обращают внимание на выделение полирезистентных грамотрицательных бактерий – </w:t>
      </w:r>
      <w:r w:rsidRPr="00CB604C">
        <w:rPr>
          <w:i/>
          <w:iCs/>
        </w:rPr>
        <w:t>P. aeruginosa,</w:t>
      </w:r>
      <w:r w:rsidRPr="00CB604C">
        <w:rPr>
          <w:i/>
        </w:rPr>
        <w:t xml:space="preserve"> A. baumannii, S. maltophilia</w:t>
      </w:r>
      <w:r w:rsidRPr="00CB604C">
        <w:t xml:space="preserve">, энтеробактерий с продукцией БЛРС или карбапенемаз, </w:t>
      </w:r>
    </w:p>
    <w:p w14:paraId="3D69F069" w14:textId="77777777" w:rsidR="006D503D" w:rsidRPr="00C73751" w:rsidRDefault="006D503D" w:rsidP="006D503D">
      <w:pPr>
        <w:widowControl w:val="0"/>
        <w:tabs>
          <w:tab w:val="left" w:pos="0"/>
        </w:tabs>
        <w:autoSpaceDE w:val="0"/>
        <w:autoSpaceDN w:val="0"/>
        <w:adjustRightInd w:val="0"/>
        <w:spacing w:before="60" w:after="60"/>
        <w:ind w:right="49" w:firstLine="709"/>
        <w:contextualSpacing/>
        <w:rPr>
          <w:b/>
        </w:rPr>
      </w:pPr>
      <w:r w:rsidRPr="00C73751">
        <w:rPr>
          <w:b/>
          <w:bCs/>
        </w:rPr>
        <w:t>5.2.9 Микробиологическое исследование мазка со слизистой оболочки носовых ходов</w:t>
      </w:r>
    </w:p>
    <w:p w14:paraId="2438D0DA" w14:textId="77777777" w:rsidR="006D503D" w:rsidRDefault="006D503D" w:rsidP="006D503D">
      <w:pPr>
        <w:widowControl w:val="0"/>
        <w:tabs>
          <w:tab w:val="left" w:pos="0"/>
        </w:tabs>
        <w:autoSpaceDE w:val="0"/>
        <w:autoSpaceDN w:val="0"/>
        <w:adjustRightInd w:val="0"/>
        <w:spacing w:before="60" w:after="60"/>
        <w:ind w:right="49" w:firstLine="709"/>
        <w:contextualSpacing/>
      </w:pPr>
      <w:r>
        <w:t>Исследования проводят по следующим показаниям:</w:t>
      </w:r>
    </w:p>
    <w:p w14:paraId="32B0F378" w14:textId="77777777" w:rsidR="006D503D" w:rsidRDefault="006D503D" w:rsidP="00CE6C1C">
      <w:pPr>
        <w:pStyle w:val="a6"/>
        <w:widowControl w:val="0"/>
        <w:numPr>
          <w:ilvl w:val="0"/>
          <w:numId w:val="136"/>
        </w:numPr>
        <w:tabs>
          <w:tab w:val="left" w:pos="0"/>
        </w:tabs>
        <w:autoSpaceDE w:val="0"/>
        <w:autoSpaceDN w:val="0"/>
        <w:adjustRightInd w:val="0"/>
        <w:spacing w:before="60" w:after="60"/>
        <w:ind w:left="0" w:right="49" w:firstLine="0"/>
      </w:pPr>
      <w:r w:rsidRPr="00CB604C">
        <w:t>наличие некроза слизистой оболочки носового хода</w:t>
      </w:r>
      <w:r>
        <w:t xml:space="preserve"> (</w:t>
      </w:r>
      <w:r w:rsidRPr="00CB604C">
        <w:t>посев только на плесневые (мицелиальные) грибы</w:t>
      </w:r>
      <w:r>
        <w:t>)</w:t>
      </w:r>
      <w:r w:rsidRPr="00CB604C">
        <w:t xml:space="preserve">; </w:t>
      </w:r>
    </w:p>
    <w:p w14:paraId="497905E1" w14:textId="77777777" w:rsidR="006D503D" w:rsidRPr="00CB604C" w:rsidRDefault="006D503D" w:rsidP="00CE6C1C">
      <w:pPr>
        <w:pStyle w:val="a6"/>
        <w:widowControl w:val="0"/>
        <w:numPr>
          <w:ilvl w:val="0"/>
          <w:numId w:val="136"/>
        </w:numPr>
        <w:tabs>
          <w:tab w:val="left" w:pos="0"/>
        </w:tabs>
        <w:autoSpaceDE w:val="0"/>
        <w:autoSpaceDN w:val="0"/>
        <w:adjustRightInd w:val="0"/>
        <w:spacing w:before="60" w:after="60"/>
        <w:ind w:left="0" w:right="49" w:firstLine="0"/>
      </w:pPr>
      <w:r w:rsidRPr="00CB604C">
        <w:t xml:space="preserve">исследование колонизации </w:t>
      </w:r>
      <w:r w:rsidRPr="00CB604C">
        <w:rPr>
          <w:i/>
        </w:rPr>
        <w:t>Staphylococcus aureus</w:t>
      </w:r>
      <w:r w:rsidRPr="00CB604C">
        <w:t xml:space="preserve"> у больных с пиодермией.  </w:t>
      </w:r>
    </w:p>
    <w:p w14:paraId="42E366EC" w14:textId="77777777" w:rsidR="006D503D" w:rsidRPr="00F24463" w:rsidRDefault="006D503D" w:rsidP="006D503D">
      <w:pPr>
        <w:widowControl w:val="0"/>
        <w:autoSpaceDE w:val="0"/>
        <w:autoSpaceDN w:val="0"/>
        <w:adjustRightInd w:val="0"/>
        <w:spacing w:before="240" w:after="60"/>
        <w:ind w:right="-93" w:firstLine="709"/>
        <w:contextualSpacing/>
        <w:rPr>
          <w:b/>
          <w:bCs/>
        </w:rPr>
      </w:pPr>
      <w:r>
        <w:rPr>
          <w:b/>
          <w:bCs/>
        </w:rPr>
        <w:t xml:space="preserve">5.2.10 </w:t>
      </w:r>
      <w:r w:rsidRPr="00F24463">
        <w:rPr>
          <w:b/>
          <w:bCs/>
        </w:rPr>
        <w:t xml:space="preserve">Микробиологическое исследование биоптатов / соскобов / </w:t>
      </w:r>
      <w:r w:rsidRPr="00F24463">
        <w:rPr>
          <w:b/>
        </w:rPr>
        <w:t>отделяемого пораженных участков</w:t>
      </w:r>
      <w:r w:rsidRPr="00F24463">
        <w:rPr>
          <w:b/>
          <w:bCs/>
        </w:rPr>
        <w:t xml:space="preserve"> кожи</w:t>
      </w:r>
    </w:p>
    <w:p w14:paraId="28F051F0" w14:textId="77777777" w:rsidR="006D503D" w:rsidRPr="00761653" w:rsidRDefault="006D503D" w:rsidP="006D503D">
      <w:pPr>
        <w:widowControl w:val="0"/>
        <w:tabs>
          <w:tab w:val="left" w:pos="0"/>
        </w:tabs>
        <w:autoSpaceDE w:val="0"/>
        <w:autoSpaceDN w:val="0"/>
        <w:adjustRightInd w:val="0"/>
        <w:spacing w:before="60" w:after="60"/>
        <w:ind w:firstLine="709"/>
        <w:contextualSpacing/>
        <w:rPr>
          <w:b/>
          <w:bCs/>
        </w:rPr>
      </w:pPr>
      <w:r>
        <w:t>Исследование проводят при наличии</w:t>
      </w:r>
      <w:r w:rsidRPr="00761653">
        <w:t xml:space="preserve"> септикопиемических очагов </w:t>
      </w:r>
      <w:r>
        <w:t xml:space="preserve">кожи </w:t>
      </w:r>
      <w:r w:rsidRPr="00761653">
        <w:t xml:space="preserve">(инфильтраты в дерме любых размеров, возникшие при </w:t>
      </w:r>
      <w:r>
        <w:t>гипертермии</w:t>
      </w:r>
      <w:r w:rsidRPr="00761653">
        <w:t>) или других образований на коже.</w:t>
      </w:r>
      <w:r w:rsidRPr="00761653">
        <w:rPr>
          <w:b/>
          <w:bCs/>
        </w:rPr>
        <w:t xml:space="preserve"> </w:t>
      </w:r>
      <w:r w:rsidRPr="00761653">
        <w:t xml:space="preserve">Проводят гистологическое и микробиологическое </w:t>
      </w:r>
      <w:r>
        <w:t xml:space="preserve">(культуральное) </w:t>
      </w:r>
      <w:r w:rsidRPr="00761653">
        <w:t xml:space="preserve">исследование на наличие </w:t>
      </w:r>
      <w:r>
        <w:t xml:space="preserve">бактерий, </w:t>
      </w:r>
      <w:r w:rsidRPr="00761653">
        <w:t>грибов</w:t>
      </w:r>
      <w:r>
        <w:t>, туберкуляза</w:t>
      </w:r>
      <w:r w:rsidRPr="00761653">
        <w:t xml:space="preserve">; </w:t>
      </w:r>
      <w:r>
        <w:t xml:space="preserve">микроскопическое исследование </w:t>
      </w:r>
      <w:r w:rsidRPr="00761653">
        <w:t>с окраской по Граму, Цилю-Нильсену, калькофлюором белым.</w:t>
      </w:r>
    </w:p>
    <w:p w14:paraId="268434BD" w14:textId="77777777" w:rsidR="006D503D" w:rsidRPr="00F24463" w:rsidRDefault="006D503D" w:rsidP="006D503D">
      <w:pPr>
        <w:widowControl w:val="0"/>
        <w:autoSpaceDE w:val="0"/>
        <w:autoSpaceDN w:val="0"/>
        <w:adjustRightInd w:val="0"/>
        <w:spacing w:before="240" w:after="60"/>
        <w:ind w:firstLine="709"/>
        <w:contextualSpacing/>
        <w:rPr>
          <w:b/>
          <w:bCs/>
        </w:rPr>
      </w:pPr>
      <w:r w:rsidRPr="00F24463">
        <w:rPr>
          <w:b/>
        </w:rPr>
        <w:t xml:space="preserve">5.2.11 </w:t>
      </w:r>
      <w:r w:rsidRPr="00F24463">
        <w:rPr>
          <w:b/>
          <w:bCs/>
        </w:rPr>
        <w:t xml:space="preserve">Исследование жидкости бронхоальвеолярного лаважа </w:t>
      </w:r>
    </w:p>
    <w:p w14:paraId="38E7F441" w14:textId="77777777" w:rsidR="006D503D" w:rsidRPr="00761653" w:rsidRDefault="006D503D" w:rsidP="006D503D">
      <w:pPr>
        <w:widowControl w:val="0"/>
        <w:tabs>
          <w:tab w:val="left" w:pos="0"/>
        </w:tabs>
        <w:autoSpaceDE w:val="0"/>
        <w:autoSpaceDN w:val="0"/>
        <w:adjustRightInd w:val="0"/>
        <w:spacing w:before="60" w:after="60"/>
        <w:ind w:firstLine="709"/>
        <w:contextualSpacing/>
      </w:pPr>
      <w:r>
        <w:t xml:space="preserve">Исследование </w:t>
      </w:r>
      <w:r w:rsidRPr="00761653">
        <w:t>бронхоальвеолярн</w:t>
      </w:r>
      <w:r>
        <w:t>ого</w:t>
      </w:r>
      <w:r w:rsidRPr="00761653">
        <w:t xml:space="preserve"> лаваж</w:t>
      </w:r>
      <w:r>
        <w:t>а (БАЛ) проводят при</w:t>
      </w:r>
      <w:r w:rsidRPr="00761653">
        <w:t xml:space="preserve"> наличи</w:t>
      </w:r>
      <w:r>
        <w:t>и</w:t>
      </w:r>
      <w:r w:rsidRPr="00761653">
        <w:t xml:space="preserve"> изменений в легких. Исследование </w:t>
      </w:r>
      <w:r>
        <w:t xml:space="preserve">лаважной </w:t>
      </w:r>
      <w:r w:rsidRPr="00761653">
        <w:t xml:space="preserve">жидкости включает цитологию мазков, микроскопию мазков световую (окраска по Граму, Цилю-Нильсену) и флуоресцентную (окраска калькофлуором белым для детекции мицелия грибов), микробиологическое </w:t>
      </w:r>
      <w:r>
        <w:t xml:space="preserve">(культуральное) </w:t>
      </w:r>
      <w:r w:rsidRPr="00761653">
        <w:t xml:space="preserve">исследование на бактерии, включая </w:t>
      </w:r>
      <w:r w:rsidRPr="00761653">
        <w:rPr>
          <w:i/>
          <w:iCs/>
        </w:rPr>
        <w:t>Legionella</w:t>
      </w:r>
      <w:r w:rsidRPr="00761653">
        <w:t xml:space="preserve"> spp., и грибы, флюоресцентную микроскопию </w:t>
      </w:r>
      <w:r w:rsidRPr="00761653">
        <w:rPr>
          <w:i/>
          <w:iCs/>
        </w:rPr>
        <w:t xml:space="preserve">Pneumocystis jirovecii, </w:t>
      </w:r>
      <w:r>
        <w:rPr>
          <w:iCs/>
        </w:rPr>
        <w:t xml:space="preserve">молекулярно-биологическое исследование для </w:t>
      </w:r>
      <w:r w:rsidRPr="00761653">
        <w:t>определени</w:t>
      </w:r>
      <w:r>
        <w:t>я</w:t>
      </w:r>
      <w:r w:rsidRPr="00761653">
        <w:t xml:space="preserve"> ДНК </w:t>
      </w:r>
      <w:r w:rsidRPr="00761653">
        <w:rPr>
          <w:i/>
          <w:iCs/>
        </w:rPr>
        <w:t xml:space="preserve">P. jirovecii </w:t>
      </w:r>
      <w:r w:rsidRPr="00761653">
        <w:t>методом ПЦР, определени</w:t>
      </w:r>
      <w:r>
        <w:t>я</w:t>
      </w:r>
      <w:r w:rsidRPr="00761653">
        <w:t xml:space="preserve"> антигена </w:t>
      </w:r>
      <w:r w:rsidRPr="00761653">
        <w:rPr>
          <w:i/>
          <w:iCs/>
        </w:rPr>
        <w:t>Aspergillus</w:t>
      </w:r>
      <w:r w:rsidRPr="00761653">
        <w:t xml:space="preserve"> (галактоманнан) в жидкости БАЛ, </w:t>
      </w:r>
      <w:r>
        <w:t xml:space="preserve">молекулярно-биологичесие </w:t>
      </w:r>
      <w:r w:rsidRPr="00761653">
        <w:t>исследовани</w:t>
      </w:r>
      <w:r>
        <w:t>я</w:t>
      </w:r>
      <w:r w:rsidRPr="00761653">
        <w:t xml:space="preserve"> на микобактерии методом ПЦР, </w:t>
      </w:r>
      <w:r>
        <w:t xml:space="preserve">для </w:t>
      </w:r>
      <w:r w:rsidRPr="00761653">
        <w:t>определени</w:t>
      </w:r>
      <w:r>
        <w:t>я</w:t>
      </w:r>
      <w:r w:rsidRPr="00761653">
        <w:t xml:space="preserve"> ДНК </w:t>
      </w:r>
      <w:r w:rsidRPr="00761653">
        <w:rPr>
          <w:i/>
          <w:iCs/>
        </w:rPr>
        <w:t xml:space="preserve">Mycoplasma pneumoniae </w:t>
      </w:r>
      <w:r w:rsidRPr="00761653">
        <w:rPr>
          <w:iCs/>
        </w:rPr>
        <w:t>и</w:t>
      </w:r>
      <w:r w:rsidRPr="00761653">
        <w:rPr>
          <w:i/>
          <w:iCs/>
        </w:rPr>
        <w:t xml:space="preserve"> Chlamydophila pneumoniae</w:t>
      </w:r>
      <w:r w:rsidRPr="00761653">
        <w:t xml:space="preserve"> методом ПЦР, определени</w:t>
      </w:r>
      <w:r>
        <w:t>я</w:t>
      </w:r>
      <w:r w:rsidRPr="00761653">
        <w:t xml:space="preserve"> ДНК герпес вирусов и респираторных вирусов (Influenza, Parainfluenza, RSV, Coronavirus, Human metapneumovirus, H1N1) методом ПЦР.</w:t>
      </w:r>
    </w:p>
    <w:p w14:paraId="359220EE" w14:textId="77777777" w:rsidR="006D503D" w:rsidRPr="00761653" w:rsidRDefault="006D503D" w:rsidP="006D503D">
      <w:pPr>
        <w:widowControl w:val="0"/>
        <w:tabs>
          <w:tab w:val="left" w:pos="1134"/>
        </w:tabs>
        <w:autoSpaceDE w:val="0"/>
        <w:autoSpaceDN w:val="0"/>
        <w:adjustRightInd w:val="0"/>
        <w:spacing w:before="60" w:after="60"/>
        <w:ind w:firstLine="709"/>
        <w:contextualSpacing/>
        <w:rPr>
          <w:b/>
          <w:u w:val="single"/>
        </w:rPr>
      </w:pPr>
      <w:r w:rsidRPr="00761653">
        <w:rPr>
          <w:b/>
          <w:u w:val="single"/>
        </w:rPr>
        <w:t xml:space="preserve">Определение антигена </w:t>
      </w:r>
      <w:r w:rsidRPr="00761653">
        <w:rPr>
          <w:b/>
          <w:i/>
          <w:iCs/>
          <w:u w:val="single"/>
        </w:rPr>
        <w:t>Legionella pneumophila</w:t>
      </w:r>
      <w:r w:rsidRPr="00761653">
        <w:rPr>
          <w:b/>
          <w:u w:val="single"/>
        </w:rPr>
        <w:t xml:space="preserve"> в моче</w:t>
      </w:r>
    </w:p>
    <w:p w14:paraId="42061098" w14:textId="77777777" w:rsidR="006D503D" w:rsidRPr="00761653" w:rsidRDefault="006D503D" w:rsidP="006D503D">
      <w:pPr>
        <w:widowControl w:val="0"/>
        <w:tabs>
          <w:tab w:val="left" w:pos="1134"/>
        </w:tabs>
        <w:autoSpaceDE w:val="0"/>
        <w:autoSpaceDN w:val="0"/>
        <w:adjustRightInd w:val="0"/>
        <w:spacing w:before="60" w:after="60"/>
        <w:ind w:firstLine="709"/>
        <w:contextualSpacing/>
      </w:pPr>
      <w:r>
        <w:t>Проводится при</w:t>
      </w:r>
      <w:r w:rsidRPr="00761653">
        <w:t xml:space="preserve"> наличи</w:t>
      </w:r>
      <w:r>
        <w:t>и</w:t>
      </w:r>
      <w:r w:rsidRPr="00761653">
        <w:t xml:space="preserve"> пневмонии с очагами консолидации.</w:t>
      </w:r>
    </w:p>
    <w:p w14:paraId="7DB771A7" w14:textId="77777777" w:rsidR="006D503D" w:rsidRPr="00761653" w:rsidRDefault="006D503D" w:rsidP="006D503D">
      <w:pPr>
        <w:widowControl w:val="0"/>
        <w:autoSpaceDE w:val="0"/>
        <w:autoSpaceDN w:val="0"/>
        <w:adjustRightInd w:val="0"/>
        <w:spacing w:before="240" w:after="60"/>
        <w:ind w:firstLine="709"/>
        <w:contextualSpacing/>
        <w:rPr>
          <w:b/>
          <w:bCs/>
          <w:u w:val="single"/>
        </w:rPr>
      </w:pPr>
      <w:r w:rsidRPr="00761653">
        <w:rPr>
          <w:b/>
          <w:u w:val="single"/>
        </w:rPr>
        <w:lastRenderedPageBreak/>
        <w:t xml:space="preserve">Исследование антигена </w:t>
      </w:r>
      <w:r w:rsidRPr="00761653">
        <w:rPr>
          <w:b/>
          <w:bCs/>
          <w:i/>
          <w:iCs/>
          <w:u w:val="single"/>
        </w:rPr>
        <w:t>Aspergillus</w:t>
      </w:r>
      <w:r w:rsidRPr="00761653">
        <w:rPr>
          <w:b/>
          <w:bCs/>
          <w:u w:val="single"/>
        </w:rPr>
        <w:t xml:space="preserve"> (галактоманнан) в сыворотке крови, в жидкости БАЛ, в СМЖ</w:t>
      </w:r>
    </w:p>
    <w:p w14:paraId="01901D17" w14:textId="77777777" w:rsidR="006D503D" w:rsidRDefault="006D503D" w:rsidP="006D503D">
      <w:pPr>
        <w:widowControl w:val="0"/>
        <w:tabs>
          <w:tab w:val="left" w:pos="0"/>
        </w:tabs>
        <w:autoSpaceDE w:val="0"/>
        <w:autoSpaceDN w:val="0"/>
        <w:adjustRightInd w:val="0"/>
        <w:spacing w:before="60" w:after="60"/>
        <w:ind w:firstLine="709"/>
        <w:contextualSpacing/>
        <w:rPr>
          <w:bCs/>
        </w:rPr>
      </w:pPr>
      <w:r>
        <w:rPr>
          <w:bCs/>
          <w:iCs/>
        </w:rPr>
        <w:t>Исследование показано в следующих клинических ситуациях:</w:t>
      </w:r>
      <w:r w:rsidRPr="00761653">
        <w:rPr>
          <w:bCs/>
        </w:rPr>
        <w:t xml:space="preserve"> </w:t>
      </w:r>
    </w:p>
    <w:p w14:paraId="10B8B3C8" w14:textId="77777777" w:rsidR="006D503D" w:rsidRPr="00833774" w:rsidRDefault="006D503D" w:rsidP="00CE6C1C">
      <w:pPr>
        <w:pStyle w:val="a6"/>
        <w:widowControl w:val="0"/>
        <w:numPr>
          <w:ilvl w:val="0"/>
          <w:numId w:val="137"/>
        </w:numPr>
        <w:tabs>
          <w:tab w:val="left" w:pos="0"/>
        </w:tabs>
        <w:autoSpaceDE w:val="0"/>
        <w:autoSpaceDN w:val="0"/>
        <w:adjustRightInd w:val="0"/>
        <w:spacing w:before="60" w:after="60"/>
        <w:ind w:left="0" w:firstLine="0"/>
      </w:pPr>
      <w:r w:rsidRPr="00833774">
        <w:rPr>
          <w:bCs/>
        </w:rPr>
        <w:t xml:space="preserve">мониторинг в период нейтропении у </w:t>
      </w:r>
      <w:r>
        <w:rPr>
          <w:bCs/>
        </w:rPr>
        <w:t>пациентов</w:t>
      </w:r>
      <w:r w:rsidRPr="00833774">
        <w:rPr>
          <w:bCs/>
        </w:rPr>
        <w:t xml:space="preserve"> острыми миело</w:t>
      </w:r>
      <w:r>
        <w:rPr>
          <w:bCs/>
        </w:rPr>
        <w:t>идными лейкозами и у реципиентов</w:t>
      </w:r>
      <w:r w:rsidRPr="00833774">
        <w:rPr>
          <w:bCs/>
        </w:rPr>
        <w:t xml:space="preserve"> аллогеннных гемопоэтических клеток, если не проводится профилактики противогрибковыми препаратами, активными</w:t>
      </w:r>
      <w:r>
        <w:rPr>
          <w:bCs/>
        </w:rPr>
        <w:t xml:space="preserve"> в отношении плесневых грибов; </w:t>
      </w:r>
    </w:p>
    <w:p w14:paraId="18D5AA85" w14:textId="77777777" w:rsidR="006D503D" w:rsidRDefault="006D503D" w:rsidP="00CE6C1C">
      <w:pPr>
        <w:pStyle w:val="a6"/>
        <w:widowControl w:val="0"/>
        <w:numPr>
          <w:ilvl w:val="0"/>
          <w:numId w:val="137"/>
        </w:numPr>
        <w:tabs>
          <w:tab w:val="left" w:pos="0"/>
        </w:tabs>
        <w:autoSpaceDE w:val="0"/>
        <w:autoSpaceDN w:val="0"/>
        <w:adjustRightInd w:val="0"/>
        <w:spacing w:before="60" w:after="60"/>
        <w:ind w:left="0" w:firstLine="0"/>
      </w:pPr>
      <w:r w:rsidRPr="00680401">
        <w:t>у пациентов с факторами риска (длительность нейтропении от 10 дней и более, применение глюкокортикоидов, флударабина или алемтузумаба) и р</w:t>
      </w:r>
      <w:r>
        <w:t>ади</w:t>
      </w:r>
      <w:r w:rsidRPr="00680401">
        <w:t xml:space="preserve">ологическими признаками, характерными для инвазивного аспергиллеза, в период нейтропении. </w:t>
      </w:r>
    </w:p>
    <w:p w14:paraId="57FB6B65" w14:textId="77777777" w:rsidR="006D503D" w:rsidRDefault="006D503D" w:rsidP="00CE6C1C">
      <w:pPr>
        <w:pStyle w:val="a6"/>
        <w:widowControl w:val="0"/>
        <w:numPr>
          <w:ilvl w:val="0"/>
          <w:numId w:val="137"/>
        </w:numPr>
        <w:tabs>
          <w:tab w:val="left" w:pos="0"/>
        </w:tabs>
        <w:autoSpaceDE w:val="0"/>
        <w:autoSpaceDN w:val="0"/>
        <w:adjustRightInd w:val="0"/>
        <w:spacing w:before="60" w:after="60"/>
        <w:ind w:left="0" w:firstLine="0"/>
      </w:pPr>
      <w:r>
        <w:t xml:space="preserve">при клинико-радиологических признаках, подозрительных в отношении инвазивного аспергилеза, независимо от </w:t>
      </w:r>
      <w:r w:rsidRPr="00680401">
        <w:t>нейтропении.</w:t>
      </w:r>
    </w:p>
    <w:p w14:paraId="6353F74A" w14:textId="77777777" w:rsidR="006D503D" w:rsidRPr="00761653" w:rsidRDefault="006D503D" w:rsidP="006D503D">
      <w:pPr>
        <w:widowControl w:val="0"/>
        <w:tabs>
          <w:tab w:val="left" w:pos="0"/>
        </w:tabs>
        <w:autoSpaceDE w:val="0"/>
        <w:autoSpaceDN w:val="0"/>
        <w:adjustRightInd w:val="0"/>
        <w:spacing w:before="60" w:after="60"/>
      </w:pPr>
      <w:r>
        <w:rPr>
          <w:bCs/>
        </w:rPr>
        <w:tab/>
      </w:r>
      <w:r w:rsidRPr="00680401">
        <w:rPr>
          <w:bCs/>
        </w:rPr>
        <w:t>И</w:t>
      </w:r>
      <w:r w:rsidRPr="00680401">
        <w:t xml:space="preserve">сследование проводят не менее двух раз в течение 5 дней. Антиген </w:t>
      </w:r>
      <w:r w:rsidRPr="00680401">
        <w:rPr>
          <w:i/>
          <w:iCs/>
        </w:rPr>
        <w:t>Aspergillus</w:t>
      </w:r>
      <w:r w:rsidRPr="00680401">
        <w:t xml:space="preserve"> исследуют до назначения противогрибковых препаратов, активных в отношении мицелиальных грибов. Тест включен в критерии диагностики инвазивного аспергиллеза.</w:t>
      </w:r>
      <w:r>
        <w:t xml:space="preserve"> </w:t>
      </w:r>
      <w:r w:rsidRPr="00761653">
        <w:t xml:space="preserve">Положительные значения индекса оптической плотности определения антигена </w:t>
      </w:r>
      <w:r w:rsidRPr="00761653">
        <w:rPr>
          <w:i/>
          <w:iCs/>
        </w:rPr>
        <w:t>Aspergillus</w:t>
      </w:r>
      <w:r w:rsidRPr="00761653">
        <w:t xml:space="preserve"> в сыворотке крови</w:t>
      </w:r>
      <w:r>
        <w:t xml:space="preserve">: </w:t>
      </w:r>
      <w:r w:rsidRPr="00761653">
        <w:t xml:space="preserve"> ≥0,5, в жидкости БАЛ</w:t>
      </w:r>
      <w:r>
        <w:t>:</w:t>
      </w:r>
      <w:r w:rsidRPr="00761653">
        <w:t xml:space="preserve"> ≥1,0, в СМЖ</w:t>
      </w:r>
      <w:r>
        <w:t>:</w:t>
      </w:r>
      <w:r w:rsidRPr="00761653">
        <w:t xml:space="preserve"> ≥1,0 [6]. </w:t>
      </w:r>
    </w:p>
    <w:p w14:paraId="2742C234" w14:textId="77777777" w:rsidR="006D503D" w:rsidRPr="00761653" w:rsidRDefault="006D503D" w:rsidP="006D503D">
      <w:pPr>
        <w:widowControl w:val="0"/>
        <w:tabs>
          <w:tab w:val="left" w:pos="0"/>
        </w:tabs>
        <w:autoSpaceDE w:val="0"/>
        <w:autoSpaceDN w:val="0"/>
        <w:adjustRightInd w:val="0"/>
        <w:spacing w:before="60" w:after="60"/>
        <w:contextualSpacing/>
        <w:rPr>
          <w:b/>
          <w:u w:val="single"/>
        </w:rPr>
      </w:pPr>
      <w:r w:rsidRPr="00761653">
        <w:rPr>
          <w:b/>
          <w:bCs/>
          <w:u w:val="single"/>
        </w:rPr>
        <w:t xml:space="preserve">Исследование антигена </w:t>
      </w:r>
      <w:r w:rsidRPr="00761653">
        <w:rPr>
          <w:b/>
          <w:bCs/>
          <w:i/>
          <w:iCs/>
          <w:u w:val="single"/>
        </w:rPr>
        <w:t>Candida</w:t>
      </w:r>
      <w:r w:rsidRPr="00761653">
        <w:rPr>
          <w:b/>
          <w:bCs/>
          <w:u w:val="single"/>
        </w:rPr>
        <w:t xml:space="preserve"> (маннан) и антител</w:t>
      </w:r>
      <w:r w:rsidRPr="00761653">
        <w:rPr>
          <w:b/>
          <w:bCs/>
          <w:iCs/>
          <w:u w:val="single"/>
        </w:rPr>
        <w:t xml:space="preserve"> </w:t>
      </w:r>
      <w:r w:rsidRPr="00761653">
        <w:rPr>
          <w:b/>
          <w:bCs/>
          <w:i/>
          <w:iCs/>
          <w:u w:val="single"/>
        </w:rPr>
        <w:t>Candida</w:t>
      </w:r>
      <w:r w:rsidRPr="00761653">
        <w:rPr>
          <w:b/>
          <w:bCs/>
          <w:u w:val="single"/>
        </w:rPr>
        <w:t xml:space="preserve"> (антиманнан) в сыворотке крови</w:t>
      </w:r>
    </w:p>
    <w:p w14:paraId="47210315" w14:textId="77777777" w:rsidR="006D503D" w:rsidRDefault="006D503D" w:rsidP="006D503D">
      <w:pPr>
        <w:widowControl w:val="0"/>
        <w:tabs>
          <w:tab w:val="left" w:pos="0"/>
        </w:tabs>
        <w:autoSpaceDE w:val="0"/>
        <w:autoSpaceDN w:val="0"/>
        <w:adjustRightInd w:val="0"/>
        <w:spacing w:before="60" w:after="60"/>
        <w:contextualSpacing/>
      </w:pPr>
      <w:r>
        <w:t>Исследования проводят по следующим показаниям:</w:t>
      </w:r>
    </w:p>
    <w:p w14:paraId="58800D53" w14:textId="77777777" w:rsidR="006D503D" w:rsidRDefault="006D503D" w:rsidP="00CE6C1C">
      <w:pPr>
        <w:pStyle w:val="a6"/>
        <w:widowControl w:val="0"/>
        <w:numPr>
          <w:ilvl w:val="0"/>
          <w:numId w:val="138"/>
        </w:numPr>
        <w:tabs>
          <w:tab w:val="left" w:pos="0"/>
        </w:tabs>
        <w:autoSpaceDE w:val="0"/>
        <w:autoSpaceDN w:val="0"/>
        <w:adjustRightInd w:val="0"/>
        <w:spacing w:before="60" w:after="60"/>
        <w:ind w:left="0" w:firstLine="0"/>
      </w:pPr>
      <w:r w:rsidRPr="00315F82">
        <w:t xml:space="preserve">множественные очаги в печени и/или селезенке (подозрение на гепатолиенальный кандидоз); </w:t>
      </w:r>
    </w:p>
    <w:p w14:paraId="438C1B0B" w14:textId="77777777" w:rsidR="006D503D" w:rsidRDefault="006D503D" w:rsidP="00CE6C1C">
      <w:pPr>
        <w:pStyle w:val="a6"/>
        <w:widowControl w:val="0"/>
        <w:numPr>
          <w:ilvl w:val="0"/>
          <w:numId w:val="138"/>
        </w:numPr>
        <w:tabs>
          <w:tab w:val="left" w:pos="0"/>
        </w:tabs>
        <w:autoSpaceDE w:val="0"/>
        <w:autoSpaceDN w:val="0"/>
        <w:adjustRightInd w:val="0"/>
        <w:spacing w:before="60" w:after="60"/>
        <w:ind w:left="0" w:firstLine="0"/>
      </w:pPr>
      <w:r w:rsidRPr="00315F82">
        <w:t xml:space="preserve">предполагаемый инвазивный кандидоз у больных с длительной (более 7-10 дней) персистирующей температурой. </w:t>
      </w:r>
    </w:p>
    <w:p w14:paraId="70F6526E" w14:textId="77777777" w:rsidR="006D503D" w:rsidRPr="00315F82" w:rsidRDefault="006D503D" w:rsidP="006D503D">
      <w:pPr>
        <w:widowControl w:val="0"/>
        <w:tabs>
          <w:tab w:val="left" w:pos="0"/>
        </w:tabs>
        <w:autoSpaceDE w:val="0"/>
        <w:autoSpaceDN w:val="0"/>
        <w:adjustRightInd w:val="0"/>
        <w:spacing w:before="60" w:after="60"/>
      </w:pPr>
      <w:r>
        <w:tab/>
      </w:r>
      <w:r w:rsidRPr="00315F82">
        <w:t>Образец для исследования - кровь. Результат исследования считается положи</w:t>
      </w:r>
      <w:r>
        <w:t xml:space="preserve">тельным при следующих значениях: </w:t>
      </w:r>
      <w:r w:rsidRPr="00315F82">
        <w:t xml:space="preserve">антиген </w:t>
      </w:r>
      <w:r w:rsidRPr="00315F82">
        <w:rPr>
          <w:i/>
          <w:iCs/>
        </w:rPr>
        <w:t>Candida</w:t>
      </w:r>
      <w:r w:rsidRPr="00315F82">
        <w:t xml:space="preserve"> (маннан) ≥125 пг/мл; антитела </w:t>
      </w:r>
      <w:r w:rsidRPr="00315F82">
        <w:rPr>
          <w:i/>
          <w:iCs/>
        </w:rPr>
        <w:t>Candida</w:t>
      </w:r>
      <w:r w:rsidRPr="00315F82">
        <w:t xml:space="preserve"> (антиманнан) ≥10 МЕ/мл. Тест не включен в критерии диагностики инвазивного кандидоза. Тест имеет высокое отрицательное прогностическое значение. При положительных значениях нельзя исключить наличие инвазивного кандидоза. Чувствительность и специфичность составляют около 50—60%. У </w:t>
      </w:r>
      <w:r>
        <w:t xml:space="preserve">пациентов </w:t>
      </w:r>
      <w:r w:rsidRPr="00315F82">
        <w:t xml:space="preserve">с колонизацией слизистых оболочек </w:t>
      </w:r>
      <w:r w:rsidRPr="00315F82">
        <w:rPr>
          <w:i/>
        </w:rPr>
        <w:t>Candida</w:t>
      </w:r>
      <w:r w:rsidRPr="00315F82">
        <w:t xml:space="preserve"> spp могут быть положительные значения антиманнана.</w:t>
      </w:r>
    </w:p>
    <w:p w14:paraId="34C53335" w14:textId="77777777" w:rsidR="006D503D" w:rsidRPr="00761653" w:rsidRDefault="006D503D" w:rsidP="006D503D">
      <w:pPr>
        <w:widowControl w:val="0"/>
        <w:autoSpaceDE w:val="0"/>
        <w:autoSpaceDN w:val="0"/>
        <w:adjustRightInd w:val="0"/>
        <w:ind w:firstLine="709"/>
        <w:contextualSpacing/>
        <w:rPr>
          <w:b/>
          <w:bCs/>
          <w:u w:val="single"/>
        </w:rPr>
      </w:pPr>
      <w:r w:rsidRPr="00761653">
        <w:rPr>
          <w:b/>
          <w:bCs/>
          <w:u w:val="single"/>
        </w:rPr>
        <w:t xml:space="preserve">Определение антигена </w:t>
      </w:r>
      <w:r w:rsidRPr="00761653">
        <w:rPr>
          <w:b/>
          <w:bCs/>
          <w:i/>
          <w:iCs/>
          <w:u w:val="single"/>
        </w:rPr>
        <w:t>Cryptocococcus</w:t>
      </w:r>
      <w:r w:rsidRPr="00761653">
        <w:rPr>
          <w:b/>
          <w:bCs/>
          <w:u w:val="single"/>
        </w:rPr>
        <w:t xml:space="preserve"> (глюкуроноксиломаннан)</w:t>
      </w:r>
    </w:p>
    <w:p w14:paraId="0C4A4BA7" w14:textId="77777777" w:rsidR="006D503D" w:rsidRPr="00761653" w:rsidRDefault="006D503D" w:rsidP="006D503D">
      <w:pPr>
        <w:widowControl w:val="0"/>
        <w:autoSpaceDE w:val="0"/>
        <w:autoSpaceDN w:val="0"/>
        <w:adjustRightInd w:val="0"/>
        <w:ind w:firstLine="709"/>
        <w:contextualSpacing/>
      </w:pPr>
      <w:r>
        <w:t xml:space="preserve">Исследование выполняется при </w:t>
      </w:r>
      <w:r w:rsidRPr="00761653">
        <w:t>подозрени</w:t>
      </w:r>
      <w:r>
        <w:t>и</w:t>
      </w:r>
      <w:r w:rsidRPr="00761653">
        <w:t xml:space="preserve"> на инфекцию, вызванную </w:t>
      </w:r>
      <w:r w:rsidRPr="00761653">
        <w:lastRenderedPageBreak/>
        <w:t xml:space="preserve">криптококком, у </w:t>
      </w:r>
      <w:r>
        <w:t>пациентов с факторами риска (Т-клеточный</w:t>
      </w:r>
      <w:r w:rsidRPr="00761653">
        <w:t xml:space="preserve"> иммунодефицит) возникновения этой инфекции. Группу риска </w:t>
      </w:r>
      <w:r>
        <w:t xml:space="preserve">в том числе </w:t>
      </w:r>
      <w:r w:rsidRPr="00761653">
        <w:t xml:space="preserve">составляют </w:t>
      </w:r>
      <w:r>
        <w:t>пациенты, получающие</w:t>
      </w:r>
      <w:r w:rsidRPr="00761653">
        <w:t xml:space="preserve"> лечение глюкокортикоидами, флударабином, алемтузумабом, циклоспорином. Определяют антиген в СМЖ, в крови, жидкости БАЛ, моче. Тест включен в критерии диагностики инвазивного криптоккоза. Исследование проводят с помощью латекс-теста (качественный анализ).</w:t>
      </w:r>
    </w:p>
    <w:p w14:paraId="1944FF84" w14:textId="77777777" w:rsidR="006D503D" w:rsidRPr="00761653" w:rsidRDefault="006D503D" w:rsidP="006D503D">
      <w:pPr>
        <w:widowControl w:val="0"/>
        <w:autoSpaceDE w:val="0"/>
        <w:autoSpaceDN w:val="0"/>
        <w:adjustRightInd w:val="0"/>
        <w:spacing w:before="240" w:after="60"/>
        <w:ind w:firstLine="709"/>
        <w:contextualSpacing/>
        <w:rPr>
          <w:b/>
          <w:bCs/>
          <w:u w:val="single"/>
        </w:rPr>
      </w:pPr>
      <w:r w:rsidRPr="00761653">
        <w:rPr>
          <w:b/>
          <w:bCs/>
          <w:u w:val="single"/>
        </w:rPr>
        <w:t xml:space="preserve">Исследование антитела </w:t>
      </w:r>
      <w:r w:rsidRPr="00761653">
        <w:rPr>
          <w:b/>
          <w:bCs/>
          <w:i/>
          <w:iCs/>
          <w:u w:val="single"/>
        </w:rPr>
        <w:t>Мycoplasma pneumonia</w:t>
      </w:r>
      <w:r w:rsidRPr="00761653">
        <w:rPr>
          <w:b/>
          <w:bCs/>
          <w:i/>
          <w:u w:val="single"/>
        </w:rPr>
        <w:t>e</w:t>
      </w:r>
      <w:r w:rsidRPr="00761653">
        <w:rPr>
          <w:b/>
          <w:bCs/>
          <w:u w:val="single"/>
        </w:rPr>
        <w:t xml:space="preserve"> (IgM, IgG), </w:t>
      </w:r>
      <w:r w:rsidRPr="00761653">
        <w:rPr>
          <w:b/>
          <w:bCs/>
          <w:i/>
          <w:iCs/>
          <w:u w:val="single"/>
        </w:rPr>
        <w:t>Chlamydophila pneumoniae</w:t>
      </w:r>
      <w:r w:rsidRPr="00761653">
        <w:rPr>
          <w:b/>
          <w:bCs/>
          <w:u w:val="single"/>
        </w:rPr>
        <w:t xml:space="preserve"> (IgM, IgG) в крови </w:t>
      </w:r>
    </w:p>
    <w:p w14:paraId="070B2720" w14:textId="77777777" w:rsidR="006D503D" w:rsidRPr="00761653" w:rsidRDefault="006D503D" w:rsidP="006D503D">
      <w:pPr>
        <w:widowControl w:val="0"/>
        <w:tabs>
          <w:tab w:val="left" w:pos="0"/>
        </w:tabs>
        <w:autoSpaceDE w:val="0"/>
        <w:autoSpaceDN w:val="0"/>
        <w:adjustRightInd w:val="0"/>
        <w:spacing w:before="60" w:after="60"/>
        <w:contextualSpacing/>
      </w:pPr>
      <w:r w:rsidRPr="00761653">
        <w:tab/>
        <w:t>Показания — пневмония, возникшая амбулаторно.</w:t>
      </w:r>
    </w:p>
    <w:p w14:paraId="51E8A4A1" w14:textId="77777777" w:rsidR="006D503D" w:rsidRPr="00761653" w:rsidRDefault="006D503D" w:rsidP="006D503D">
      <w:pPr>
        <w:widowControl w:val="0"/>
        <w:tabs>
          <w:tab w:val="left" w:pos="317"/>
        </w:tabs>
        <w:autoSpaceDE w:val="0"/>
        <w:autoSpaceDN w:val="0"/>
        <w:adjustRightInd w:val="0"/>
        <w:spacing w:before="60" w:after="60"/>
        <w:ind w:firstLine="709"/>
        <w:contextualSpacing/>
        <w:rPr>
          <w:b/>
        </w:rPr>
      </w:pPr>
      <w:r>
        <w:rPr>
          <w:b/>
        </w:rPr>
        <w:t xml:space="preserve">5.3 </w:t>
      </w:r>
      <w:r w:rsidRPr="00761653">
        <w:rPr>
          <w:b/>
        </w:rPr>
        <w:t>Инструментальные методы исследования</w:t>
      </w:r>
      <w:r>
        <w:rPr>
          <w:b/>
        </w:rPr>
        <w:t>:</w:t>
      </w:r>
    </w:p>
    <w:p w14:paraId="6500A28E" w14:textId="77777777" w:rsidR="006D503D" w:rsidRPr="00761653" w:rsidRDefault="006D503D" w:rsidP="006D503D">
      <w:pPr>
        <w:widowControl w:val="0"/>
        <w:autoSpaceDE w:val="0"/>
        <w:autoSpaceDN w:val="0"/>
        <w:adjustRightInd w:val="0"/>
        <w:spacing w:before="240" w:after="60"/>
        <w:ind w:firstLine="709"/>
        <w:contextualSpacing/>
        <w:rPr>
          <w:b/>
          <w:bCs/>
          <w:u w:val="single"/>
        </w:rPr>
      </w:pPr>
      <w:r w:rsidRPr="00761653">
        <w:rPr>
          <w:b/>
          <w:bCs/>
          <w:u w:val="single"/>
        </w:rPr>
        <w:t>КТ</w:t>
      </w:r>
      <w:r>
        <w:rPr>
          <w:b/>
          <w:bCs/>
          <w:u w:val="single"/>
        </w:rPr>
        <w:t>/СКТ органов грудной полости</w:t>
      </w:r>
      <w:r w:rsidRPr="00761653">
        <w:rPr>
          <w:b/>
          <w:bCs/>
          <w:u w:val="single"/>
        </w:rPr>
        <w:t xml:space="preserve"> </w:t>
      </w:r>
    </w:p>
    <w:p w14:paraId="64691B45" w14:textId="77777777" w:rsidR="006D503D" w:rsidRDefault="006D503D" w:rsidP="006D503D">
      <w:pPr>
        <w:widowControl w:val="0"/>
        <w:tabs>
          <w:tab w:val="left" w:pos="0"/>
        </w:tabs>
        <w:autoSpaceDE w:val="0"/>
        <w:autoSpaceDN w:val="0"/>
        <w:adjustRightInd w:val="0"/>
        <w:spacing w:before="60" w:after="60"/>
        <w:ind w:firstLine="709"/>
        <w:contextualSpacing/>
      </w:pPr>
      <w:r w:rsidRPr="00761653">
        <w:t>Показаниями к проведению КТ</w:t>
      </w:r>
      <w:r>
        <w:t>/СКТ</w:t>
      </w:r>
      <w:r w:rsidRPr="00761653">
        <w:t xml:space="preserve"> </w:t>
      </w:r>
      <w:r w:rsidRPr="00194FB2">
        <w:rPr>
          <w:bCs/>
        </w:rPr>
        <w:t xml:space="preserve">органов грудной полости </w:t>
      </w:r>
      <w:r w:rsidRPr="00761653">
        <w:t>являются</w:t>
      </w:r>
      <w:r>
        <w:t>:</w:t>
      </w:r>
    </w:p>
    <w:p w14:paraId="2F47FF4F" w14:textId="77777777" w:rsidR="006D503D" w:rsidRDefault="006D503D" w:rsidP="00CE6C1C">
      <w:pPr>
        <w:pStyle w:val="a6"/>
        <w:widowControl w:val="0"/>
        <w:numPr>
          <w:ilvl w:val="0"/>
          <w:numId w:val="139"/>
        </w:numPr>
        <w:tabs>
          <w:tab w:val="left" w:pos="0"/>
        </w:tabs>
        <w:autoSpaceDE w:val="0"/>
        <w:autoSpaceDN w:val="0"/>
        <w:adjustRightInd w:val="0"/>
        <w:spacing w:before="60" w:after="60"/>
      </w:pPr>
      <w:r w:rsidRPr="00016F8E">
        <w:t xml:space="preserve">пневмония (аускультативные признаки); </w:t>
      </w:r>
    </w:p>
    <w:p w14:paraId="781A39FC" w14:textId="77777777" w:rsidR="006D503D" w:rsidRDefault="006D503D" w:rsidP="00CE6C1C">
      <w:pPr>
        <w:pStyle w:val="a6"/>
        <w:widowControl w:val="0"/>
        <w:numPr>
          <w:ilvl w:val="0"/>
          <w:numId w:val="139"/>
        </w:numPr>
        <w:tabs>
          <w:tab w:val="left" w:pos="0"/>
        </w:tabs>
        <w:autoSpaceDE w:val="0"/>
        <w:autoSpaceDN w:val="0"/>
        <w:adjustRightInd w:val="0"/>
        <w:spacing w:before="60" w:after="60"/>
      </w:pPr>
      <w:r w:rsidRPr="00016F8E">
        <w:t xml:space="preserve">персистирующая фебрильная нейтропения от 3 дней и более, независимо от физикальной картины в легких; </w:t>
      </w:r>
    </w:p>
    <w:p w14:paraId="212F72E8" w14:textId="77777777" w:rsidR="006D503D" w:rsidRDefault="006D503D" w:rsidP="00CE6C1C">
      <w:pPr>
        <w:pStyle w:val="a6"/>
        <w:widowControl w:val="0"/>
        <w:numPr>
          <w:ilvl w:val="0"/>
          <w:numId w:val="139"/>
        </w:numPr>
        <w:tabs>
          <w:tab w:val="left" w:pos="0"/>
        </w:tabs>
        <w:autoSpaceDE w:val="0"/>
        <w:autoSpaceDN w:val="0"/>
        <w:adjustRightInd w:val="0"/>
        <w:spacing w:before="60" w:after="60"/>
      </w:pPr>
      <w:r w:rsidRPr="00016F8E">
        <w:t xml:space="preserve">контроль выявленных изменений в легких через 7-14 дней в зависимости от состояния больного и диагностированной инфекции. </w:t>
      </w:r>
    </w:p>
    <w:p w14:paraId="3457F996" w14:textId="31A84972" w:rsidR="006D503D" w:rsidRPr="00761653" w:rsidRDefault="006D503D" w:rsidP="006D503D">
      <w:pPr>
        <w:widowControl w:val="0"/>
        <w:tabs>
          <w:tab w:val="left" w:pos="0"/>
        </w:tabs>
        <w:autoSpaceDE w:val="0"/>
        <w:autoSpaceDN w:val="0"/>
        <w:adjustRightInd w:val="0"/>
        <w:spacing w:before="60" w:after="60"/>
      </w:pPr>
      <w:r>
        <w:tab/>
      </w:r>
      <w:r w:rsidRPr="00016F8E">
        <w:t xml:space="preserve">КТ/СКТ во всех </w:t>
      </w:r>
      <w:r w:rsidRPr="00D9248B">
        <w:t>случаях проводят без предварительной</w:t>
      </w:r>
      <w:r w:rsidRPr="00016F8E">
        <w:t xml:space="preserve"> рентгенографии грудной клетки.</w:t>
      </w:r>
      <w:r>
        <w:t xml:space="preserve"> </w:t>
      </w:r>
      <w:r w:rsidRPr="00761653">
        <w:t xml:space="preserve">Рентгенография органов грудной клетки относится к малоинформативным методам исследования у </w:t>
      </w:r>
      <w:r>
        <w:t xml:space="preserve">гематологических пациентов, предпочтительно </w:t>
      </w:r>
      <w:r w:rsidRPr="00761653">
        <w:t>для диагностики инфекционных осложнений</w:t>
      </w:r>
      <w:r>
        <w:t xml:space="preserve"> применять КТ/СКТ</w:t>
      </w:r>
      <w:r w:rsidRPr="00761653">
        <w:t>.</w:t>
      </w:r>
    </w:p>
    <w:p w14:paraId="2E0EB806" w14:textId="21A37D27" w:rsidR="006D503D" w:rsidRPr="00761653" w:rsidRDefault="006D503D" w:rsidP="006D503D">
      <w:pPr>
        <w:widowControl w:val="0"/>
        <w:autoSpaceDE w:val="0"/>
        <w:autoSpaceDN w:val="0"/>
        <w:adjustRightInd w:val="0"/>
        <w:spacing w:before="240" w:after="60"/>
        <w:ind w:firstLine="709"/>
        <w:contextualSpacing/>
        <w:rPr>
          <w:b/>
          <w:bCs/>
          <w:u w:val="single"/>
        </w:rPr>
      </w:pPr>
      <w:r>
        <w:rPr>
          <w:b/>
          <w:bCs/>
          <w:u w:val="single"/>
        </w:rPr>
        <w:t>У</w:t>
      </w:r>
      <w:r w:rsidRPr="00761653">
        <w:rPr>
          <w:b/>
          <w:bCs/>
          <w:u w:val="single"/>
        </w:rPr>
        <w:t>льтразвуковое исследование (УЗИ)</w:t>
      </w:r>
      <w:r>
        <w:rPr>
          <w:b/>
          <w:bCs/>
          <w:u w:val="single"/>
        </w:rPr>
        <w:t xml:space="preserve">, </w:t>
      </w:r>
      <w:r w:rsidRPr="00761653">
        <w:rPr>
          <w:b/>
          <w:bCs/>
          <w:u w:val="single"/>
        </w:rPr>
        <w:t>КТ</w:t>
      </w:r>
      <w:r>
        <w:rPr>
          <w:b/>
          <w:bCs/>
          <w:u w:val="single"/>
        </w:rPr>
        <w:t>/СКТ</w:t>
      </w:r>
      <w:r w:rsidRPr="00761653">
        <w:rPr>
          <w:b/>
          <w:bCs/>
          <w:u w:val="single"/>
        </w:rPr>
        <w:t>, МРТ</w:t>
      </w:r>
      <w:r w:rsidRPr="00016F8E">
        <w:rPr>
          <w:b/>
          <w:bCs/>
          <w:u w:val="single"/>
        </w:rPr>
        <w:t xml:space="preserve"> </w:t>
      </w:r>
      <w:r>
        <w:rPr>
          <w:b/>
          <w:bCs/>
          <w:u w:val="single"/>
        </w:rPr>
        <w:t xml:space="preserve">органов </w:t>
      </w:r>
      <w:r w:rsidRPr="00761653">
        <w:rPr>
          <w:b/>
          <w:bCs/>
          <w:u w:val="single"/>
        </w:rPr>
        <w:t>брюшной полости</w:t>
      </w:r>
      <w:r w:rsidR="00BF079B">
        <w:rPr>
          <w:b/>
          <w:bCs/>
          <w:u w:val="single"/>
        </w:rPr>
        <w:t>:</w:t>
      </w:r>
    </w:p>
    <w:p w14:paraId="05B6916E" w14:textId="77777777" w:rsidR="006D503D" w:rsidRDefault="006D503D" w:rsidP="006D503D">
      <w:pPr>
        <w:widowControl w:val="0"/>
        <w:tabs>
          <w:tab w:val="left" w:pos="0"/>
        </w:tabs>
        <w:autoSpaceDE w:val="0"/>
        <w:autoSpaceDN w:val="0"/>
        <w:adjustRightInd w:val="0"/>
        <w:spacing w:before="60" w:after="60"/>
        <w:ind w:firstLine="709"/>
        <w:contextualSpacing/>
      </w:pPr>
      <w:r>
        <w:t>Исследования</w:t>
      </w:r>
      <w:r w:rsidRPr="00761653">
        <w:t xml:space="preserve"> </w:t>
      </w:r>
      <w:r>
        <w:t>для уточнения инфекционного процесса у гематологических пациентов проводят по клиническим показаниям, в том числе:</w:t>
      </w:r>
    </w:p>
    <w:p w14:paraId="47F5D4DE" w14:textId="77777777" w:rsidR="006D503D" w:rsidRDefault="006D503D" w:rsidP="00CE6C1C">
      <w:pPr>
        <w:pStyle w:val="a6"/>
        <w:widowControl w:val="0"/>
        <w:numPr>
          <w:ilvl w:val="0"/>
          <w:numId w:val="140"/>
        </w:numPr>
        <w:tabs>
          <w:tab w:val="left" w:pos="0"/>
        </w:tabs>
        <w:autoSpaceDE w:val="0"/>
        <w:autoSpaceDN w:val="0"/>
        <w:adjustRightInd w:val="0"/>
        <w:spacing w:before="60" w:after="60"/>
        <w:ind w:left="0" w:firstLine="0"/>
      </w:pPr>
      <w:r w:rsidRPr="00016F8E">
        <w:t>сохраняющаяся лихорадка (колебания температуры в течение суток от 37 до 39°С), особенно у больных вне лейкопении (</w:t>
      </w:r>
      <w:r>
        <w:t xml:space="preserve">для </w:t>
      </w:r>
      <w:r w:rsidRPr="00016F8E">
        <w:t>диагности</w:t>
      </w:r>
      <w:r>
        <w:t>ки</w:t>
      </w:r>
      <w:r w:rsidRPr="00016F8E">
        <w:t xml:space="preserve"> гепатолиенального кандидоза); </w:t>
      </w:r>
    </w:p>
    <w:p w14:paraId="3CF4336C" w14:textId="77777777" w:rsidR="006D503D" w:rsidRDefault="006D503D" w:rsidP="00CE6C1C">
      <w:pPr>
        <w:pStyle w:val="a6"/>
        <w:widowControl w:val="0"/>
        <w:numPr>
          <w:ilvl w:val="0"/>
          <w:numId w:val="140"/>
        </w:numPr>
        <w:tabs>
          <w:tab w:val="left" w:pos="0"/>
        </w:tabs>
        <w:autoSpaceDE w:val="0"/>
        <w:autoSpaceDN w:val="0"/>
        <w:adjustRightInd w:val="0"/>
        <w:spacing w:before="60" w:after="60"/>
        <w:ind w:left="0" w:firstLine="0"/>
      </w:pPr>
      <w:r>
        <w:t>при диагностированнмм аспергиллезе</w:t>
      </w:r>
      <w:r w:rsidRPr="00016F8E">
        <w:t xml:space="preserve"> легких или мукормикоз</w:t>
      </w:r>
      <w:r>
        <w:t>е</w:t>
      </w:r>
      <w:r w:rsidRPr="00016F8E">
        <w:t xml:space="preserve"> (</w:t>
      </w:r>
      <w:r>
        <w:t xml:space="preserve">для </w:t>
      </w:r>
      <w:r w:rsidRPr="00016F8E">
        <w:t>исключ</w:t>
      </w:r>
      <w:r>
        <w:t>ения</w:t>
      </w:r>
      <w:r w:rsidRPr="00016F8E">
        <w:t xml:space="preserve"> диссеминаци</w:t>
      </w:r>
      <w:r>
        <w:t>и</w:t>
      </w:r>
      <w:r w:rsidRPr="00016F8E">
        <w:t xml:space="preserve">); </w:t>
      </w:r>
    </w:p>
    <w:p w14:paraId="7566654E" w14:textId="7CFE4439" w:rsidR="006D503D" w:rsidRDefault="006D503D" w:rsidP="00CE6C1C">
      <w:pPr>
        <w:pStyle w:val="a6"/>
        <w:widowControl w:val="0"/>
        <w:numPr>
          <w:ilvl w:val="0"/>
          <w:numId w:val="140"/>
        </w:numPr>
        <w:tabs>
          <w:tab w:val="left" w:pos="0"/>
        </w:tabs>
        <w:autoSpaceDE w:val="0"/>
        <w:autoSpaceDN w:val="0"/>
        <w:adjustRightInd w:val="0"/>
        <w:spacing w:before="60" w:after="60"/>
        <w:ind w:left="0" w:firstLine="0"/>
      </w:pPr>
      <w:r>
        <w:t xml:space="preserve">для </w:t>
      </w:r>
      <w:r w:rsidRPr="00016F8E">
        <w:t>контроль выявленных</w:t>
      </w:r>
      <w:r>
        <w:t xml:space="preserve"> ранее</w:t>
      </w:r>
      <w:r w:rsidRPr="00016F8E">
        <w:t xml:space="preserve"> изменений. </w:t>
      </w:r>
    </w:p>
    <w:p w14:paraId="74495DF0" w14:textId="77777777" w:rsidR="006D503D" w:rsidRPr="00016F8E" w:rsidRDefault="006D503D" w:rsidP="006D503D">
      <w:pPr>
        <w:widowControl w:val="0"/>
        <w:tabs>
          <w:tab w:val="left" w:pos="0"/>
        </w:tabs>
        <w:autoSpaceDE w:val="0"/>
        <w:autoSpaceDN w:val="0"/>
        <w:adjustRightInd w:val="0"/>
        <w:spacing w:before="60" w:after="60"/>
      </w:pPr>
      <w:r>
        <w:tab/>
      </w:r>
      <w:r w:rsidRPr="00016F8E">
        <w:t>При диагностике гепатолиенального кандидоза контрольное исследование проводят не ранее чем через 1 мес терапии системными противогрибковыми препаратами</w:t>
      </w:r>
      <w:r>
        <w:t>,</w:t>
      </w:r>
      <w:r w:rsidRPr="00016F8E">
        <w:t xml:space="preserve"> вне лейкопении.</w:t>
      </w:r>
    </w:p>
    <w:p w14:paraId="3DA5C316" w14:textId="77777777" w:rsidR="006D503D" w:rsidRPr="00761653" w:rsidRDefault="006D503D" w:rsidP="006D503D">
      <w:pPr>
        <w:widowControl w:val="0"/>
        <w:tabs>
          <w:tab w:val="left" w:pos="0"/>
        </w:tabs>
        <w:autoSpaceDE w:val="0"/>
        <w:autoSpaceDN w:val="0"/>
        <w:adjustRightInd w:val="0"/>
        <w:spacing w:before="60" w:after="60"/>
        <w:ind w:firstLine="709"/>
        <w:contextualSpacing/>
        <w:rPr>
          <w:b/>
          <w:u w:val="single"/>
        </w:rPr>
      </w:pPr>
      <w:r w:rsidRPr="00761653">
        <w:rPr>
          <w:b/>
          <w:u w:val="single"/>
        </w:rPr>
        <w:lastRenderedPageBreak/>
        <w:t>КТ или МРТ головного мозга</w:t>
      </w:r>
    </w:p>
    <w:p w14:paraId="1B3A096C" w14:textId="77777777" w:rsidR="006D503D" w:rsidRDefault="006D503D" w:rsidP="006D503D">
      <w:pPr>
        <w:widowControl w:val="0"/>
        <w:tabs>
          <w:tab w:val="left" w:pos="0"/>
        </w:tabs>
        <w:autoSpaceDE w:val="0"/>
        <w:autoSpaceDN w:val="0"/>
        <w:adjustRightInd w:val="0"/>
        <w:spacing w:before="60" w:after="60"/>
        <w:ind w:firstLine="709"/>
        <w:contextualSpacing/>
      </w:pPr>
      <w:r>
        <w:t>Исследование проводят для исключения инфекционного поражения головного мозга:</w:t>
      </w:r>
    </w:p>
    <w:p w14:paraId="1C883354" w14:textId="77777777" w:rsidR="006D503D" w:rsidRDefault="006D503D" w:rsidP="00CE6C1C">
      <w:pPr>
        <w:pStyle w:val="a6"/>
        <w:widowControl w:val="0"/>
        <w:numPr>
          <w:ilvl w:val="0"/>
          <w:numId w:val="141"/>
        </w:numPr>
        <w:tabs>
          <w:tab w:val="left" w:pos="0"/>
        </w:tabs>
        <w:autoSpaceDE w:val="0"/>
        <w:autoSpaceDN w:val="0"/>
        <w:adjustRightInd w:val="0"/>
        <w:spacing w:before="60" w:after="60"/>
        <w:ind w:left="0" w:firstLine="0"/>
      </w:pPr>
      <w:r>
        <w:t>при наличии</w:t>
      </w:r>
      <w:r w:rsidRPr="00016F8E">
        <w:t xml:space="preserve"> симптомов </w:t>
      </w:r>
      <w:r>
        <w:t>поражения</w:t>
      </w:r>
      <w:r w:rsidRPr="00016F8E">
        <w:t xml:space="preserve"> центральной нервной системы (ЦНС)</w:t>
      </w:r>
      <w:r>
        <w:t>;</w:t>
      </w:r>
    </w:p>
    <w:p w14:paraId="3025CEBF" w14:textId="77777777" w:rsidR="006D503D" w:rsidRPr="00016F8E" w:rsidRDefault="006D503D" w:rsidP="00CE6C1C">
      <w:pPr>
        <w:pStyle w:val="a6"/>
        <w:widowControl w:val="0"/>
        <w:numPr>
          <w:ilvl w:val="0"/>
          <w:numId w:val="141"/>
        </w:numPr>
        <w:tabs>
          <w:tab w:val="left" w:pos="0"/>
        </w:tabs>
        <w:autoSpaceDE w:val="0"/>
        <w:autoSpaceDN w:val="0"/>
        <w:adjustRightInd w:val="0"/>
        <w:spacing w:before="60" w:after="60"/>
        <w:ind w:left="0" w:firstLine="0"/>
      </w:pPr>
      <w:r w:rsidRPr="00016F8E">
        <w:t>при диагностике инвазивного аспергиллеза легких/околоносовых пазух или мукормикоза (</w:t>
      </w:r>
      <w:r>
        <w:t xml:space="preserve">для </w:t>
      </w:r>
      <w:r w:rsidRPr="00016F8E">
        <w:t>исключ</w:t>
      </w:r>
      <w:r>
        <w:t>ения</w:t>
      </w:r>
      <w:r w:rsidRPr="00016F8E">
        <w:t xml:space="preserve"> диссеминаци</w:t>
      </w:r>
      <w:r>
        <w:t>и</w:t>
      </w:r>
      <w:r w:rsidRPr="00016F8E">
        <w:t>).</w:t>
      </w:r>
    </w:p>
    <w:p w14:paraId="357935D3" w14:textId="77777777" w:rsidR="006D503D" w:rsidRPr="00761653" w:rsidRDefault="006D503D" w:rsidP="006D503D">
      <w:pPr>
        <w:widowControl w:val="0"/>
        <w:tabs>
          <w:tab w:val="left" w:pos="0"/>
        </w:tabs>
        <w:autoSpaceDE w:val="0"/>
        <w:autoSpaceDN w:val="0"/>
        <w:adjustRightInd w:val="0"/>
        <w:spacing w:before="60" w:after="60"/>
        <w:ind w:firstLine="709"/>
        <w:contextualSpacing/>
        <w:rPr>
          <w:b/>
          <w:u w:val="single"/>
        </w:rPr>
      </w:pPr>
      <w:r>
        <w:rPr>
          <w:b/>
          <w:u w:val="single"/>
        </w:rPr>
        <w:t>Э</w:t>
      </w:r>
      <w:r w:rsidRPr="00761653">
        <w:rPr>
          <w:b/>
          <w:u w:val="single"/>
        </w:rPr>
        <w:t>хокардиографи</w:t>
      </w:r>
      <w:r>
        <w:rPr>
          <w:b/>
          <w:u w:val="single"/>
        </w:rPr>
        <w:t>я</w:t>
      </w:r>
      <w:r w:rsidRPr="00761653">
        <w:rPr>
          <w:b/>
          <w:u w:val="single"/>
        </w:rPr>
        <w:t xml:space="preserve"> (ЭхоКГ), включая чрезпищеводную ЭхоКГ</w:t>
      </w:r>
    </w:p>
    <w:p w14:paraId="0612C196" w14:textId="77777777" w:rsidR="006D503D" w:rsidRDefault="006D503D" w:rsidP="006D503D">
      <w:pPr>
        <w:widowControl w:val="0"/>
        <w:tabs>
          <w:tab w:val="left" w:pos="0"/>
        </w:tabs>
        <w:autoSpaceDE w:val="0"/>
        <w:autoSpaceDN w:val="0"/>
        <w:adjustRightInd w:val="0"/>
        <w:spacing w:before="60" w:after="60"/>
        <w:ind w:firstLine="709"/>
        <w:contextualSpacing/>
      </w:pPr>
      <w:r>
        <w:t>Проводится для исключения бактериального эндокардита, особенно в случае:</w:t>
      </w:r>
    </w:p>
    <w:p w14:paraId="18995A7B" w14:textId="77777777" w:rsidR="006D503D" w:rsidRDefault="006D503D" w:rsidP="00CE6C1C">
      <w:pPr>
        <w:pStyle w:val="a6"/>
        <w:widowControl w:val="0"/>
        <w:numPr>
          <w:ilvl w:val="0"/>
          <w:numId w:val="142"/>
        </w:numPr>
        <w:tabs>
          <w:tab w:val="left" w:pos="0"/>
        </w:tabs>
        <w:autoSpaceDE w:val="0"/>
        <w:autoSpaceDN w:val="0"/>
        <w:adjustRightInd w:val="0"/>
        <w:spacing w:before="60" w:after="60"/>
        <w:ind w:left="0" w:firstLine="0"/>
      </w:pPr>
      <w:r w:rsidRPr="00016F8E">
        <w:t>микробиологически подтвержденн</w:t>
      </w:r>
      <w:r>
        <w:t>ой</w:t>
      </w:r>
      <w:r w:rsidRPr="00016F8E">
        <w:t xml:space="preserve"> инфекци</w:t>
      </w:r>
      <w:r>
        <w:t>и</w:t>
      </w:r>
      <w:r w:rsidRPr="00016F8E">
        <w:t xml:space="preserve">, вызванная </w:t>
      </w:r>
      <w:r w:rsidRPr="00016F8E">
        <w:rPr>
          <w:i/>
        </w:rPr>
        <w:t>S. aureus</w:t>
      </w:r>
      <w:r w:rsidRPr="00016F8E">
        <w:t xml:space="preserve">; </w:t>
      </w:r>
    </w:p>
    <w:p w14:paraId="4E30E2FF" w14:textId="77777777" w:rsidR="006D503D" w:rsidRDefault="006D503D" w:rsidP="00CE6C1C">
      <w:pPr>
        <w:pStyle w:val="a6"/>
        <w:widowControl w:val="0"/>
        <w:numPr>
          <w:ilvl w:val="0"/>
          <w:numId w:val="142"/>
        </w:numPr>
        <w:tabs>
          <w:tab w:val="left" w:pos="0"/>
        </w:tabs>
        <w:autoSpaceDE w:val="0"/>
        <w:autoSpaceDN w:val="0"/>
        <w:adjustRightInd w:val="0"/>
        <w:spacing w:before="60" w:after="60"/>
        <w:ind w:left="0" w:firstLine="0"/>
      </w:pPr>
      <w:r>
        <w:t>длительной</w:t>
      </w:r>
      <w:r w:rsidRPr="00016F8E">
        <w:t xml:space="preserve"> (</w:t>
      </w:r>
      <w:r>
        <w:t>более</w:t>
      </w:r>
      <w:r w:rsidRPr="00016F8E">
        <w:t xml:space="preserve"> 10-14 дней) персистирующ</w:t>
      </w:r>
      <w:r>
        <w:t>ей</w:t>
      </w:r>
      <w:r w:rsidRPr="00016F8E">
        <w:t xml:space="preserve"> </w:t>
      </w:r>
      <w:r>
        <w:t>гипертермии</w:t>
      </w:r>
      <w:r w:rsidRPr="00016F8E">
        <w:t xml:space="preserve">, особенно у больных вне лейкопении. </w:t>
      </w:r>
    </w:p>
    <w:p w14:paraId="448120F6" w14:textId="77777777" w:rsidR="006D503D" w:rsidRPr="00016F8E" w:rsidRDefault="006D503D" w:rsidP="006D503D">
      <w:pPr>
        <w:widowControl w:val="0"/>
        <w:tabs>
          <w:tab w:val="left" w:pos="0"/>
        </w:tabs>
        <w:autoSpaceDE w:val="0"/>
        <w:autoSpaceDN w:val="0"/>
        <w:adjustRightInd w:val="0"/>
        <w:spacing w:before="60" w:after="60"/>
      </w:pPr>
      <w:r w:rsidRPr="00016F8E">
        <w:t xml:space="preserve">Чрезпищеводную ЭхоКГ назначают при сохраняющейся </w:t>
      </w:r>
      <w:r>
        <w:t>гипертермии</w:t>
      </w:r>
      <w:r w:rsidRPr="00016F8E">
        <w:t xml:space="preserve"> и отрицательн</w:t>
      </w:r>
      <w:r>
        <w:t>ых результатах</w:t>
      </w:r>
      <w:r w:rsidRPr="00016F8E">
        <w:t xml:space="preserve"> ЭхоКГ. </w:t>
      </w:r>
    </w:p>
    <w:p w14:paraId="28DA4C6B" w14:textId="77777777" w:rsidR="006D503D" w:rsidRPr="00761653" w:rsidRDefault="006D503D" w:rsidP="006D503D">
      <w:pPr>
        <w:widowControl w:val="0"/>
        <w:autoSpaceDE w:val="0"/>
        <w:autoSpaceDN w:val="0"/>
        <w:adjustRightInd w:val="0"/>
        <w:ind w:firstLine="709"/>
        <w:contextualSpacing/>
      </w:pPr>
      <w:r w:rsidRPr="00761653">
        <w:t>В табл. 1 суммированы диагностические исследования у больных с гематологическими заболеваниями и инфекциями.</w:t>
      </w:r>
    </w:p>
    <w:p w14:paraId="59B2708C" w14:textId="77777777" w:rsidR="006D503D" w:rsidRPr="00761653" w:rsidRDefault="006D503D" w:rsidP="006D503D">
      <w:pPr>
        <w:widowControl w:val="0"/>
        <w:autoSpaceDE w:val="0"/>
        <w:autoSpaceDN w:val="0"/>
        <w:adjustRightInd w:val="0"/>
        <w:contextualSpacing/>
      </w:pPr>
      <w:r w:rsidRPr="00761653">
        <w:t>Таблица 1. Показания к проведению диагностических исследований у больных с гематологическими заболеваниями и инфекциями.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6D503D" w:rsidRPr="00761653" w14:paraId="1252AED6" w14:textId="77777777" w:rsidTr="006D503D">
        <w:trPr>
          <w:trHeight w:val="93"/>
        </w:trPr>
        <w:tc>
          <w:tcPr>
            <w:tcW w:w="3510" w:type="dxa"/>
            <w:tcMar>
              <w:top w:w="100" w:type="nil"/>
              <w:right w:w="100" w:type="nil"/>
            </w:tcMar>
            <w:vAlign w:val="center"/>
          </w:tcPr>
          <w:p w14:paraId="2D94963C" w14:textId="77777777" w:rsidR="006D503D" w:rsidRPr="00761653" w:rsidRDefault="006D503D" w:rsidP="006D503D">
            <w:pPr>
              <w:widowControl w:val="0"/>
              <w:autoSpaceDE w:val="0"/>
              <w:autoSpaceDN w:val="0"/>
              <w:adjustRightInd w:val="0"/>
              <w:spacing w:before="40"/>
              <w:ind w:left="113" w:right="-941"/>
              <w:jc w:val="center"/>
              <w:rPr>
                <w:b/>
                <w:bCs/>
              </w:rPr>
            </w:pPr>
            <w:r w:rsidRPr="00761653">
              <w:rPr>
                <w:b/>
                <w:bCs/>
              </w:rPr>
              <w:t>Показания</w:t>
            </w:r>
          </w:p>
        </w:tc>
        <w:tc>
          <w:tcPr>
            <w:tcW w:w="6096" w:type="dxa"/>
            <w:tcMar>
              <w:top w:w="100" w:type="nil"/>
              <w:right w:w="100" w:type="nil"/>
            </w:tcMar>
            <w:vAlign w:val="center"/>
          </w:tcPr>
          <w:p w14:paraId="38543A70" w14:textId="77777777" w:rsidR="006D503D" w:rsidRPr="00761653" w:rsidRDefault="006D503D" w:rsidP="006D503D">
            <w:pPr>
              <w:widowControl w:val="0"/>
              <w:autoSpaceDE w:val="0"/>
              <w:autoSpaceDN w:val="0"/>
              <w:adjustRightInd w:val="0"/>
              <w:spacing w:before="40"/>
              <w:ind w:left="113" w:right="-941"/>
              <w:jc w:val="center"/>
              <w:rPr>
                <w:b/>
                <w:bCs/>
              </w:rPr>
            </w:pPr>
            <w:r w:rsidRPr="00761653">
              <w:rPr>
                <w:b/>
                <w:bCs/>
              </w:rPr>
              <w:t>Исследование</w:t>
            </w:r>
          </w:p>
        </w:tc>
      </w:tr>
      <w:tr w:rsidR="006D503D" w:rsidRPr="000D7B76" w14:paraId="0CE65D2D" w14:textId="77777777" w:rsidTr="006D503D">
        <w:trPr>
          <w:trHeight w:val="702"/>
        </w:trPr>
        <w:tc>
          <w:tcPr>
            <w:tcW w:w="3510" w:type="dxa"/>
            <w:tcMar>
              <w:top w:w="100" w:type="nil"/>
              <w:right w:w="100" w:type="nil"/>
            </w:tcMar>
            <w:vAlign w:val="center"/>
          </w:tcPr>
          <w:p w14:paraId="0909FA8C" w14:textId="77777777" w:rsidR="006D503D" w:rsidRPr="00761653" w:rsidRDefault="006D503D" w:rsidP="006D503D">
            <w:pPr>
              <w:widowControl w:val="0"/>
              <w:autoSpaceDE w:val="0"/>
              <w:autoSpaceDN w:val="0"/>
              <w:adjustRightInd w:val="0"/>
              <w:spacing w:before="40"/>
            </w:pPr>
            <w:r w:rsidRPr="00761653">
              <w:t xml:space="preserve">Температура ≥38°С, </w:t>
            </w:r>
          </w:p>
          <w:p w14:paraId="5EDD862E" w14:textId="77777777" w:rsidR="006D503D" w:rsidRPr="00761653" w:rsidRDefault="006D503D" w:rsidP="006D503D">
            <w:pPr>
              <w:widowControl w:val="0"/>
              <w:autoSpaceDE w:val="0"/>
              <w:autoSpaceDN w:val="0"/>
              <w:adjustRightInd w:val="0"/>
              <w:spacing w:before="40"/>
              <w:ind w:left="26"/>
            </w:pPr>
            <w:r w:rsidRPr="00761653">
              <w:t>впервые возникшая</w:t>
            </w:r>
          </w:p>
        </w:tc>
        <w:tc>
          <w:tcPr>
            <w:tcW w:w="6096" w:type="dxa"/>
            <w:tcMar>
              <w:top w:w="100" w:type="nil"/>
              <w:right w:w="100" w:type="nil"/>
            </w:tcMar>
            <w:vAlign w:val="center"/>
          </w:tcPr>
          <w:p w14:paraId="73716AD3" w14:textId="77777777" w:rsidR="006D503D" w:rsidRPr="00761653" w:rsidRDefault="006D503D" w:rsidP="006D503D">
            <w:pPr>
              <w:widowControl w:val="0"/>
              <w:autoSpaceDE w:val="0"/>
              <w:autoSpaceDN w:val="0"/>
              <w:adjustRightInd w:val="0"/>
              <w:spacing w:before="40"/>
              <w:ind w:left="-23"/>
            </w:pPr>
            <w:r w:rsidRPr="00761653">
              <w:t xml:space="preserve">Взятие крови в 2 флакона для гемокультуры </w:t>
            </w:r>
          </w:p>
          <w:p w14:paraId="611C11DE" w14:textId="77777777" w:rsidR="006D503D" w:rsidRPr="00761653" w:rsidRDefault="006D503D" w:rsidP="006D503D">
            <w:pPr>
              <w:widowControl w:val="0"/>
              <w:autoSpaceDE w:val="0"/>
              <w:autoSpaceDN w:val="0"/>
              <w:adjustRightInd w:val="0"/>
              <w:spacing w:before="40"/>
              <w:ind w:left="-23"/>
            </w:pPr>
            <w:r w:rsidRPr="00761653">
              <w:t>(вена-катетер или вена-вена)</w:t>
            </w:r>
          </w:p>
        </w:tc>
      </w:tr>
      <w:tr w:rsidR="006D503D" w:rsidRPr="000D7B76" w14:paraId="76B432E1" w14:textId="77777777" w:rsidTr="006D503D">
        <w:trPr>
          <w:trHeight w:val="841"/>
        </w:trPr>
        <w:tc>
          <w:tcPr>
            <w:tcW w:w="3510" w:type="dxa"/>
            <w:tcMar>
              <w:top w:w="100" w:type="nil"/>
              <w:right w:w="100" w:type="nil"/>
            </w:tcMar>
            <w:vAlign w:val="center"/>
          </w:tcPr>
          <w:p w14:paraId="7C912D8F" w14:textId="77777777" w:rsidR="006D503D" w:rsidRPr="00761653" w:rsidRDefault="006D503D" w:rsidP="006D503D">
            <w:pPr>
              <w:widowControl w:val="0"/>
              <w:autoSpaceDE w:val="0"/>
              <w:autoSpaceDN w:val="0"/>
              <w:adjustRightInd w:val="0"/>
              <w:spacing w:before="40"/>
            </w:pPr>
            <w:r w:rsidRPr="00761653">
              <w:t>Температура ≥38°С в течение</w:t>
            </w:r>
          </w:p>
          <w:p w14:paraId="688DB936" w14:textId="77777777" w:rsidR="006D503D" w:rsidRPr="00761653" w:rsidRDefault="006D503D" w:rsidP="006D503D">
            <w:pPr>
              <w:widowControl w:val="0"/>
              <w:autoSpaceDE w:val="0"/>
              <w:autoSpaceDN w:val="0"/>
              <w:adjustRightInd w:val="0"/>
              <w:spacing w:before="40"/>
            </w:pPr>
            <w:r w:rsidRPr="00761653">
              <w:t xml:space="preserve"> ≥ 5 дней и лейкопения </w:t>
            </w:r>
          </w:p>
        </w:tc>
        <w:tc>
          <w:tcPr>
            <w:tcW w:w="6096" w:type="dxa"/>
            <w:tcMar>
              <w:top w:w="100" w:type="nil"/>
              <w:right w:w="100" w:type="nil"/>
            </w:tcMar>
            <w:vAlign w:val="center"/>
          </w:tcPr>
          <w:p w14:paraId="20074CF9" w14:textId="77777777" w:rsidR="006D503D" w:rsidRPr="00761653" w:rsidRDefault="006D503D" w:rsidP="006D503D">
            <w:pPr>
              <w:contextualSpacing/>
              <w:rPr>
                <w:rFonts w:eastAsia="MS Mincho"/>
              </w:rPr>
            </w:pPr>
            <w:r w:rsidRPr="00761653">
              <w:t>Повторное взятие крови для гемокультуры 1 раз в неделю</w:t>
            </w:r>
          </w:p>
          <w:p w14:paraId="5320A5B4" w14:textId="77777777" w:rsidR="006D503D" w:rsidRPr="00761653" w:rsidRDefault="006D503D" w:rsidP="006D503D">
            <w:pPr>
              <w:contextualSpacing/>
            </w:pPr>
            <w:r w:rsidRPr="00761653">
              <w:t>Микробиологическое исследование мочи</w:t>
            </w:r>
          </w:p>
          <w:p w14:paraId="2681BB8A" w14:textId="77777777" w:rsidR="006D503D" w:rsidRPr="00761653" w:rsidRDefault="006D503D" w:rsidP="006D503D">
            <w:pPr>
              <w:contextualSpacing/>
            </w:pPr>
            <w:r w:rsidRPr="00761653">
              <w:t>Ректальный мазок</w:t>
            </w:r>
          </w:p>
          <w:p w14:paraId="5A046C1B" w14:textId="77777777" w:rsidR="006D503D" w:rsidRPr="00761653" w:rsidRDefault="006D503D" w:rsidP="006D503D">
            <w:pPr>
              <w:contextualSpacing/>
            </w:pPr>
            <w:r w:rsidRPr="00761653">
              <w:t>КТВР легких</w:t>
            </w:r>
          </w:p>
        </w:tc>
      </w:tr>
      <w:tr w:rsidR="006D503D" w:rsidRPr="00A21CB6" w14:paraId="09D269EE" w14:textId="77777777" w:rsidTr="006D503D">
        <w:trPr>
          <w:trHeight w:val="1491"/>
        </w:trPr>
        <w:tc>
          <w:tcPr>
            <w:tcW w:w="3510" w:type="dxa"/>
            <w:tcMar>
              <w:top w:w="100" w:type="nil"/>
              <w:right w:w="100" w:type="nil"/>
            </w:tcMar>
            <w:vAlign w:val="center"/>
          </w:tcPr>
          <w:p w14:paraId="7A10D13A" w14:textId="77777777" w:rsidR="006D503D" w:rsidRPr="00761653" w:rsidRDefault="006D503D" w:rsidP="006D503D">
            <w:pPr>
              <w:widowControl w:val="0"/>
              <w:autoSpaceDE w:val="0"/>
              <w:autoSpaceDN w:val="0"/>
              <w:adjustRightInd w:val="0"/>
              <w:spacing w:before="40"/>
            </w:pPr>
            <w:r w:rsidRPr="00761653">
              <w:t>Температура ≥38°С, длительная, сохраняется после «выхода» из нейтропении</w:t>
            </w:r>
          </w:p>
        </w:tc>
        <w:tc>
          <w:tcPr>
            <w:tcW w:w="6096" w:type="dxa"/>
            <w:tcMar>
              <w:top w:w="100" w:type="nil"/>
              <w:right w:w="100" w:type="nil"/>
            </w:tcMar>
            <w:vAlign w:val="center"/>
          </w:tcPr>
          <w:p w14:paraId="7237A90F" w14:textId="77777777" w:rsidR="006D503D" w:rsidRPr="00761653" w:rsidRDefault="006D503D" w:rsidP="006D503D">
            <w:pPr>
              <w:contextualSpacing/>
              <w:rPr>
                <w:rFonts w:eastAsia="MS Mincho"/>
              </w:rPr>
            </w:pPr>
            <w:r w:rsidRPr="00761653">
              <w:t>УЗИ брюшной полости</w:t>
            </w:r>
          </w:p>
          <w:p w14:paraId="5C5DA28D" w14:textId="77777777" w:rsidR="006D503D" w:rsidRPr="00761653" w:rsidRDefault="006D503D" w:rsidP="006D503D">
            <w:pPr>
              <w:contextualSpacing/>
            </w:pPr>
            <w:r w:rsidRPr="00761653">
              <w:t xml:space="preserve">Определение антигена </w:t>
            </w:r>
            <w:r w:rsidRPr="00761653">
              <w:rPr>
                <w:i/>
              </w:rPr>
              <w:t>Candida</w:t>
            </w:r>
            <w:r w:rsidRPr="00761653">
              <w:t xml:space="preserve"> (маннан) и антител </w:t>
            </w:r>
            <w:r w:rsidRPr="00761653">
              <w:rPr>
                <w:i/>
              </w:rPr>
              <w:t>Candida</w:t>
            </w:r>
            <w:r w:rsidRPr="00761653">
              <w:t xml:space="preserve"> (антиманнан) в крови</w:t>
            </w:r>
          </w:p>
          <w:p w14:paraId="0F31F00A" w14:textId="77777777" w:rsidR="006D503D" w:rsidRPr="00761653" w:rsidRDefault="006D503D" w:rsidP="006D503D">
            <w:pPr>
              <w:contextualSpacing/>
            </w:pPr>
            <w:r w:rsidRPr="00761653">
              <w:t>КТВР или МРТ органов брюшной полости при неинформативном УЗИ</w:t>
            </w:r>
          </w:p>
        </w:tc>
      </w:tr>
      <w:tr w:rsidR="006D503D" w:rsidRPr="00A21CB6" w14:paraId="37A40B23" w14:textId="77777777" w:rsidTr="006D503D">
        <w:trPr>
          <w:trHeight w:val="1731"/>
        </w:trPr>
        <w:tc>
          <w:tcPr>
            <w:tcW w:w="3510" w:type="dxa"/>
            <w:tcMar>
              <w:top w:w="100" w:type="nil"/>
              <w:right w:w="100" w:type="nil"/>
            </w:tcMar>
            <w:vAlign w:val="center"/>
          </w:tcPr>
          <w:p w14:paraId="68368F13" w14:textId="77777777" w:rsidR="006D503D" w:rsidRPr="00761653" w:rsidRDefault="006D503D" w:rsidP="006D503D">
            <w:pPr>
              <w:widowControl w:val="0"/>
              <w:autoSpaceDE w:val="0"/>
              <w:autoSpaceDN w:val="0"/>
              <w:adjustRightInd w:val="0"/>
              <w:spacing w:before="40"/>
            </w:pPr>
            <w:r w:rsidRPr="00761653">
              <w:lastRenderedPageBreak/>
              <w:t>Катетер-ассоциированная инфекция</w:t>
            </w:r>
          </w:p>
        </w:tc>
        <w:tc>
          <w:tcPr>
            <w:tcW w:w="6096" w:type="dxa"/>
            <w:tcMar>
              <w:top w:w="100" w:type="nil"/>
              <w:right w:w="100" w:type="nil"/>
            </w:tcMar>
            <w:vAlign w:val="center"/>
          </w:tcPr>
          <w:p w14:paraId="101BADE9" w14:textId="77777777" w:rsidR="006D503D" w:rsidRPr="00761653" w:rsidRDefault="006D503D" w:rsidP="006D503D">
            <w:pPr>
              <w:widowControl w:val="0"/>
              <w:autoSpaceDE w:val="0"/>
              <w:autoSpaceDN w:val="0"/>
              <w:adjustRightInd w:val="0"/>
              <w:spacing w:before="40"/>
              <w:contextualSpacing/>
              <w:rPr>
                <w:rFonts w:eastAsia="MS Mincho"/>
              </w:rPr>
            </w:pPr>
            <w:r w:rsidRPr="00761653">
              <w:t>Взятие одновременно крови из вены и из ЦВК для микробиологического исследования</w:t>
            </w:r>
          </w:p>
          <w:p w14:paraId="10EB8D9A" w14:textId="77777777" w:rsidR="006D503D" w:rsidRPr="00761653" w:rsidRDefault="006D503D" w:rsidP="006D503D">
            <w:pPr>
              <w:widowControl w:val="0"/>
              <w:autoSpaceDE w:val="0"/>
              <w:autoSpaceDN w:val="0"/>
              <w:adjustRightInd w:val="0"/>
              <w:spacing w:before="40"/>
              <w:contextualSpacing/>
            </w:pPr>
            <w:r w:rsidRPr="00761653">
              <w:t>Положительная гемокультура из ЦВК получена раньше на 2 часа и более чем из вены – удаление ЦВК ввиду высокой вероятности его инфицирования</w:t>
            </w:r>
          </w:p>
        </w:tc>
      </w:tr>
      <w:tr w:rsidR="006D503D" w:rsidRPr="000D7B76" w14:paraId="4D5A6AB4" w14:textId="77777777" w:rsidTr="006D503D">
        <w:trPr>
          <w:trHeight w:val="698"/>
        </w:trPr>
        <w:tc>
          <w:tcPr>
            <w:tcW w:w="3510" w:type="dxa"/>
            <w:tcMar>
              <w:top w:w="100" w:type="nil"/>
              <w:right w:w="100" w:type="nil"/>
            </w:tcMar>
            <w:vAlign w:val="center"/>
          </w:tcPr>
          <w:p w14:paraId="2B4C0E6A" w14:textId="77777777" w:rsidR="006D503D" w:rsidRPr="00761653" w:rsidRDefault="006D503D" w:rsidP="006D503D">
            <w:pPr>
              <w:widowControl w:val="0"/>
              <w:autoSpaceDE w:val="0"/>
              <w:autoSpaceDN w:val="0"/>
              <w:adjustRightInd w:val="0"/>
              <w:spacing w:before="40"/>
            </w:pPr>
            <w:r w:rsidRPr="00761653">
              <w:t xml:space="preserve">Ожидаемая нейтропения (лейкопения) &gt;10 дней </w:t>
            </w:r>
          </w:p>
        </w:tc>
        <w:tc>
          <w:tcPr>
            <w:tcW w:w="6096" w:type="dxa"/>
            <w:tcMar>
              <w:top w:w="100" w:type="nil"/>
              <w:right w:w="100" w:type="nil"/>
            </w:tcMar>
            <w:vAlign w:val="center"/>
          </w:tcPr>
          <w:p w14:paraId="1FD1C40A" w14:textId="77777777" w:rsidR="006D503D" w:rsidRPr="00761653" w:rsidRDefault="006D503D" w:rsidP="006D503D">
            <w:pPr>
              <w:widowControl w:val="0"/>
              <w:autoSpaceDE w:val="0"/>
              <w:autoSpaceDN w:val="0"/>
              <w:adjustRightInd w:val="0"/>
              <w:spacing w:before="40"/>
            </w:pPr>
            <w:r w:rsidRPr="00761653">
              <w:t xml:space="preserve">Исследование крови на антиген </w:t>
            </w:r>
            <w:r w:rsidRPr="00761653">
              <w:rPr>
                <w:i/>
                <w:iCs/>
              </w:rPr>
              <w:t>Aspergillus</w:t>
            </w:r>
            <w:r w:rsidRPr="00761653">
              <w:t xml:space="preserve"> 2 раза в неделю</w:t>
            </w:r>
          </w:p>
        </w:tc>
      </w:tr>
      <w:tr w:rsidR="006D503D" w:rsidRPr="00761653" w14:paraId="63E228E1" w14:textId="77777777" w:rsidTr="006D503D">
        <w:trPr>
          <w:trHeight w:val="556"/>
        </w:trPr>
        <w:tc>
          <w:tcPr>
            <w:tcW w:w="3510" w:type="dxa"/>
            <w:tcMar>
              <w:top w:w="100" w:type="nil"/>
              <w:right w:w="100" w:type="nil"/>
            </w:tcMar>
            <w:vAlign w:val="center"/>
          </w:tcPr>
          <w:p w14:paraId="20BC68A3" w14:textId="77777777" w:rsidR="006D503D" w:rsidRPr="00761653" w:rsidRDefault="006D503D" w:rsidP="006D503D">
            <w:pPr>
              <w:widowControl w:val="0"/>
              <w:autoSpaceDE w:val="0"/>
              <w:autoSpaceDN w:val="0"/>
              <w:adjustRightInd w:val="0"/>
              <w:spacing w:before="40"/>
            </w:pPr>
            <w:r w:rsidRPr="00761653">
              <w:t>Стоматит</w:t>
            </w:r>
          </w:p>
        </w:tc>
        <w:tc>
          <w:tcPr>
            <w:tcW w:w="6096" w:type="dxa"/>
            <w:tcMar>
              <w:top w:w="100" w:type="nil"/>
              <w:right w:w="100" w:type="nil"/>
            </w:tcMar>
            <w:vAlign w:val="center"/>
          </w:tcPr>
          <w:p w14:paraId="7707089B" w14:textId="77777777" w:rsidR="006D503D" w:rsidRPr="00761653" w:rsidRDefault="006D503D" w:rsidP="006D503D">
            <w:pPr>
              <w:widowControl w:val="0"/>
              <w:autoSpaceDE w:val="0"/>
              <w:autoSpaceDN w:val="0"/>
              <w:adjustRightInd w:val="0"/>
              <w:spacing w:before="40"/>
            </w:pPr>
            <w:r w:rsidRPr="00761653">
              <w:t>Мазок со слизистой ротоглотки</w:t>
            </w:r>
          </w:p>
        </w:tc>
      </w:tr>
      <w:tr w:rsidR="006D503D" w:rsidRPr="000D7B76" w14:paraId="351CB303" w14:textId="77777777" w:rsidTr="006D503D">
        <w:trPr>
          <w:trHeight w:val="976"/>
        </w:trPr>
        <w:tc>
          <w:tcPr>
            <w:tcW w:w="3510" w:type="dxa"/>
            <w:tcMar>
              <w:top w:w="100" w:type="nil"/>
              <w:right w:w="100" w:type="nil"/>
            </w:tcMar>
            <w:vAlign w:val="center"/>
          </w:tcPr>
          <w:p w14:paraId="76472244" w14:textId="77777777" w:rsidR="006D503D" w:rsidRPr="00761653" w:rsidRDefault="006D503D" w:rsidP="006D503D">
            <w:pPr>
              <w:widowControl w:val="0"/>
              <w:autoSpaceDE w:val="0"/>
              <w:autoSpaceDN w:val="0"/>
              <w:adjustRightInd w:val="0"/>
              <w:spacing w:before="40"/>
            </w:pPr>
            <w:r w:rsidRPr="00761653">
              <w:t>Эзофагит</w:t>
            </w:r>
          </w:p>
        </w:tc>
        <w:tc>
          <w:tcPr>
            <w:tcW w:w="6096" w:type="dxa"/>
            <w:tcMar>
              <w:top w:w="100" w:type="nil"/>
              <w:right w:w="100" w:type="nil"/>
            </w:tcMar>
            <w:vAlign w:val="center"/>
          </w:tcPr>
          <w:p w14:paraId="21FA8570" w14:textId="77777777" w:rsidR="006D503D" w:rsidRPr="00761653" w:rsidRDefault="006D503D" w:rsidP="006D503D">
            <w:pPr>
              <w:widowControl w:val="0"/>
              <w:autoSpaceDE w:val="0"/>
              <w:autoSpaceDN w:val="0"/>
              <w:adjustRightInd w:val="0"/>
              <w:spacing w:before="40"/>
              <w:ind w:right="8"/>
            </w:pPr>
            <w:r w:rsidRPr="00761653">
              <w:t>Эзофагоскопия (тромбоцитов не менее 50x10</w:t>
            </w:r>
            <w:r w:rsidRPr="00761653">
              <w:rPr>
                <w:vertAlign w:val="superscript"/>
              </w:rPr>
              <w:t>9</w:t>
            </w:r>
            <w:r w:rsidRPr="00761653">
              <w:t>/л)</w:t>
            </w:r>
          </w:p>
          <w:p w14:paraId="22DDE165" w14:textId="77777777" w:rsidR="006D503D" w:rsidRPr="00761653" w:rsidRDefault="006D503D" w:rsidP="006D503D">
            <w:pPr>
              <w:widowControl w:val="0"/>
              <w:autoSpaceDE w:val="0"/>
              <w:autoSpaceDN w:val="0"/>
              <w:adjustRightInd w:val="0"/>
              <w:spacing w:before="40"/>
              <w:ind w:right="8"/>
            </w:pPr>
            <w:r w:rsidRPr="00761653">
              <w:t>Исследование - соскоб (браш-метод) со слизистой оболочки или биопсия</w:t>
            </w:r>
          </w:p>
        </w:tc>
      </w:tr>
      <w:tr w:rsidR="006D503D" w:rsidRPr="000D7B76" w14:paraId="7CD7D99D" w14:textId="77777777" w:rsidTr="006D503D">
        <w:trPr>
          <w:trHeight w:val="704"/>
        </w:trPr>
        <w:tc>
          <w:tcPr>
            <w:tcW w:w="3510" w:type="dxa"/>
            <w:tcMar>
              <w:top w:w="100" w:type="nil"/>
              <w:right w:w="100" w:type="nil"/>
            </w:tcMar>
            <w:vAlign w:val="center"/>
          </w:tcPr>
          <w:p w14:paraId="290C5355" w14:textId="77777777" w:rsidR="006D503D" w:rsidRPr="00761653" w:rsidRDefault="006D503D" w:rsidP="006D503D">
            <w:pPr>
              <w:widowControl w:val="0"/>
              <w:autoSpaceDE w:val="0"/>
              <w:autoSpaceDN w:val="0"/>
              <w:adjustRightInd w:val="0"/>
              <w:spacing w:before="40"/>
              <w:ind w:left="26"/>
            </w:pPr>
            <w:r w:rsidRPr="00761653">
              <w:t>Некроз слизистой оболочки носового хода</w:t>
            </w:r>
          </w:p>
        </w:tc>
        <w:tc>
          <w:tcPr>
            <w:tcW w:w="6096" w:type="dxa"/>
            <w:tcMar>
              <w:top w:w="100" w:type="nil"/>
              <w:right w:w="100" w:type="nil"/>
            </w:tcMar>
            <w:vAlign w:val="center"/>
          </w:tcPr>
          <w:p w14:paraId="58E5A42B" w14:textId="77777777" w:rsidR="006D503D" w:rsidRPr="00761653" w:rsidRDefault="006D503D" w:rsidP="006D503D">
            <w:pPr>
              <w:widowControl w:val="0"/>
              <w:autoSpaceDE w:val="0"/>
              <w:autoSpaceDN w:val="0"/>
              <w:adjustRightInd w:val="0"/>
              <w:spacing w:before="40"/>
              <w:ind w:left="-23" w:right="8"/>
            </w:pPr>
            <w:r w:rsidRPr="00761653">
              <w:t>Мазок со слизистой оболочки носа</w:t>
            </w:r>
          </w:p>
        </w:tc>
      </w:tr>
      <w:tr w:rsidR="006D503D" w:rsidRPr="000D7B76" w14:paraId="21FA592B" w14:textId="77777777" w:rsidTr="006D503D">
        <w:trPr>
          <w:trHeight w:val="701"/>
        </w:trPr>
        <w:tc>
          <w:tcPr>
            <w:tcW w:w="3510" w:type="dxa"/>
            <w:tcMar>
              <w:top w:w="100" w:type="nil"/>
              <w:right w:w="100" w:type="nil"/>
            </w:tcMar>
            <w:vAlign w:val="center"/>
          </w:tcPr>
          <w:p w14:paraId="7FC44D9F" w14:textId="77777777" w:rsidR="006D503D" w:rsidRPr="00761653" w:rsidRDefault="006D503D" w:rsidP="006D503D">
            <w:pPr>
              <w:widowControl w:val="0"/>
              <w:autoSpaceDE w:val="0"/>
              <w:autoSpaceDN w:val="0"/>
              <w:adjustRightInd w:val="0"/>
              <w:spacing w:before="40"/>
              <w:ind w:right="-941"/>
            </w:pPr>
            <w:r w:rsidRPr="00761653">
              <w:t>Гайморит</w:t>
            </w:r>
          </w:p>
        </w:tc>
        <w:tc>
          <w:tcPr>
            <w:tcW w:w="6096" w:type="dxa"/>
            <w:tcMar>
              <w:top w:w="100" w:type="nil"/>
              <w:right w:w="100" w:type="nil"/>
            </w:tcMar>
            <w:vAlign w:val="center"/>
          </w:tcPr>
          <w:p w14:paraId="28E2DB0D" w14:textId="77777777" w:rsidR="006D503D" w:rsidRPr="00761653" w:rsidRDefault="006D503D" w:rsidP="006D503D">
            <w:pPr>
              <w:widowControl w:val="0"/>
              <w:autoSpaceDE w:val="0"/>
              <w:autoSpaceDN w:val="0"/>
              <w:adjustRightInd w:val="0"/>
              <w:spacing w:before="40"/>
              <w:ind w:right="8"/>
            </w:pPr>
            <w:r w:rsidRPr="00761653">
              <w:t>Исследование содержимого околоносовой пазухи, полученной при пункции</w:t>
            </w:r>
          </w:p>
        </w:tc>
      </w:tr>
      <w:tr w:rsidR="006D503D" w:rsidRPr="00761653" w14:paraId="7E751373" w14:textId="77777777" w:rsidTr="006D503D">
        <w:trPr>
          <w:trHeight w:val="825"/>
        </w:trPr>
        <w:tc>
          <w:tcPr>
            <w:tcW w:w="3510" w:type="dxa"/>
            <w:tcMar>
              <w:top w:w="100" w:type="nil"/>
              <w:right w:w="100" w:type="nil"/>
            </w:tcMar>
            <w:vAlign w:val="center"/>
          </w:tcPr>
          <w:p w14:paraId="1C3B7920" w14:textId="77777777" w:rsidR="006D503D" w:rsidRPr="00761653" w:rsidRDefault="006D503D" w:rsidP="006D503D">
            <w:pPr>
              <w:widowControl w:val="0"/>
              <w:autoSpaceDE w:val="0"/>
              <w:autoSpaceDN w:val="0"/>
              <w:adjustRightInd w:val="0"/>
              <w:spacing w:before="40"/>
            </w:pPr>
            <w:r w:rsidRPr="00761653">
              <w:t>Симптомы инфекции мочевыводящих путей</w:t>
            </w:r>
          </w:p>
          <w:p w14:paraId="30A28470" w14:textId="77777777" w:rsidR="006D503D" w:rsidRPr="00761653" w:rsidRDefault="006D503D" w:rsidP="006D503D">
            <w:pPr>
              <w:widowControl w:val="0"/>
              <w:autoSpaceDE w:val="0"/>
              <w:autoSpaceDN w:val="0"/>
              <w:adjustRightInd w:val="0"/>
              <w:spacing w:before="40"/>
            </w:pPr>
            <w:r w:rsidRPr="00761653">
              <w:t>Лейкоцитурия</w:t>
            </w:r>
          </w:p>
        </w:tc>
        <w:tc>
          <w:tcPr>
            <w:tcW w:w="6096" w:type="dxa"/>
            <w:tcMar>
              <w:top w:w="100" w:type="nil"/>
              <w:right w:w="100" w:type="nil"/>
            </w:tcMar>
            <w:vAlign w:val="center"/>
          </w:tcPr>
          <w:p w14:paraId="65BF7EEC" w14:textId="77777777" w:rsidR="006D503D" w:rsidRPr="00761653" w:rsidRDefault="006D503D" w:rsidP="006D503D">
            <w:pPr>
              <w:widowControl w:val="0"/>
              <w:autoSpaceDE w:val="0"/>
              <w:autoSpaceDN w:val="0"/>
              <w:adjustRightInd w:val="0"/>
              <w:spacing w:before="40"/>
            </w:pPr>
            <w:r w:rsidRPr="00761653">
              <w:t>Микробиологическое исследование мочи</w:t>
            </w:r>
          </w:p>
        </w:tc>
      </w:tr>
      <w:tr w:rsidR="006D503D" w:rsidRPr="000D7B76" w14:paraId="5B9DB8E7" w14:textId="77777777" w:rsidTr="006D503D">
        <w:trPr>
          <w:trHeight w:val="1016"/>
        </w:trPr>
        <w:tc>
          <w:tcPr>
            <w:tcW w:w="3510" w:type="dxa"/>
            <w:tcMar>
              <w:top w:w="100" w:type="nil"/>
              <w:right w:w="100" w:type="nil"/>
            </w:tcMar>
            <w:vAlign w:val="center"/>
          </w:tcPr>
          <w:p w14:paraId="6C781C4F" w14:textId="77777777" w:rsidR="006D503D" w:rsidRPr="00761653" w:rsidRDefault="006D503D" w:rsidP="006D503D">
            <w:pPr>
              <w:widowControl w:val="0"/>
              <w:autoSpaceDE w:val="0"/>
              <w:autoSpaceDN w:val="0"/>
              <w:adjustRightInd w:val="0"/>
              <w:spacing w:before="40"/>
            </w:pPr>
            <w:r w:rsidRPr="00761653">
              <w:t>Пневмония</w:t>
            </w:r>
          </w:p>
        </w:tc>
        <w:tc>
          <w:tcPr>
            <w:tcW w:w="6096" w:type="dxa"/>
            <w:tcMar>
              <w:top w:w="100" w:type="nil"/>
              <w:right w:w="100" w:type="nil"/>
            </w:tcMar>
          </w:tcPr>
          <w:p w14:paraId="56E2F45D" w14:textId="77777777" w:rsidR="006D503D" w:rsidRPr="00761653" w:rsidRDefault="006D503D" w:rsidP="006D503D">
            <w:pPr>
              <w:widowControl w:val="0"/>
              <w:autoSpaceDE w:val="0"/>
              <w:autoSpaceDN w:val="0"/>
              <w:adjustRightInd w:val="0"/>
              <w:spacing w:before="40"/>
              <w:contextualSpacing/>
            </w:pPr>
            <w:r w:rsidRPr="00761653">
              <w:t>КТВР легких</w:t>
            </w:r>
          </w:p>
          <w:p w14:paraId="5BC582C1" w14:textId="77777777" w:rsidR="006D503D" w:rsidRPr="00761653" w:rsidRDefault="006D503D" w:rsidP="006D503D">
            <w:pPr>
              <w:widowControl w:val="0"/>
              <w:autoSpaceDE w:val="0"/>
              <w:autoSpaceDN w:val="0"/>
              <w:adjustRightInd w:val="0"/>
              <w:spacing w:before="40"/>
              <w:contextualSpacing/>
            </w:pPr>
            <w:r w:rsidRPr="00761653">
              <w:t>Бронхоальвеолярный лаваж после КТВР легких</w:t>
            </w:r>
          </w:p>
          <w:p w14:paraId="43360054" w14:textId="77777777" w:rsidR="006D503D" w:rsidRPr="00761653" w:rsidRDefault="006D503D" w:rsidP="006D503D">
            <w:pPr>
              <w:widowControl w:val="0"/>
              <w:autoSpaceDE w:val="0"/>
              <w:autoSpaceDN w:val="0"/>
              <w:adjustRightInd w:val="0"/>
              <w:spacing w:before="40"/>
              <w:contextualSpacing/>
              <w:rPr>
                <w:rFonts w:eastAsia="MS Mincho"/>
              </w:rPr>
            </w:pPr>
            <w:r w:rsidRPr="00761653">
              <w:t xml:space="preserve">Полное исследование жидкости БАЛ (микроскопия, микробиологическое исследование на бактерии и грибы, определение галактоманнана, флюоресцентная микроскопия на </w:t>
            </w:r>
            <w:r w:rsidRPr="00761653">
              <w:rPr>
                <w:i/>
                <w:iCs/>
              </w:rPr>
              <w:t xml:space="preserve">P. jirovecii, </w:t>
            </w:r>
            <w:r w:rsidRPr="00761653">
              <w:t xml:space="preserve">определение ДНК вирусов, </w:t>
            </w:r>
            <w:r w:rsidRPr="00761653">
              <w:rPr>
                <w:i/>
                <w:iCs/>
              </w:rPr>
              <w:t>P</w:t>
            </w:r>
            <w:r w:rsidRPr="00761653">
              <w:rPr>
                <w:i/>
                <w:iCs/>
                <w:strike/>
              </w:rPr>
              <w:t>.</w:t>
            </w:r>
            <w:r w:rsidRPr="00761653">
              <w:rPr>
                <w:i/>
                <w:iCs/>
              </w:rPr>
              <w:t xml:space="preserve"> jirovecii</w:t>
            </w:r>
            <w:r w:rsidRPr="00761653">
              <w:t>,</w:t>
            </w:r>
            <w:r w:rsidRPr="00761653">
              <w:rPr>
                <w:i/>
                <w:iCs/>
              </w:rPr>
              <w:t xml:space="preserve"> M. pneumoniae, C. pneumoniae</w:t>
            </w:r>
            <w:r w:rsidRPr="00761653">
              <w:t>)</w:t>
            </w:r>
          </w:p>
          <w:p w14:paraId="09B764AB" w14:textId="77777777" w:rsidR="006D503D" w:rsidRPr="00761653" w:rsidRDefault="006D503D" w:rsidP="006D503D">
            <w:pPr>
              <w:widowControl w:val="0"/>
              <w:autoSpaceDE w:val="0"/>
              <w:autoSpaceDN w:val="0"/>
              <w:adjustRightInd w:val="0"/>
              <w:spacing w:before="40"/>
              <w:contextualSpacing/>
            </w:pPr>
            <w:r w:rsidRPr="00761653">
              <w:t xml:space="preserve">Исследование крови на антиген </w:t>
            </w:r>
            <w:r w:rsidRPr="00761653">
              <w:rPr>
                <w:i/>
                <w:iCs/>
              </w:rPr>
              <w:t>Aspergillus</w:t>
            </w:r>
          </w:p>
        </w:tc>
      </w:tr>
      <w:tr w:rsidR="006D503D" w:rsidRPr="000D7B76" w14:paraId="449B19F1" w14:textId="77777777" w:rsidTr="006D503D">
        <w:trPr>
          <w:trHeight w:val="360"/>
        </w:trPr>
        <w:tc>
          <w:tcPr>
            <w:tcW w:w="3510" w:type="dxa"/>
            <w:tcMar>
              <w:top w:w="100" w:type="nil"/>
              <w:right w:w="100" w:type="nil"/>
            </w:tcMar>
          </w:tcPr>
          <w:p w14:paraId="4CCB6C61" w14:textId="77777777" w:rsidR="006D503D" w:rsidRPr="00761653" w:rsidRDefault="006D503D" w:rsidP="006D503D">
            <w:pPr>
              <w:widowControl w:val="0"/>
              <w:autoSpaceDE w:val="0"/>
              <w:autoSpaceDN w:val="0"/>
              <w:adjustRightInd w:val="0"/>
              <w:spacing w:before="40"/>
            </w:pPr>
            <w:r w:rsidRPr="00761653">
              <w:t>Cимптомы менингита</w:t>
            </w:r>
          </w:p>
          <w:p w14:paraId="3309A5BF" w14:textId="77777777" w:rsidR="006D503D" w:rsidRPr="00761653" w:rsidRDefault="006D503D" w:rsidP="006D503D">
            <w:pPr>
              <w:widowControl w:val="0"/>
              <w:autoSpaceDE w:val="0"/>
              <w:autoSpaceDN w:val="0"/>
              <w:adjustRightInd w:val="0"/>
              <w:spacing w:before="40"/>
              <w:rPr>
                <w:rFonts w:eastAsia="MS Mincho"/>
              </w:rPr>
            </w:pPr>
            <w:r w:rsidRPr="00761653">
              <w:t>«Мозговая» симптоматика на фоне лихорадки и нейтропении</w:t>
            </w:r>
          </w:p>
          <w:p w14:paraId="1428686E" w14:textId="77777777" w:rsidR="006D503D" w:rsidRPr="00761653" w:rsidRDefault="006D503D" w:rsidP="006D503D">
            <w:pPr>
              <w:widowControl w:val="0"/>
              <w:autoSpaceDE w:val="0"/>
              <w:autoSpaceDN w:val="0"/>
              <w:adjustRightInd w:val="0"/>
              <w:spacing w:before="40"/>
            </w:pPr>
            <w:r w:rsidRPr="00761653">
              <w:t xml:space="preserve">Обнаружение очага (очагов) в </w:t>
            </w:r>
            <w:r w:rsidRPr="00761653">
              <w:lastRenderedPageBreak/>
              <w:t>головном мозге</w:t>
            </w:r>
          </w:p>
        </w:tc>
        <w:tc>
          <w:tcPr>
            <w:tcW w:w="6096" w:type="dxa"/>
            <w:tcMar>
              <w:top w:w="100" w:type="nil"/>
              <w:right w:w="100" w:type="nil"/>
            </w:tcMar>
            <w:vAlign w:val="center"/>
          </w:tcPr>
          <w:p w14:paraId="6D3B07D8" w14:textId="77777777" w:rsidR="006D503D" w:rsidRPr="00761653" w:rsidRDefault="006D503D" w:rsidP="006D503D">
            <w:pPr>
              <w:widowControl w:val="0"/>
              <w:autoSpaceDE w:val="0"/>
              <w:autoSpaceDN w:val="0"/>
              <w:adjustRightInd w:val="0"/>
              <w:spacing w:before="40"/>
              <w:ind w:right="6"/>
              <w:contextualSpacing/>
              <w:rPr>
                <w:rFonts w:eastAsia="MS Mincho"/>
              </w:rPr>
            </w:pPr>
            <w:r w:rsidRPr="00761653">
              <w:lastRenderedPageBreak/>
              <w:t>Люмбальная пункция</w:t>
            </w:r>
          </w:p>
          <w:p w14:paraId="0CA8D90A" w14:textId="77777777" w:rsidR="006D503D" w:rsidRPr="00761653" w:rsidRDefault="006D503D" w:rsidP="006D503D">
            <w:pPr>
              <w:widowControl w:val="0"/>
              <w:autoSpaceDE w:val="0"/>
              <w:autoSpaceDN w:val="0"/>
              <w:adjustRightInd w:val="0"/>
              <w:spacing w:before="40"/>
              <w:ind w:right="6"/>
              <w:contextualSpacing/>
            </w:pPr>
            <w:r w:rsidRPr="00761653">
              <w:t xml:space="preserve">Полное исследование СМЖ (см. текст), включая исследование на антиген </w:t>
            </w:r>
            <w:r w:rsidRPr="00761653">
              <w:rPr>
                <w:i/>
                <w:iCs/>
              </w:rPr>
              <w:t>Cryptococcus</w:t>
            </w:r>
            <w:r w:rsidRPr="00761653">
              <w:t xml:space="preserve"> (глюкуроноксиломаннан)</w:t>
            </w:r>
          </w:p>
        </w:tc>
      </w:tr>
      <w:tr w:rsidR="006D503D" w:rsidRPr="000D7B76" w14:paraId="5B90D467" w14:textId="77777777" w:rsidTr="006D503D">
        <w:trPr>
          <w:trHeight w:val="93"/>
        </w:trPr>
        <w:tc>
          <w:tcPr>
            <w:tcW w:w="3510" w:type="dxa"/>
            <w:tcMar>
              <w:top w:w="100" w:type="nil"/>
              <w:right w:w="100" w:type="nil"/>
            </w:tcMar>
            <w:vAlign w:val="center"/>
          </w:tcPr>
          <w:p w14:paraId="0D3F0D11" w14:textId="77777777" w:rsidR="006D503D" w:rsidRPr="00761653" w:rsidRDefault="006D503D" w:rsidP="006D503D">
            <w:pPr>
              <w:widowControl w:val="0"/>
              <w:autoSpaceDE w:val="0"/>
              <w:autoSpaceDN w:val="0"/>
              <w:adjustRightInd w:val="0"/>
              <w:spacing w:before="40"/>
              <w:ind w:left="29"/>
            </w:pPr>
            <w:r w:rsidRPr="00761653">
              <w:lastRenderedPageBreak/>
              <w:t>Диарея</w:t>
            </w:r>
          </w:p>
        </w:tc>
        <w:tc>
          <w:tcPr>
            <w:tcW w:w="6096" w:type="dxa"/>
            <w:tcMar>
              <w:top w:w="100" w:type="nil"/>
              <w:right w:w="100" w:type="nil"/>
            </w:tcMar>
          </w:tcPr>
          <w:p w14:paraId="46E508D6" w14:textId="77777777" w:rsidR="006D503D" w:rsidRPr="00761653" w:rsidRDefault="006D503D" w:rsidP="006D503D">
            <w:pPr>
              <w:widowControl w:val="0"/>
              <w:autoSpaceDE w:val="0"/>
              <w:autoSpaceDN w:val="0"/>
              <w:adjustRightInd w:val="0"/>
              <w:spacing w:before="40"/>
              <w:ind w:right="5"/>
            </w:pPr>
            <w:r w:rsidRPr="00761653">
              <w:t xml:space="preserve">Исследование кала на токсин </w:t>
            </w:r>
            <w:r w:rsidRPr="00761653">
              <w:rPr>
                <w:i/>
                <w:iCs/>
              </w:rPr>
              <w:t>C. difficile</w:t>
            </w:r>
          </w:p>
        </w:tc>
      </w:tr>
      <w:tr w:rsidR="006D503D" w:rsidRPr="000D7B76" w14:paraId="24BB3F67" w14:textId="77777777" w:rsidTr="006D503D">
        <w:trPr>
          <w:trHeight w:val="187"/>
        </w:trPr>
        <w:tc>
          <w:tcPr>
            <w:tcW w:w="3510" w:type="dxa"/>
            <w:tcMar>
              <w:top w:w="100" w:type="nil"/>
              <w:right w:w="100" w:type="nil"/>
            </w:tcMar>
            <w:vAlign w:val="center"/>
          </w:tcPr>
          <w:p w14:paraId="5E316B60" w14:textId="77777777" w:rsidR="006D503D" w:rsidRPr="00761653" w:rsidRDefault="006D503D" w:rsidP="006D503D">
            <w:pPr>
              <w:widowControl w:val="0"/>
              <w:autoSpaceDE w:val="0"/>
              <w:autoSpaceDN w:val="0"/>
              <w:adjustRightInd w:val="0"/>
              <w:spacing w:before="40"/>
              <w:contextualSpacing/>
              <w:rPr>
                <w:rFonts w:eastAsia="MS Mincho"/>
              </w:rPr>
            </w:pPr>
            <w:r w:rsidRPr="00761653">
              <w:t>Парапроктит</w:t>
            </w:r>
          </w:p>
          <w:p w14:paraId="28F13AA9" w14:textId="77777777" w:rsidR="006D503D" w:rsidRPr="00761653" w:rsidRDefault="006D503D" w:rsidP="006D503D">
            <w:pPr>
              <w:widowControl w:val="0"/>
              <w:autoSpaceDE w:val="0"/>
              <w:autoSpaceDN w:val="0"/>
              <w:adjustRightInd w:val="0"/>
              <w:spacing w:before="40"/>
              <w:contextualSpacing/>
            </w:pPr>
            <w:r w:rsidRPr="00761653">
              <w:t>Трещина в области прямой кишки</w:t>
            </w:r>
          </w:p>
        </w:tc>
        <w:tc>
          <w:tcPr>
            <w:tcW w:w="6096" w:type="dxa"/>
            <w:tcMar>
              <w:top w:w="100" w:type="nil"/>
              <w:right w:w="100" w:type="nil"/>
            </w:tcMar>
            <w:vAlign w:val="center"/>
          </w:tcPr>
          <w:p w14:paraId="496437BE" w14:textId="77777777" w:rsidR="006D503D" w:rsidRPr="00761653" w:rsidRDefault="006D503D" w:rsidP="006D503D">
            <w:pPr>
              <w:widowControl w:val="0"/>
              <w:autoSpaceDE w:val="0"/>
              <w:autoSpaceDN w:val="0"/>
              <w:adjustRightInd w:val="0"/>
              <w:spacing w:before="40"/>
            </w:pPr>
            <w:r w:rsidRPr="00761653">
              <w:t>Мазок со слизистой оболочки прямой кишки</w:t>
            </w:r>
          </w:p>
        </w:tc>
      </w:tr>
      <w:tr w:rsidR="006D503D" w:rsidRPr="000D7B76" w14:paraId="5C706CE8" w14:textId="77777777" w:rsidTr="006D503D">
        <w:trPr>
          <w:trHeight w:val="200"/>
        </w:trPr>
        <w:tc>
          <w:tcPr>
            <w:tcW w:w="3510" w:type="dxa"/>
            <w:tcMar>
              <w:top w:w="100" w:type="nil"/>
              <w:right w:w="100" w:type="nil"/>
            </w:tcMar>
            <w:vAlign w:val="center"/>
          </w:tcPr>
          <w:p w14:paraId="3E7C21EB" w14:textId="77777777" w:rsidR="006D503D" w:rsidRPr="00761653" w:rsidRDefault="006D503D" w:rsidP="006D503D">
            <w:pPr>
              <w:widowControl w:val="0"/>
              <w:autoSpaceDE w:val="0"/>
              <w:autoSpaceDN w:val="0"/>
              <w:adjustRightInd w:val="0"/>
              <w:spacing w:before="40"/>
              <w:ind w:left="29"/>
              <w:contextualSpacing/>
            </w:pPr>
            <w:r w:rsidRPr="00761653">
              <w:t>Образования (инфильтраты) на коже</w:t>
            </w:r>
          </w:p>
        </w:tc>
        <w:tc>
          <w:tcPr>
            <w:tcW w:w="6096" w:type="dxa"/>
            <w:tcMar>
              <w:top w:w="100" w:type="nil"/>
              <w:right w:w="100" w:type="nil"/>
            </w:tcMar>
            <w:vAlign w:val="center"/>
          </w:tcPr>
          <w:p w14:paraId="3B2E037F" w14:textId="77777777" w:rsidR="006D503D" w:rsidRPr="00761653" w:rsidRDefault="006D503D" w:rsidP="006D503D">
            <w:pPr>
              <w:widowControl w:val="0"/>
              <w:autoSpaceDE w:val="0"/>
              <w:autoSpaceDN w:val="0"/>
              <w:adjustRightInd w:val="0"/>
              <w:spacing w:before="40"/>
              <w:contextualSpacing/>
            </w:pPr>
            <w:r w:rsidRPr="00761653">
              <w:t>Биопсия</w:t>
            </w:r>
          </w:p>
          <w:p w14:paraId="6F48F1C8" w14:textId="77777777" w:rsidR="006D503D" w:rsidRPr="00761653" w:rsidRDefault="006D503D" w:rsidP="006D503D">
            <w:pPr>
              <w:widowControl w:val="0"/>
              <w:autoSpaceDE w:val="0"/>
              <w:autoSpaceDN w:val="0"/>
              <w:adjustRightInd w:val="0"/>
              <w:spacing w:before="40"/>
              <w:contextualSpacing/>
            </w:pPr>
            <w:r w:rsidRPr="00761653">
              <w:t>Микробиологическое и гистологическое исследование биоптата</w:t>
            </w:r>
          </w:p>
        </w:tc>
      </w:tr>
    </w:tbl>
    <w:p w14:paraId="600EE5A8" w14:textId="77777777" w:rsidR="006D503D" w:rsidRDefault="006D503D" w:rsidP="006D503D">
      <w:pPr>
        <w:widowControl w:val="0"/>
        <w:tabs>
          <w:tab w:val="left" w:pos="1134"/>
        </w:tabs>
        <w:autoSpaceDE w:val="0"/>
        <w:autoSpaceDN w:val="0"/>
        <w:adjustRightInd w:val="0"/>
        <w:spacing w:before="60" w:after="60"/>
        <w:ind w:right="-130" w:firstLine="709"/>
        <w:contextualSpacing/>
        <w:rPr>
          <w:b/>
          <w:bCs/>
        </w:rPr>
      </w:pPr>
    </w:p>
    <w:p w14:paraId="368D5505" w14:textId="77777777" w:rsidR="006D503D" w:rsidRPr="00334A8A" w:rsidRDefault="006D503D" w:rsidP="00CE6C1C">
      <w:pPr>
        <w:pStyle w:val="a6"/>
        <w:widowControl w:val="0"/>
        <w:numPr>
          <w:ilvl w:val="0"/>
          <w:numId w:val="146"/>
        </w:numPr>
        <w:tabs>
          <w:tab w:val="left" w:pos="1134"/>
        </w:tabs>
        <w:autoSpaceDE w:val="0"/>
        <w:autoSpaceDN w:val="0"/>
        <w:adjustRightInd w:val="0"/>
        <w:spacing w:before="60" w:after="60"/>
        <w:ind w:right="-130"/>
        <w:rPr>
          <w:b/>
          <w:bCs/>
        </w:rPr>
      </w:pPr>
      <w:r w:rsidRPr="00334A8A">
        <w:rPr>
          <w:b/>
          <w:bCs/>
        </w:rPr>
        <w:t>Показания к назначению антибактериальной терапии первого этапа</w:t>
      </w:r>
    </w:p>
    <w:p w14:paraId="67036560" w14:textId="77777777" w:rsidR="006D503D" w:rsidRPr="0076198F" w:rsidRDefault="006D503D" w:rsidP="00BF079B">
      <w:pPr>
        <w:tabs>
          <w:tab w:val="left" w:pos="0"/>
          <w:tab w:val="left" w:pos="567"/>
        </w:tabs>
        <w:spacing w:before="0" w:after="0"/>
        <w:ind w:firstLine="709"/>
      </w:pPr>
      <w:r w:rsidRPr="0076198F">
        <w:t xml:space="preserve">В первые сутки, как правило, единственным симптомом </w:t>
      </w:r>
      <w:r>
        <w:t xml:space="preserve">ифнекционного осложнения </w:t>
      </w:r>
      <w:r w:rsidRPr="0076198F">
        <w:t>бывает лишь повышение температуры</w:t>
      </w:r>
      <w:r>
        <w:t xml:space="preserve"> тела</w:t>
      </w:r>
      <w:r w:rsidRPr="0076198F">
        <w:t xml:space="preserve">, а информацию о бактериемии или пневмонии у больных с нейтропенией удается получить не раньше, чем на второй день инфекционного эпизода. В связи с этим основным принципом терапии инфекционных осложнений у </w:t>
      </w:r>
      <w:r>
        <w:t xml:space="preserve">гематологических пациентов </w:t>
      </w:r>
      <w:r w:rsidRPr="0076198F">
        <w:t>с фебрильной нейтропенией</w:t>
      </w:r>
      <w:r>
        <w:t xml:space="preserve">, особенно из группы ристка (онкогематология, цитопении, миелодисплазии, иммунодефицитные состояния и др.) </w:t>
      </w:r>
      <w:r w:rsidRPr="0076198F">
        <w:t xml:space="preserve">является эмпирический подход к назначению антибактериальных препаратов, когда их применяют при первых признаках инфекции, при лихорадке до идентификации возбудителей инфекции. В то же время эмпирический подход к назначению антибиотиков является относительным, поскольку выбор антимикробных препаратов определяется ретроспективным анализом верифицированных возбудителей и их антибиотикочувствительностью. </w:t>
      </w:r>
    </w:p>
    <w:p w14:paraId="0854F56F" w14:textId="77777777" w:rsidR="006D503D" w:rsidRDefault="006D503D" w:rsidP="00BF079B">
      <w:pPr>
        <w:widowControl w:val="0"/>
        <w:tabs>
          <w:tab w:val="left" w:pos="1134"/>
        </w:tabs>
        <w:autoSpaceDE w:val="0"/>
        <w:autoSpaceDN w:val="0"/>
        <w:adjustRightInd w:val="0"/>
        <w:spacing w:before="0" w:after="0"/>
        <w:ind w:right="-130" w:firstLine="709"/>
        <w:contextualSpacing/>
      </w:pPr>
      <w:r>
        <w:rPr>
          <w:bCs/>
        </w:rPr>
        <w:t>Показанием к назначению антибактериальных препаратов является п</w:t>
      </w:r>
      <w:r w:rsidRPr="00761653">
        <w:t xml:space="preserve">овышение температуры ≥38,0°С, сохраняющееся в течение 2 часов и не связанное с введением пирогенных препаратов (например, компонентов крови, факторов роста и др.) </w:t>
      </w:r>
      <w:r w:rsidRPr="008B181D">
        <w:rPr>
          <w:b/>
          <w:i/>
          <w:iCs/>
        </w:rPr>
        <w:t>или</w:t>
      </w:r>
      <w:r w:rsidRPr="00761653">
        <w:rPr>
          <w:b/>
          <w:bCs/>
        </w:rPr>
        <w:t xml:space="preserve"> </w:t>
      </w:r>
      <w:r w:rsidRPr="00761653">
        <w:t xml:space="preserve">наличие очага инфекции (например, пневмония, парапроктит и др.) вне зависимости от показателей температуры. </w:t>
      </w:r>
    </w:p>
    <w:p w14:paraId="3E5869D5" w14:textId="77777777" w:rsidR="006D503D" w:rsidRPr="00761653" w:rsidRDefault="006D503D" w:rsidP="006D503D">
      <w:pPr>
        <w:widowControl w:val="0"/>
        <w:tabs>
          <w:tab w:val="left" w:pos="1134"/>
        </w:tabs>
        <w:autoSpaceDE w:val="0"/>
        <w:autoSpaceDN w:val="0"/>
        <w:adjustRightInd w:val="0"/>
        <w:spacing w:before="60" w:after="60"/>
        <w:ind w:right="-130" w:firstLine="709"/>
        <w:contextualSpacing/>
      </w:pPr>
      <w:r w:rsidRPr="00761653">
        <w:t>При фебрильной нейтропении в 1-й линии назначают внутривенно антибиотик с активностью против грамотрицательных бактерий, включая синегнойную палочку - пиперациллин/тазобактам (4,5 г х 3 раза) или цефоперазон/сульбактам</w:t>
      </w:r>
      <w:r w:rsidRPr="00761653">
        <w:rPr>
          <w:b/>
          <w:bCs/>
        </w:rPr>
        <w:t xml:space="preserve"> (</w:t>
      </w:r>
      <w:r w:rsidRPr="00761653">
        <w:t>4 г х 2 раза). В клиниках с низкой частотой детекции энтеробактерий с продукцией БЛРС допустимо назначение цефепима</w:t>
      </w:r>
      <w:r w:rsidRPr="00761653">
        <w:rPr>
          <w:b/>
          <w:bCs/>
        </w:rPr>
        <w:t xml:space="preserve"> (</w:t>
      </w:r>
      <w:r w:rsidRPr="00761653">
        <w:t>2 г х 2 раза) или цефтазидима</w:t>
      </w:r>
      <w:r w:rsidRPr="00761653">
        <w:rPr>
          <w:b/>
          <w:bCs/>
        </w:rPr>
        <w:t xml:space="preserve"> (</w:t>
      </w:r>
      <w:r w:rsidRPr="00761653">
        <w:t xml:space="preserve">2 г х 3 раза). Препарат выбора для беременных с заболеваниями системы крови – цефепим. При неэффективности и </w:t>
      </w:r>
      <w:r w:rsidRPr="00761653">
        <w:lastRenderedPageBreak/>
        <w:t xml:space="preserve">отсутствии информативных микробиологических исследований проводят замену антибиотиков 1й линии на антипсевдомонадный карбапенем (имипенем, меропенем или дорипенем). В 1й линии </w:t>
      </w:r>
      <w:r>
        <w:t xml:space="preserve">терапии </w:t>
      </w:r>
      <w:r w:rsidRPr="00761653">
        <w:t xml:space="preserve">фебрильной нейтропении не назначают цефтриаксон, цефоперазон, фторхинолоны. </w:t>
      </w:r>
    </w:p>
    <w:p w14:paraId="60E0E74B" w14:textId="77777777" w:rsidR="006D503D" w:rsidRPr="00761653" w:rsidRDefault="006D503D" w:rsidP="006D503D">
      <w:pPr>
        <w:widowControl w:val="0"/>
        <w:autoSpaceDE w:val="0"/>
        <w:autoSpaceDN w:val="0"/>
        <w:adjustRightInd w:val="0"/>
        <w:spacing w:before="240" w:after="60"/>
        <w:ind w:right="-220" w:firstLine="709"/>
        <w:contextualSpacing/>
      </w:pPr>
      <w:r w:rsidRPr="00761653">
        <w:t>Показаниями к назначению антипсевдомонадных карбапенемов (имипенема/циластатина, меропенема, дорипенема) в 1-й линии фебрильной нейтропениии являются септический шок; пневмония с дыхательной недостаточностью.</w:t>
      </w:r>
    </w:p>
    <w:p w14:paraId="2F161D10" w14:textId="77777777" w:rsidR="006D503D" w:rsidRPr="00761653" w:rsidRDefault="006D503D" w:rsidP="006D503D">
      <w:pPr>
        <w:widowControl w:val="0"/>
        <w:tabs>
          <w:tab w:val="left" w:pos="1134"/>
        </w:tabs>
        <w:autoSpaceDE w:val="0"/>
        <w:autoSpaceDN w:val="0"/>
        <w:adjustRightInd w:val="0"/>
        <w:spacing w:before="60" w:after="60"/>
        <w:ind w:right="-220" w:firstLine="709"/>
        <w:contextualSpacing/>
      </w:pPr>
      <w:r w:rsidRPr="00761653">
        <w:t xml:space="preserve">Модификацию противомикробной терапии проводят на основании клинических симптомов, инструментальных и микробиологических исследований. У больных с персистирующей фебрильной нейтропенией и отрицательной гемокультурой при модификации учитывают чувствительность грамотрицательных бактерий, колонизирующих слизистые оболочки желудочно-кишечного тракта. При неэффективности карбапенемов и сохранении нейтропении добавляют противогрибковые препараты – эхинокандин (каспофунгин, микафунгин или анидулафунгин), вориконазол, амфотерицин В; орофарингеальном кандидозе и эзофагите - флуконазол. </w:t>
      </w:r>
    </w:p>
    <w:p w14:paraId="7E65A91A" w14:textId="77777777" w:rsidR="006D503D" w:rsidRPr="00761653" w:rsidRDefault="006D503D" w:rsidP="006D503D">
      <w:pPr>
        <w:widowControl w:val="0"/>
        <w:autoSpaceDE w:val="0"/>
        <w:autoSpaceDN w:val="0"/>
        <w:adjustRightInd w:val="0"/>
        <w:spacing w:before="240" w:after="60"/>
        <w:ind w:right="-211" w:firstLine="709"/>
        <w:contextualSpacing/>
        <w:rPr>
          <w:b/>
          <w:bCs/>
        </w:rPr>
      </w:pPr>
      <w:r w:rsidRPr="00761653">
        <w:rPr>
          <w:b/>
          <w:bCs/>
        </w:rPr>
        <w:t>Эмпирическое назначение противогрибковых препаратов</w:t>
      </w:r>
    </w:p>
    <w:p w14:paraId="1D1556CA" w14:textId="77777777" w:rsidR="006D503D" w:rsidRPr="00761653" w:rsidRDefault="006D503D" w:rsidP="006D503D">
      <w:pPr>
        <w:widowControl w:val="0"/>
        <w:autoSpaceDE w:val="0"/>
        <w:autoSpaceDN w:val="0"/>
        <w:adjustRightInd w:val="0"/>
        <w:ind w:right="-211" w:firstLine="709"/>
        <w:contextualSpacing/>
      </w:pPr>
      <w:r w:rsidRPr="00761653">
        <w:t>Эмпирическое назначение противогрибковых препаратов проводят на 4-7-й дни персистирующей фебрильной нейтропении в группе высокого риска возникновения инвазивных микозов (</w:t>
      </w:r>
      <w:r>
        <w:t>пациенты с</w:t>
      </w:r>
      <w:r w:rsidRPr="00761653">
        <w:t xml:space="preserve"> острым лейкозом, миелодиспластическим синдромом, реципиенты аллогенных ТГСК</w:t>
      </w:r>
      <w:r>
        <w:t>, агрессивными лимфомами, при длительной терапии глюкортикостероидами и др.</w:t>
      </w:r>
      <w:r w:rsidRPr="00761653">
        <w:t>), при условии отсутствия у них других клинических симптомов, а также р</w:t>
      </w:r>
      <w:r>
        <w:t>адиоло</w:t>
      </w:r>
      <w:r w:rsidRPr="00761653">
        <w:t xml:space="preserve">гических и лабораторных данных за иную инфекцию или другой инвазивный микоз. Препарат выбора – каспофунгин (в 1-й день 70 мг, далее по 50 мг внутривенно 1 раз в сутки), микафунгин (100 мг один раз в сутки внутривенно), анидулафунгин (в 1-й день 200 мг, далее по 100 мг 1 раз в сутки, внутривенно); альтернативные – вориконазол (в 1-й день по 6мг/кг внутривенно 2 раза в сутки, в последующие дни по 4 мг/кг внутривенно 2 раза в сутки, с переходом на пероральный прием по 200 мг 2 раза в сутки), амфотерицин В (0,8—1,0 мг/кг внутривенно 1 раз в сутки), липидные формы амфотерицина В (3 мг/кг внутривенно 1 раз в сутки). Как правило, тепература нормализуется в течение первых трех дней применения антимикотиков, и общая </w:t>
      </w:r>
      <w:r w:rsidRPr="00761653">
        <w:rPr>
          <w:bCs/>
        </w:rPr>
        <w:t>длительность применения противогрибковых препаратов</w:t>
      </w:r>
      <w:r w:rsidRPr="00761653">
        <w:t xml:space="preserve"> составляет 10-14 дней.</w:t>
      </w:r>
    </w:p>
    <w:p w14:paraId="56AF3F19" w14:textId="77777777" w:rsidR="006D503D" w:rsidRPr="00761653" w:rsidRDefault="006D503D" w:rsidP="006D503D">
      <w:pPr>
        <w:widowControl w:val="0"/>
        <w:autoSpaceDE w:val="0"/>
        <w:autoSpaceDN w:val="0"/>
        <w:adjustRightInd w:val="0"/>
        <w:spacing w:before="240" w:after="60"/>
        <w:ind w:right="-211" w:firstLine="709"/>
        <w:contextualSpacing/>
        <w:rPr>
          <w:b/>
          <w:bCs/>
        </w:rPr>
      </w:pPr>
      <w:r w:rsidRPr="00761653">
        <w:rPr>
          <w:b/>
          <w:bCs/>
        </w:rPr>
        <w:t>Превентивная терапия инвазивного микоза</w:t>
      </w:r>
    </w:p>
    <w:p w14:paraId="1C14995F" w14:textId="77777777" w:rsidR="006D503D" w:rsidRPr="00761653" w:rsidRDefault="006D503D" w:rsidP="006D503D">
      <w:pPr>
        <w:widowControl w:val="0"/>
        <w:autoSpaceDE w:val="0"/>
        <w:autoSpaceDN w:val="0"/>
        <w:adjustRightInd w:val="0"/>
        <w:ind w:right="-211" w:firstLine="709"/>
        <w:contextualSpacing/>
      </w:pPr>
      <w:r w:rsidRPr="00761653">
        <w:rPr>
          <w:bCs/>
        </w:rPr>
        <w:t xml:space="preserve">Показаниями </w:t>
      </w:r>
      <w:r w:rsidRPr="00761653">
        <w:t>к превентивному назначению противогрибковых препаратов являются пневмония с р</w:t>
      </w:r>
      <w:r>
        <w:t>адио</w:t>
      </w:r>
      <w:r w:rsidRPr="00761653">
        <w:t>логическими признаками</w:t>
      </w:r>
      <w:r>
        <w:t>,</w:t>
      </w:r>
      <w:r w:rsidRPr="00761653">
        <w:t xml:space="preserve"> нехарактерными для инвазивного </w:t>
      </w:r>
      <w:r w:rsidRPr="00761653">
        <w:lastRenderedPageBreak/>
        <w:t xml:space="preserve">аспергиллеза, которая сохраняется или прогрессирует на фоне применения антибиотиков у </w:t>
      </w:r>
      <w:r>
        <w:t>пациентов</w:t>
      </w:r>
      <w:r w:rsidRPr="00761653">
        <w:t xml:space="preserve"> с факторами риска возникновения инвазивного аспергиллеза (нейтропения от 10 дней и более) или </w:t>
      </w:r>
      <w:r>
        <w:t xml:space="preserve">при </w:t>
      </w:r>
      <w:r w:rsidRPr="00761653">
        <w:t>положительн</w:t>
      </w:r>
      <w:r>
        <w:t>ом</w:t>
      </w:r>
      <w:r w:rsidRPr="00761653">
        <w:t xml:space="preserve"> результат</w:t>
      </w:r>
      <w:r>
        <w:t>е</w:t>
      </w:r>
      <w:r w:rsidRPr="00761653">
        <w:t xml:space="preserve"> определения антигена </w:t>
      </w:r>
      <w:r w:rsidRPr="00761653">
        <w:rPr>
          <w:i/>
          <w:iCs/>
        </w:rPr>
        <w:t xml:space="preserve">Aspergillus </w:t>
      </w:r>
      <w:r w:rsidRPr="00761653">
        <w:t xml:space="preserve">spp. (галактоманнан) в крови в отсутствие пневмонии. Превентивное назначение противогрибковых препаратов проводят </w:t>
      </w:r>
      <w:r>
        <w:t>пациентам</w:t>
      </w:r>
      <w:r w:rsidRPr="00761653">
        <w:t>, входящим в группу высокого риска возникновения инвазивного аспергиллеза (острый лейкоз, миелодиспластический синдром, апластическая анемия, реципиенты аллогенных СГК).</w:t>
      </w:r>
    </w:p>
    <w:p w14:paraId="5D4C8B94" w14:textId="77777777" w:rsidR="006D503D" w:rsidRPr="00761653" w:rsidRDefault="006D503D" w:rsidP="006D503D">
      <w:pPr>
        <w:widowControl w:val="0"/>
        <w:autoSpaceDE w:val="0"/>
        <w:autoSpaceDN w:val="0"/>
        <w:adjustRightInd w:val="0"/>
        <w:spacing w:before="240" w:after="60"/>
        <w:ind w:right="-211" w:firstLine="709"/>
        <w:contextualSpacing/>
      </w:pPr>
      <w:r w:rsidRPr="00761653">
        <w:rPr>
          <w:bCs/>
        </w:rPr>
        <w:t>Лечение включает назначение в</w:t>
      </w:r>
      <w:r w:rsidRPr="00761653">
        <w:t>ориконазола, в первый день по 6 мг/кг внутривенно 2 раза в сутки, в последующие дни по 4 мг/кг внутривенно 2 раза в сутки, с переходом на пероральный прием по 200 мг 2 раза в сутки.</w:t>
      </w:r>
    </w:p>
    <w:p w14:paraId="5C93A433" w14:textId="77777777" w:rsidR="006D503D" w:rsidRPr="00761653" w:rsidRDefault="006D503D" w:rsidP="006D503D">
      <w:pPr>
        <w:widowControl w:val="0"/>
        <w:tabs>
          <w:tab w:val="left" w:pos="1134"/>
        </w:tabs>
        <w:autoSpaceDE w:val="0"/>
        <w:autoSpaceDN w:val="0"/>
        <w:adjustRightInd w:val="0"/>
        <w:spacing w:before="60" w:after="60"/>
        <w:ind w:right="49" w:firstLine="709"/>
        <w:contextualSpacing/>
        <w:rPr>
          <w:b/>
        </w:rPr>
      </w:pPr>
      <w:r w:rsidRPr="00761653">
        <w:rPr>
          <w:b/>
        </w:rPr>
        <w:t>Лечение микробиологически подтвержденных инфекций</w:t>
      </w:r>
    </w:p>
    <w:p w14:paraId="270F26E6" w14:textId="77777777" w:rsidR="006D503D" w:rsidRPr="00761653" w:rsidRDefault="006D503D" w:rsidP="006D503D">
      <w:pPr>
        <w:widowControl w:val="0"/>
        <w:tabs>
          <w:tab w:val="left" w:pos="1134"/>
        </w:tabs>
        <w:autoSpaceDE w:val="0"/>
        <w:autoSpaceDN w:val="0"/>
        <w:adjustRightInd w:val="0"/>
        <w:spacing w:before="60" w:after="60"/>
        <w:ind w:right="49" w:firstLine="709"/>
        <w:contextualSpacing/>
        <w:rPr>
          <w:b/>
        </w:rPr>
      </w:pPr>
      <w:r w:rsidRPr="00761653">
        <w:rPr>
          <w:b/>
        </w:rPr>
        <w:t>Грамотрицательные возбудители</w:t>
      </w:r>
    </w:p>
    <w:p w14:paraId="0B540E63" w14:textId="77777777" w:rsidR="006D503D" w:rsidRPr="00761653" w:rsidRDefault="006D503D" w:rsidP="006D503D">
      <w:pPr>
        <w:widowControl w:val="0"/>
        <w:tabs>
          <w:tab w:val="left" w:pos="1134"/>
        </w:tabs>
        <w:autoSpaceDE w:val="0"/>
        <w:autoSpaceDN w:val="0"/>
        <w:adjustRightInd w:val="0"/>
        <w:spacing w:before="60" w:after="60"/>
        <w:ind w:right="49" w:firstLine="709"/>
        <w:contextualSpacing/>
      </w:pPr>
      <w:r w:rsidRPr="00761653">
        <w:rPr>
          <w:b/>
          <w:u w:val="single"/>
        </w:rPr>
        <w:t xml:space="preserve">Энтеробактерии с продукцией БЛРС, </w:t>
      </w:r>
      <w:r w:rsidRPr="00761653">
        <w:rPr>
          <w:b/>
          <w:i/>
          <w:u w:val="single"/>
        </w:rPr>
        <w:t>Enterobacter</w:t>
      </w:r>
      <w:r w:rsidRPr="00761653">
        <w:rPr>
          <w:b/>
          <w:u w:val="single"/>
        </w:rPr>
        <w:t xml:space="preserve"> spp</w:t>
      </w:r>
    </w:p>
    <w:p w14:paraId="32B8B4B9" w14:textId="77777777" w:rsidR="006D503D" w:rsidRPr="00761653" w:rsidRDefault="006D503D" w:rsidP="006D503D">
      <w:pPr>
        <w:widowControl w:val="0"/>
        <w:tabs>
          <w:tab w:val="left" w:pos="1134"/>
        </w:tabs>
        <w:autoSpaceDE w:val="0"/>
        <w:autoSpaceDN w:val="0"/>
        <w:adjustRightInd w:val="0"/>
        <w:spacing w:before="60" w:after="60"/>
        <w:ind w:right="49" w:firstLine="709"/>
        <w:contextualSpacing/>
      </w:pPr>
      <w:r w:rsidRPr="00761653">
        <w:t xml:space="preserve">Препарат выбора – антипсевдомонадный карбапенем (имипенем, меропенем или дорипенем). вне нейтропениии, особенно при инфекции мочевыводящих путей, может быть использован эртапенем. Назначение карбапенемов  в стандартных дозах. </w:t>
      </w:r>
    </w:p>
    <w:p w14:paraId="72F9DEFE" w14:textId="77777777" w:rsidR="006D503D" w:rsidRPr="00761653" w:rsidRDefault="006D503D" w:rsidP="006D503D">
      <w:pPr>
        <w:widowControl w:val="0"/>
        <w:tabs>
          <w:tab w:val="left" w:pos="1134"/>
        </w:tabs>
        <w:autoSpaceDE w:val="0"/>
        <w:autoSpaceDN w:val="0"/>
        <w:adjustRightInd w:val="0"/>
        <w:spacing w:before="60" w:after="60"/>
        <w:ind w:right="49" w:firstLine="709"/>
        <w:contextualSpacing/>
      </w:pPr>
      <w:r w:rsidRPr="00761653">
        <w:rPr>
          <w:b/>
          <w:u w:val="single"/>
        </w:rPr>
        <w:t>Энтеробактерии с продукцией карбапенемаз</w:t>
      </w:r>
      <w:r>
        <w:rPr>
          <w:b/>
          <w:u w:val="single"/>
        </w:rPr>
        <w:t xml:space="preserve"> </w:t>
      </w:r>
    </w:p>
    <w:p w14:paraId="76ECA28B" w14:textId="77777777" w:rsidR="006D503D" w:rsidRPr="00761653" w:rsidRDefault="006D503D" w:rsidP="006D503D">
      <w:pPr>
        <w:widowControl w:val="0"/>
        <w:tabs>
          <w:tab w:val="left" w:pos="1134"/>
        </w:tabs>
        <w:autoSpaceDE w:val="0"/>
        <w:autoSpaceDN w:val="0"/>
        <w:adjustRightInd w:val="0"/>
        <w:spacing w:before="60" w:after="60"/>
        <w:ind w:right="49" w:firstLine="709"/>
        <w:contextualSpacing/>
      </w:pPr>
      <w:r w:rsidRPr="00761653">
        <w:t>Лечение проводят сочетанием антибиотиков согласно чувствителньости. Препарат выбора при детекции карбапенемаз групп KPC, OXA-48 - цефтазидим-авибактам (2,5 г каждые 8 часов, введение в течение 2 часов), при детекции металлоферментов (NDM) – сочетание цефтазидима-авибактама с азтреонамом (по 2 г 3 раза в сутки). Препараты, используемые в лечении инфекций, вызванных карбапенемазопродуцирующими бактериями представлены в табл</w:t>
      </w:r>
      <w:r>
        <w:t>ице 2.</w:t>
      </w:r>
      <w:r w:rsidRPr="00761653">
        <w:t xml:space="preserve"> Тигециклин имеет низкие концентрации в крови и в моче, проявляет бактериостатическое действие, не относится к препаратам выбора при инфекциях кровотока. При инфекциях кровотока назначают тигециклин только при отсутствии других опций в лечении.</w:t>
      </w:r>
    </w:p>
    <w:p w14:paraId="6F249A77" w14:textId="77777777" w:rsidR="006D503D" w:rsidRPr="00761653" w:rsidRDefault="006D503D" w:rsidP="006D503D">
      <w:r w:rsidRPr="00761653">
        <w:t xml:space="preserve">Таблица 2. Дозы антибиотиков рекомендуемые для лечения инфекций, вызванных энтеробактериями с продукцией карбапенемаз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520"/>
      </w:tblGrid>
      <w:tr w:rsidR="006D503D" w:rsidRPr="00761653" w14:paraId="7FB6301B" w14:textId="77777777" w:rsidTr="00683A05">
        <w:trPr>
          <w:trHeight w:val="555"/>
        </w:trPr>
        <w:tc>
          <w:tcPr>
            <w:tcW w:w="3227" w:type="dxa"/>
            <w:vAlign w:val="center"/>
          </w:tcPr>
          <w:p w14:paraId="6A46BDB1" w14:textId="77777777" w:rsidR="006D503D" w:rsidRPr="00761653" w:rsidRDefault="006D503D" w:rsidP="006D503D">
            <w:pPr>
              <w:jc w:val="center"/>
              <w:rPr>
                <w:szCs w:val="24"/>
                <w:lang w:val="en-US"/>
              </w:rPr>
            </w:pPr>
            <w:r w:rsidRPr="00761653">
              <w:rPr>
                <w:szCs w:val="24"/>
              </w:rPr>
              <w:t>Препарат</w:t>
            </w:r>
          </w:p>
        </w:tc>
        <w:tc>
          <w:tcPr>
            <w:tcW w:w="6520" w:type="dxa"/>
            <w:vAlign w:val="center"/>
          </w:tcPr>
          <w:p w14:paraId="36E80FE2" w14:textId="77777777" w:rsidR="006D503D" w:rsidRPr="00761653" w:rsidRDefault="006D503D" w:rsidP="006D503D">
            <w:pPr>
              <w:jc w:val="center"/>
              <w:rPr>
                <w:szCs w:val="24"/>
                <w:lang w:val="en-US"/>
              </w:rPr>
            </w:pPr>
            <w:r w:rsidRPr="00761653">
              <w:rPr>
                <w:szCs w:val="24"/>
              </w:rPr>
              <w:t>Доза</w:t>
            </w:r>
          </w:p>
        </w:tc>
      </w:tr>
      <w:tr w:rsidR="006D503D" w:rsidRPr="000D7B76" w14:paraId="3A7FD82B" w14:textId="77777777" w:rsidTr="00683A05">
        <w:trPr>
          <w:trHeight w:val="421"/>
        </w:trPr>
        <w:tc>
          <w:tcPr>
            <w:tcW w:w="3227" w:type="dxa"/>
          </w:tcPr>
          <w:p w14:paraId="0B60884D" w14:textId="77777777" w:rsidR="006D503D" w:rsidRPr="00761653" w:rsidRDefault="006D503D" w:rsidP="006D503D">
            <w:pPr>
              <w:rPr>
                <w:szCs w:val="24"/>
              </w:rPr>
            </w:pPr>
            <w:r w:rsidRPr="00761653">
              <w:rPr>
                <w:szCs w:val="24"/>
              </w:rPr>
              <w:t>Цефтазидим-авибактам</w:t>
            </w:r>
          </w:p>
        </w:tc>
        <w:tc>
          <w:tcPr>
            <w:tcW w:w="6520" w:type="dxa"/>
          </w:tcPr>
          <w:p w14:paraId="1159BBA1" w14:textId="77777777" w:rsidR="006D503D" w:rsidRPr="00761653" w:rsidRDefault="006D503D" w:rsidP="006D503D">
            <w:pPr>
              <w:rPr>
                <w:szCs w:val="24"/>
              </w:rPr>
            </w:pPr>
            <w:r w:rsidRPr="00761653">
              <w:rPr>
                <w:szCs w:val="24"/>
              </w:rPr>
              <w:t>2,5 г каждые 8 часов, длительность инфузии 2 часа</w:t>
            </w:r>
          </w:p>
        </w:tc>
      </w:tr>
      <w:tr w:rsidR="006D503D" w:rsidRPr="00A21CB6" w14:paraId="2041F0C7" w14:textId="77777777" w:rsidTr="00683A05">
        <w:trPr>
          <w:trHeight w:val="825"/>
        </w:trPr>
        <w:tc>
          <w:tcPr>
            <w:tcW w:w="3227" w:type="dxa"/>
          </w:tcPr>
          <w:p w14:paraId="5594CACD" w14:textId="77777777" w:rsidR="006D503D" w:rsidRPr="00761653" w:rsidRDefault="006D503D" w:rsidP="006D503D">
            <w:pPr>
              <w:rPr>
                <w:szCs w:val="24"/>
                <w:lang w:val="en-US"/>
              </w:rPr>
            </w:pPr>
            <w:r w:rsidRPr="00761653">
              <w:rPr>
                <w:szCs w:val="24"/>
              </w:rPr>
              <w:t>Меропенем</w:t>
            </w:r>
          </w:p>
        </w:tc>
        <w:tc>
          <w:tcPr>
            <w:tcW w:w="6520" w:type="dxa"/>
          </w:tcPr>
          <w:p w14:paraId="48350ADD" w14:textId="77777777" w:rsidR="006D503D" w:rsidRPr="00761653" w:rsidRDefault="006D503D" w:rsidP="006D503D">
            <w:pPr>
              <w:rPr>
                <w:szCs w:val="24"/>
              </w:rPr>
            </w:pPr>
            <w:r w:rsidRPr="00761653">
              <w:rPr>
                <w:szCs w:val="24"/>
              </w:rPr>
              <w:t xml:space="preserve">2 г каждые 8 часов </w:t>
            </w:r>
          </w:p>
          <w:p w14:paraId="35EEABCF" w14:textId="77777777" w:rsidR="006D503D" w:rsidRPr="00761653" w:rsidRDefault="006D503D" w:rsidP="006D503D">
            <w:pPr>
              <w:rPr>
                <w:szCs w:val="24"/>
              </w:rPr>
            </w:pPr>
            <w:r w:rsidRPr="00761653">
              <w:rPr>
                <w:szCs w:val="24"/>
              </w:rPr>
              <w:lastRenderedPageBreak/>
              <w:t>пролонгированная инфузия в течение 3х часов</w:t>
            </w:r>
          </w:p>
        </w:tc>
      </w:tr>
      <w:tr w:rsidR="006D503D" w:rsidRPr="00761653" w14:paraId="18698DE9" w14:textId="77777777" w:rsidTr="00683A05">
        <w:trPr>
          <w:trHeight w:val="270"/>
        </w:trPr>
        <w:tc>
          <w:tcPr>
            <w:tcW w:w="3227" w:type="dxa"/>
          </w:tcPr>
          <w:p w14:paraId="1CBECE33" w14:textId="77777777" w:rsidR="006D503D" w:rsidRPr="00761653" w:rsidRDefault="006D503D" w:rsidP="006D503D">
            <w:pPr>
              <w:rPr>
                <w:szCs w:val="24"/>
                <w:lang w:val="en-US"/>
              </w:rPr>
            </w:pPr>
            <w:r w:rsidRPr="00761653">
              <w:rPr>
                <w:szCs w:val="24"/>
              </w:rPr>
              <w:lastRenderedPageBreak/>
              <w:t>Имипенем</w:t>
            </w:r>
          </w:p>
        </w:tc>
        <w:tc>
          <w:tcPr>
            <w:tcW w:w="6520" w:type="dxa"/>
          </w:tcPr>
          <w:p w14:paraId="5EF92E14" w14:textId="77777777" w:rsidR="006D503D" w:rsidRPr="00761653" w:rsidRDefault="006D503D" w:rsidP="006D503D">
            <w:pPr>
              <w:rPr>
                <w:szCs w:val="24"/>
              </w:rPr>
            </w:pPr>
            <w:r w:rsidRPr="00761653">
              <w:rPr>
                <w:szCs w:val="24"/>
              </w:rPr>
              <w:t>1 г каждые 8 часов</w:t>
            </w:r>
          </w:p>
        </w:tc>
      </w:tr>
      <w:tr w:rsidR="006D503D" w:rsidRPr="00A21CB6" w14:paraId="4A861BE2" w14:textId="77777777" w:rsidTr="00683A05">
        <w:tc>
          <w:tcPr>
            <w:tcW w:w="3227" w:type="dxa"/>
          </w:tcPr>
          <w:p w14:paraId="2475D28D" w14:textId="77777777" w:rsidR="006D503D" w:rsidRPr="00761653" w:rsidRDefault="006D503D" w:rsidP="006D503D">
            <w:pPr>
              <w:rPr>
                <w:szCs w:val="24"/>
                <w:lang w:val="en-US"/>
              </w:rPr>
            </w:pPr>
            <w:r w:rsidRPr="00761653">
              <w:rPr>
                <w:szCs w:val="24"/>
              </w:rPr>
              <w:t>Дорипенем</w:t>
            </w:r>
          </w:p>
        </w:tc>
        <w:tc>
          <w:tcPr>
            <w:tcW w:w="6520" w:type="dxa"/>
          </w:tcPr>
          <w:p w14:paraId="571B39D2" w14:textId="77777777" w:rsidR="006D503D" w:rsidRPr="00761653" w:rsidRDefault="006D503D" w:rsidP="006D503D">
            <w:pPr>
              <w:rPr>
                <w:szCs w:val="24"/>
              </w:rPr>
            </w:pPr>
            <w:r w:rsidRPr="00761653">
              <w:rPr>
                <w:szCs w:val="24"/>
              </w:rPr>
              <w:t>1 г каждые 8 часов, продленная инфузия (4 часа)</w:t>
            </w:r>
          </w:p>
        </w:tc>
      </w:tr>
      <w:tr w:rsidR="006D503D" w:rsidRPr="000D7B76" w14:paraId="1D4770DA" w14:textId="77777777" w:rsidTr="00683A05">
        <w:tc>
          <w:tcPr>
            <w:tcW w:w="3227" w:type="dxa"/>
          </w:tcPr>
          <w:p w14:paraId="15E88AD7" w14:textId="77777777" w:rsidR="006D503D" w:rsidRPr="00761653" w:rsidRDefault="006D503D" w:rsidP="006D503D">
            <w:pPr>
              <w:rPr>
                <w:szCs w:val="24"/>
                <w:lang w:val="en-US"/>
              </w:rPr>
            </w:pPr>
            <w:r w:rsidRPr="00761653">
              <w:rPr>
                <w:szCs w:val="24"/>
              </w:rPr>
              <w:t>Эртапенем</w:t>
            </w:r>
          </w:p>
        </w:tc>
        <w:tc>
          <w:tcPr>
            <w:tcW w:w="6520" w:type="dxa"/>
          </w:tcPr>
          <w:p w14:paraId="15231680" w14:textId="77777777" w:rsidR="006D503D" w:rsidRPr="00761653" w:rsidRDefault="006D503D" w:rsidP="006D503D">
            <w:pPr>
              <w:rPr>
                <w:szCs w:val="24"/>
              </w:rPr>
            </w:pPr>
            <w:r w:rsidRPr="00761653">
              <w:rPr>
                <w:szCs w:val="24"/>
              </w:rPr>
              <w:t>1 г каждые 24 часа или 1г каждые 12 час</w:t>
            </w:r>
          </w:p>
          <w:p w14:paraId="7E22EF68" w14:textId="77777777" w:rsidR="006D503D" w:rsidRPr="00761653" w:rsidRDefault="006D503D" w:rsidP="006D503D">
            <w:pPr>
              <w:rPr>
                <w:szCs w:val="24"/>
              </w:rPr>
            </w:pPr>
            <w:r w:rsidRPr="00761653">
              <w:rPr>
                <w:szCs w:val="24"/>
              </w:rPr>
              <w:t>Используют в режиме “два карбапенема” при отсутствии других опций</w:t>
            </w:r>
          </w:p>
        </w:tc>
      </w:tr>
      <w:tr w:rsidR="006D503D" w:rsidRPr="00A21CB6" w14:paraId="3856BE2D" w14:textId="77777777" w:rsidTr="00683A05">
        <w:tc>
          <w:tcPr>
            <w:tcW w:w="3227" w:type="dxa"/>
          </w:tcPr>
          <w:p w14:paraId="58C12FA3" w14:textId="77777777" w:rsidR="006D503D" w:rsidRPr="00761653" w:rsidRDefault="006D503D" w:rsidP="006D503D">
            <w:pPr>
              <w:rPr>
                <w:szCs w:val="24"/>
              </w:rPr>
            </w:pPr>
            <w:r w:rsidRPr="00761653">
              <w:rPr>
                <w:szCs w:val="24"/>
              </w:rPr>
              <w:t>Колистин</w:t>
            </w:r>
          </w:p>
        </w:tc>
        <w:tc>
          <w:tcPr>
            <w:tcW w:w="6520" w:type="dxa"/>
          </w:tcPr>
          <w:p w14:paraId="064D7542" w14:textId="77777777" w:rsidR="006D503D" w:rsidRPr="00761653" w:rsidRDefault="006D503D" w:rsidP="006D503D">
            <w:pPr>
              <w:rPr>
                <w:szCs w:val="24"/>
              </w:rPr>
            </w:pPr>
            <w:r w:rsidRPr="00761653">
              <w:rPr>
                <w:szCs w:val="24"/>
              </w:rPr>
              <w:t>Нагрузочная доза 9 млн МЕ, в первый день, однократно, далее по 4,5 млн МЕ</w:t>
            </w:r>
            <w:r w:rsidRPr="00761653">
              <w:rPr>
                <w:color w:val="4D5156"/>
                <w:szCs w:val="24"/>
                <w:shd w:val="clear" w:color="auto" w:fill="FFFFFF"/>
              </w:rPr>
              <w:t xml:space="preserve"> </w:t>
            </w:r>
            <w:r w:rsidRPr="00761653">
              <w:rPr>
                <w:szCs w:val="24"/>
              </w:rPr>
              <w:t xml:space="preserve">каждые 12 час </w:t>
            </w:r>
          </w:p>
          <w:p w14:paraId="64980DD0" w14:textId="77777777" w:rsidR="006D503D" w:rsidRPr="00761653" w:rsidRDefault="006D503D" w:rsidP="006D503D">
            <w:pPr>
              <w:rPr>
                <w:szCs w:val="24"/>
              </w:rPr>
            </w:pPr>
            <w:r w:rsidRPr="00761653">
              <w:rPr>
                <w:szCs w:val="24"/>
              </w:rPr>
              <w:t>Ингаляции 1-3 млн МЕ каждые 8 часов</w:t>
            </w:r>
          </w:p>
        </w:tc>
      </w:tr>
      <w:tr w:rsidR="006D503D" w:rsidRPr="000D7B76" w14:paraId="6D9F7B00" w14:textId="77777777" w:rsidTr="00683A05">
        <w:tc>
          <w:tcPr>
            <w:tcW w:w="3227" w:type="dxa"/>
          </w:tcPr>
          <w:p w14:paraId="72CAA77A" w14:textId="77777777" w:rsidR="006D503D" w:rsidRPr="00761653" w:rsidRDefault="006D503D" w:rsidP="006D503D">
            <w:pPr>
              <w:rPr>
                <w:szCs w:val="24"/>
              </w:rPr>
            </w:pPr>
            <w:r w:rsidRPr="00761653">
              <w:rPr>
                <w:szCs w:val="24"/>
              </w:rPr>
              <w:t>Полимиксин В</w:t>
            </w:r>
          </w:p>
        </w:tc>
        <w:tc>
          <w:tcPr>
            <w:tcW w:w="6520" w:type="dxa"/>
          </w:tcPr>
          <w:p w14:paraId="6387D912" w14:textId="77777777" w:rsidR="006D503D" w:rsidRPr="00761653" w:rsidRDefault="006D503D" w:rsidP="006D503D">
            <w:pPr>
              <w:rPr>
                <w:szCs w:val="24"/>
              </w:rPr>
            </w:pPr>
            <w:r w:rsidRPr="00761653">
              <w:rPr>
                <w:szCs w:val="24"/>
              </w:rPr>
              <w:t xml:space="preserve">Нагрузочная доза 2-2,5 мг/кг, далее 1,25-1,5 мг/кг каждые 12 час </w:t>
            </w:r>
          </w:p>
        </w:tc>
      </w:tr>
      <w:tr w:rsidR="006D503D" w:rsidRPr="000D7B76" w14:paraId="35440FD7" w14:textId="77777777" w:rsidTr="00683A05">
        <w:tc>
          <w:tcPr>
            <w:tcW w:w="3227" w:type="dxa"/>
          </w:tcPr>
          <w:p w14:paraId="1A3EABAF" w14:textId="77777777" w:rsidR="006D503D" w:rsidRPr="00761653" w:rsidRDefault="006D503D" w:rsidP="006D503D">
            <w:pPr>
              <w:rPr>
                <w:szCs w:val="24"/>
              </w:rPr>
            </w:pPr>
            <w:r w:rsidRPr="00761653">
              <w:rPr>
                <w:szCs w:val="24"/>
              </w:rPr>
              <w:t>Тигециклин</w:t>
            </w:r>
          </w:p>
        </w:tc>
        <w:tc>
          <w:tcPr>
            <w:tcW w:w="6520" w:type="dxa"/>
          </w:tcPr>
          <w:p w14:paraId="714D15A3" w14:textId="77777777" w:rsidR="006D503D" w:rsidRPr="00761653" w:rsidRDefault="006D503D" w:rsidP="006D503D">
            <w:pPr>
              <w:rPr>
                <w:szCs w:val="24"/>
              </w:rPr>
            </w:pPr>
            <w:r w:rsidRPr="00761653">
              <w:rPr>
                <w:szCs w:val="24"/>
              </w:rPr>
              <w:t>Первая доза 100 мг, далее каждые 12 часов по 50 мг</w:t>
            </w:r>
          </w:p>
        </w:tc>
      </w:tr>
      <w:tr w:rsidR="006D503D" w:rsidRPr="000D7B76" w14:paraId="07811D25" w14:textId="77777777" w:rsidTr="00683A05">
        <w:tc>
          <w:tcPr>
            <w:tcW w:w="3227" w:type="dxa"/>
          </w:tcPr>
          <w:p w14:paraId="0F208E17" w14:textId="77777777" w:rsidR="006D503D" w:rsidRPr="00761653" w:rsidRDefault="006D503D" w:rsidP="006D503D">
            <w:pPr>
              <w:rPr>
                <w:szCs w:val="24"/>
                <w:lang w:val="en-US"/>
              </w:rPr>
            </w:pPr>
            <w:r w:rsidRPr="00761653">
              <w:rPr>
                <w:szCs w:val="24"/>
              </w:rPr>
              <w:t>Гентамицин</w:t>
            </w:r>
            <w:r w:rsidRPr="00761653">
              <w:rPr>
                <w:szCs w:val="24"/>
                <w:lang w:val="en-US"/>
              </w:rPr>
              <w:t xml:space="preserve">, </w:t>
            </w:r>
          </w:p>
          <w:p w14:paraId="6EF7B9CE" w14:textId="77777777" w:rsidR="006D503D" w:rsidRPr="00761653" w:rsidRDefault="006D503D" w:rsidP="006D503D">
            <w:pPr>
              <w:rPr>
                <w:szCs w:val="24"/>
                <w:lang w:val="en-US"/>
              </w:rPr>
            </w:pPr>
            <w:r w:rsidRPr="00761653">
              <w:rPr>
                <w:szCs w:val="24"/>
              </w:rPr>
              <w:t>тобрамицин</w:t>
            </w:r>
          </w:p>
        </w:tc>
        <w:tc>
          <w:tcPr>
            <w:tcW w:w="6520" w:type="dxa"/>
          </w:tcPr>
          <w:p w14:paraId="30A00F8B" w14:textId="77777777" w:rsidR="006D503D" w:rsidRPr="00761653" w:rsidRDefault="006D503D" w:rsidP="006D503D">
            <w:pPr>
              <w:rPr>
                <w:szCs w:val="24"/>
              </w:rPr>
            </w:pPr>
            <w:r w:rsidRPr="00761653">
              <w:rPr>
                <w:szCs w:val="24"/>
              </w:rPr>
              <w:t>5-7 мг/кг/сутки, введение в течение 1 часа</w:t>
            </w:r>
          </w:p>
        </w:tc>
      </w:tr>
      <w:tr w:rsidR="006D503D" w:rsidRPr="000D7B76" w14:paraId="26EE8700" w14:textId="77777777" w:rsidTr="00683A05">
        <w:tc>
          <w:tcPr>
            <w:tcW w:w="3227" w:type="dxa"/>
          </w:tcPr>
          <w:p w14:paraId="7F47B927" w14:textId="77777777" w:rsidR="006D503D" w:rsidRPr="00761653" w:rsidRDefault="006D503D" w:rsidP="006D503D">
            <w:pPr>
              <w:rPr>
                <w:szCs w:val="24"/>
                <w:lang w:val="en-US"/>
              </w:rPr>
            </w:pPr>
            <w:r w:rsidRPr="00761653">
              <w:rPr>
                <w:szCs w:val="24"/>
              </w:rPr>
              <w:t>Амикацин</w:t>
            </w:r>
          </w:p>
        </w:tc>
        <w:tc>
          <w:tcPr>
            <w:tcW w:w="6520" w:type="dxa"/>
          </w:tcPr>
          <w:p w14:paraId="7D970D84" w14:textId="77777777" w:rsidR="006D503D" w:rsidRPr="00761653" w:rsidRDefault="006D503D" w:rsidP="006D503D">
            <w:pPr>
              <w:rPr>
                <w:szCs w:val="24"/>
              </w:rPr>
            </w:pPr>
            <w:r w:rsidRPr="00761653">
              <w:rPr>
                <w:szCs w:val="24"/>
              </w:rPr>
              <w:t>15-20 мг/кг/сутки, введение в течение 1 часа</w:t>
            </w:r>
          </w:p>
        </w:tc>
      </w:tr>
      <w:tr w:rsidR="006D503D" w:rsidRPr="000D7B76" w14:paraId="313BDB17" w14:textId="77777777" w:rsidTr="00683A05">
        <w:tc>
          <w:tcPr>
            <w:tcW w:w="3227" w:type="dxa"/>
          </w:tcPr>
          <w:p w14:paraId="27BDE331" w14:textId="77777777" w:rsidR="006D503D" w:rsidRPr="00761653" w:rsidRDefault="006D503D" w:rsidP="006D503D">
            <w:pPr>
              <w:rPr>
                <w:szCs w:val="24"/>
              </w:rPr>
            </w:pPr>
            <w:r w:rsidRPr="00761653">
              <w:rPr>
                <w:szCs w:val="24"/>
              </w:rPr>
              <w:t>Фосфомицин</w:t>
            </w:r>
          </w:p>
        </w:tc>
        <w:tc>
          <w:tcPr>
            <w:tcW w:w="6520" w:type="dxa"/>
          </w:tcPr>
          <w:p w14:paraId="3AC1A0A0" w14:textId="77777777" w:rsidR="006D503D" w:rsidRPr="00761653" w:rsidRDefault="006D503D" w:rsidP="006D503D">
            <w:pPr>
              <w:rPr>
                <w:szCs w:val="24"/>
              </w:rPr>
            </w:pPr>
            <w:r w:rsidRPr="00761653">
              <w:rPr>
                <w:szCs w:val="24"/>
              </w:rPr>
              <w:t>По 4 г каждые 6 час или по 8 г каждые 8 час (суммарно 16-24 г)</w:t>
            </w:r>
          </w:p>
        </w:tc>
      </w:tr>
      <w:tr w:rsidR="006D503D" w:rsidRPr="00761653" w14:paraId="048EF41C" w14:textId="77777777" w:rsidTr="00683A05">
        <w:tc>
          <w:tcPr>
            <w:tcW w:w="3227" w:type="dxa"/>
          </w:tcPr>
          <w:p w14:paraId="6050C756" w14:textId="77777777" w:rsidR="006D503D" w:rsidRPr="00761653" w:rsidRDefault="006D503D" w:rsidP="006D503D">
            <w:pPr>
              <w:rPr>
                <w:szCs w:val="24"/>
              </w:rPr>
            </w:pPr>
            <w:r w:rsidRPr="00761653">
              <w:rPr>
                <w:szCs w:val="24"/>
              </w:rPr>
              <w:t>Азтреонам</w:t>
            </w:r>
          </w:p>
        </w:tc>
        <w:tc>
          <w:tcPr>
            <w:tcW w:w="6520" w:type="dxa"/>
          </w:tcPr>
          <w:p w14:paraId="15FC211C" w14:textId="77777777" w:rsidR="006D503D" w:rsidRPr="00761653" w:rsidRDefault="006D503D" w:rsidP="006D503D">
            <w:pPr>
              <w:rPr>
                <w:szCs w:val="24"/>
              </w:rPr>
            </w:pPr>
            <w:r w:rsidRPr="00761653">
              <w:rPr>
                <w:szCs w:val="24"/>
              </w:rPr>
              <w:t>2 г каждые 8 часов</w:t>
            </w:r>
          </w:p>
        </w:tc>
      </w:tr>
    </w:tbl>
    <w:p w14:paraId="7B378DD7" w14:textId="77777777" w:rsidR="006D503D" w:rsidRPr="00761653" w:rsidRDefault="006D503D" w:rsidP="006D503D">
      <w:pPr>
        <w:widowControl w:val="0"/>
        <w:tabs>
          <w:tab w:val="left" w:pos="1134"/>
        </w:tabs>
        <w:autoSpaceDE w:val="0"/>
        <w:autoSpaceDN w:val="0"/>
        <w:adjustRightInd w:val="0"/>
        <w:spacing w:before="60" w:after="60"/>
        <w:ind w:right="49" w:firstLine="709"/>
        <w:contextualSpacing/>
      </w:pPr>
      <w:r w:rsidRPr="00761653">
        <w:rPr>
          <w:b/>
          <w:i/>
          <w:u w:val="single"/>
        </w:rPr>
        <w:t>Pseudomonas aeruginosa</w:t>
      </w:r>
    </w:p>
    <w:p w14:paraId="1D496FBD" w14:textId="77777777" w:rsidR="006D503D" w:rsidRPr="00761653" w:rsidRDefault="006D503D" w:rsidP="006D503D">
      <w:pPr>
        <w:widowControl w:val="0"/>
        <w:tabs>
          <w:tab w:val="left" w:pos="1134"/>
        </w:tabs>
        <w:autoSpaceDE w:val="0"/>
        <w:autoSpaceDN w:val="0"/>
        <w:adjustRightInd w:val="0"/>
        <w:spacing w:before="60" w:after="60"/>
        <w:ind w:right="49" w:firstLine="709"/>
        <w:contextualSpacing/>
      </w:pPr>
      <w:r w:rsidRPr="00761653">
        <w:t xml:space="preserve">Выбор антибиотиков проводится согласно чувствительности выделенных штаммов. Лечение проводят сочетанием антибиотиков. При инфекциях кровотока, вызванных </w:t>
      </w:r>
      <w:r w:rsidRPr="00761653">
        <w:rPr>
          <w:i/>
        </w:rPr>
        <w:t>P. aeruginosa,</w:t>
      </w:r>
      <w:r w:rsidRPr="00761653">
        <w:t xml:space="preserve"> часто наблюдается диссеминация в легких, и в этих случаях необходимо использовать антибиотики, для которых характерна высокая концентрация в легких. Такими параметрами обладает цефтолозан-тазобактам, который активен против карбапенем-резистентных </w:t>
      </w:r>
      <w:r w:rsidRPr="00761653">
        <w:rPr>
          <w:i/>
        </w:rPr>
        <w:t>P. aeruginosa</w:t>
      </w:r>
      <w:r w:rsidRPr="00761653">
        <w:t xml:space="preserve"> без продукции карбапенемаз [10]. Препараты для лечения представлены в табл</w:t>
      </w:r>
      <w:r>
        <w:t>ице 3.</w:t>
      </w:r>
      <w:r w:rsidRPr="00761653">
        <w:t xml:space="preserve"> </w:t>
      </w:r>
    </w:p>
    <w:p w14:paraId="25505817" w14:textId="77777777" w:rsidR="006D503D" w:rsidRPr="00761653" w:rsidRDefault="006D503D" w:rsidP="006D503D">
      <w:pPr>
        <w:spacing w:after="200"/>
        <w:ind w:hanging="142"/>
      </w:pPr>
      <w:r w:rsidRPr="00761653">
        <w:lastRenderedPageBreak/>
        <w:t xml:space="preserve">Таблица 3. Лечение инфекций, вызванных </w:t>
      </w:r>
      <w:r w:rsidRPr="00761653">
        <w:rPr>
          <w:i/>
        </w:rPr>
        <w:t>Pseudomonas aeruginosa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6D503D" w:rsidRPr="00761653" w14:paraId="440EEE72" w14:textId="77777777" w:rsidTr="00683A05">
        <w:tc>
          <w:tcPr>
            <w:tcW w:w="3510" w:type="dxa"/>
            <w:vAlign w:val="center"/>
          </w:tcPr>
          <w:p w14:paraId="16502733" w14:textId="77777777" w:rsidR="006D503D" w:rsidRPr="00761653" w:rsidRDefault="006D503D" w:rsidP="006D503D">
            <w:pPr>
              <w:jc w:val="center"/>
              <w:rPr>
                <w:szCs w:val="24"/>
              </w:rPr>
            </w:pPr>
            <w:r w:rsidRPr="00761653">
              <w:rPr>
                <w:szCs w:val="24"/>
              </w:rPr>
              <w:t>Препарат</w:t>
            </w:r>
          </w:p>
        </w:tc>
        <w:tc>
          <w:tcPr>
            <w:tcW w:w="6237" w:type="dxa"/>
            <w:vAlign w:val="center"/>
          </w:tcPr>
          <w:p w14:paraId="1BFC95E3" w14:textId="77777777" w:rsidR="006D503D" w:rsidRPr="00761653" w:rsidRDefault="006D503D" w:rsidP="006D503D">
            <w:pPr>
              <w:jc w:val="center"/>
              <w:rPr>
                <w:szCs w:val="24"/>
              </w:rPr>
            </w:pPr>
            <w:r w:rsidRPr="00761653">
              <w:rPr>
                <w:szCs w:val="24"/>
              </w:rPr>
              <w:t>Доза</w:t>
            </w:r>
          </w:p>
        </w:tc>
      </w:tr>
      <w:tr w:rsidR="006D503D" w:rsidRPr="000D7B76" w14:paraId="1124AA81" w14:textId="77777777" w:rsidTr="00683A05">
        <w:tc>
          <w:tcPr>
            <w:tcW w:w="3510" w:type="dxa"/>
          </w:tcPr>
          <w:p w14:paraId="0BDE621C" w14:textId="77777777" w:rsidR="006D503D" w:rsidRPr="00761653" w:rsidRDefault="006D503D" w:rsidP="006D503D">
            <w:pPr>
              <w:rPr>
                <w:szCs w:val="24"/>
              </w:rPr>
            </w:pPr>
            <w:r w:rsidRPr="00761653">
              <w:rPr>
                <w:szCs w:val="24"/>
              </w:rPr>
              <w:t>Цефтолозан/тазобактам</w:t>
            </w:r>
          </w:p>
        </w:tc>
        <w:tc>
          <w:tcPr>
            <w:tcW w:w="6237" w:type="dxa"/>
          </w:tcPr>
          <w:p w14:paraId="6D6685B7" w14:textId="77777777" w:rsidR="006D503D" w:rsidRPr="00761653" w:rsidRDefault="006D503D" w:rsidP="006D503D">
            <w:pPr>
              <w:rPr>
                <w:szCs w:val="24"/>
              </w:rPr>
            </w:pPr>
            <w:r w:rsidRPr="00761653">
              <w:rPr>
                <w:szCs w:val="24"/>
              </w:rPr>
              <w:t>1,5 или 3 г каждые 8 часов, инфузия в течение 1 часа (при пневмонии по 3 г х 3 раза)</w:t>
            </w:r>
          </w:p>
        </w:tc>
      </w:tr>
      <w:tr w:rsidR="006D503D" w:rsidRPr="000D7B76" w14:paraId="0D48DE01" w14:textId="77777777" w:rsidTr="00683A05">
        <w:tc>
          <w:tcPr>
            <w:tcW w:w="3510" w:type="dxa"/>
          </w:tcPr>
          <w:p w14:paraId="46ADD56E" w14:textId="77777777" w:rsidR="006D503D" w:rsidRPr="00761653" w:rsidRDefault="006D503D" w:rsidP="006D503D">
            <w:pPr>
              <w:rPr>
                <w:szCs w:val="24"/>
              </w:rPr>
            </w:pPr>
            <w:r w:rsidRPr="00761653">
              <w:rPr>
                <w:szCs w:val="24"/>
              </w:rPr>
              <w:t>Цефтазидим</w:t>
            </w:r>
          </w:p>
        </w:tc>
        <w:tc>
          <w:tcPr>
            <w:tcW w:w="6237" w:type="dxa"/>
          </w:tcPr>
          <w:p w14:paraId="15E1AA24" w14:textId="77777777" w:rsidR="006D503D" w:rsidRPr="00761653" w:rsidRDefault="006D503D" w:rsidP="006D503D">
            <w:pPr>
              <w:rPr>
                <w:szCs w:val="24"/>
              </w:rPr>
            </w:pPr>
            <w:r w:rsidRPr="00761653">
              <w:rPr>
                <w:szCs w:val="24"/>
              </w:rPr>
              <w:t>Нагрузочная доза 1-2 г, затем 6 г/сут, непрерывная инфузии в течение 24 ч</w:t>
            </w:r>
          </w:p>
        </w:tc>
      </w:tr>
      <w:tr w:rsidR="006D503D" w:rsidRPr="00A21CB6" w14:paraId="6618D9B3" w14:textId="77777777" w:rsidTr="00683A05">
        <w:tc>
          <w:tcPr>
            <w:tcW w:w="3510" w:type="dxa"/>
          </w:tcPr>
          <w:p w14:paraId="3F79854F" w14:textId="77777777" w:rsidR="006D503D" w:rsidRPr="00761653" w:rsidRDefault="006D503D" w:rsidP="006D503D">
            <w:pPr>
              <w:rPr>
                <w:szCs w:val="24"/>
              </w:rPr>
            </w:pPr>
            <w:r w:rsidRPr="00761653">
              <w:rPr>
                <w:szCs w:val="24"/>
              </w:rPr>
              <w:t>Цефепим</w:t>
            </w:r>
          </w:p>
        </w:tc>
        <w:tc>
          <w:tcPr>
            <w:tcW w:w="6237" w:type="dxa"/>
          </w:tcPr>
          <w:p w14:paraId="33FC0356" w14:textId="77777777" w:rsidR="006D503D" w:rsidRPr="00761653" w:rsidRDefault="006D503D" w:rsidP="006D503D">
            <w:pPr>
              <w:rPr>
                <w:szCs w:val="24"/>
              </w:rPr>
            </w:pPr>
            <w:r w:rsidRPr="00761653">
              <w:rPr>
                <w:szCs w:val="24"/>
              </w:rPr>
              <w:t>Нагрузочная доза 15 мг/кг в течение 30 мин, затем 6 г/сут посредством непрерывной инфузии в течение 24 часов</w:t>
            </w:r>
          </w:p>
        </w:tc>
      </w:tr>
      <w:tr w:rsidR="006D503D" w:rsidRPr="00A21CB6" w14:paraId="7B044737" w14:textId="77777777" w:rsidTr="00683A05">
        <w:tc>
          <w:tcPr>
            <w:tcW w:w="3510" w:type="dxa"/>
          </w:tcPr>
          <w:p w14:paraId="62649199" w14:textId="77777777" w:rsidR="006D503D" w:rsidRPr="00761653" w:rsidRDefault="006D503D" w:rsidP="006D503D">
            <w:pPr>
              <w:rPr>
                <w:szCs w:val="24"/>
              </w:rPr>
            </w:pPr>
            <w:r w:rsidRPr="00761653">
              <w:rPr>
                <w:szCs w:val="24"/>
              </w:rPr>
              <w:t>Пиперациллин/тазобактам</w:t>
            </w:r>
          </w:p>
        </w:tc>
        <w:tc>
          <w:tcPr>
            <w:tcW w:w="6237" w:type="dxa"/>
          </w:tcPr>
          <w:p w14:paraId="47329829" w14:textId="77777777" w:rsidR="006D503D" w:rsidRPr="00761653" w:rsidRDefault="006D503D" w:rsidP="006D503D">
            <w:pPr>
              <w:rPr>
                <w:szCs w:val="24"/>
              </w:rPr>
            </w:pPr>
            <w:r w:rsidRPr="00761653">
              <w:rPr>
                <w:szCs w:val="24"/>
              </w:rPr>
              <w:t>Нагрузочная доза 2,25 г затем 16,2 г/сут посредством непрерывной инфузии в течение 24 часов</w:t>
            </w:r>
          </w:p>
        </w:tc>
      </w:tr>
      <w:tr w:rsidR="006D503D" w:rsidRPr="00A21CB6" w14:paraId="4A8E19F5" w14:textId="77777777" w:rsidTr="00683A05">
        <w:tc>
          <w:tcPr>
            <w:tcW w:w="3510" w:type="dxa"/>
          </w:tcPr>
          <w:p w14:paraId="6E2CFF84" w14:textId="77777777" w:rsidR="006D503D" w:rsidRPr="00761653" w:rsidRDefault="006D503D" w:rsidP="006D503D">
            <w:pPr>
              <w:rPr>
                <w:szCs w:val="24"/>
              </w:rPr>
            </w:pPr>
            <w:r w:rsidRPr="00761653">
              <w:rPr>
                <w:szCs w:val="24"/>
              </w:rPr>
              <w:t>Цефтазидим/авибактам</w:t>
            </w:r>
          </w:p>
        </w:tc>
        <w:tc>
          <w:tcPr>
            <w:tcW w:w="6237" w:type="dxa"/>
          </w:tcPr>
          <w:p w14:paraId="4F53526E" w14:textId="77777777" w:rsidR="006D503D" w:rsidRPr="00761653" w:rsidRDefault="006D503D" w:rsidP="006D503D">
            <w:pPr>
              <w:rPr>
                <w:szCs w:val="24"/>
              </w:rPr>
            </w:pPr>
            <w:r w:rsidRPr="00761653">
              <w:rPr>
                <w:szCs w:val="24"/>
              </w:rPr>
              <w:t>2,5 г каждые 8 часов, продленная инфузия в течение 2 часов</w:t>
            </w:r>
          </w:p>
        </w:tc>
      </w:tr>
      <w:tr w:rsidR="006D503D" w:rsidRPr="00A21CB6" w14:paraId="248292CA" w14:textId="77777777" w:rsidTr="00683A05">
        <w:tc>
          <w:tcPr>
            <w:tcW w:w="3510" w:type="dxa"/>
          </w:tcPr>
          <w:p w14:paraId="4886973B" w14:textId="77777777" w:rsidR="006D503D" w:rsidRPr="00761653" w:rsidRDefault="006D503D" w:rsidP="006D503D">
            <w:pPr>
              <w:rPr>
                <w:szCs w:val="24"/>
              </w:rPr>
            </w:pPr>
            <w:r w:rsidRPr="00761653">
              <w:rPr>
                <w:szCs w:val="24"/>
              </w:rPr>
              <w:t>Азтреонам</w:t>
            </w:r>
          </w:p>
        </w:tc>
        <w:tc>
          <w:tcPr>
            <w:tcW w:w="6237" w:type="dxa"/>
          </w:tcPr>
          <w:p w14:paraId="6E649A5B" w14:textId="77777777" w:rsidR="006D503D" w:rsidRPr="00761653" w:rsidRDefault="006D503D" w:rsidP="006D503D">
            <w:pPr>
              <w:rPr>
                <w:szCs w:val="24"/>
              </w:rPr>
            </w:pPr>
            <w:r w:rsidRPr="00761653">
              <w:rPr>
                <w:szCs w:val="24"/>
              </w:rPr>
              <w:t>Нагрузочная доза 1-2 г, затем 6 г/сут посредством непрерывной инфузии в течение 24 часов</w:t>
            </w:r>
          </w:p>
        </w:tc>
      </w:tr>
      <w:tr w:rsidR="006D503D" w:rsidRPr="000D7B76" w14:paraId="4EB92738" w14:textId="77777777" w:rsidTr="00683A05">
        <w:tc>
          <w:tcPr>
            <w:tcW w:w="3510" w:type="dxa"/>
          </w:tcPr>
          <w:p w14:paraId="40462148" w14:textId="77777777" w:rsidR="006D503D" w:rsidRPr="00761653" w:rsidRDefault="006D503D" w:rsidP="006D503D">
            <w:pPr>
              <w:rPr>
                <w:szCs w:val="24"/>
              </w:rPr>
            </w:pPr>
            <w:r w:rsidRPr="00761653">
              <w:rPr>
                <w:szCs w:val="24"/>
              </w:rPr>
              <w:t>Дорипенем</w:t>
            </w:r>
          </w:p>
        </w:tc>
        <w:tc>
          <w:tcPr>
            <w:tcW w:w="6237" w:type="dxa"/>
          </w:tcPr>
          <w:p w14:paraId="5D778F16" w14:textId="77777777" w:rsidR="006D503D" w:rsidRPr="00761653" w:rsidRDefault="006D503D" w:rsidP="006D503D">
            <w:pPr>
              <w:rPr>
                <w:szCs w:val="24"/>
              </w:rPr>
            </w:pPr>
            <w:r w:rsidRPr="00761653">
              <w:rPr>
                <w:szCs w:val="24"/>
              </w:rPr>
              <w:t>1 г каждые 8 часов, инфузия в течение 4 часов</w:t>
            </w:r>
          </w:p>
        </w:tc>
      </w:tr>
      <w:tr w:rsidR="006D503D" w:rsidRPr="000D7B76" w14:paraId="67FC46B0" w14:textId="77777777" w:rsidTr="00683A05">
        <w:tc>
          <w:tcPr>
            <w:tcW w:w="3510" w:type="dxa"/>
          </w:tcPr>
          <w:p w14:paraId="30225C39" w14:textId="77777777" w:rsidR="006D503D" w:rsidRPr="00761653" w:rsidRDefault="006D503D" w:rsidP="006D503D">
            <w:pPr>
              <w:rPr>
                <w:szCs w:val="24"/>
              </w:rPr>
            </w:pPr>
            <w:r w:rsidRPr="00761653">
              <w:rPr>
                <w:szCs w:val="24"/>
              </w:rPr>
              <w:t>Меропенем</w:t>
            </w:r>
          </w:p>
        </w:tc>
        <w:tc>
          <w:tcPr>
            <w:tcW w:w="6237" w:type="dxa"/>
          </w:tcPr>
          <w:p w14:paraId="3138B81F" w14:textId="77777777" w:rsidR="006D503D" w:rsidRPr="00761653" w:rsidRDefault="006D503D" w:rsidP="006D503D">
            <w:pPr>
              <w:rPr>
                <w:szCs w:val="24"/>
              </w:rPr>
            </w:pPr>
            <w:r w:rsidRPr="00761653">
              <w:rPr>
                <w:szCs w:val="24"/>
              </w:rPr>
              <w:t>Нагрузочная доза 1-2 г, затем по 2 г каждые 8 часов, продленная инфузия в течение 3 часов</w:t>
            </w:r>
          </w:p>
        </w:tc>
      </w:tr>
      <w:tr w:rsidR="006D503D" w:rsidRPr="00A21CB6" w14:paraId="324CA2B4" w14:textId="77777777" w:rsidTr="00683A05">
        <w:tc>
          <w:tcPr>
            <w:tcW w:w="3510" w:type="dxa"/>
          </w:tcPr>
          <w:p w14:paraId="5430CE70" w14:textId="77777777" w:rsidR="006D503D" w:rsidRPr="00761653" w:rsidRDefault="006D503D" w:rsidP="006D503D">
            <w:pPr>
              <w:rPr>
                <w:szCs w:val="24"/>
              </w:rPr>
            </w:pPr>
            <w:r w:rsidRPr="00761653">
              <w:rPr>
                <w:szCs w:val="24"/>
              </w:rPr>
              <w:t>Имипенем</w:t>
            </w:r>
          </w:p>
        </w:tc>
        <w:tc>
          <w:tcPr>
            <w:tcW w:w="6237" w:type="dxa"/>
          </w:tcPr>
          <w:p w14:paraId="6F6C8C3B" w14:textId="77777777" w:rsidR="006D503D" w:rsidRPr="00761653" w:rsidRDefault="006D503D" w:rsidP="006D503D">
            <w:pPr>
              <w:rPr>
                <w:szCs w:val="24"/>
              </w:rPr>
            </w:pPr>
            <w:r w:rsidRPr="00761653">
              <w:rPr>
                <w:szCs w:val="24"/>
              </w:rPr>
              <w:t>1 г каждые 6-8 часов, в/в</w:t>
            </w:r>
          </w:p>
        </w:tc>
      </w:tr>
      <w:tr w:rsidR="006D503D" w:rsidRPr="00A21CB6" w14:paraId="7644B1D9" w14:textId="77777777" w:rsidTr="00683A05">
        <w:tc>
          <w:tcPr>
            <w:tcW w:w="3510" w:type="dxa"/>
          </w:tcPr>
          <w:p w14:paraId="410AA331" w14:textId="77777777" w:rsidR="006D503D" w:rsidRPr="00761653" w:rsidRDefault="006D503D" w:rsidP="006D503D">
            <w:pPr>
              <w:rPr>
                <w:szCs w:val="24"/>
              </w:rPr>
            </w:pPr>
            <w:r w:rsidRPr="00761653">
              <w:rPr>
                <w:szCs w:val="24"/>
              </w:rPr>
              <w:t>Фосфомицин</w:t>
            </w:r>
          </w:p>
        </w:tc>
        <w:tc>
          <w:tcPr>
            <w:tcW w:w="6237" w:type="dxa"/>
          </w:tcPr>
          <w:p w14:paraId="5023536F" w14:textId="77777777" w:rsidR="006D503D" w:rsidRPr="00761653" w:rsidRDefault="006D503D" w:rsidP="006D503D">
            <w:pPr>
              <w:rPr>
                <w:szCs w:val="24"/>
              </w:rPr>
            </w:pPr>
            <w:r w:rsidRPr="00761653">
              <w:rPr>
                <w:szCs w:val="24"/>
              </w:rPr>
              <w:t xml:space="preserve">Нагрузочная доза 2-4 г, затем по 16-24 г посредством непрерывной инфузии в течение 24 часов </w:t>
            </w:r>
          </w:p>
        </w:tc>
      </w:tr>
      <w:tr w:rsidR="006D503D" w:rsidRPr="00A21CB6" w14:paraId="3F08A32A" w14:textId="77777777" w:rsidTr="00683A05">
        <w:tc>
          <w:tcPr>
            <w:tcW w:w="3510" w:type="dxa"/>
          </w:tcPr>
          <w:p w14:paraId="4467BA95" w14:textId="77777777" w:rsidR="006D503D" w:rsidRPr="00761653" w:rsidRDefault="006D503D" w:rsidP="006D503D">
            <w:pPr>
              <w:rPr>
                <w:szCs w:val="24"/>
              </w:rPr>
            </w:pPr>
            <w:r w:rsidRPr="00761653">
              <w:rPr>
                <w:szCs w:val="24"/>
              </w:rPr>
              <w:t>Колистин</w:t>
            </w:r>
          </w:p>
        </w:tc>
        <w:tc>
          <w:tcPr>
            <w:tcW w:w="6237" w:type="dxa"/>
          </w:tcPr>
          <w:p w14:paraId="5A6DBD6B" w14:textId="77777777" w:rsidR="006D503D" w:rsidRPr="00761653" w:rsidRDefault="006D503D" w:rsidP="006D503D">
            <w:pPr>
              <w:rPr>
                <w:szCs w:val="24"/>
              </w:rPr>
            </w:pPr>
            <w:r w:rsidRPr="00761653">
              <w:rPr>
                <w:szCs w:val="24"/>
              </w:rPr>
              <w:t>Нагрузочная доза 6-9 млн МЕ, затем по 4,5 млн МЕ каждые 12 часов</w:t>
            </w:r>
          </w:p>
        </w:tc>
      </w:tr>
      <w:tr w:rsidR="006D503D" w:rsidRPr="000D7B76" w14:paraId="02EBEAC9" w14:textId="77777777" w:rsidTr="00683A05">
        <w:tc>
          <w:tcPr>
            <w:tcW w:w="3510" w:type="dxa"/>
          </w:tcPr>
          <w:p w14:paraId="49684E4F" w14:textId="77777777" w:rsidR="006D503D" w:rsidRPr="00761653" w:rsidRDefault="006D503D" w:rsidP="006D503D">
            <w:pPr>
              <w:rPr>
                <w:szCs w:val="24"/>
              </w:rPr>
            </w:pPr>
            <w:r w:rsidRPr="00761653">
              <w:rPr>
                <w:szCs w:val="24"/>
              </w:rPr>
              <w:t>Полимиксин В</w:t>
            </w:r>
          </w:p>
        </w:tc>
        <w:tc>
          <w:tcPr>
            <w:tcW w:w="6237" w:type="dxa"/>
          </w:tcPr>
          <w:p w14:paraId="4191148D" w14:textId="77777777" w:rsidR="006D503D" w:rsidRPr="00761653" w:rsidRDefault="006D503D" w:rsidP="006D503D">
            <w:pPr>
              <w:rPr>
                <w:szCs w:val="24"/>
              </w:rPr>
            </w:pPr>
            <w:r w:rsidRPr="00761653">
              <w:rPr>
                <w:szCs w:val="24"/>
              </w:rPr>
              <w:t xml:space="preserve">Нагрузочная доза 2-2,5 мг/кг, инфузия в течение 2 часов, далее по </w:t>
            </w:r>
          </w:p>
          <w:p w14:paraId="75CE359E" w14:textId="77777777" w:rsidR="006D503D" w:rsidRPr="00761653" w:rsidRDefault="006D503D" w:rsidP="006D503D">
            <w:pPr>
              <w:rPr>
                <w:szCs w:val="24"/>
              </w:rPr>
            </w:pPr>
            <w:r w:rsidRPr="00761653">
              <w:rPr>
                <w:szCs w:val="24"/>
              </w:rPr>
              <w:t>1,25-1,5 мг/кг каждые 12 часов, инфузия в течение 1 часа</w:t>
            </w:r>
          </w:p>
        </w:tc>
      </w:tr>
      <w:tr w:rsidR="006D503D" w:rsidRPr="000D7B76" w14:paraId="6FEB5144" w14:textId="77777777" w:rsidTr="00683A05">
        <w:tc>
          <w:tcPr>
            <w:tcW w:w="3510" w:type="dxa"/>
          </w:tcPr>
          <w:p w14:paraId="2F9AC237" w14:textId="77777777" w:rsidR="006D503D" w:rsidRPr="00761653" w:rsidRDefault="006D503D" w:rsidP="006D503D">
            <w:pPr>
              <w:rPr>
                <w:szCs w:val="24"/>
              </w:rPr>
            </w:pPr>
            <w:r w:rsidRPr="00761653">
              <w:rPr>
                <w:szCs w:val="24"/>
              </w:rPr>
              <w:lastRenderedPageBreak/>
              <w:t>Ципрофлоксацин</w:t>
            </w:r>
          </w:p>
        </w:tc>
        <w:tc>
          <w:tcPr>
            <w:tcW w:w="6237" w:type="dxa"/>
          </w:tcPr>
          <w:p w14:paraId="5F197D5D" w14:textId="77777777" w:rsidR="006D503D" w:rsidRPr="00761653" w:rsidRDefault="006D503D" w:rsidP="006D503D">
            <w:pPr>
              <w:rPr>
                <w:szCs w:val="24"/>
              </w:rPr>
            </w:pPr>
            <w:r w:rsidRPr="00761653">
              <w:rPr>
                <w:szCs w:val="24"/>
              </w:rPr>
              <w:t>400 мг каждые 8 часов, инфузия в течение 30-60 минут</w:t>
            </w:r>
          </w:p>
        </w:tc>
      </w:tr>
      <w:tr w:rsidR="006D503D" w:rsidRPr="000D7B76" w14:paraId="44213B87" w14:textId="77777777" w:rsidTr="00683A05">
        <w:tc>
          <w:tcPr>
            <w:tcW w:w="3510" w:type="dxa"/>
          </w:tcPr>
          <w:p w14:paraId="3199A0E7" w14:textId="77777777" w:rsidR="006D503D" w:rsidRPr="00761653" w:rsidRDefault="006D503D" w:rsidP="006D503D">
            <w:pPr>
              <w:rPr>
                <w:szCs w:val="24"/>
              </w:rPr>
            </w:pPr>
            <w:r w:rsidRPr="00761653">
              <w:rPr>
                <w:szCs w:val="24"/>
              </w:rPr>
              <w:t>Левофлоксацин</w:t>
            </w:r>
          </w:p>
        </w:tc>
        <w:tc>
          <w:tcPr>
            <w:tcW w:w="6237" w:type="dxa"/>
          </w:tcPr>
          <w:p w14:paraId="6DBE99DA" w14:textId="77777777" w:rsidR="006D503D" w:rsidRPr="00761653" w:rsidRDefault="006D503D" w:rsidP="006D503D">
            <w:pPr>
              <w:rPr>
                <w:szCs w:val="24"/>
              </w:rPr>
            </w:pPr>
            <w:r w:rsidRPr="00761653">
              <w:rPr>
                <w:szCs w:val="24"/>
              </w:rPr>
              <w:t>500 мг каждые 12 часов, инфузия в течение 50-60 минут</w:t>
            </w:r>
          </w:p>
        </w:tc>
      </w:tr>
      <w:tr w:rsidR="006D503D" w:rsidRPr="000D7B76" w14:paraId="2AD4D06A" w14:textId="77777777" w:rsidTr="00683A05">
        <w:tc>
          <w:tcPr>
            <w:tcW w:w="3510" w:type="dxa"/>
          </w:tcPr>
          <w:p w14:paraId="49F58322" w14:textId="77777777" w:rsidR="006D503D" w:rsidRPr="00761653" w:rsidRDefault="006D503D" w:rsidP="006D503D">
            <w:pPr>
              <w:rPr>
                <w:szCs w:val="24"/>
              </w:rPr>
            </w:pPr>
            <w:r w:rsidRPr="00761653">
              <w:rPr>
                <w:szCs w:val="24"/>
              </w:rPr>
              <w:t>Тобрамицин</w:t>
            </w:r>
          </w:p>
        </w:tc>
        <w:tc>
          <w:tcPr>
            <w:tcW w:w="6237" w:type="dxa"/>
          </w:tcPr>
          <w:p w14:paraId="6AB48810" w14:textId="77777777" w:rsidR="006D503D" w:rsidRPr="00761653" w:rsidRDefault="006D503D" w:rsidP="006D503D">
            <w:pPr>
              <w:rPr>
                <w:szCs w:val="24"/>
              </w:rPr>
            </w:pPr>
            <w:r w:rsidRPr="00761653">
              <w:rPr>
                <w:szCs w:val="24"/>
              </w:rPr>
              <w:t>8 мг/кг 1 раз/сут, инфузия в течение 60 мин</w:t>
            </w:r>
          </w:p>
        </w:tc>
      </w:tr>
      <w:tr w:rsidR="006D503D" w:rsidRPr="000D7B76" w14:paraId="541E682A" w14:textId="77777777" w:rsidTr="00683A05">
        <w:tc>
          <w:tcPr>
            <w:tcW w:w="3510" w:type="dxa"/>
          </w:tcPr>
          <w:p w14:paraId="414C3CFD" w14:textId="77777777" w:rsidR="006D503D" w:rsidRPr="00761653" w:rsidRDefault="006D503D" w:rsidP="006D503D">
            <w:pPr>
              <w:rPr>
                <w:szCs w:val="24"/>
              </w:rPr>
            </w:pPr>
            <w:r w:rsidRPr="00761653">
              <w:rPr>
                <w:szCs w:val="24"/>
              </w:rPr>
              <w:t>Амикацин</w:t>
            </w:r>
          </w:p>
        </w:tc>
        <w:tc>
          <w:tcPr>
            <w:tcW w:w="6237" w:type="dxa"/>
          </w:tcPr>
          <w:p w14:paraId="24CC7E85" w14:textId="77777777" w:rsidR="006D503D" w:rsidRPr="00761653" w:rsidRDefault="006D503D" w:rsidP="006D503D">
            <w:pPr>
              <w:rPr>
                <w:szCs w:val="24"/>
              </w:rPr>
            </w:pPr>
            <w:r w:rsidRPr="00761653">
              <w:rPr>
                <w:szCs w:val="24"/>
              </w:rPr>
              <w:t xml:space="preserve">25 мг/кг 1 раз/сут, инфузия в течение 60 минут </w:t>
            </w:r>
          </w:p>
        </w:tc>
      </w:tr>
    </w:tbl>
    <w:p w14:paraId="2D8F07C6" w14:textId="77777777" w:rsidR="006D503D" w:rsidRPr="00761653" w:rsidRDefault="006D503D" w:rsidP="006D503D">
      <w:pPr>
        <w:widowControl w:val="0"/>
        <w:tabs>
          <w:tab w:val="left" w:pos="1134"/>
        </w:tabs>
        <w:autoSpaceDE w:val="0"/>
        <w:autoSpaceDN w:val="0"/>
        <w:adjustRightInd w:val="0"/>
        <w:spacing w:before="60" w:after="60"/>
        <w:ind w:right="49" w:firstLine="709"/>
        <w:contextualSpacing/>
      </w:pPr>
      <w:r w:rsidRPr="00761653">
        <w:rPr>
          <w:b/>
          <w:i/>
          <w:u w:val="single"/>
        </w:rPr>
        <w:t>Acinetobacter baumannii</w:t>
      </w:r>
    </w:p>
    <w:p w14:paraId="6329FBB6" w14:textId="77777777" w:rsidR="006D503D" w:rsidRPr="00761653" w:rsidRDefault="006D503D" w:rsidP="006D503D">
      <w:pPr>
        <w:widowControl w:val="0"/>
        <w:tabs>
          <w:tab w:val="left" w:pos="1134"/>
        </w:tabs>
        <w:autoSpaceDE w:val="0"/>
        <w:autoSpaceDN w:val="0"/>
        <w:adjustRightInd w:val="0"/>
        <w:spacing w:before="60" w:after="60"/>
        <w:ind w:right="49" w:firstLine="709"/>
        <w:contextualSpacing/>
      </w:pPr>
      <w:r w:rsidRPr="00761653">
        <w:t xml:space="preserve">Характерным является ограничение потенциально активных </w:t>
      </w:r>
      <w:r w:rsidRPr="00761653">
        <w:rPr>
          <w:i/>
        </w:rPr>
        <w:t xml:space="preserve">in vitro </w:t>
      </w:r>
      <w:r w:rsidRPr="00761653">
        <w:t xml:space="preserve">препаратов, наличие высокой резистентности. Для лечения используют цефоперазон/сульбактам, карбапенем антипсевдомонадный, полимиксин или колистин, тигециклин (дозирование как при инфекции, вызванной </w:t>
      </w:r>
      <w:r w:rsidRPr="00761653">
        <w:rPr>
          <w:i/>
        </w:rPr>
        <w:t>P. aeruginosa</w:t>
      </w:r>
      <w:r w:rsidRPr="00761653">
        <w:t>).</w:t>
      </w:r>
    </w:p>
    <w:p w14:paraId="5CAA6B94" w14:textId="77777777" w:rsidR="006D503D" w:rsidRPr="00761653" w:rsidRDefault="006D503D" w:rsidP="006D503D">
      <w:pPr>
        <w:widowControl w:val="0"/>
        <w:tabs>
          <w:tab w:val="left" w:pos="1134"/>
        </w:tabs>
        <w:autoSpaceDE w:val="0"/>
        <w:autoSpaceDN w:val="0"/>
        <w:adjustRightInd w:val="0"/>
        <w:spacing w:before="60" w:after="60"/>
        <w:ind w:right="49" w:firstLine="709"/>
        <w:contextualSpacing/>
      </w:pPr>
      <w:r w:rsidRPr="00761653">
        <w:rPr>
          <w:b/>
          <w:i/>
          <w:u w:val="single"/>
        </w:rPr>
        <w:t>Stenotrophomonas maltophilia</w:t>
      </w:r>
    </w:p>
    <w:p w14:paraId="10EDED47" w14:textId="77777777" w:rsidR="006D503D" w:rsidRPr="00761653" w:rsidRDefault="006D503D" w:rsidP="006D503D">
      <w:pPr>
        <w:widowControl w:val="0"/>
        <w:tabs>
          <w:tab w:val="left" w:pos="1134"/>
        </w:tabs>
        <w:autoSpaceDE w:val="0"/>
        <w:autoSpaceDN w:val="0"/>
        <w:adjustRightInd w:val="0"/>
        <w:spacing w:before="60" w:after="60"/>
        <w:ind w:right="49" w:firstLine="709"/>
        <w:contextualSpacing/>
      </w:pPr>
      <w:r w:rsidRPr="00761653">
        <w:t>Препарат выбора – триметоприм/сульфаметоксазол, расчет дозы проводят по триметоприму 15 мг/кг/сутки.</w:t>
      </w:r>
    </w:p>
    <w:p w14:paraId="12B46E79" w14:textId="77777777" w:rsidR="006D503D" w:rsidRPr="00761653" w:rsidRDefault="006D503D" w:rsidP="006D503D">
      <w:pPr>
        <w:widowControl w:val="0"/>
        <w:tabs>
          <w:tab w:val="left" w:pos="317"/>
          <w:tab w:val="left" w:pos="8715"/>
        </w:tabs>
        <w:autoSpaceDE w:val="0"/>
        <w:autoSpaceDN w:val="0"/>
        <w:adjustRightInd w:val="0"/>
        <w:spacing w:before="60" w:after="60"/>
        <w:ind w:right="49" w:firstLine="709"/>
        <w:contextualSpacing/>
        <w:rPr>
          <w:b/>
          <w:iCs/>
        </w:rPr>
      </w:pPr>
      <w:r w:rsidRPr="00761653">
        <w:rPr>
          <w:b/>
        </w:rPr>
        <w:t>Грамположительные возбудители</w:t>
      </w:r>
    </w:p>
    <w:p w14:paraId="2EFEDBD8" w14:textId="77777777" w:rsidR="006D503D" w:rsidRPr="00761653" w:rsidRDefault="006D503D" w:rsidP="006D503D">
      <w:pPr>
        <w:widowControl w:val="0"/>
        <w:tabs>
          <w:tab w:val="left" w:pos="317"/>
          <w:tab w:val="left" w:pos="8715"/>
        </w:tabs>
        <w:autoSpaceDE w:val="0"/>
        <w:autoSpaceDN w:val="0"/>
        <w:adjustRightInd w:val="0"/>
        <w:spacing w:before="60" w:after="60"/>
        <w:ind w:right="49" w:firstLine="709"/>
        <w:contextualSpacing/>
        <w:rPr>
          <w:b/>
          <w:bCs/>
          <w:u w:val="single"/>
        </w:rPr>
      </w:pPr>
      <w:r w:rsidRPr="00761653">
        <w:rPr>
          <w:b/>
          <w:bCs/>
          <w:u w:val="single"/>
        </w:rPr>
        <w:t>Коагулазонегативные стафилококки</w:t>
      </w:r>
    </w:p>
    <w:p w14:paraId="0244B6AE" w14:textId="77777777" w:rsidR="006D503D" w:rsidRPr="00761653" w:rsidRDefault="006D503D" w:rsidP="006D503D">
      <w:pPr>
        <w:widowControl w:val="0"/>
        <w:tabs>
          <w:tab w:val="left" w:pos="317"/>
          <w:tab w:val="left" w:pos="8715"/>
        </w:tabs>
        <w:autoSpaceDE w:val="0"/>
        <w:autoSpaceDN w:val="0"/>
        <w:adjustRightInd w:val="0"/>
        <w:spacing w:before="60" w:after="60"/>
        <w:ind w:right="49" w:firstLine="709"/>
        <w:contextualSpacing/>
        <w:rPr>
          <w:bCs/>
        </w:rPr>
      </w:pPr>
      <w:r w:rsidRPr="00761653">
        <w:rPr>
          <w:bCs/>
        </w:rPr>
        <w:t xml:space="preserve">Явялются причиной бактериемий (2е место) и катетер-ассоциированных инфекций. Подтверждают инфекцию двумя положительными гемокультурами. Около 80% штаммов устойчивые к оксациллину. Препарат выбора для лечения – ванкомицин. </w:t>
      </w:r>
    </w:p>
    <w:p w14:paraId="2120D015" w14:textId="77777777" w:rsidR="006D503D" w:rsidRPr="00761653" w:rsidRDefault="006D503D" w:rsidP="006D503D">
      <w:pPr>
        <w:widowControl w:val="0"/>
        <w:tabs>
          <w:tab w:val="left" w:pos="317"/>
          <w:tab w:val="left" w:pos="8715"/>
        </w:tabs>
        <w:autoSpaceDE w:val="0"/>
        <w:autoSpaceDN w:val="0"/>
        <w:adjustRightInd w:val="0"/>
        <w:spacing w:before="60" w:after="60"/>
        <w:ind w:right="49" w:firstLine="709"/>
        <w:contextualSpacing/>
        <w:rPr>
          <w:bCs/>
          <w:u w:val="single"/>
        </w:rPr>
      </w:pPr>
      <w:r w:rsidRPr="00761653">
        <w:rPr>
          <w:b/>
          <w:bCs/>
          <w:i/>
          <w:u w:val="single"/>
        </w:rPr>
        <w:t>Enterococcus</w:t>
      </w:r>
      <w:r w:rsidRPr="00761653">
        <w:rPr>
          <w:b/>
          <w:bCs/>
          <w:u w:val="single"/>
        </w:rPr>
        <w:t xml:space="preserve"> spp</w:t>
      </w:r>
      <w:r w:rsidRPr="00761653">
        <w:rPr>
          <w:bCs/>
          <w:u w:val="single"/>
        </w:rPr>
        <w:t xml:space="preserve">. </w:t>
      </w:r>
    </w:p>
    <w:p w14:paraId="02DB892E" w14:textId="77777777" w:rsidR="006D503D" w:rsidRPr="00761653" w:rsidRDefault="006D503D" w:rsidP="006D503D">
      <w:pPr>
        <w:widowControl w:val="0"/>
        <w:tabs>
          <w:tab w:val="left" w:pos="317"/>
          <w:tab w:val="left" w:pos="8715"/>
        </w:tabs>
        <w:autoSpaceDE w:val="0"/>
        <w:autoSpaceDN w:val="0"/>
        <w:adjustRightInd w:val="0"/>
        <w:spacing w:before="60" w:after="60"/>
        <w:ind w:right="49" w:firstLine="709"/>
        <w:contextualSpacing/>
        <w:rPr>
          <w:bCs/>
        </w:rPr>
      </w:pPr>
      <w:r>
        <w:rPr>
          <w:bCs/>
        </w:rPr>
        <w:t xml:space="preserve">У гематологических пациентов в основном вызывают </w:t>
      </w:r>
      <w:r w:rsidRPr="00761653">
        <w:rPr>
          <w:bCs/>
        </w:rPr>
        <w:t xml:space="preserve">инфекции кровотока, далее следуют инфекции мочевыводящих путей, редко – эндокардиты. Штаммы </w:t>
      </w:r>
      <w:r w:rsidRPr="00761653">
        <w:rPr>
          <w:bCs/>
          <w:i/>
        </w:rPr>
        <w:t>E. faecium</w:t>
      </w:r>
      <w:r w:rsidRPr="00761653">
        <w:rPr>
          <w:bCs/>
        </w:rPr>
        <w:t xml:space="preserve"> (70%) преобладают над E</w:t>
      </w:r>
      <w:r w:rsidRPr="00761653">
        <w:rPr>
          <w:bCs/>
          <w:i/>
        </w:rPr>
        <w:t>. faecalis</w:t>
      </w:r>
      <w:r w:rsidRPr="00761653">
        <w:rPr>
          <w:bCs/>
        </w:rPr>
        <w:t xml:space="preserve"> (30%). Препарат выбора в лечении инфекций, вызванных E. faecalis - ампициллин (97% чувствительные). Антибиотикорезистентность более высокая среди </w:t>
      </w:r>
      <w:r w:rsidRPr="00761653">
        <w:rPr>
          <w:bCs/>
          <w:i/>
        </w:rPr>
        <w:t xml:space="preserve">E. faecium </w:t>
      </w:r>
      <w:r w:rsidRPr="00761653">
        <w:rPr>
          <w:bCs/>
        </w:rPr>
        <w:t xml:space="preserve">- около 15% устойчивые к ванкомицину. При выделении ванкомицин-резистентных </w:t>
      </w:r>
      <w:r w:rsidRPr="00761653">
        <w:rPr>
          <w:bCs/>
          <w:i/>
        </w:rPr>
        <w:t>E. faecium</w:t>
      </w:r>
      <w:r w:rsidRPr="00761653">
        <w:rPr>
          <w:bCs/>
        </w:rPr>
        <w:t xml:space="preserve"> из гемокультуры препаратами выбора являются даптомицин (доза 10-12 мг/кг/сутки), линезолид.</w:t>
      </w:r>
    </w:p>
    <w:p w14:paraId="3B2A6222" w14:textId="77777777" w:rsidR="006D503D" w:rsidRPr="00761653" w:rsidRDefault="006D503D" w:rsidP="006D503D">
      <w:pPr>
        <w:widowControl w:val="0"/>
        <w:tabs>
          <w:tab w:val="left" w:pos="317"/>
          <w:tab w:val="left" w:pos="8715"/>
        </w:tabs>
        <w:autoSpaceDE w:val="0"/>
        <w:autoSpaceDN w:val="0"/>
        <w:adjustRightInd w:val="0"/>
        <w:spacing w:before="60" w:after="60"/>
        <w:ind w:right="49" w:firstLine="709"/>
        <w:contextualSpacing/>
        <w:rPr>
          <w:b/>
          <w:bCs/>
          <w:i/>
          <w:u w:val="single"/>
        </w:rPr>
      </w:pPr>
      <w:r w:rsidRPr="00761653">
        <w:rPr>
          <w:b/>
          <w:bCs/>
          <w:i/>
          <w:u w:val="single"/>
        </w:rPr>
        <w:t>Staphylococcus aureus</w:t>
      </w:r>
    </w:p>
    <w:p w14:paraId="64038393" w14:textId="77777777" w:rsidR="006D503D" w:rsidRPr="00761653" w:rsidRDefault="006D503D" w:rsidP="006D503D">
      <w:pPr>
        <w:widowControl w:val="0"/>
        <w:tabs>
          <w:tab w:val="left" w:pos="317"/>
          <w:tab w:val="left" w:pos="8715"/>
        </w:tabs>
        <w:autoSpaceDE w:val="0"/>
        <w:autoSpaceDN w:val="0"/>
        <w:adjustRightInd w:val="0"/>
        <w:spacing w:before="60" w:after="60"/>
        <w:ind w:right="49" w:firstLine="709"/>
        <w:contextualSpacing/>
        <w:rPr>
          <w:bCs/>
        </w:rPr>
      </w:pPr>
      <w:r>
        <w:rPr>
          <w:bCs/>
        </w:rPr>
        <w:t xml:space="preserve">У гематологических пациентов могут быть причиной </w:t>
      </w:r>
      <w:r w:rsidRPr="00761653">
        <w:rPr>
          <w:bCs/>
        </w:rPr>
        <w:t>инфекции кровотока, пневмонии, инфекции к</w:t>
      </w:r>
      <w:r>
        <w:rPr>
          <w:bCs/>
        </w:rPr>
        <w:t>ожи и мягких тканей, эндокардита</w:t>
      </w:r>
      <w:r w:rsidRPr="00761653">
        <w:rPr>
          <w:bCs/>
        </w:rPr>
        <w:t>. Около 20%-30% штаммов являются устойчивыми к оксациллину. Антибиотики, используемые для лечения указаны в таблице 4. При тяжелом течении инфекции в отдельных случаях сочетают даптомицин с линезолидом. Длительность лечения не менее 2-х недель.</w:t>
      </w:r>
    </w:p>
    <w:p w14:paraId="75DB8B58" w14:textId="77777777" w:rsidR="006D503D" w:rsidRPr="00761653" w:rsidRDefault="006D503D" w:rsidP="006D503D">
      <w:pPr>
        <w:widowControl w:val="0"/>
        <w:tabs>
          <w:tab w:val="left" w:pos="317"/>
          <w:tab w:val="left" w:pos="8715"/>
        </w:tabs>
        <w:autoSpaceDE w:val="0"/>
        <w:autoSpaceDN w:val="0"/>
        <w:adjustRightInd w:val="0"/>
        <w:spacing w:before="60" w:after="60"/>
        <w:ind w:right="49" w:firstLine="709"/>
        <w:contextualSpacing/>
        <w:rPr>
          <w:bCs/>
        </w:rPr>
      </w:pPr>
      <w:r w:rsidRPr="00761653">
        <w:rPr>
          <w:bCs/>
        </w:rPr>
        <w:lastRenderedPageBreak/>
        <w:t xml:space="preserve">Другие грамположительные бактерии редко вызывают инфекции, лечение их </w:t>
      </w:r>
      <w:r>
        <w:rPr>
          <w:bCs/>
        </w:rPr>
        <w:t xml:space="preserve">такое же, </w:t>
      </w:r>
      <w:r w:rsidRPr="00761653">
        <w:rPr>
          <w:bCs/>
        </w:rPr>
        <w:t xml:space="preserve">как у других категорий </w:t>
      </w:r>
      <w:r>
        <w:rPr>
          <w:bCs/>
        </w:rPr>
        <w:t>пациентов.</w:t>
      </w:r>
    </w:p>
    <w:p w14:paraId="027DB339" w14:textId="77777777" w:rsidR="006D503D" w:rsidRPr="00761653" w:rsidRDefault="006D503D" w:rsidP="006D503D">
      <w:pPr>
        <w:spacing w:after="200"/>
        <w:ind w:hanging="142"/>
        <w:rPr>
          <w:i/>
        </w:rPr>
      </w:pPr>
      <w:r w:rsidRPr="00761653">
        <w:t xml:space="preserve">Таблица 4. Лечение инфекций, вызванных </w:t>
      </w:r>
      <w:r w:rsidRPr="00761653">
        <w:rPr>
          <w:i/>
        </w:rPr>
        <w:t xml:space="preserve">Staphylococcus aureus </w:t>
      </w:r>
      <w:r w:rsidRPr="00761653">
        <w:t>и</w:t>
      </w:r>
      <w:r w:rsidRPr="00761653">
        <w:rPr>
          <w:i/>
        </w:rPr>
        <w:t xml:space="preserve"> Enterococcus faecium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835"/>
        <w:gridCol w:w="4395"/>
      </w:tblGrid>
      <w:tr w:rsidR="006D503D" w:rsidRPr="00761653" w14:paraId="42973C0C" w14:textId="77777777" w:rsidTr="00683A05">
        <w:tc>
          <w:tcPr>
            <w:tcW w:w="2376" w:type="dxa"/>
            <w:vAlign w:val="center"/>
          </w:tcPr>
          <w:p w14:paraId="2B5135C0" w14:textId="77777777" w:rsidR="006D503D" w:rsidRPr="00761653" w:rsidRDefault="006D503D" w:rsidP="006D503D">
            <w:pPr>
              <w:jc w:val="center"/>
              <w:rPr>
                <w:szCs w:val="24"/>
              </w:rPr>
            </w:pPr>
            <w:r w:rsidRPr="00761653">
              <w:rPr>
                <w:szCs w:val="24"/>
              </w:rPr>
              <w:t>Микроорганизм</w:t>
            </w:r>
          </w:p>
        </w:tc>
        <w:tc>
          <w:tcPr>
            <w:tcW w:w="2835" w:type="dxa"/>
            <w:vAlign w:val="center"/>
          </w:tcPr>
          <w:p w14:paraId="6587C863" w14:textId="77777777" w:rsidR="006D503D" w:rsidRPr="00761653" w:rsidRDefault="006D503D" w:rsidP="006D503D">
            <w:pPr>
              <w:jc w:val="center"/>
              <w:rPr>
                <w:szCs w:val="24"/>
              </w:rPr>
            </w:pPr>
            <w:r w:rsidRPr="00761653">
              <w:rPr>
                <w:szCs w:val="24"/>
              </w:rPr>
              <w:t>Препарат</w:t>
            </w:r>
          </w:p>
        </w:tc>
        <w:tc>
          <w:tcPr>
            <w:tcW w:w="4395" w:type="dxa"/>
            <w:vAlign w:val="center"/>
          </w:tcPr>
          <w:p w14:paraId="251F734E" w14:textId="77777777" w:rsidR="006D503D" w:rsidRPr="00761653" w:rsidRDefault="006D503D" w:rsidP="006D503D">
            <w:pPr>
              <w:jc w:val="center"/>
              <w:rPr>
                <w:szCs w:val="24"/>
              </w:rPr>
            </w:pPr>
            <w:r w:rsidRPr="00761653">
              <w:rPr>
                <w:szCs w:val="24"/>
              </w:rPr>
              <w:t>Доза</w:t>
            </w:r>
          </w:p>
        </w:tc>
      </w:tr>
      <w:tr w:rsidR="006D503D" w:rsidRPr="00A21CB6" w14:paraId="06797162" w14:textId="77777777" w:rsidTr="00683A05">
        <w:tc>
          <w:tcPr>
            <w:tcW w:w="2376" w:type="dxa"/>
            <w:vMerge w:val="restart"/>
          </w:tcPr>
          <w:p w14:paraId="3EE7617D" w14:textId="77777777" w:rsidR="006D503D" w:rsidRPr="00761653" w:rsidRDefault="006D503D" w:rsidP="006D503D">
            <w:pPr>
              <w:rPr>
                <w:szCs w:val="24"/>
                <w:highlight w:val="green"/>
              </w:rPr>
            </w:pPr>
            <w:r w:rsidRPr="00761653">
              <w:rPr>
                <w:i/>
                <w:szCs w:val="24"/>
              </w:rPr>
              <w:t>S. aureus</w:t>
            </w:r>
            <w:r w:rsidRPr="00761653">
              <w:rPr>
                <w:szCs w:val="24"/>
              </w:rPr>
              <w:t>, чувствительные к оксациллину</w:t>
            </w:r>
          </w:p>
        </w:tc>
        <w:tc>
          <w:tcPr>
            <w:tcW w:w="2835" w:type="dxa"/>
          </w:tcPr>
          <w:p w14:paraId="4D93DD0A" w14:textId="77777777" w:rsidR="006D503D" w:rsidRPr="00761653" w:rsidRDefault="006D503D" w:rsidP="006D503D">
            <w:pPr>
              <w:rPr>
                <w:szCs w:val="24"/>
              </w:rPr>
            </w:pPr>
            <w:r w:rsidRPr="00761653">
              <w:rPr>
                <w:szCs w:val="24"/>
              </w:rPr>
              <w:t>Оксациллин</w:t>
            </w:r>
          </w:p>
        </w:tc>
        <w:tc>
          <w:tcPr>
            <w:tcW w:w="4395" w:type="dxa"/>
          </w:tcPr>
          <w:p w14:paraId="3C93A04D" w14:textId="77777777" w:rsidR="006D503D" w:rsidRPr="00761653" w:rsidRDefault="006D503D" w:rsidP="006D503D">
            <w:pPr>
              <w:rPr>
                <w:szCs w:val="24"/>
              </w:rPr>
            </w:pPr>
            <w:r w:rsidRPr="00761653">
              <w:rPr>
                <w:szCs w:val="24"/>
              </w:rPr>
              <w:t>1-2 г каждые 4 часа, в/в</w:t>
            </w:r>
          </w:p>
        </w:tc>
      </w:tr>
      <w:tr w:rsidR="006D503D" w:rsidRPr="00A21CB6" w14:paraId="5105869B" w14:textId="77777777" w:rsidTr="00683A05">
        <w:tc>
          <w:tcPr>
            <w:tcW w:w="2376" w:type="dxa"/>
            <w:vMerge/>
          </w:tcPr>
          <w:p w14:paraId="7BFF740C" w14:textId="77777777" w:rsidR="006D503D" w:rsidRPr="00761653" w:rsidRDefault="006D503D" w:rsidP="006D503D">
            <w:pPr>
              <w:rPr>
                <w:szCs w:val="24"/>
              </w:rPr>
            </w:pPr>
          </w:p>
        </w:tc>
        <w:tc>
          <w:tcPr>
            <w:tcW w:w="2835" w:type="dxa"/>
          </w:tcPr>
          <w:p w14:paraId="1213DA16" w14:textId="77777777" w:rsidR="006D503D" w:rsidRPr="00761653" w:rsidRDefault="006D503D" w:rsidP="006D503D">
            <w:pPr>
              <w:rPr>
                <w:szCs w:val="24"/>
              </w:rPr>
            </w:pPr>
            <w:r w:rsidRPr="00761653">
              <w:rPr>
                <w:szCs w:val="24"/>
              </w:rPr>
              <w:t>Цефазолин</w:t>
            </w:r>
          </w:p>
        </w:tc>
        <w:tc>
          <w:tcPr>
            <w:tcW w:w="4395" w:type="dxa"/>
          </w:tcPr>
          <w:p w14:paraId="1EA23CDC" w14:textId="77777777" w:rsidR="006D503D" w:rsidRPr="00761653" w:rsidRDefault="006D503D" w:rsidP="006D503D">
            <w:pPr>
              <w:rPr>
                <w:szCs w:val="24"/>
              </w:rPr>
            </w:pPr>
            <w:r w:rsidRPr="00761653">
              <w:rPr>
                <w:szCs w:val="24"/>
              </w:rPr>
              <w:t>1-2 г каждые 8 часов (максимальная доза 12 г/сут), в/в</w:t>
            </w:r>
          </w:p>
        </w:tc>
      </w:tr>
      <w:tr w:rsidR="006D503D" w:rsidRPr="000D7B76" w14:paraId="6A1F9AE0" w14:textId="77777777" w:rsidTr="00683A05">
        <w:tc>
          <w:tcPr>
            <w:tcW w:w="2376" w:type="dxa"/>
            <w:vMerge/>
          </w:tcPr>
          <w:p w14:paraId="5C09DB79" w14:textId="77777777" w:rsidR="006D503D" w:rsidRPr="00761653" w:rsidRDefault="006D503D" w:rsidP="006D503D">
            <w:pPr>
              <w:rPr>
                <w:szCs w:val="24"/>
              </w:rPr>
            </w:pPr>
          </w:p>
        </w:tc>
        <w:tc>
          <w:tcPr>
            <w:tcW w:w="2835" w:type="dxa"/>
          </w:tcPr>
          <w:p w14:paraId="013591C5" w14:textId="77777777" w:rsidR="006D503D" w:rsidRPr="00761653" w:rsidRDefault="006D503D" w:rsidP="006D503D">
            <w:pPr>
              <w:rPr>
                <w:szCs w:val="24"/>
              </w:rPr>
            </w:pPr>
            <w:r w:rsidRPr="00761653">
              <w:rPr>
                <w:szCs w:val="24"/>
              </w:rPr>
              <w:t>Цефтаролин</w:t>
            </w:r>
          </w:p>
        </w:tc>
        <w:tc>
          <w:tcPr>
            <w:tcW w:w="4395" w:type="dxa"/>
          </w:tcPr>
          <w:p w14:paraId="7F25D9C0" w14:textId="77777777" w:rsidR="006D503D" w:rsidRPr="00761653" w:rsidRDefault="006D503D" w:rsidP="006D503D">
            <w:pPr>
              <w:rPr>
                <w:szCs w:val="24"/>
              </w:rPr>
            </w:pPr>
            <w:r w:rsidRPr="00761653">
              <w:rPr>
                <w:szCs w:val="24"/>
              </w:rPr>
              <w:t>600 мг каждые 12 часов, инфузия в течение 5-60 минут</w:t>
            </w:r>
          </w:p>
        </w:tc>
      </w:tr>
      <w:tr w:rsidR="006D503D" w:rsidRPr="000D7B76" w14:paraId="294163D6" w14:textId="77777777" w:rsidTr="00683A05">
        <w:tc>
          <w:tcPr>
            <w:tcW w:w="2376" w:type="dxa"/>
            <w:vMerge/>
          </w:tcPr>
          <w:p w14:paraId="59857FFB" w14:textId="77777777" w:rsidR="006D503D" w:rsidRPr="00761653" w:rsidRDefault="006D503D" w:rsidP="006D503D">
            <w:pPr>
              <w:rPr>
                <w:szCs w:val="24"/>
                <w:highlight w:val="yellow"/>
              </w:rPr>
            </w:pPr>
          </w:p>
        </w:tc>
        <w:tc>
          <w:tcPr>
            <w:tcW w:w="2835" w:type="dxa"/>
          </w:tcPr>
          <w:p w14:paraId="718B9CA4" w14:textId="77777777" w:rsidR="006D503D" w:rsidRPr="00761653" w:rsidRDefault="006D503D" w:rsidP="006D503D">
            <w:pPr>
              <w:rPr>
                <w:szCs w:val="24"/>
              </w:rPr>
            </w:pPr>
            <w:r w:rsidRPr="00761653">
              <w:rPr>
                <w:szCs w:val="24"/>
              </w:rPr>
              <w:t>Ванкомицин</w:t>
            </w:r>
          </w:p>
        </w:tc>
        <w:tc>
          <w:tcPr>
            <w:tcW w:w="4395" w:type="dxa"/>
          </w:tcPr>
          <w:p w14:paraId="14054554" w14:textId="77777777" w:rsidR="006D503D" w:rsidRPr="00761653" w:rsidRDefault="006D503D" w:rsidP="006D503D">
            <w:pPr>
              <w:rPr>
                <w:szCs w:val="24"/>
              </w:rPr>
            </w:pPr>
            <w:r w:rsidRPr="00761653">
              <w:rPr>
                <w:szCs w:val="24"/>
              </w:rPr>
              <w:t xml:space="preserve">Нагрузочная доза 25-30 мг/кг, затем 15-20 мг/кг каждые 8-12 часов (разовая доза не должна превышать 2 г), инфузия в течение 1,5-2 часов </w:t>
            </w:r>
          </w:p>
        </w:tc>
      </w:tr>
      <w:tr w:rsidR="006D503D" w:rsidRPr="000D7B76" w14:paraId="572F0F9B" w14:textId="77777777" w:rsidTr="00683A05">
        <w:tc>
          <w:tcPr>
            <w:tcW w:w="2376" w:type="dxa"/>
            <w:vMerge w:val="restart"/>
          </w:tcPr>
          <w:p w14:paraId="4C9FC4AF" w14:textId="77777777" w:rsidR="006D503D" w:rsidRPr="00761653" w:rsidRDefault="006D503D" w:rsidP="006D503D">
            <w:pPr>
              <w:rPr>
                <w:szCs w:val="24"/>
              </w:rPr>
            </w:pPr>
            <w:r w:rsidRPr="00761653">
              <w:rPr>
                <w:i/>
                <w:szCs w:val="24"/>
              </w:rPr>
              <w:t>S. aureus,</w:t>
            </w:r>
            <w:r w:rsidRPr="00761653">
              <w:rPr>
                <w:szCs w:val="24"/>
              </w:rPr>
              <w:t xml:space="preserve"> устойчивые к оксациллину</w:t>
            </w:r>
          </w:p>
        </w:tc>
        <w:tc>
          <w:tcPr>
            <w:tcW w:w="2835" w:type="dxa"/>
          </w:tcPr>
          <w:p w14:paraId="28495367" w14:textId="77777777" w:rsidR="006D503D" w:rsidRPr="00761653" w:rsidRDefault="006D503D" w:rsidP="006D503D">
            <w:pPr>
              <w:rPr>
                <w:szCs w:val="24"/>
              </w:rPr>
            </w:pPr>
            <w:r w:rsidRPr="00761653">
              <w:rPr>
                <w:szCs w:val="24"/>
              </w:rPr>
              <w:t>Ванкомицин</w:t>
            </w:r>
          </w:p>
        </w:tc>
        <w:tc>
          <w:tcPr>
            <w:tcW w:w="4395" w:type="dxa"/>
          </w:tcPr>
          <w:p w14:paraId="20116A7D" w14:textId="77777777" w:rsidR="006D503D" w:rsidRPr="00761653" w:rsidRDefault="006D503D" w:rsidP="006D503D">
            <w:pPr>
              <w:rPr>
                <w:szCs w:val="24"/>
              </w:rPr>
            </w:pPr>
            <w:r w:rsidRPr="00761653">
              <w:rPr>
                <w:szCs w:val="24"/>
              </w:rPr>
              <w:t xml:space="preserve">Нагрузочная доза 25-30 мг/кг, затем 15-20 мг/кг каждые 8-12 часов (разовая доза не должна превышать 2 г), инфузия в течение 1,5-2 часов (не рекомендован к назначению при инфекциях, вызванных </w:t>
            </w:r>
            <w:r w:rsidRPr="00761653">
              <w:rPr>
                <w:i/>
                <w:szCs w:val="24"/>
              </w:rPr>
              <w:t>S. aureus</w:t>
            </w:r>
            <w:r w:rsidRPr="00761653">
              <w:rPr>
                <w:szCs w:val="24"/>
              </w:rPr>
              <w:t xml:space="preserve"> с МПК ванкомицина &gt; 1 мкг/мл ввиду низкой клинической эффективности)</w:t>
            </w:r>
          </w:p>
        </w:tc>
      </w:tr>
      <w:tr w:rsidR="006D503D" w:rsidRPr="00A21CB6" w14:paraId="240B3A50" w14:textId="77777777" w:rsidTr="00683A05">
        <w:tc>
          <w:tcPr>
            <w:tcW w:w="2376" w:type="dxa"/>
            <w:vMerge/>
          </w:tcPr>
          <w:p w14:paraId="4376911D" w14:textId="77777777" w:rsidR="006D503D" w:rsidRPr="00761653" w:rsidRDefault="006D503D" w:rsidP="006D503D">
            <w:pPr>
              <w:rPr>
                <w:szCs w:val="24"/>
              </w:rPr>
            </w:pPr>
          </w:p>
        </w:tc>
        <w:tc>
          <w:tcPr>
            <w:tcW w:w="2835" w:type="dxa"/>
          </w:tcPr>
          <w:p w14:paraId="36A9DD47" w14:textId="77777777" w:rsidR="006D503D" w:rsidRPr="00761653" w:rsidRDefault="006D503D" w:rsidP="006D503D">
            <w:pPr>
              <w:rPr>
                <w:szCs w:val="24"/>
              </w:rPr>
            </w:pPr>
            <w:r w:rsidRPr="00761653">
              <w:rPr>
                <w:szCs w:val="24"/>
              </w:rPr>
              <w:t>Линезолид</w:t>
            </w:r>
          </w:p>
        </w:tc>
        <w:tc>
          <w:tcPr>
            <w:tcW w:w="4395" w:type="dxa"/>
          </w:tcPr>
          <w:p w14:paraId="2D9ABB2B" w14:textId="77777777" w:rsidR="006D503D" w:rsidRPr="00761653" w:rsidRDefault="006D503D" w:rsidP="006D503D">
            <w:pPr>
              <w:rPr>
                <w:szCs w:val="24"/>
              </w:rPr>
            </w:pPr>
            <w:r w:rsidRPr="00761653">
              <w:rPr>
                <w:szCs w:val="24"/>
              </w:rPr>
              <w:t>600 мг каждые 12 часов, в/в или внутрь</w:t>
            </w:r>
          </w:p>
        </w:tc>
      </w:tr>
      <w:tr w:rsidR="006D503D" w:rsidRPr="00A21CB6" w14:paraId="1E82D44C" w14:textId="77777777" w:rsidTr="00683A05">
        <w:tc>
          <w:tcPr>
            <w:tcW w:w="2376" w:type="dxa"/>
            <w:vMerge/>
          </w:tcPr>
          <w:p w14:paraId="5DC8D2CC" w14:textId="77777777" w:rsidR="006D503D" w:rsidRPr="00761653" w:rsidRDefault="006D503D" w:rsidP="006D503D">
            <w:pPr>
              <w:rPr>
                <w:szCs w:val="24"/>
              </w:rPr>
            </w:pPr>
          </w:p>
        </w:tc>
        <w:tc>
          <w:tcPr>
            <w:tcW w:w="2835" w:type="dxa"/>
          </w:tcPr>
          <w:p w14:paraId="7C4BBDBD" w14:textId="77777777" w:rsidR="006D503D" w:rsidRPr="00761653" w:rsidRDefault="006D503D" w:rsidP="006D503D">
            <w:pPr>
              <w:rPr>
                <w:szCs w:val="24"/>
              </w:rPr>
            </w:pPr>
            <w:r w:rsidRPr="00761653">
              <w:rPr>
                <w:szCs w:val="24"/>
              </w:rPr>
              <w:t>Тедизолид</w:t>
            </w:r>
          </w:p>
        </w:tc>
        <w:tc>
          <w:tcPr>
            <w:tcW w:w="4395" w:type="dxa"/>
          </w:tcPr>
          <w:p w14:paraId="00BAEF81" w14:textId="77777777" w:rsidR="006D503D" w:rsidRPr="00761653" w:rsidRDefault="006D503D" w:rsidP="006D503D">
            <w:pPr>
              <w:rPr>
                <w:szCs w:val="24"/>
              </w:rPr>
            </w:pPr>
            <w:r w:rsidRPr="00761653">
              <w:rPr>
                <w:szCs w:val="24"/>
              </w:rPr>
              <w:t>200 мг каждые 24 часа, внутрь или в/в инфузия в течение 1 часа (не применяют для лечения инфекций кровотока и пневмонии)</w:t>
            </w:r>
          </w:p>
        </w:tc>
      </w:tr>
      <w:tr w:rsidR="006D503D" w:rsidRPr="000D7B76" w14:paraId="1DF2CB4C" w14:textId="77777777" w:rsidTr="00683A05">
        <w:tc>
          <w:tcPr>
            <w:tcW w:w="2376" w:type="dxa"/>
            <w:vMerge/>
          </w:tcPr>
          <w:p w14:paraId="1C173670" w14:textId="77777777" w:rsidR="006D503D" w:rsidRPr="00761653" w:rsidRDefault="006D503D" w:rsidP="006D503D">
            <w:pPr>
              <w:rPr>
                <w:szCs w:val="24"/>
              </w:rPr>
            </w:pPr>
          </w:p>
        </w:tc>
        <w:tc>
          <w:tcPr>
            <w:tcW w:w="2835" w:type="dxa"/>
          </w:tcPr>
          <w:p w14:paraId="419028F6" w14:textId="77777777" w:rsidR="006D503D" w:rsidRPr="00761653" w:rsidRDefault="006D503D" w:rsidP="006D503D">
            <w:pPr>
              <w:rPr>
                <w:szCs w:val="24"/>
              </w:rPr>
            </w:pPr>
            <w:r w:rsidRPr="00761653">
              <w:rPr>
                <w:szCs w:val="24"/>
              </w:rPr>
              <w:t>Даптомицин</w:t>
            </w:r>
          </w:p>
        </w:tc>
        <w:tc>
          <w:tcPr>
            <w:tcW w:w="4395" w:type="dxa"/>
          </w:tcPr>
          <w:p w14:paraId="52804563" w14:textId="77777777" w:rsidR="006D503D" w:rsidRPr="00761653" w:rsidRDefault="006D503D" w:rsidP="006D503D">
            <w:pPr>
              <w:rPr>
                <w:szCs w:val="24"/>
              </w:rPr>
            </w:pPr>
            <w:r w:rsidRPr="00761653">
              <w:rPr>
                <w:szCs w:val="24"/>
              </w:rPr>
              <w:t xml:space="preserve">10-12 мг/кг каждые 24 часа, инфузия в течение 30 минут (препарат не </w:t>
            </w:r>
            <w:r w:rsidRPr="00761653">
              <w:rPr>
                <w:szCs w:val="24"/>
              </w:rPr>
              <w:lastRenderedPageBreak/>
              <w:t>применяют для лечения пневмонии)</w:t>
            </w:r>
          </w:p>
        </w:tc>
      </w:tr>
      <w:tr w:rsidR="006D503D" w:rsidRPr="000D7B76" w14:paraId="2FCC608A" w14:textId="77777777" w:rsidTr="00683A05">
        <w:tc>
          <w:tcPr>
            <w:tcW w:w="2376" w:type="dxa"/>
            <w:vMerge/>
          </w:tcPr>
          <w:p w14:paraId="066DDE68" w14:textId="77777777" w:rsidR="006D503D" w:rsidRPr="00761653" w:rsidRDefault="006D503D" w:rsidP="006D503D">
            <w:pPr>
              <w:rPr>
                <w:szCs w:val="24"/>
              </w:rPr>
            </w:pPr>
          </w:p>
        </w:tc>
        <w:tc>
          <w:tcPr>
            <w:tcW w:w="2835" w:type="dxa"/>
          </w:tcPr>
          <w:p w14:paraId="3FF9ED4F" w14:textId="77777777" w:rsidR="006D503D" w:rsidRPr="00761653" w:rsidRDefault="006D503D" w:rsidP="006D503D">
            <w:pPr>
              <w:rPr>
                <w:szCs w:val="24"/>
              </w:rPr>
            </w:pPr>
            <w:r w:rsidRPr="00761653">
              <w:rPr>
                <w:szCs w:val="24"/>
              </w:rPr>
              <w:t>Телаванцин</w:t>
            </w:r>
          </w:p>
        </w:tc>
        <w:tc>
          <w:tcPr>
            <w:tcW w:w="4395" w:type="dxa"/>
          </w:tcPr>
          <w:p w14:paraId="7211CC02" w14:textId="77777777" w:rsidR="006D503D" w:rsidRPr="00761653" w:rsidRDefault="006D503D" w:rsidP="006D503D">
            <w:pPr>
              <w:rPr>
                <w:szCs w:val="24"/>
              </w:rPr>
            </w:pPr>
            <w:r w:rsidRPr="00761653">
              <w:rPr>
                <w:szCs w:val="24"/>
              </w:rPr>
              <w:t>10 мг/кг каждые 24 часа, инфузия в течение 1 часа</w:t>
            </w:r>
          </w:p>
        </w:tc>
      </w:tr>
      <w:tr w:rsidR="006D503D" w:rsidRPr="000D7B76" w14:paraId="661BD1F3" w14:textId="77777777" w:rsidTr="00683A05">
        <w:tc>
          <w:tcPr>
            <w:tcW w:w="2376" w:type="dxa"/>
            <w:vMerge/>
          </w:tcPr>
          <w:p w14:paraId="4EA052B1" w14:textId="77777777" w:rsidR="006D503D" w:rsidRPr="00761653" w:rsidRDefault="006D503D" w:rsidP="006D503D">
            <w:pPr>
              <w:rPr>
                <w:szCs w:val="24"/>
              </w:rPr>
            </w:pPr>
          </w:p>
        </w:tc>
        <w:tc>
          <w:tcPr>
            <w:tcW w:w="2835" w:type="dxa"/>
          </w:tcPr>
          <w:p w14:paraId="779131DB" w14:textId="77777777" w:rsidR="006D503D" w:rsidRPr="00761653" w:rsidRDefault="006D503D" w:rsidP="006D503D">
            <w:pPr>
              <w:rPr>
                <w:szCs w:val="24"/>
              </w:rPr>
            </w:pPr>
            <w:r w:rsidRPr="00761653">
              <w:rPr>
                <w:szCs w:val="24"/>
              </w:rPr>
              <w:t>Далбаванцин</w:t>
            </w:r>
          </w:p>
        </w:tc>
        <w:tc>
          <w:tcPr>
            <w:tcW w:w="4395" w:type="dxa"/>
          </w:tcPr>
          <w:p w14:paraId="18328B6F" w14:textId="77777777" w:rsidR="006D503D" w:rsidRPr="00761653" w:rsidRDefault="006D503D" w:rsidP="006D503D">
            <w:pPr>
              <w:rPr>
                <w:szCs w:val="24"/>
              </w:rPr>
            </w:pPr>
            <w:r w:rsidRPr="00761653">
              <w:rPr>
                <w:szCs w:val="24"/>
              </w:rPr>
              <w:t>1000 мг, инфузия в течение 30 мин, затем через неделю 500мг , инфузия в течение 30 мин</w:t>
            </w:r>
          </w:p>
        </w:tc>
      </w:tr>
      <w:tr w:rsidR="006D503D" w:rsidRPr="00A21CB6" w14:paraId="6BEB8D09" w14:textId="77777777" w:rsidTr="00683A05">
        <w:tc>
          <w:tcPr>
            <w:tcW w:w="2376" w:type="dxa"/>
            <w:vMerge/>
          </w:tcPr>
          <w:p w14:paraId="5452530F" w14:textId="77777777" w:rsidR="006D503D" w:rsidRPr="00761653" w:rsidRDefault="006D503D" w:rsidP="006D503D">
            <w:pPr>
              <w:rPr>
                <w:szCs w:val="24"/>
              </w:rPr>
            </w:pPr>
          </w:p>
        </w:tc>
        <w:tc>
          <w:tcPr>
            <w:tcW w:w="2835" w:type="dxa"/>
          </w:tcPr>
          <w:p w14:paraId="754942FC" w14:textId="77777777" w:rsidR="006D503D" w:rsidRPr="00761653" w:rsidRDefault="006D503D" w:rsidP="006D503D">
            <w:pPr>
              <w:rPr>
                <w:szCs w:val="24"/>
              </w:rPr>
            </w:pPr>
            <w:r w:rsidRPr="00761653">
              <w:rPr>
                <w:szCs w:val="24"/>
              </w:rPr>
              <w:t>Тигециклин</w:t>
            </w:r>
          </w:p>
        </w:tc>
        <w:tc>
          <w:tcPr>
            <w:tcW w:w="4395" w:type="dxa"/>
          </w:tcPr>
          <w:p w14:paraId="169BA3E7" w14:textId="77777777" w:rsidR="006D503D" w:rsidRPr="00761653" w:rsidRDefault="006D503D" w:rsidP="006D503D">
            <w:pPr>
              <w:rPr>
                <w:szCs w:val="24"/>
              </w:rPr>
            </w:pPr>
            <w:r w:rsidRPr="00761653">
              <w:rPr>
                <w:szCs w:val="24"/>
              </w:rPr>
              <w:t>Нагрузочная доза 100 мг, затем по 50 мг каждые 12 часов (не показан для лечения инфекций кровотока), в/в (применяют при интрабдоминальной инфекции, при инфекции кожи и мягких тканей)</w:t>
            </w:r>
          </w:p>
        </w:tc>
      </w:tr>
      <w:tr w:rsidR="006D503D" w:rsidRPr="000D7B76" w14:paraId="51937508" w14:textId="77777777" w:rsidTr="00683A05">
        <w:tc>
          <w:tcPr>
            <w:tcW w:w="2376" w:type="dxa"/>
            <w:vMerge/>
          </w:tcPr>
          <w:p w14:paraId="468E9458" w14:textId="77777777" w:rsidR="006D503D" w:rsidRPr="00761653" w:rsidRDefault="006D503D" w:rsidP="006D503D">
            <w:pPr>
              <w:rPr>
                <w:szCs w:val="24"/>
              </w:rPr>
            </w:pPr>
          </w:p>
        </w:tc>
        <w:tc>
          <w:tcPr>
            <w:tcW w:w="2835" w:type="dxa"/>
          </w:tcPr>
          <w:p w14:paraId="66DDDA65" w14:textId="77777777" w:rsidR="006D503D" w:rsidRPr="00761653" w:rsidRDefault="006D503D" w:rsidP="006D503D">
            <w:pPr>
              <w:rPr>
                <w:szCs w:val="24"/>
              </w:rPr>
            </w:pPr>
            <w:r w:rsidRPr="00761653">
              <w:rPr>
                <w:szCs w:val="24"/>
              </w:rPr>
              <w:t>Цефтаролин</w:t>
            </w:r>
          </w:p>
        </w:tc>
        <w:tc>
          <w:tcPr>
            <w:tcW w:w="4395" w:type="dxa"/>
          </w:tcPr>
          <w:p w14:paraId="68103A24" w14:textId="77777777" w:rsidR="006D503D" w:rsidRPr="00761653" w:rsidRDefault="006D503D" w:rsidP="006D503D">
            <w:pPr>
              <w:rPr>
                <w:szCs w:val="24"/>
              </w:rPr>
            </w:pPr>
            <w:r w:rsidRPr="00761653">
              <w:rPr>
                <w:szCs w:val="24"/>
              </w:rPr>
              <w:t>600 мг каждые 12 часов, инфузия в течение 5-60 минут</w:t>
            </w:r>
          </w:p>
        </w:tc>
      </w:tr>
      <w:tr w:rsidR="006D503D" w:rsidRPr="000D7B76" w14:paraId="14DD6B6A" w14:textId="77777777" w:rsidTr="00683A05">
        <w:tc>
          <w:tcPr>
            <w:tcW w:w="2376" w:type="dxa"/>
          </w:tcPr>
          <w:p w14:paraId="20FD9AB6" w14:textId="77777777" w:rsidR="006D503D" w:rsidRPr="00761653" w:rsidRDefault="006D503D" w:rsidP="006D503D">
            <w:pPr>
              <w:rPr>
                <w:szCs w:val="24"/>
              </w:rPr>
            </w:pPr>
            <w:r w:rsidRPr="00761653">
              <w:rPr>
                <w:i/>
                <w:szCs w:val="24"/>
              </w:rPr>
              <w:t xml:space="preserve">E. faecium, </w:t>
            </w:r>
            <w:r w:rsidRPr="00761653">
              <w:rPr>
                <w:szCs w:val="24"/>
              </w:rPr>
              <w:t>чувствительные к ванкомицину</w:t>
            </w:r>
          </w:p>
        </w:tc>
        <w:tc>
          <w:tcPr>
            <w:tcW w:w="2835" w:type="dxa"/>
          </w:tcPr>
          <w:p w14:paraId="3C24F3B0" w14:textId="77777777" w:rsidR="006D503D" w:rsidRPr="00761653" w:rsidRDefault="006D503D" w:rsidP="006D503D">
            <w:pPr>
              <w:rPr>
                <w:szCs w:val="24"/>
              </w:rPr>
            </w:pPr>
            <w:r w:rsidRPr="00761653">
              <w:rPr>
                <w:szCs w:val="24"/>
              </w:rPr>
              <w:t>Ванкомицин</w:t>
            </w:r>
          </w:p>
        </w:tc>
        <w:tc>
          <w:tcPr>
            <w:tcW w:w="4395" w:type="dxa"/>
          </w:tcPr>
          <w:p w14:paraId="70A569EC" w14:textId="77777777" w:rsidR="006D503D" w:rsidRPr="00761653" w:rsidRDefault="006D503D" w:rsidP="006D503D">
            <w:pPr>
              <w:rPr>
                <w:szCs w:val="24"/>
              </w:rPr>
            </w:pPr>
            <w:r w:rsidRPr="00761653">
              <w:rPr>
                <w:szCs w:val="24"/>
              </w:rPr>
              <w:t>Нагрузочная доза 25-30 мг/кг, затем 15-20 мг/кг каждые 8-12 часов, (разовая доза не должна превышать 2 г), инфузия в течение 1,5-2 часов</w:t>
            </w:r>
          </w:p>
        </w:tc>
      </w:tr>
      <w:tr w:rsidR="006D503D" w:rsidRPr="000D7B76" w14:paraId="00DEEAFA" w14:textId="77777777" w:rsidTr="00683A05">
        <w:tc>
          <w:tcPr>
            <w:tcW w:w="2376" w:type="dxa"/>
            <w:vMerge w:val="restart"/>
          </w:tcPr>
          <w:p w14:paraId="0D6E6B8C" w14:textId="77777777" w:rsidR="006D503D" w:rsidRPr="00761653" w:rsidRDefault="006D503D" w:rsidP="006D503D">
            <w:pPr>
              <w:rPr>
                <w:szCs w:val="24"/>
              </w:rPr>
            </w:pPr>
            <w:r w:rsidRPr="00761653">
              <w:rPr>
                <w:i/>
                <w:szCs w:val="24"/>
              </w:rPr>
              <w:t>E.faecium,</w:t>
            </w:r>
            <w:r w:rsidRPr="00761653">
              <w:rPr>
                <w:szCs w:val="24"/>
              </w:rPr>
              <w:t xml:space="preserve"> устойчивые к ванкомицину</w:t>
            </w:r>
          </w:p>
        </w:tc>
        <w:tc>
          <w:tcPr>
            <w:tcW w:w="2835" w:type="dxa"/>
          </w:tcPr>
          <w:p w14:paraId="60208983" w14:textId="77777777" w:rsidR="006D503D" w:rsidRPr="00761653" w:rsidRDefault="006D503D" w:rsidP="006D503D">
            <w:pPr>
              <w:rPr>
                <w:szCs w:val="24"/>
              </w:rPr>
            </w:pPr>
            <w:r w:rsidRPr="00761653">
              <w:rPr>
                <w:szCs w:val="24"/>
              </w:rPr>
              <w:t>Даптомицин</w:t>
            </w:r>
          </w:p>
        </w:tc>
        <w:tc>
          <w:tcPr>
            <w:tcW w:w="4395" w:type="dxa"/>
          </w:tcPr>
          <w:p w14:paraId="5B485482" w14:textId="77777777" w:rsidR="006D503D" w:rsidRPr="00761653" w:rsidRDefault="006D503D" w:rsidP="006D503D">
            <w:pPr>
              <w:rPr>
                <w:szCs w:val="24"/>
              </w:rPr>
            </w:pPr>
            <w:r w:rsidRPr="00761653">
              <w:rPr>
                <w:szCs w:val="24"/>
              </w:rPr>
              <w:t>10-12 мг/кг каждые 24 часа, инфузия в течение 30 мин</w:t>
            </w:r>
          </w:p>
        </w:tc>
      </w:tr>
      <w:tr w:rsidR="006D503D" w:rsidRPr="00A21CB6" w14:paraId="741B92F2" w14:textId="77777777" w:rsidTr="00683A05">
        <w:tc>
          <w:tcPr>
            <w:tcW w:w="2376" w:type="dxa"/>
            <w:vMerge/>
          </w:tcPr>
          <w:p w14:paraId="02E933F1" w14:textId="77777777" w:rsidR="006D503D" w:rsidRPr="00761653" w:rsidRDefault="006D503D" w:rsidP="006D503D">
            <w:pPr>
              <w:rPr>
                <w:szCs w:val="24"/>
              </w:rPr>
            </w:pPr>
          </w:p>
        </w:tc>
        <w:tc>
          <w:tcPr>
            <w:tcW w:w="2835" w:type="dxa"/>
          </w:tcPr>
          <w:p w14:paraId="477A6417" w14:textId="77777777" w:rsidR="006D503D" w:rsidRPr="00761653" w:rsidRDefault="006D503D" w:rsidP="006D503D">
            <w:pPr>
              <w:rPr>
                <w:szCs w:val="24"/>
              </w:rPr>
            </w:pPr>
            <w:r w:rsidRPr="00761653">
              <w:rPr>
                <w:szCs w:val="24"/>
              </w:rPr>
              <w:t>Линезолид</w:t>
            </w:r>
          </w:p>
        </w:tc>
        <w:tc>
          <w:tcPr>
            <w:tcW w:w="4395" w:type="dxa"/>
          </w:tcPr>
          <w:p w14:paraId="3D5EACE5" w14:textId="77777777" w:rsidR="006D503D" w:rsidRPr="00761653" w:rsidRDefault="006D503D" w:rsidP="006D503D">
            <w:pPr>
              <w:rPr>
                <w:szCs w:val="24"/>
              </w:rPr>
            </w:pPr>
            <w:r w:rsidRPr="00761653">
              <w:rPr>
                <w:szCs w:val="24"/>
              </w:rPr>
              <w:t>600 мг каждые 12 часов, в/в или внутрь (следует применять при инфекциях, вызванных штаммами с МПК даптомицина &gt; 4 мкг/мл)</w:t>
            </w:r>
          </w:p>
        </w:tc>
      </w:tr>
      <w:tr w:rsidR="006D503D" w:rsidRPr="00A21CB6" w14:paraId="3FBA6D57" w14:textId="77777777" w:rsidTr="00683A05">
        <w:tc>
          <w:tcPr>
            <w:tcW w:w="2376" w:type="dxa"/>
            <w:vMerge/>
          </w:tcPr>
          <w:p w14:paraId="60E1523C" w14:textId="77777777" w:rsidR="006D503D" w:rsidRPr="00761653" w:rsidRDefault="006D503D" w:rsidP="006D503D">
            <w:pPr>
              <w:rPr>
                <w:szCs w:val="24"/>
              </w:rPr>
            </w:pPr>
          </w:p>
        </w:tc>
        <w:tc>
          <w:tcPr>
            <w:tcW w:w="2835" w:type="dxa"/>
          </w:tcPr>
          <w:p w14:paraId="3F1CBF75" w14:textId="77777777" w:rsidR="006D503D" w:rsidRPr="00761653" w:rsidRDefault="006D503D" w:rsidP="006D503D">
            <w:pPr>
              <w:rPr>
                <w:szCs w:val="24"/>
              </w:rPr>
            </w:pPr>
            <w:r w:rsidRPr="00761653">
              <w:rPr>
                <w:szCs w:val="24"/>
              </w:rPr>
              <w:t>Тедизолид</w:t>
            </w:r>
          </w:p>
        </w:tc>
        <w:tc>
          <w:tcPr>
            <w:tcW w:w="4395" w:type="dxa"/>
          </w:tcPr>
          <w:p w14:paraId="4CE9C86A" w14:textId="77777777" w:rsidR="006D503D" w:rsidRPr="00761653" w:rsidRDefault="006D503D" w:rsidP="006D503D">
            <w:pPr>
              <w:rPr>
                <w:szCs w:val="24"/>
              </w:rPr>
            </w:pPr>
            <w:r w:rsidRPr="00761653">
              <w:rPr>
                <w:szCs w:val="24"/>
              </w:rPr>
              <w:t>200 мг каждые 24 часа, внутрь или в/в инфузия в течение 1 часа (не применяют в лечении инфекций кровотока и пневмонии)</w:t>
            </w:r>
          </w:p>
        </w:tc>
      </w:tr>
      <w:tr w:rsidR="006D503D" w:rsidRPr="000D7B76" w14:paraId="50E7DE82" w14:textId="77777777" w:rsidTr="00683A05">
        <w:tc>
          <w:tcPr>
            <w:tcW w:w="2376" w:type="dxa"/>
            <w:vMerge/>
          </w:tcPr>
          <w:p w14:paraId="6E016C7B" w14:textId="77777777" w:rsidR="006D503D" w:rsidRPr="00761653" w:rsidRDefault="006D503D" w:rsidP="006D503D">
            <w:pPr>
              <w:rPr>
                <w:szCs w:val="24"/>
              </w:rPr>
            </w:pPr>
          </w:p>
        </w:tc>
        <w:tc>
          <w:tcPr>
            <w:tcW w:w="2835" w:type="dxa"/>
          </w:tcPr>
          <w:p w14:paraId="47ABAEA2" w14:textId="77777777" w:rsidR="006D503D" w:rsidRPr="00761653" w:rsidRDefault="006D503D" w:rsidP="006D503D">
            <w:pPr>
              <w:rPr>
                <w:szCs w:val="24"/>
              </w:rPr>
            </w:pPr>
            <w:r w:rsidRPr="00761653">
              <w:rPr>
                <w:szCs w:val="24"/>
              </w:rPr>
              <w:t>Тигециклин</w:t>
            </w:r>
          </w:p>
        </w:tc>
        <w:tc>
          <w:tcPr>
            <w:tcW w:w="4395" w:type="dxa"/>
          </w:tcPr>
          <w:p w14:paraId="205751BF" w14:textId="77777777" w:rsidR="006D503D" w:rsidRPr="00761653" w:rsidRDefault="006D503D" w:rsidP="006D503D">
            <w:pPr>
              <w:rPr>
                <w:szCs w:val="24"/>
              </w:rPr>
            </w:pPr>
            <w:r w:rsidRPr="00761653">
              <w:rPr>
                <w:szCs w:val="24"/>
              </w:rPr>
              <w:t>Нагрузочная доза 100 мг, затем по 50 мг каждые 12 часов (не показан для лечения инфекций кровотока, инфекций мочевыводящих путей)</w:t>
            </w:r>
          </w:p>
        </w:tc>
      </w:tr>
    </w:tbl>
    <w:p w14:paraId="6A4FFE0F" w14:textId="77777777" w:rsidR="006D503D" w:rsidRDefault="006D503D" w:rsidP="006D503D">
      <w:pPr>
        <w:widowControl w:val="0"/>
        <w:autoSpaceDE w:val="0"/>
        <w:autoSpaceDN w:val="0"/>
        <w:adjustRightInd w:val="0"/>
        <w:ind w:right="49"/>
        <w:contextualSpacing/>
        <w:rPr>
          <w:b/>
          <w:bCs/>
          <w:iCs/>
        </w:rPr>
      </w:pPr>
    </w:p>
    <w:p w14:paraId="19D287AD" w14:textId="77777777" w:rsidR="006D503D" w:rsidRPr="00761653" w:rsidRDefault="006D503D" w:rsidP="006D503D">
      <w:pPr>
        <w:widowControl w:val="0"/>
        <w:autoSpaceDE w:val="0"/>
        <w:autoSpaceDN w:val="0"/>
        <w:adjustRightInd w:val="0"/>
        <w:ind w:right="49"/>
        <w:contextualSpacing/>
        <w:rPr>
          <w:bCs/>
          <w:iCs/>
        </w:rPr>
      </w:pPr>
      <w:r w:rsidRPr="00761653">
        <w:rPr>
          <w:b/>
          <w:bCs/>
          <w:iCs/>
        </w:rPr>
        <w:t>Отдельные инфекции, требующие особого лечения, у иммунокомпрометированных больных</w:t>
      </w:r>
      <w:r w:rsidRPr="00761653">
        <w:rPr>
          <w:bCs/>
          <w:iCs/>
        </w:rPr>
        <w:t xml:space="preserve">. </w:t>
      </w:r>
    </w:p>
    <w:p w14:paraId="3CABC5D9" w14:textId="77777777" w:rsidR="006D503D" w:rsidRPr="00761653" w:rsidRDefault="006D503D" w:rsidP="006D503D">
      <w:pPr>
        <w:widowControl w:val="0"/>
        <w:autoSpaceDE w:val="0"/>
        <w:autoSpaceDN w:val="0"/>
        <w:adjustRightInd w:val="0"/>
        <w:ind w:right="49" w:firstLine="709"/>
        <w:contextualSpacing/>
        <w:rPr>
          <w:b/>
          <w:bCs/>
          <w:i/>
          <w:iCs/>
        </w:rPr>
      </w:pPr>
      <w:r w:rsidRPr="00761653">
        <w:rPr>
          <w:b/>
          <w:bCs/>
          <w:i/>
          <w:iCs/>
          <w:u w:val="single"/>
        </w:rPr>
        <w:t xml:space="preserve">Listeria monocytogenes </w:t>
      </w:r>
    </w:p>
    <w:p w14:paraId="24D1F30B" w14:textId="77777777" w:rsidR="006D503D" w:rsidRPr="00761653" w:rsidRDefault="006D503D" w:rsidP="006D503D">
      <w:pPr>
        <w:widowControl w:val="0"/>
        <w:autoSpaceDE w:val="0"/>
        <w:autoSpaceDN w:val="0"/>
        <w:adjustRightInd w:val="0"/>
        <w:ind w:right="49" w:firstLine="709"/>
        <w:contextualSpacing/>
      </w:pPr>
      <w:r w:rsidRPr="00D27DBA">
        <w:rPr>
          <w:bCs/>
          <w:i/>
          <w:iCs/>
        </w:rPr>
        <w:t>Listeria monocytogenes (</w:t>
      </w:r>
      <w:r w:rsidRPr="00D27DBA">
        <w:rPr>
          <w:i/>
        </w:rPr>
        <w:t xml:space="preserve">L. monocytogenes) </w:t>
      </w:r>
      <w:r>
        <w:rPr>
          <w:bCs/>
          <w:iCs/>
        </w:rPr>
        <w:t>в</w:t>
      </w:r>
      <w:r w:rsidRPr="00761653">
        <w:rPr>
          <w:iCs/>
        </w:rPr>
        <w:t xml:space="preserve">ызывают </w:t>
      </w:r>
      <w:r w:rsidRPr="00761653">
        <w:t xml:space="preserve">инфекции кровотока и менингоэнцефалит. Инфекция возникает преимущественно у больных с нарушениями Т-клеточного звена иммунитета [8]. Характерным является стремительное развитие инфекции – в течение 2-3 часов изменяется клиническая картина: возникает нарушение сознания вплоть до комы, определяются ригидность затылочных мышц и положительный симптом Кернига. Препарат выбора для лечения </w:t>
      </w:r>
      <w:r w:rsidRPr="00761653">
        <w:rPr>
          <w:bCs/>
        </w:rPr>
        <w:t xml:space="preserve">инфекции, вызванной </w:t>
      </w:r>
      <w:r w:rsidRPr="00761653">
        <w:rPr>
          <w:bCs/>
          <w:i/>
          <w:iCs/>
        </w:rPr>
        <w:t>L. monocytogenes</w:t>
      </w:r>
      <w:r w:rsidRPr="00761653">
        <w:rPr>
          <w:b/>
          <w:bCs/>
        </w:rPr>
        <w:t xml:space="preserve">, </w:t>
      </w:r>
      <w:r w:rsidRPr="00761653">
        <w:t xml:space="preserve">ампициллин по 2 г внутривенно 6 раз в сутки, при менингоэнцефалите – в сочетание с гентамицином 5мг/кг/сутки, внутривенно. </w:t>
      </w:r>
      <w:r w:rsidRPr="00761653">
        <w:rPr>
          <w:bCs/>
        </w:rPr>
        <w:t xml:space="preserve">Больным с нейтропенией и инфекцией ЦНС дополнительно назначают меропенем по 2 г х 3 раза. Меропенем отменяют при восстановлении гранулоцитов и продолжают лечение сочетанием ампициллина с гентамицином. </w:t>
      </w:r>
      <w:r w:rsidRPr="00761653">
        <w:rPr>
          <w:iCs/>
        </w:rPr>
        <w:t xml:space="preserve">Альтернативный препарат - </w:t>
      </w:r>
      <w:r w:rsidRPr="00761653">
        <w:t>триметоприм/сульфаметоксазол (расчет дозы по триметоприму 15 мг/кг в сутки, дозу разделяют на 3 приема). Такая доза используется у больных с вовлечением и без вовлечения ЦНС в инфекционный процесс.</w:t>
      </w:r>
      <w:r w:rsidRPr="00761653">
        <w:rPr>
          <w:bCs/>
        </w:rPr>
        <w:t xml:space="preserve"> Длительность лечения инфекции без вовлечения ЦНС составляет 14 дней, менингита - </w:t>
      </w:r>
      <w:r w:rsidRPr="00761653">
        <w:t>21 день, энцефалита или абсцессов в головном мозге - от 6 недель и более, эндокардита - 4-6 недель.</w:t>
      </w:r>
      <w:r w:rsidRPr="00761653">
        <w:rPr>
          <w:bCs/>
        </w:rPr>
        <w:t xml:space="preserve"> </w:t>
      </w:r>
      <w:r w:rsidRPr="00761653">
        <w:t>При инфекции ЦНС отмену антибиотиков выполняют только при полной регрессии изменений в головном мозге.</w:t>
      </w:r>
    </w:p>
    <w:p w14:paraId="2565C557" w14:textId="77777777" w:rsidR="006D503D" w:rsidRPr="00334A8A" w:rsidRDefault="006D503D" w:rsidP="006D503D">
      <w:pPr>
        <w:widowControl w:val="0"/>
        <w:autoSpaceDE w:val="0"/>
        <w:autoSpaceDN w:val="0"/>
        <w:adjustRightInd w:val="0"/>
        <w:ind w:right="49" w:firstLine="709"/>
        <w:contextualSpacing/>
        <w:rPr>
          <w:b/>
          <w:i/>
          <w:u w:val="single"/>
        </w:rPr>
      </w:pPr>
      <w:r w:rsidRPr="00D27DBA">
        <w:rPr>
          <w:b/>
          <w:i/>
          <w:u w:val="single"/>
        </w:rPr>
        <w:t>Legionella</w:t>
      </w:r>
      <w:r w:rsidRPr="000D7B76">
        <w:rPr>
          <w:b/>
          <w:i/>
          <w:u w:val="single"/>
        </w:rPr>
        <w:t xml:space="preserve"> </w:t>
      </w:r>
      <w:r w:rsidRPr="00D27DBA">
        <w:rPr>
          <w:b/>
          <w:i/>
          <w:u w:val="single"/>
        </w:rPr>
        <w:t>pneumophila</w:t>
      </w:r>
      <w:r w:rsidRPr="000D7B76">
        <w:rPr>
          <w:b/>
          <w:i/>
          <w:u w:val="single"/>
        </w:rPr>
        <w:t xml:space="preserve"> </w:t>
      </w:r>
    </w:p>
    <w:p w14:paraId="4C505400" w14:textId="77777777" w:rsidR="006D503D" w:rsidRPr="00761653" w:rsidRDefault="006D503D" w:rsidP="006D503D">
      <w:pPr>
        <w:ind w:firstLine="708"/>
      </w:pPr>
      <w:r w:rsidRPr="00761653">
        <w:rPr>
          <w:i/>
        </w:rPr>
        <w:t>Legionella</w:t>
      </w:r>
      <w:r w:rsidRPr="000D7B76">
        <w:rPr>
          <w:i/>
        </w:rPr>
        <w:t xml:space="preserve"> </w:t>
      </w:r>
      <w:r w:rsidRPr="00761653">
        <w:rPr>
          <w:i/>
        </w:rPr>
        <w:t>pneumophila</w:t>
      </w:r>
      <w:r w:rsidRPr="000D7B76">
        <w:rPr>
          <w:i/>
        </w:rPr>
        <w:t xml:space="preserve"> (</w:t>
      </w:r>
      <w:r w:rsidRPr="00761653">
        <w:rPr>
          <w:i/>
        </w:rPr>
        <w:t>L</w:t>
      </w:r>
      <w:r w:rsidRPr="000D7B76">
        <w:rPr>
          <w:i/>
        </w:rPr>
        <w:t xml:space="preserve">. </w:t>
      </w:r>
      <w:r w:rsidRPr="00761653">
        <w:rPr>
          <w:i/>
        </w:rPr>
        <w:t>pneumophila</w:t>
      </w:r>
      <w:r w:rsidRPr="000D7B76">
        <w:rPr>
          <w:i/>
        </w:rPr>
        <w:t>)</w:t>
      </w:r>
      <w:r w:rsidRPr="000D7B76">
        <w:t xml:space="preserve"> </w:t>
      </w:r>
      <w:r>
        <w:rPr>
          <w:i/>
        </w:rPr>
        <w:t>я</w:t>
      </w:r>
      <w:r w:rsidRPr="00761653">
        <w:t>вля</w:t>
      </w:r>
      <w:r>
        <w:t>ю</w:t>
      </w:r>
      <w:r w:rsidRPr="00761653">
        <w:t>тся</w:t>
      </w:r>
      <w:r w:rsidRPr="000D7B76">
        <w:t xml:space="preserve"> </w:t>
      </w:r>
      <w:r w:rsidRPr="00761653">
        <w:t>грамотрицательным</w:t>
      </w:r>
      <w:r w:rsidRPr="000D7B76">
        <w:t xml:space="preserve"> </w:t>
      </w:r>
      <w:r w:rsidRPr="00761653">
        <w:t>бактериями</w:t>
      </w:r>
      <w:r w:rsidRPr="000D7B76">
        <w:t xml:space="preserve">, </w:t>
      </w:r>
      <w:r>
        <w:t>в</w:t>
      </w:r>
      <w:r w:rsidRPr="00761653">
        <w:t>ызывают</w:t>
      </w:r>
      <w:r w:rsidRPr="000D7B76">
        <w:t xml:space="preserve"> </w:t>
      </w:r>
      <w:r w:rsidRPr="00761653">
        <w:t>пневмонии</w:t>
      </w:r>
      <w:r w:rsidRPr="000D7B76">
        <w:t xml:space="preserve">. </w:t>
      </w:r>
      <w:r w:rsidRPr="00761653">
        <w:t>Препараты выбора для лечения</w:t>
      </w:r>
      <w:r>
        <w:t xml:space="preserve"> </w:t>
      </w:r>
      <w:r w:rsidRPr="00761653">
        <w:rPr>
          <w:i/>
        </w:rPr>
        <w:t>L</w:t>
      </w:r>
      <w:r w:rsidRPr="00D27DBA">
        <w:rPr>
          <w:i/>
        </w:rPr>
        <w:t xml:space="preserve">. </w:t>
      </w:r>
      <w:r w:rsidRPr="00761653">
        <w:rPr>
          <w:i/>
        </w:rPr>
        <w:t>pneumophila</w:t>
      </w:r>
      <w:r w:rsidRPr="00D27DBA">
        <w:t xml:space="preserve"> – </w:t>
      </w:r>
      <w:r w:rsidRPr="00761653">
        <w:t xml:space="preserve"> - моксифлоксацин (400 мг 1 раз в сутки) или левофлоксацин (500 мг - 750 мг 1 раз в сутки) или азитромицин (500 мг 1 раз в сутки), альтернативный препарат - ципрофлоксацин (400 мг внутривенно 3 раза в сутки или 750 мг внутрь 2 раза в сутки), при тяжелом течении - сочетание фторхинолона с тигециклином (1-е введение 100 мг, далее по 50 мг каждые 12 часов). </w:t>
      </w:r>
      <w:r w:rsidRPr="00761653">
        <w:lastRenderedPageBreak/>
        <w:t>Длительность лечения составляет от 8 до 21 дня, при тяжелом течении и у реципиентов аллогенных ТГСК – более продолжительный период.</w:t>
      </w:r>
    </w:p>
    <w:p w14:paraId="40B36316" w14:textId="77777777" w:rsidR="006D503D" w:rsidRPr="00761653" w:rsidRDefault="006D503D" w:rsidP="006D503D">
      <w:pPr>
        <w:widowControl w:val="0"/>
        <w:autoSpaceDE w:val="0"/>
        <w:autoSpaceDN w:val="0"/>
        <w:adjustRightInd w:val="0"/>
        <w:ind w:right="49" w:firstLine="709"/>
        <w:contextualSpacing/>
        <w:rPr>
          <w:b/>
          <w:bCs/>
          <w:i/>
          <w:iCs/>
          <w:u w:val="single"/>
        </w:rPr>
      </w:pPr>
      <w:r w:rsidRPr="00761653">
        <w:rPr>
          <w:b/>
          <w:bCs/>
          <w:i/>
          <w:iCs/>
          <w:u w:val="single"/>
        </w:rPr>
        <w:t xml:space="preserve">Clostridioides difficile </w:t>
      </w:r>
    </w:p>
    <w:p w14:paraId="3CED09BA" w14:textId="77777777" w:rsidR="006D503D" w:rsidRPr="00761653" w:rsidRDefault="006D503D" w:rsidP="006D503D">
      <w:pPr>
        <w:widowControl w:val="0"/>
        <w:autoSpaceDE w:val="0"/>
        <w:autoSpaceDN w:val="0"/>
        <w:adjustRightInd w:val="0"/>
        <w:ind w:right="49" w:firstLine="709"/>
        <w:contextualSpacing/>
        <w:rPr>
          <w:strike/>
        </w:rPr>
      </w:pPr>
      <w:r w:rsidRPr="00761653">
        <w:t xml:space="preserve">Факторами патогенности </w:t>
      </w:r>
      <w:r w:rsidRPr="00D27DBA">
        <w:rPr>
          <w:bCs/>
          <w:i/>
          <w:iCs/>
        </w:rPr>
        <w:t>Clostridioides difficile</w:t>
      </w:r>
      <w:r>
        <w:rPr>
          <w:bCs/>
          <w:i/>
          <w:iCs/>
        </w:rPr>
        <w:t xml:space="preserve"> (</w:t>
      </w:r>
      <w:r w:rsidRPr="00761653">
        <w:rPr>
          <w:i/>
          <w:iCs/>
        </w:rPr>
        <w:t xml:space="preserve">C. </w:t>
      </w:r>
      <w:r>
        <w:rPr>
          <w:i/>
          <w:iCs/>
        </w:rPr>
        <w:t>d</w:t>
      </w:r>
      <w:r w:rsidRPr="00761653">
        <w:rPr>
          <w:i/>
          <w:iCs/>
        </w:rPr>
        <w:t>ifficile</w:t>
      </w:r>
      <w:r>
        <w:rPr>
          <w:i/>
          <w:iCs/>
        </w:rPr>
        <w:t>)</w:t>
      </w:r>
      <w:r w:rsidRPr="00761653">
        <w:t xml:space="preserve"> являются токсины A и В [13]. Токсин А —</w:t>
      </w:r>
      <w:r>
        <w:t xml:space="preserve"> </w:t>
      </w:r>
      <w:r w:rsidRPr="00761653">
        <w:t xml:space="preserve">энтеротоксин, нарушает барьерную функцию слизистой оболочки кишечника. Токсин В — цитотоксин, оказывает цитопатический эффект, сильнее токсина А в 1000 раз, наличие его является обязательным для развития инфекции. Около 10% штаммов </w:t>
      </w:r>
      <w:r w:rsidRPr="00761653">
        <w:rPr>
          <w:i/>
          <w:iCs/>
        </w:rPr>
        <w:t>C. difficile</w:t>
      </w:r>
      <w:r w:rsidRPr="00761653">
        <w:t xml:space="preserve"> продуцируют бинарный токсин. Штаммы </w:t>
      </w:r>
      <w:r w:rsidRPr="00761653">
        <w:rPr>
          <w:i/>
          <w:iCs/>
        </w:rPr>
        <w:t>C. difficile</w:t>
      </w:r>
      <w:r w:rsidRPr="00761653">
        <w:t xml:space="preserve">, не продуцирующие токсины, не являются патогенными. Клиническими проявления инфекции, вызванной </w:t>
      </w:r>
      <w:r w:rsidRPr="00761653">
        <w:rPr>
          <w:i/>
          <w:iCs/>
        </w:rPr>
        <w:t>C. difficile</w:t>
      </w:r>
      <w:r w:rsidRPr="00761653">
        <w:rPr>
          <w:iCs/>
        </w:rPr>
        <w:t>,</w:t>
      </w:r>
      <w:r w:rsidRPr="00761653">
        <w:t xml:space="preserve"> являются диарея, ассоциированная с </w:t>
      </w:r>
      <w:r w:rsidRPr="00761653">
        <w:rPr>
          <w:i/>
          <w:iCs/>
        </w:rPr>
        <w:t>C. difficile</w:t>
      </w:r>
      <w:r w:rsidRPr="00761653">
        <w:t xml:space="preserve"> (наличие диареи + положительный токсин </w:t>
      </w:r>
      <w:r w:rsidRPr="00761653">
        <w:rPr>
          <w:i/>
          <w:iCs/>
        </w:rPr>
        <w:t>C.difficile</w:t>
      </w:r>
      <w:r w:rsidRPr="00761653">
        <w:t xml:space="preserve"> в кале), псевдомембранозный колит (эндоскопическая диагностика). Лечение диареи, обусловленной </w:t>
      </w:r>
      <w:r w:rsidRPr="00761653">
        <w:rPr>
          <w:i/>
          <w:iCs/>
        </w:rPr>
        <w:t>C. difficile</w:t>
      </w:r>
      <w:r w:rsidRPr="00761653">
        <w:t xml:space="preserve"> включает, помимо назначения антибиотиков, отмену, по-возможности, или/и сокращение числа используемых антибиотиков широкого спектра действия, ингибиторов протонной помпы [10]. </w:t>
      </w:r>
      <w:r w:rsidRPr="00761653">
        <w:rPr>
          <w:bCs/>
        </w:rPr>
        <w:t>При нетяжелом течении инфекции</w:t>
      </w:r>
      <w:r w:rsidRPr="00761653">
        <w:t xml:space="preserve"> (диарея, температура, боль в животе) - метронидазол по 500 мг 3 раза в сутки перорально или внутривенно, </w:t>
      </w:r>
      <w:r w:rsidRPr="00761653">
        <w:rPr>
          <w:bCs/>
        </w:rPr>
        <w:t>при тяжелом течении</w:t>
      </w:r>
      <w:r w:rsidRPr="00761653">
        <w:t xml:space="preserve"> (повышение уровня креатинина на 50% и более от исходного значения, снижение уровня альбумина) - ванкомицин по 125 мг 4 раза в день перорально или введение в зонд, оро – или назогастральный, при рефрактерном течении - используют сочетание метронидазола с ванкомицином (метронидазол по 500 мг 3 раза в сутки внутривенно, ванкомицин по 500 мг 4 раза в день через оро- или назогастральный зонд). </w:t>
      </w:r>
      <w:r w:rsidRPr="00761653">
        <w:rPr>
          <w:bCs/>
        </w:rPr>
        <w:t>Длительность лечения</w:t>
      </w:r>
      <w:r w:rsidRPr="00761653">
        <w:t xml:space="preserve"> составляет 10-14 дней.</w:t>
      </w:r>
    </w:p>
    <w:p w14:paraId="6C9AEA07" w14:textId="77777777" w:rsidR="006D503D" w:rsidRPr="00334A8A" w:rsidRDefault="006D503D" w:rsidP="00CE6C1C">
      <w:pPr>
        <w:pStyle w:val="a6"/>
        <w:widowControl w:val="0"/>
        <w:numPr>
          <w:ilvl w:val="0"/>
          <w:numId w:val="146"/>
        </w:numPr>
        <w:tabs>
          <w:tab w:val="left" w:pos="317"/>
          <w:tab w:val="left" w:pos="8715"/>
        </w:tabs>
        <w:autoSpaceDE w:val="0"/>
        <w:autoSpaceDN w:val="0"/>
        <w:adjustRightInd w:val="0"/>
        <w:spacing w:before="60" w:after="60"/>
        <w:ind w:right="49"/>
        <w:rPr>
          <w:b/>
          <w:i/>
          <w:iCs/>
        </w:rPr>
      </w:pPr>
      <w:r w:rsidRPr="00334A8A">
        <w:rPr>
          <w:b/>
          <w:iCs/>
        </w:rPr>
        <w:t>Назначение антибиотиков в зависимости от локализации инфекции</w:t>
      </w:r>
    </w:p>
    <w:p w14:paraId="0E10F6FF" w14:textId="77777777" w:rsidR="006D503D" w:rsidRPr="00761653" w:rsidRDefault="006D503D" w:rsidP="006D503D">
      <w:pPr>
        <w:widowControl w:val="0"/>
        <w:tabs>
          <w:tab w:val="left" w:pos="0"/>
        </w:tabs>
        <w:autoSpaceDE w:val="0"/>
        <w:autoSpaceDN w:val="0"/>
        <w:adjustRightInd w:val="0"/>
        <w:spacing w:before="60" w:after="60"/>
        <w:ind w:right="49" w:firstLine="709"/>
        <w:contextualSpacing/>
      </w:pPr>
      <w:r w:rsidRPr="00761653">
        <w:rPr>
          <w:b/>
          <w:u w:val="single"/>
        </w:rPr>
        <w:t>Мукозит. Гингивит</w:t>
      </w:r>
    </w:p>
    <w:p w14:paraId="3BE0500E" w14:textId="77777777" w:rsidR="006D503D" w:rsidRPr="00761653" w:rsidRDefault="006D503D" w:rsidP="006D503D">
      <w:pPr>
        <w:widowControl w:val="0"/>
        <w:tabs>
          <w:tab w:val="left" w:pos="0"/>
        </w:tabs>
        <w:autoSpaceDE w:val="0"/>
        <w:autoSpaceDN w:val="0"/>
        <w:adjustRightInd w:val="0"/>
        <w:spacing w:before="60" w:after="60"/>
        <w:ind w:right="49" w:firstLine="709"/>
        <w:contextualSpacing/>
      </w:pPr>
      <w:r w:rsidRPr="00761653">
        <w:t xml:space="preserve">Чаще обусловлен грибами рода </w:t>
      </w:r>
      <w:r w:rsidRPr="00761653">
        <w:rPr>
          <w:i/>
        </w:rPr>
        <w:t>Candida</w:t>
      </w:r>
      <w:r w:rsidRPr="00761653">
        <w:t xml:space="preserve"> и герпес-вирусами, реже грамотрицательными бактериями (</w:t>
      </w:r>
      <w:r w:rsidRPr="00761653">
        <w:rPr>
          <w:i/>
        </w:rPr>
        <w:t>P. aeruginosa</w:t>
      </w:r>
      <w:r w:rsidRPr="00761653">
        <w:t xml:space="preserve">, </w:t>
      </w:r>
      <w:r w:rsidRPr="00761653">
        <w:rPr>
          <w:i/>
        </w:rPr>
        <w:t>S. malthopilia</w:t>
      </w:r>
      <w:r w:rsidRPr="00761653">
        <w:t>, бактериями порядка Enterobacterales). Лечение согласно выделенным микроорганизмам. При мукозите III-IV степени - ванкомицин, или даптомицин, или линезолид ввиду высокой вероятности развития сепсиса, обусловленного стрептококками</w:t>
      </w:r>
      <w:r w:rsidRPr="00761653">
        <w:rPr>
          <w:b/>
          <w:bCs/>
        </w:rPr>
        <w:t xml:space="preserve"> </w:t>
      </w:r>
      <w:r w:rsidRPr="00761653">
        <w:t xml:space="preserve">группы </w:t>
      </w:r>
      <w:r w:rsidRPr="00761653">
        <w:rPr>
          <w:i/>
          <w:iCs/>
        </w:rPr>
        <w:t>viridans</w:t>
      </w:r>
      <w:r w:rsidRPr="00761653">
        <w:t xml:space="preserve">. </w:t>
      </w:r>
    </w:p>
    <w:p w14:paraId="276C0480" w14:textId="77777777" w:rsidR="006D503D" w:rsidRPr="00761653" w:rsidRDefault="006D503D" w:rsidP="006D503D">
      <w:pPr>
        <w:widowControl w:val="0"/>
        <w:tabs>
          <w:tab w:val="left" w:pos="0"/>
        </w:tabs>
        <w:autoSpaceDE w:val="0"/>
        <w:autoSpaceDN w:val="0"/>
        <w:adjustRightInd w:val="0"/>
        <w:spacing w:before="60" w:after="60"/>
        <w:ind w:right="49" w:firstLine="709"/>
        <w:contextualSpacing/>
        <w:rPr>
          <w:b/>
        </w:rPr>
      </w:pPr>
      <w:r w:rsidRPr="00761653">
        <w:rPr>
          <w:b/>
          <w:u w:val="single"/>
        </w:rPr>
        <w:t>Пневмония</w:t>
      </w:r>
    </w:p>
    <w:p w14:paraId="75F56D0D" w14:textId="77777777" w:rsidR="006D503D" w:rsidRPr="00761653" w:rsidRDefault="006D503D" w:rsidP="006D503D">
      <w:pPr>
        <w:widowControl w:val="0"/>
        <w:tabs>
          <w:tab w:val="left" w:pos="0"/>
        </w:tabs>
        <w:autoSpaceDE w:val="0"/>
        <w:autoSpaceDN w:val="0"/>
        <w:adjustRightInd w:val="0"/>
        <w:spacing w:before="60" w:after="60"/>
        <w:ind w:right="49" w:firstLine="709"/>
        <w:contextualSpacing/>
      </w:pPr>
      <w:r w:rsidRPr="00761653">
        <w:t xml:space="preserve">При стабильной ситуации выполняют БАЛ и дальнейшую модификацию антимикробной терапии осуществляют по результатам микробиологического исследования. При нестабильном соматическом состоянии или невозможности </w:t>
      </w:r>
      <w:r w:rsidRPr="00761653">
        <w:lastRenderedPageBreak/>
        <w:t xml:space="preserve">выполнения БАЛ назначают карбапенем (меропенем или имипенем/циластатин или дорипенем) и отменяют антибиотики первого этапа у больных с фебрильной нейтропенией. Вориконазол добавляют к лечению при пневмонии, резистентной к лечению антибиотиками, больным с нейтропенией от 10 дней и более или при лечении глюкокортикоидами, при условии, что не выявлены другие потенциальные возбудители пневмонии. Вориконазол назначают внутривенно, в 1-й день по 6 мг/кг 2 раза в сутки, в последующие дни по 4 мг/кг 2 раза в сутки, с переходом в дальнейшем на пероральную форму по 200 мг 2 раза в сутки, прием таблеток натощак или через 1 час после еды. </w:t>
      </w:r>
    </w:p>
    <w:p w14:paraId="636581A8" w14:textId="77777777" w:rsidR="006D503D" w:rsidRPr="00761653" w:rsidRDefault="006D503D" w:rsidP="006D503D">
      <w:pPr>
        <w:widowControl w:val="0"/>
        <w:autoSpaceDE w:val="0"/>
        <w:autoSpaceDN w:val="0"/>
        <w:adjustRightInd w:val="0"/>
        <w:ind w:right="49" w:firstLine="709"/>
        <w:contextualSpacing/>
        <w:rPr>
          <w:b/>
          <w:iCs/>
          <w:u w:val="single"/>
        </w:rPr>
      </w:pPr>
      <w:r w:rsidRPr="00761653">
        <w:rPr>
          <w:b/>
          <w:iCs/>
          <w:u w:val="single"/>
        </w:rPr>
        <w:t>Инфекция перианальной области (парапроктит, обострение геморроя и другие)</w:t>
      </w:r>
    </w:p>
    <w:p w14:paraId="482C067D" w14:textId="77777777" w:rsidR="006D503D" w:rsidRPr="00761653" w:rsidRDefault="006D503D" w:rsidP="006D503D">
      <w:pPr>
        <w:widowControl w:val="0"/>
        <w:autoSpaceDE w:val="0"/>
        <w:autoSpaceDN w:val="0"/>
        <w:adjustRightInd w:val="0"/>
        <w:ind w:right="49" w:firstLine="709"/>
        <w:contextualSpacing/>
      </w:pPr>
      <w:r>
        <w:t xml:space="preserve">Диагностику и тактику лечения перианальной области – см. ниже в настоящей главе. </w:t>
      </w:r>
      <w:r w:rsidRPr="00761653">
        <w:t xml:space="preserve">Схемы антимикробной терапии включаяют препараты с активностью против грамотрицательных и анаэробных бактерий (цефоперазон/сульбактам + амикацин, или цефепим + амикацин + метронидазол или антипсевдомонадный карбапенем). При неэффективности добавляют антибиотики, активные против грамположительных бактерий (ванкомицин или телаванцин или линезолид или тедизолид или даптомицин), при выделении </w:t>
      </w:r>
      <w:r w:rsidRPr="00761653">
        <w:rPr>
          <w:i/>
        </w:rPr>
        <w:t>Candida</w:t>
      </w:r>
      <w:r w:rsidRPr="00761653">
        <w:t xml:space="preserve"> spp. из ректального мазка – флуконазол (400 мг в/в 1 раз в сутки). </w:t>
      </w:r>
    </w:p>
    <w:p w14:paraId="5C01B7EF" w14:textId="77777777" w:rsidR="006D503D" w:rsidRPr="00761653" w:rsidRDefault="006D503D" w:rsidP="006D503D">
      <w:pPr>
        <w:widowControl w:val="0"/>
        <w:autoSpaceDE w:val="0"/>
        <w:autoSpaceDN w:val="0"/>
        <w:adjustRightInd w:val="0"/>
        <w:spacing w:before="240" w:after="60"/>
        <w:ind w:right="49" w:firstLine="709"/>
        <w:contextualSpacing/>
        <w:rPr>
          <w:b/>
          <w:bCs/>
        </w:rPr>
      </w:pPr>
      <w:r w:rsidRPr="00761653">
        <w:rPr>
          <w:b/>
          <w:bCs/>
        </w:rPr>
        <w:t>Критерии прекращения противомикробной терапии</w:t>
      </w:r>
    </w:p>
    <w:p w14:paraId="48FA3373" w14:textId="3E502BA1" w:rsidR="006D503D" w:rsidRPr="00761653" w:rsidRDefault="006D503D" w:rsidP="006D503D">
      <w:pPr>
        <w:widowControl w:val="0"/>
        <w:autoSpaceDE w:val="0"/>
        <w:autoSpaceDN w:val="0"/>
        <w:adjustRightInd w:val="0"/>
        <w:ind w:right="49" w:firstLine="709"/>
        <w:contextualSpacing/>
      </w:pPr>
      <w:r w:rsidRPr="00761653">
        <w:rPr>
          <w:b/>
          <w:bCs/>
          <w:u w:val="single"/>
        </w:rPr>
        <w:t>При лихорадке неясной этиологии</w:t>
      </w:r>
      <w:r w:rsidRPr="00761653">
        <w:rPr>
          <w:b/>
          <w:bCs/>
        </w:rPr>
        <w:t xml:space="preserve"> </w:t>
      </w:r>
      <w:r w:rsidRPr="00761653">
        <w:t>в период нейтропении</w:t>
      </w:r>
      <w:r>
        <w:t xml:space="preserve">/ лейкопении антибиотики </w:t>
      </w:r>
      <w:r w:rsidRPr="00761653">
        <w:t xml:space="preserve">отменяют через 72 часа, если у </w:t>
      </w:r>
      <w:r>
        <w:t>пациента</w:t>
      </w:r>
      <w:r w:rsidRPr="00761653">
        <w:t xml:space="preserve"> не было эпизода нестабильной гемодинамики в данный эпизод инфекции и нормальная температура отмечается в течение 48 ч. </w:t>
      </w:r>
    </w:p>
    <w:p w14:paraId="4194A4A2" w14:textId="77777777" w:rsidR="006D503D" w:rsidRPr="00761653" w:rsidRDefault="006D503D" w:rsidP="006D503D">
      <w:pPr>
        <w:widowControl w:val="0"/>
        <w:autoSpaceDE w:val="0"/>
        <w:autoSpaceDN w:val="0"/>
        <w:adjustRightInd w:val="0"/>
        <w:ind w:right="49" w:firstLine="709"/>
        <w:contextualSpacing/>
      </w:pPr>
      <w:r w:rsidRPr="00761653">
        <w:rPr>
          <w:b/>
          <w:bCs/>
          <w:u w:val="single"/>
        </w:rPr>
        <w:t>При клинически и микробиологически доказанной инфекции</w:t>
      </w:r>
      <w:r w:rsidRPr="00761653">
        <w:t xml:space="preserve"> длительность применения антибиотиков составляет не менее 7 дней, при соблюдении условий, что нормальная температура наблюдается не менее 4-х дней, очаги инфекции полностью регрессировали, достигнута (или предполагается) микробиологическая эрадикация возбудителя подтвержденной инфекции. После отмены антибиотиков продолжиют наблюдение </w:t>
      </w:r>
      <w:r>
        <w:t>пациента</w:t>
      </w:r>
      <w:r w:rsidRPr="00761653">
        <w:t xml:space="preserve"> с нейтропенией/лейкопенией в течение последующих 24-48 ч, и в случае появления температуры вновь назначают антибиотики. </w:t>
      </w:r>
    </w:p>
    <w:p w14:paraId="7E7CBD3B" w14:textId="77777777" w:rsidR="006D503D" w:rsidRPr="00334A8A" w:rsidRDefault="006D503D" w:rsidP="00CE6C1C">
      <w:pPr>
        <w:pStyle w:val="a6"/>
        <w:widowControl w:val="0"/>
        <w:numPr>
          <w:ilvl w:val="0"/>
          <w:numId w:val="146"/>
        </w:numPr>
        <w:autoSpaceDE w:val="0"/>
        <w:autoSpaceDN w:val="0"/>
        <w:adjustRightInd w:val="0"/>
        <w:spacing w:before="240" w:after="60"/>
        <w:ind w:right="49"/>
        <w:rPr>
          <w:b/>
          <w:bCs/>
        </w:rPr>
      </w:pPr>
      <w:r w:rsidRPr="00334A8A">
        <w:rPr>
          <w:b/>
          <w:bCs/>
        </w:rPr>
        <w:t>Лечение пациентов в амбулаторных условиях</w:t>
      </w:r>
    </w:p>
    <w:p w14:paraId="12746D3C" w14:textId="77777777" w:rsidR="006D503D" w:rsidRDefault="006D503D" w:rsidP="006D503D">
      <w:pPr>
        <w:widowControl w:val="0"/>
        <w:autoSpaceDE w:val="0"/>
        <w:autoSpaceDN w:val="0"/>
        <w:adjustRightInd w:val="0"/>
        <w:ind w:right="49" w:firstLine="709"/>
        <w:contextualSpacing/>
      </w:pPr>
      <w:r w:rsidRPr="00761653">
        <w:t xml:space="preserve">Амбулаторное лечение инфекционных осложнений в период нейтропении/лейкопении </w:t>
      </w:r>
      <w:r w:rsidRPr="00D40538">
        <w:t xml:space="preserve">проводят в большинстве случаев при условии, что ожидаемая длительность ее не будет превышать 5-10 дней и единственный симптом инфекции – </w:t>
      </w:r>
      <w:r w:rsidRPr="00D40538">
        <w:lastRenderedPageBreak/>
        <w:t xml:space="preserve">температура менее 39,0°С; при этом нет значимых изменений в легких по данным радиологических исследований; отсутствует артериальная гипотензия и дыхательная недостаточность; нет клиники декомпенсации </w:t>
      </w:r>
      <w:r w:rsidRPr="00761653">
        <w:t xml:space="preserve">хронических заболеваний легких и сахарного диабета; нет нарушения сознания; отсутствует кровотечение; на предыдущих курсах химиотерапии не было инвазивного аспергиллеза. При ухудшении состояния больной должен быть </w:t>
      </w:r>
      <w:r w:rsidRPr="00D40538">
        <w:t xml:space="preserve">экстренно </w:t>
      </w:r>
      <w:r w:rsidRPr="00761653">
        <w:t xml:space="preserve">госпитализирован в стационар в любое время суток. </w:t>
      </w:r>
    </w:p>
    <w:p w14:paraId="178F4063" w14:textId="77777777" w:rsidR="006D503D" w:rsidRDefault="006D503D" w:rsidP="006D503D">
      <w:pPr>
        <w:widowControl w:val="0"/>
        <w:autoSpaceDE w:val="0"/>
        <w:autoSpaceDN w:val="0"/>
        <w:adjustRightInd w:val="0"/>
        <w:ind w:right="49" w:firstLine="709"/>
        <w:contextualSpacing/>
      </w:pPr>
      <w:r w:rsidRPr="00761653">
        <w:t xml:space="preserve">Амбулаторно назначают сочетание амоксициллина/клавуланата (625 мг внутрь 3 раза в сутки) с ципрофлоксацином (0,5 г внутрь 2 раза в сутки) </w:t>
      </w:r>
      <w:r w:rsidRPr="00761653">
        <w:rPr>
          <w:i/>
          <w:iCs/>
        </w:rPr>
        <w:t xml:space="preserve">или </w:t>
      </w:r>
      <w:r w:rsidRPr="00761653">
        <w:t xml:space="preserve">левофлоксацин (по 0,5 г внутрь 1 раз в сутки) </w:t>
      </w:r>
      <w:r w:rsidRPr="00761653">
        <w:rPr>
          <w:i/>
          <w:iCs/>
        </w:rPr>
        <w:t>или</w:t>
      </w:r>
      <w:r w:rsidRPr="00761653">
        <w:t xml:space="preserve"> моксифлоксацин (0,4 г внутрь1 раз в сутки).</w:t>
      </w:r>
    </w:p>
    <w:p w14:paraId="6DA5C22C" w14:textId="77777777" w:rsidR="006D503D" w:rsidRPr="00334A8A" w:rsidRDefault="006D503D" w:rsidP="00CE6C1C">
      <w:pPr>
        <w:pStyle w:val="a6"/>
        <w:widowControl w:val="0"/>
        <w:numPr>
          <w:ilvl w:val="0"/>
          <w:numId w:val="146"/>
        </w:numPr>
        <w:autoSpaceDE w:val="0"/>
        <w:autoSpaceDN w:val="0"/>
        <w:adjustRightInd w:val="0"/>
        <w:spacing w:before="0" w:after="0"/>
        <w:ind w:right="49"/>
        <w:jc w:val="left"/>
        <w:rPr>
          <w:b/>
        </w:rPr>
      </w:pPr>
      <w:r w:rsidRPr="00334A8A">
        <w:rPr>
          <w:b/>
        </w:rPr>
        <w:t>Перианальная инфекция у гематологических пациентов</w:t>
      </w:r>
    </w:p>
    <w:p w14:paraId="0B16F245" w14:textId="77777777" w:rsidR="006D503D" w:rsidRPr="009A4DCC" w:rsidRDefault="006D503D" w:rsidP="006D503D">
      <w:pPr>
        <w:widowControl w:val="0"/>
        <w:autoSpaceDE w:val="0"/>
        <w:autoSpaceDN w:val="0"/>
        <w:adjustRightInd w:val="0"/>
        <w:ind w:right="49" w:firstLine="709"/>
        <w:contextualSpacing/>
      </w:pPr>
      <w:r w:rsidRPr="009A4DCC">
        <w:t>Нейтропения существенным образом меняет клинику и течение инфекционных процессов, формирование воспалительных изменений в тканях может быть отсроченным и иметь атипичные формы; так, формирование абсцессов в условиях нейтропении происходит редко, изменения в тканях могут представлять собой воспалител</w:t>
      </w:r>
      <w:r>
        <w:t>ьные инфильтраты и некрозы</w:t>
      </w:r>
      <w:r w:rsidRPr="009A4DCC">
        <w:t>. Кроме того, нейтропения определяет возможность для появления дополнительных механизмов инфицирования – распространения микроорганизмов в ткани и кровоток со слизистой кишечника, через повреждения кожи анального канала и перианальной области. Поэтому в условиях нейтропении частыми источниками инфицирования параректальной клетчатки становятся анальные трещины, язвы, эрозивные проктиты, дерматиты и другие процессы, нарушающие барьерну</w:t>
      </w:r>
      <w:r>
        <w:t>ю функцию кожи и слизистой</w:t>
      </w:r>
      <w:r w:rsidRPr="009A4DCC">
        <w:t>.</w:t>
      </w:r>
      <w:r>
        <w:t xml:space="preserve"> </w:t>
      </w:r>
      <w:r w:rsidRPr="009A4DCC">
        <w:t xml:space="preserve">Опасность перианальной инфекции на фоне нейтропении обусловлена высокой </w:t>
      </w:r>
      <w:r>
        <w:t>(до 30%) вероятностью сепсиса</w:t>
      </w:r>
      <w:r w:rsidRPr="009A4DCC">
        <w:t xml:space="preserve">. </w:t>
      </w:r>
    </w:p>
    <w:p w14:paraId="0A590448" w14:textId="77777777" w:rsidR="006D503D" w:rsidRPr="0076198F" w:rsidRDefault="006D503D" w:rsidP="006D503D">
      <w:pPr>
        <w:pStyle w:val="a6"/>
        <w:rPr>
          <w:b/>
        </w:rPr>
      </w:pPr>
      <w:r w:rsidRPr="0076198F">
        <w:rPr>
          <w:b/>
        </w:rPr>
        <w:t>Клиническая картина.</w:t>
      </w:r>
    </w:p>
    <w:p w14:paraId="1405EF03" w14:textId="77777777" w:rsidR="006D503D" w:rsidRPr="009A4DCC" w:rsidRDefault="006D503D" w:rsidP="006D503D">
      <w:pPr>
        <w:ind w:firstLine="708"/>
      </w:pPr>
      <w:r w:rsidRPr="009A4DCC">
        <w:t>Признаками перианальной инфекции у больных в состоянии нейтропенией обычно являются ан</w:t>
      </w:r>
      <w:r>
        <w:t>оректальная боль и лихорадка</w:t>
      </w:r>
      <w:r w:rsidRPr="009A4DCC">
        <w:t>. Оценка характера изменений в тканях является основой для выбора тактики лечения.</w:t>
      </w:r>
    </w:p>
    <w:p w14:paraId="42AF0A0D" w14:textId="77777777" w:rsidR="006D503D" w:rsidRDefault="006D503D" w:rsidP="006D503D">
      <w:pPr>
        <w:pStyle w:val="a6"/>
        <w:rPr>
          <w:b/>
        </w:rPr>
      </w:pPr>
      <w:r w:rsidRPr="00F22A59">
        <w:rPr>
          <w:b/>
        </w:rPr>
        <w:t>Диагностика.</w:t>
      </w:r>
    </w:p>
    <w:p w14:paraId="502164E5" w14:textId="77777777" w:rsidR="006D503D" w:rsidRPr="009A4DCC" w:rsidRDefault="006D503D" w:rsidP="00CE6C1C">
      <w:pPr>
        <w:pStyle w:val="a6"/>
        <w:numPr>
          <w:ilvl w:val="0"/>
          <w:numId w:val="143"/>
        </w:numPr>
        <w:spacing w:before="0" w:after="0"/>
      </w:pPr>
      <w:r w:rsidRPr="009A4DCC">
        <w:t>Осмотр колопроктолога (первичный и повторно в динамике)</w:t>
      </w:r>
    </w:p>
    <w:p w14:paraId="2C288CAB" w14:textId="77777777" w:rsidR="006D503D" w:rsidRPr="009A4DCC" w:rsidRDefault="006D503D" w:rsidP="00CE6C1C">
      <w:pPr>
        <w:pStyle w:val="a6"/>
        <w:numPr>
          <w:ilvl w:val="0"/>
          <w:numId w:val="143"/>
        </w:numPr>
        <w:spacing w:before="0" w:after="0"/>
      </w:pPr>
      <w:r w:rsidRPr="009A4DCC">
        <w:t>МРТ органов малого таза.</w:t>
      </w:r>
    </w:p>
    <w:p w14:paraId="2AA9500B" w14:textId="77777777" w:rsidR="006D503D" w:rsidRPr="009A4DCC" w:rsidRDefault="006D503D" w:rsidP="00CE6C1C">
      <w:pPr>
        <w:pStyle w:val="a6"/>
        <w:numPr>
          <w:ilvl w:val="0"/>
          <w:numId w:val="143"/>
        </w:numPr>
        <w:spacing w:before="0" w:after="0"/>
      </w:pPr>
      <w:r>
        <w:t>КТ/СКТ</w:t>
      </w:r>
      <w:r w:rsidRPr="009A4DCC">
        <w:t xml:space="preserve"> органов малого таза</w:t>
      </w:r>
    </w:p>
    <w:p w14:paraId="3C707A42" w14:textId="77777777" w:rsidR="006D503D" w:rsidRPr="00AE580F" w:rsidRDefault="006D503D" w:rsidP="00CE6C1C">
      <w:pPr>
        <w:pStyle w:val="a6"/>
        <w:numPr>
          <w:ilvl w:val="0"/>
          <w:numId w:val="143"/>
        </w:numPr>
        <w:spacing w:before="0" w:after="0"/>
      </w:pPr>
      <w:r>
        <w:t>Бактериологическое исследование</w:t>
      </w:r>
    </w:p>
    <w:p w14:paraId="420EFBA9" w14:textId="77777777" w:rsidR="006D503D" w:rsidRPr="009A4DCC" w:rsidRDefault="006D503D" w:rsidP="006D503D">
      <w:pPr>
        <w:ind w:firstLine="708"/>
      </w:pPr>
      <w:r w:rsidRPr="009A4DCC">
        <w:lastRenderedPageBreak/>
        <w:t>Диагноз перианальной инфекции устанавливается клинически на основании симптомов характеризующих воспаление: перианальная боль, эритема, скопление жидк</w:t>
      </w:r>
      <w:r>
        <w:t>ости или образование свища</w:t>
      </w:r>
      <w:r w:rsidRPr="009A4DCC">
        <w:t>. При обследовании пациентов с нейтропенией важно учитывать, что инвазивные диагностические процедуры (ректальное исследование и ректоскопии) у этой категории больных связаны с опасностью диссеминации</w:t>
      </w:r>
      <w:r>
        <w:t xml:space="preserve"> инфекции в ткани и кровоток</w:t>
      </w:r>
      <w:r w:rsidRPr="009A4DCC">
        <w:t>. Если диагноз перианальной инфекции сомнителен у пациента с перианальной болью и недостаточностью клинических признаков, проводится визуализация с помощью МРТ или КТ</w:t>
      </w:r>
      <w:r>
        <w:t>/СКТ органов малого таза</w:t>
      </w:r>
      <w:r w:rsidRPr="009A4DCC">
        <w:t>. МРТ признаками перианальной инфекции является наличие полостей в параректальной клетчатке, скоплений жидкости, дефектов стенки прямой кишки и свищевых ходов. У больных с нейтропенией при наличии клинических данных достаточным МРТ-признаком перианальной инфекции является наличие отека па</w:t>
      </w:r>
      <w:r>
        <w:t>раректальной клетчатки</w:t>
      </w:r>
      <w:r w:rsidRPr="009A4DCC">
        <w:t>. Для выявления характера микрофлоры, назначения и модификации антибактериальной терапии проводят микробиологическое, молекулярное и др. исследования мазков со слизистой прямой кишки, отделяемого свища, поверхности раны</w:t>
      </w:r>
      <w:r>
        <w:t xml:space="preserve">, соскоба кожи перианальной области </w:t>
      </w:r>
      <w:r w:rsidRPr="009A4DCC">
        <w:t xml:space="preserve">. </w:t>
      </w:r>
    </w:p>
    <w:p w14:paraId="53D95963" w14:textId="77777777" w:rsidR="006D503D" w:rsidRDefault="006D503D" w:rsidP="006D503D">
      <w:pPr>
        <w:pStyle w:val="a6"/>
        <w:rPr>
          <w:b/>
        </w:rPr>
      </w:pPr>
      <w:r w:rsidRPr="00F22A59">
        <w:rPr>
          <w:b/>
        </w:rPr>
        <w:t>Лечение.</w:t>
      </w:r>
    </w:p>
    <w:p w14:paraId="54470062" w14:textId="77777777" w:rsidR="006D503D" w:rsidRPr="00F36465" w:rsidRDefault="006D503D" w:rsidP="00CE6C1C">
      <w:pPr>
        <w:pStyle w:val="a6"/>
        <w:numPr>
          <w:ilvl w:val="0"/>
          <w:numId w:val="144"/>
        </w:numPr>
        <w:spacing w:before="0" w:after="0"/>
      </w:pPr>
      <w:r w:rsidRPr="00F36465">
        <w:t>Антибактериальная терапия</w:t>
      </w:r>
      <w:r>
        <w:t xml:space="preserve"> (см.выше в главе)</w:t>
      </w:r>
    </w:p>
    <w:p w14:paraId="42E68C23" w14:textId="77777777" w:rsidR="006D503D" w:rsidRPr="00F22A59" w:rsidRDefault="006D503D" w:rsidP="00CE6C1C">
      <w:pPr>
        <w:pStyle w:val="a6"/>
        <w:numPr>
          <w:ilvl w:val="0"/>
          <w:numId w:val="144"/>
        </w:numPr>
        <w:spacing w:before="0" w:after="0"/>
      </w:pPr>
      <w:r>
        <w:t>Хирургическое пособие</w:t>
      </w:r>
    </w:p>
    <w:p w14:paraId="219B0112" w14:textId="77777777" w:rsidR="006D503D" w:rsidRPr="009A4DCC" w:rsidRDefault="006D503D" w:rsidP="006D503D">
      <w:pPr>
        <w:ind w:firstLine="708"/>
      </w:pPr>
      <w:r w:rsidRPr="009A4DCC">
        <w:t>Для пациентов страдающих нейтропенией или иной формой иммуносупресии, аноректальные инфекции рассматриваются как состояние, требующее неотложного лечения с помощью антибиотиков, что позволяется остановить развитие аноректал</w:t>
      </w:r>
      <w:r>
        <w:t>ьной инфекции и сепсиса</w:t>
      </w:r>
      <w:r w:rsidRPr="009A4DCC">
        <w:t>. Показано применение на первом этапе антимикробных препаратов, проявляющих активность в отношении грамотрицательных бактерий, включа</w:t>
      </w:r>
      <w:r>
        <w:t>я синегнойную палочку</w:t>
      </w:r>
      <w:r w:rsidRPr="009A4DCC">
        <w:t xml:space="preserve">, введение антимикробных препаратов проводится только </w:t>
      </w:r>
      <w:r>
        <w:t xml:space="preserve">внутрь и </w:t>
      </w:r>
      <w:r w:rsidRPr="009A4DCC">
        <w:t xml:space="preserve">внутривенно. </w:t>
      </w:r>
    </w:p>
    <w:p w14:paraId="5284C7A9" w14:textId="77777777" w:rsidR="006D503D" w:rsidRPr="009A4DCC" w:rsidRDefault="006D503D" w:rsidP="006D503D">
      <w:pPr>
        <w:ind w:firstLine="708"/>
      </w:pPr>
      <w:r w:rsidRPr="009A4DCC">
        <w:t>Показанием к операции является формировани</w:t>
      </w:r>
      <w:r>
        <w:t>е абсцесса или некроза</w:t>
      </w:r>
      <w:r w:rsidRPr="009A4DCC">
        <w:t>. Выполняют дрениро</w:t>
      </w:r>
      <w:r>
        <w:t>вание полостей, некрэктомию</w:t>
      </w:r>
      <w:r w:rsidRPr="009A4DCC">
        <w:t>. В ряде случаев (флегмона таза, свищи 3-4 степени сложности) оперативное дренирование сочетают с наложением отводящей колостомы. Хирургическое вмешательство должно быть проведено на фоне антибактериальной терапии под общим обезболиванием. Антибактериальная терапия должна быть продолжена в послеоперационном периоде до исче</w:t>
      </w:r>
      <w:r>
        <w:t>зновения признаков инфекции</w:t>
      </w:r>
      <w:r w:rsidRPr="009A4DCC">
        <w:t xml:space="preserve">. </w:t>
      </w:r>
    </w:p>
    <w:p w14:paraId="4AEC7A1B" w14:textId="77777777" w:rsidR="006D503D" w:rsidRPr="009A4DCC" w:rsidRDefault="006D503D" w:rsidP="006D503D">
      <w:pPr>
        <w:ind w:firstLine="708"/>
      </w:pPr>
      <w:r w:rsidRPr="009A4DCC">
        <w:lastRenderedPageBreak/>
        <w:t>Пациенты с абсолютным количеством нейтрофилов более 1000х10</w:t>
      </w:r>
      <w:r w:rsidRPr="009A4DCC">
        <w:rPr>
          <w:vertAlign w:val="superscript"/>
        </w:rPr>
        <w:t>9</w:t>
      </w:r>
      <w:r w:rsidRPr="009A4DCC">
        <w:t xml:space="preserve">/л имеют более высокие показатели излечения при хирургическом дренировании, пациенты с более низким количеством нейтрофилов  и / или отсутствием флюктуации более успешно лечатся  </w:t>
      </w:r>
      <w:r>
        <w:t xml:space="preserve">применением </w:t>
      </w:r>
      <w:r w:rsidRPr="009A4DCC">
        <w:t>только антибиотик</w:t>
      </w:r>
      <w:r>
        <w:t>ов</w:t>
      </w:r>
      <w:r w:rsidRPr="009A4DCC">
        <w:t xml:space="preserve">. </w:t>
      </w:r>
    </w:p>
    <w:p w14:paraId="6D15443C" w14:textId="77777777" w:rsidR="006D503D" w:rsidRPr="009A4DCC" w:rsidRDefault="006D503D" w:rsidP="006D503D">
      <w:pPr>
        <w:ind w:firstLine="708"/>
      </w:pPr>
      <w:r w:rsidRPr="009A4DCC">
        <w:t xml:space="preserve">Прогноз при перианальной инфекции зависит от клинической ситуации. Показатель летальности непосредственно связанный с перианальными инфекционными осложнениями среди онкогематологических пациентов </w:t>
      </w:r>
      <w:r>
        <w:t>при адекватных подходах составляет менее 5%</w:t>
      </w:r>
      <w:r w:rsidRPr="009A4DCC">
        <w:t>.</w:t>
      </w:r>
    </w:p>
    <w:p w14:paraId="46A249D7" w14:textId="621F2B6E" w:rsidR="006D503D" w:rsidRPr="00761653" w:rsidRDefault="006D503D" w:rsidP="006D503D">
      <w:pPr>
        <w:widowControl w:val="0"/>
        <w:tabs>
          <w:tab w:val="left" w:pos="0"/>
        </w:tabs>
        <w:autoSpaceDE w:val="0"/>
        <w:autoSpaceDN w:val="0"/>
        <w:adjustRightInd w:val="0"/>
        <w:spacing w:before="60" w:after="60"/>
        <w:ind w:firstLine="709"/>
        <w:rPr>
          <w:b/>
        </w:rPr>
      </w:pPr>
      <w:r>
        <w:rPr>
          <w:b/>
        </w:rPr>
        <w:t>Список литературы</w:t>
      </w:r>
      <w:r w:rsidRPr="00761653">
        <w:rPr>
          <w:b/>
        </w:rPr>
        <w:t xml:space="preserve">. </w:t>
      </w:r>
    </w:p>
    <w:p w14:paraId="5AF7A3E8" w14:textId="77777777" w:rsidR="006D503D" w:rsidRPr="00761653" w:rsidRDefault="006D503D" w:rsidP="006D503D">
      <w:pPr>
        <w:widowControl w:val="0"/>
        <w:tabs>
          <w:tab w:val="left" w:pos="0"/>
        </w:tabs>
        <w:autoSpaceDE w:val="0"/>
        <w:autoSpaceDN w:val="0"/>
        <w:adjustRightInd w:val="0"/>
        <w:spacing w:before="0" w:after="0"/>
      </w:pPr>
      <w:r w:rsidRPr="00761653">
        <w:t>1. Охмат В.А., Клясова Г.А., Паровичникова Е.Н., Троицкая В.В., Грибанова Е.О., Мальчикова А.О.и др. Спектр и этиология инфекционных осложнений у больных острыми миелоидными лейкозами на этапах индукции и консолидации ремиссии. Гематология и трансфузиология 2017; №62(1): с.9–15.</w:t>
      </w:r>
    </w:p>
    <w:p w14:paraId="6957DD36" w14:textId="77777777" w:rsidR="006D503D" w:rsidRPr="00761653" w:rsidRDefault="006D503D" w:rsidP="006D503D">
      <w:pPr>
        <w:widowControl w:val="0"/>
        <w:tabs>
          <w:tab w:val="left" w:pos="0"/>
        </w:tabs>
        <w:autoSpaceDE w:val="0"/>
        <w:autoSpaceDN w:val="0"/>
        <w:adjustRightInd w:val="0"/>
        <w:spacing w:before="0" w:after="0"/>
      </w:pPr>
      <w:r w:rsidRPr="00761653">
        <w:t>2. Охмат В.А., Клясова Г.А., Паровичникова Е.Н., Троицкая В.В., Грибанова Е.О., Мальчикова А.О. и др. Инфекционные осложнения у взрослых больных острыми лимфобластными лейкозами на разных этапах химиотерапии по протоколу ОЛЛ-2009. Онкогематология.  2017; №12 (3): с.31-40.</w:t>
      </w:r>
    </w:p>
    <w:p w14:paraId="6ACE49F7" w14:textId="77777777" w:rsidR="006D503D" w:rsidRPr="00761653" w:rsidRDefault="006D503D" w:rsidP="006D503D">
      <w:pPr>
        <w:widowControl w:val="0"/>
        <w:tabs>
          <w:tab w:val="left" w:pos="0"/>
        </w:tabs>
        <w:autoSpaceDE w:val="0"/>
        <w:autoSpaceDN w:val="0"/>
        <w:adjustRightInd w:val="0"/>
        <w:spacing w:before="0" w:after="0"/>
      </w:pPr>
      <w:r w:rsidRPr="00761653">
        <w:t>3. Клясова Г.А., Сперанская Л.Л., Миронова А.В., Масчан М.А., Байдильдина Д.Д., Верещагина С.А. и др. Возбудители сепсиса у иммунокомпрометированных больных: структура и проблемы антибиотикорезистентности (результаты многоцентрового исследования). Гематология и трансфузиология. 2007; №52(1): с.11-18</w:t>
      </w:r>
    </w:p>
    <w:p w14:paraId="06F87169" w14:textId="77777777" w:rsidR="006D503D" w:rsidRPr="00761653" w:rsidRDefault="006D503D" w:rsidP="006D503D">
      <w:pPr>
        <w:widowControl w:val="0"/>
        <w:tabs>
          <w:tab w:val="left" w:pos="0"/>
        </w:tabs>
        <w:autoSpaceDE w:val="0"/>
        <w:autoSpaceDN w:val="0"/>
        <w:adjustRightInd w:val="0"/>
        <w:spacing w:before="0" w:after="0"/>
      </w:pPr>
      <w:r w:rsidRPr="00761653">
        <w:t>4. Клясова Г.А., Охмат В.А. Антимикробная терапия. В кн.: Алгоритмы диагностики и протоколы лечения заболеваний системы крови. Под редакцией Савченко В.Г. Москва: Практика 2018;2:1067–114</w:t>
      </w:r>
    </w:p>
    <w:p w14:paraId="0423732F" w14:textId="77777777" w:rsidR="006D503D" w:rsidRPr="00FD15FE" w:rsidRDefault="006D503D" w:rsidP="006D503D">
      <w:pPr>
        <w:widowControl w:val="0"/>
        <w:tabs>
          <w:tab w:val="left" w:pos="0"/>
        </w:tabs>
        <w:autoSpaceDE w:val="0"/>
        <w:autoSpaceDN w:val="0"/>
        <w:adjustRightInd w:val="0"/>
        <w:spacing w:before="0" w:after="0"/>
        <w:rPr>
          <w:lang w:val="en-US"/>
        </w:rPr>
      </w:pPr>
      <w:r w:rsidRPr="00761653">
        <w:t>5. Клясова Г.А., Савченко В.Г., Паровичникова Е.Н., Исаев В.Г., Толкачева Т.В., Маслова Е.Р. и др. Эмпирическая антимикробная терапия у больных острыми лейкозами: итоги многоцентрового исследования. Терапевтический</w:t>
      </w:r>
      <w:r w:rsidRPr="00CA7AD8">
        <w:rPr>
          <w:lang w:val="en-US"/>
        </w:rPr>
        <w:t xml:space="preserve"> </w:t>
      </w:r>
      <w:r w:rsidRPr="00761653">
        <w:t>архив</w:t>
      </w:r>
      <w:r w:rsidRPr="00CA7AD8">
        <w:rPr>
          <w:lang w:val="en-US"/>
        </w:rPr>
        <w:t xml:space="preserve">. </w:t>
      </w:r>
      <w:r w:rsidRPr="00FD15FE">
        <w:rPr>
          <w:lang w:val="en-US"/>
        </w:rPr>
        <w:t xml:space="preserve">1998; №70(7): </w:t>
      </w:r>
      <w:r w:rsidRPr="00761653">
        <w:t>с</w:t>
      </w:r>
      <w:r w:rsidRPr="00FD15FE">
        <w:rPr>
          <w:lang w:val="en-US"/>
        </w:rPr>
        <w:t>.15-21.</w:t>
      </w:r>
    </w:p>
    <w:p w14:paraId="5F0681BA" w14:textId="77777777" w:rsidR="006D503D" w:rsidRPr="006D503D" w:rsidRDefault="006D503D" w:rsidP="006D503D">
      <w:pPr>
        <w:widowControl w:val="0"/>
        <w:tabs>
          <w:tab w:val="left" w:pos="0"/>
        </w:tabs>
        <w:autoSpaceDE w:val="0"/>
        <w:autoSpaceDN w:val="0"/>
        <w:adjustRightInd w:val="0"/>
        <w:spacing w:before="0" w:after="0"/>
        <w:rPr>
          <w:lang w:val="en-US"/>
        </w:rPr>
      </w:pPr>
      <w:r w:rsidRPr="006D503D">
        <w:rPr>
          <w:lang w:val="en-US"/>
        </w:rPr>
        <w:t>6. Maertens J., Marchetti O., Herbrecht R., Cornely O., Fluckiger et al. European guidelines for antifungal management in leukemia and hematopoietic stem cell transplant recipients: summary of the ECIL 3—2009 Update Bone Marrow Transplantation 2011; 46: 709–718</w:t>
      </w:r>
    </w:p>
    <w:p w14:paraId="17ABAA7E" w14:textId="77777777" w:rsidR="006D503D" w:rsidRPr="00FD15FE" w:rsidRDefault="006D503D" w:rsidP="006D503D">
      <w:pPr>
        <w:widowControl w:val="0"/>
        <w:tabs>
          <w:tab w:val="left" w:pos="0"/>
        </w:tabs>
        <w:autoSpaceDE w:val="0"/>
        <w:autoSpaceDN w:val="0"/>
        <w:adjustRightInd w:val="0"/>
        <w:spacing w:before="0" w:after="0"/>
        <w:rPr>
          <w:lang w:val="en-US"/>
        </w:rPr>
      </w:pPr>
      <w:r w:rsidRPr="006D503D">
        <w:rPr>
          <w:lang w:val="en-US"/>
        </w:rPr>
        <w:t>7. Averbuch D., Orasch C., Cordonnier C., Livermore D.M., Mikulska M., Viscoli C., et al. European guidelines for empirical antibacterial therapy for febrile neutropenic patients in the era of growing resistance</w:t>
      </w:r>
      <w:r w:rsidRPr="006D503D">
        <w:rPr>
          <w:rFonts w:ascii="Cambria Math" w:hAnsi="Cambria Math" w:cs="Cambria Math"/>
          <w:lang w:val="en-US"/>
        </w:rPr>
        <w:t> </w:t>
      </w:r>
      <w:r w:rsidRPr="006D503D">
        <w:rPr>
          <w:lang w:val="en-US"/>
        </w:rPr>
        <w:t xml:space="preserve">: summary of the 2011 4th European Conference on Infections in </w:t>
      </w:r>
      <w:r w:rsidRPr="006D503D">
        <w:rPr>
          <w:lang w:val="en-US"/>
        </w:rPr>
        <w:lastRenderedPageBreak/>
        <w:t xml:space="preserve">Leukemia. </w:t>
      </w:r>
      <w:r w:rsidRPr="00FD15FE">
        <w:rPr>
          <w:lang w:val="en-US"/>
        </w:rPr>
        <w:t xml:space="preserve">Haematologica. 2013; №98(12): 1826–1835. </w:t>
      </w:r>
    </w:p>
    <w:p w14:paraId="2FB86929" w14:textId="77777777" w:rsidR="006D503D" w:rsidRPr="00FD15FE" w:rsidRDefault="006D503D" w:rsidP="006D503D">
      <w:pPr>
        <w:widowControl w:val="0"/>
        <w:tabs>
          <w:tab w:val="left" w:pos="0"/>
        </w:tabs>
        <w:autoSpaceDE w:val="0"/>
        <w:autoSpaceDN w:val="0"/>
        <w:adjustRightInd w:val="0"/>
        <w:spacing w:before="0" w:after="0"/>
        <w:rPr>
          <w:lang w:val="en-US"/>
        </w:rPr>
      </w:pPr>
      <w:r w:rsidRPr="006D503D">
        <w:rPr>
          <w:lang w:val="en-US"/>
        </w:rPr>
        <w:t xml:space="preserve">8. Averbuch D., Cordonnier C., Livermore D.M., Mikulska M., Orasch C., Viscoli C., et al. Targeted therapy against multi-resistant bacteria in leukemic and hematopoietic stem cell transplant recipients: Guidelines of the 4th European conference on Infections in Leukemia (ECIL-4, 2011). </w:t>
      </w:r>
      <w:r w:rsidRPr="00FD15FE">
        <w:rPr>
          <w:lang w:val="en-US"/>
        </w:rPr>
        <w:t>Haematologica. 2013; №98(12):1836–1847.</w:t>
      </w:r>
    </w:p>
    <w:p w14:paraId="50A70503" w14:textId="77777777" w:rsidR="006D503D" w:rsidRPr="00FD15FE" w:rsidRDefault="006D503D" w:rsidP="006D503D">
      <w:pPr>
        <w:widowControl w:val="0"/>
        <w:tabs>
          <w:tab w:val="left" w:pos="0"/>
        </w:tabs>
        <w:autoSpaceDE w:val="0"/>
        <w:autoSpaceDN w:val="0"/>
        <w:adjustRightInd w:val="0"/>
        <w:spacing w:before="0" w:after="0"/>
        <w:rPr>
          <w:lang w:val="en-US"/>
        </w:rPr>
      </w:pPr>
      <w:r w:rsidRPr="006D503D">
        <w:rPr>
          <w:lang w:val="en-US"/>
        </w:rPr>
        <w:t xml:space="preserve">9. Rodríguez-Bano J., Cisneros J.M., Cobos-Triguerosd N. et al. Diagnosis and antimicrobial treatment of invasive infections due to multidrug-resistant Enterobacteriaceae. Guidelines of the Spanish Society of Infectious Diseases and Clinical Microbiology. </w:t>
      </w:r>
      <w:r w:rsidRPr="00FD15FE">
        <w:rPr>
          <w:lang w:val="en-US"/>
        </w:rPr>
        <w:t>Enferm Infecc Microbiol Clin 2015;33(5):337.e1-337.e21.</w:t>
      </w:r>
    </w:p>
    <w:p w14:paraId="327829FE" w14:textId="77777777" w:rsidR="006D503D" w:rsidRPr="006D503D" w:rsidRDefault="006D503D" w:rsidP="006D503D">
      <w:pPr>
        <w:widowControl w:val="0"/>
        <w:tabs>
          <w:tab w:val="left" w:pos="0"/>
        </w:tabs>
        <w:autoSpaceDE w:val="0"/>
        <w:autoSpaceDN w:val="0"/>
        <w:adjustRightInd w:val="0"/>
        <w:spacing w:before="0" w:after="0"/>
        <w:rPr>
          <w:lang w:val="en-US"/>
        </w:rPr>
      </w:pPr>
      <w:r w:rsidRPr="006D503D">
        <w:rPr>
          <w:lang w:val="en-US"/>
        </w:rPr>
        <w:t>10. Kollef M., Nováček M, Kivistik U et al. Ceftolozane–tazobactam versus meropenem for treatment of nosocomial pneumonia (ASPECT-NP): a randomised, controlled, double-blind, phase 3, non-inferiority trial Lancet, 2019, S1473-3099(19)30403-7</w:t>
      </w:r>
    </w:p>
    <w:p w14:paraId="46EFD050" w14:textId="77777777" w:rsidR="006D503D" w:rsidRPr="00FD15FE" w:rsidRDefault="006D503D" w:rsidP="006D503D">
      <w:pPr>
        <w:widowControl w:val="0"/>
        <w:tabs>
          <w:tab w:val="left" w:pos="0"/>
        </w:tabs>
        <w:autoSpaceDE w:val="0"/>
        <w:autoSpaceDN w:val="0"/>
        <w:adjustRightInd w:val="0"/>
        <w:spacing w:before="0" w:after="0"/>
        <w:rPr>
          <w:lang w:val="en-US"/>
        </w:rPr>
      </w:pPr>
      <w:r w:rsidRPr="006D503D">
        <w:rPr>
          <w:lang w:val="en-US"/>
        </w:rPr>
        <w:t xml:space="preserve">11. Pagliano P., Arslan F., Ascione T. Epidemiology and treatment of the commonest form of listeriosis: meningitis and bacteraemia. </w:t>
      </w:r>
      <w:r w:rsidRPr="00FD15FE">
        <w:rPr>
          <w:lang w:val="en-US"/>
        </w:rPr>
        <w:t xml:space="preserve">Infez Med. 2017; №25(3):210-216. </w:t>
      </w:r>
    </w:p>
    <w:p w14:paraId="79175B22" w14:textId="77777777" w:rsidR="006D503D" w:rsidRPr="00FD15FE" w:rsidRDefault="006D503D" w:rsidP="006D503D">
      <w:pPr>
        <w:widowControl w:val="0"/>
        <w:tabs>
          <w:tab w:val="left" w:pos="0"/>
        </w:tabs>
        <w:autoSpaceDE w:val="0"/>
        <w:autoSpaceDN w:val="0"/>
        <w:adjustRightInd w:val="0"/>
        <w:spacing w:before="0" w:after="0"/>
        <w:rPr>
          <w:lang w:val="en-US"/>
        </w:rPr>
      </w:pPr>
      <w:r w:rsidRPr="006D503D">
        <w:rPr>
          <w:lang w:val="en-US"/>
        </w:rPr>
        <w:t xml:space="preserve">12. Lanternier F., Ader F., Pilmis B., Catherinot E., Jarraud S., Lortholary O. Legionnaire’s Disease in Compromised Hosts. </w:t>
      </w:r>
      <w:r w:rsidRPr="00FD15FE">
        <w:rPr>
          <w:lang w:val="en-US"/>
        </w:rPr>
        <w:t>Infect Dis Clin North Am. 2017; №31(1):123-135.</w:t>
      </w:r>
    </w:p>
    <w:p w14:paraId="101031E6" w14:textId="77777777" w:rsidR="006D503D" w:rsidRPr="00FD15FE" w:rsidRDefault="006D503D" w:rsidP="006D503D">
      <w:pPr>
        <w:widowControl w:val="0"/>
        <w:tabs>
          <w:tab w:val="left" w:pos="0"/>
        </w:tabs>
        <w:autoSpaceDE w:val="0"/>
        <w:autoSpaceDN w:val="0"/>
        <w:adjustRightInd w:val="0"/>
        <w:spacing w:before="0" w:after="0"/>
        <w:rPr>
          <w:lang w:val="en-US"/>
        </w:rPr>
      </w:pPr>
      <w:r w:rsidRPr="006D503D">
        <w:rPr>
          <w:lang w:val="en-US"/>
        </w:rPr>
        <w:t xml:space="preserve">13. Debast S.V., Bauer M.P., Kuijper E.J. European Society of Clinical Microbiology and Infectious Diseases: update of the treatment guidance document for Clostridium difficile infection. </w:t>
      </w:r>
      <w:r w:rsidRPr="00FD15FE">
        <w:rPr>
          <w:lang w:val="en-US"/>
        </w:rPr>
        <w:t>Clin Microbiol Infect. 2014; №20 (Suppl s2): 1–26</w:t>
      </w:r>
    </w:p>
    <w:p w14:paraId="5856F27C" w14:textId="77777777" w:rsidR="006D503D" w:rsidRPr="006D503D" w:rsidRDefault="006D503D" w:rsidP="006D503D">
      <w:pPr>
        <w:tabs>
          <w:tab w:val="left" w:pos="0"/>
        </w:tabs>
        <w:spacing w:before="0" w:after="0"/>
        <w:rPr>
          <w:lang w:val="en-US"/>
        </w:rPr>
      </w:pPr>
      <w:r w:rsidRPr="006D503D">
        <w:rPr>
          <w:lang w:val="en-US"/>
        </w:rPr>
        <w:t>14. Grewal H., Guillem J.G., Quan S.H., et al. Anorectal Disease in Neutropenic Leukemic Patients. Operative v s . Nonoperative Management. Dis Colon Rectum 1994; 37:1095–1099; doi: 10.1007/BF02049810.</w:t>
      </w:r>
    </w:p>
    <w:p w14:paraId="1AA16627" w14:textId="77777777" w:rsidR="006D503D" w:rsidRPr="00FD15FE" w:rsidRDefault="006D503D" w:rsidP="006D503D">
      <w:pPr>
        <w:tabs>
          <w:tab w:val="left" w:pos="0"/>
        </w:tabs>
        <w:spacing w:before="0" w:after="0"/>
        <w:rPr>
          <w:lang w:val="en-US"/>
        </w:rPr>
      </w:pPr>
      <w:r w:rsidRPr="006D503D">
        <w:rPr>
          <w:lang w:val="en-US"/>
        </w:rPr>
        <w:t xml:space="preserve">15. Chang H., Kuo, M.C., Tang, T.C., Lin, T.L. et al. Clinical Features and Recurrence Pattern of Perianal Abscess in Patients with Acute Myeloid Leukemia. </w:t>
      </w:r>
      <w:r w:rsidRPr="00FD15FE">
        <w:rPr>
          <w:lang w:val="en-US"/>
        </w:rPr>
        <w:t>Acta Haematologica,2017, 138(1), 10–13. doi:10.1159/000475589</w:t>
      </w:r>
    </w:p>
    <w:p w14:paraId="3CD8973F" w14:textId="77777777" w:rsidR="006D503D" w:rsidRPr="000D7B76" w:rsidRDefault="006D503D" w:rsidP="006D503D">
      <w:pPr>
        <w:tabs>
          <w:tab w:val="left" w:pos="0"/>
        </w:tabs>
        <w:spacing w:before="0" w:after="0"/>
      </w:pPr>
      <w:r w:rsidRPr="00CA7AD8">
        <w:t xml:space="preserve">16. </w:t>
      </w:r>
      <w:r w:rsidRPr="009A4DCC">
        <w:t>Штыркова</w:t>
      </w:r>
      <w:r w:rsidRPr="00CA7AD8">
        <w:t xml:space="preserve"> </w:t>
      </w:r>
      <w:r w:rsidRPr="009A4DCC">
        <w:t>С</w:t>
      </w:r>
      <w:r w:rsidRPr="00CA7AD8">
        <w:t>.</w:t>
      </w:r>
      <w:r w:rsidRPr="009A4DCC">
        <w:t>В</w:t>
      </w:r>
      <w:r w:rsidRPr="00CA7AD8">
        <w:t xml:space="preserve">., </w:t>
      </w:r>
      <w:r w:rsidRPr="009A4DCC">
        <w:t>Клясова</w:t>
      </w:r>
      <w:r w:rsidRPr="00CA7AD8">
        <w:t xml:space="preserve"> </w:t>
      </w:r>
      <w:r w:rsidRPr="009A4DCC">
        <w:t>Г</w:t>
      </w:r>
      <w:r w:rsidRPr="00CA7AD8">
        <w:t>.</w:t>
      </w:r>
      <w:r w:rsidRPr="009A4DCC">
        <w:t>А</w:t>
      </w:r>
      <w:r w:rsidRPr="00CA7AD8">
        <w:t xml:space="preserve">., </w:t>
      </w:r>
      <w:r w:rsidRPr="009A4DCC">
        <w:t>Данишян</w:t>
      </w:r>
      <w:r w:rsidRPr="00CA7AD8">
        <w:t xml:space="preserve"> </w:t>
      </w:r>
      <w:r w:rsidRPr="009A4DCC">
        <w:t>К</w:t>
      </w:r>
      <w:r w:rsidRPr="00CA7AD8">
        <w:t>.</w:t>
      </w:r>
      <w:r w:rsidRPr="009A4DCC">
        <w:t>И</w:t>
      </w:r>
      <w:r w:rsidRPr="00CA7AD8">
        <w:t xml:space="preserve">. </w:t>
      </w:r>
      <w:r w:rsidRPr="009A4DCC">
        <w:t>и</w:t>
      </w:r>
      <w:r w:rsidRPr="00CA7AD8">
        <w:t xml:space="preserve"> </w:t>
      </w:r>
      <w:r w:rsidRPr="009A4DCC">
        <w:t>др</w:t>
      </w:r>
      <w:r w:rsidRPr="00CA7AD8">
        <w:t xml:space="preserve">. </w:t>
      </w:r>
      <w:r w:rsidRPr="009A4DCC">
        <w:t xml:space="preserve">Перианальная инфекция у больных гемобластозами: факторы риска и возможности профилактики. Терапевтический архив. 2016;7:72-77. </w:t>
      </w:r>
      <w:r w:rsidRPr="006B3E7C">
        <w:t>doi</w:t>
      </w:r>
      <w:r w:rsidRPr="009A4DCC">
        <w:t>: 10.17116/</w:t>
      </w:r>
      <w:r w:rsidRPr="006B3E7C">
        <w:t>terarkh</w:t>
      </w:r>
      <w:r w:rsidRPr="009A4DCC">
        <w:t xml:space="preserve">201688772-77 </w:t>
      </w:r>
    </w:p>
    <w:p w14:paraId="5C2F24C0" w14:textId="77777777" w:rsidR="006D503D" w:rsidRPr="006D503D" w:rsidRDefault="006D503D" w:rsidP="006D503D">
      <w:pPr>
        <w:tabs>
          <w:tab w:val="left" w:pos="0"/>
        </w:tabs>
        <w:spacing w:before="0" w:after="0"/>
        <w:rPr>
          <w:lang w:val="en-US"/>
        </w:rPr>
      </w:pPr>
      <w:r w:rsidRPr="004B0830">
        <w:rPr>
          <w:lang w:val="en-US"/>
        </w:rPr>
        <w:t xml:space="preserve">17. </w:t>
      </w:r>
      <w:r w:rsidRPr="006D503D">
        <w:rPr>
          <w:lang w:val="en-US"/>
        </w:rPr>
        <w:t>Solmaz</w:t>
      </w:r>
      <w:r w:rsidRPr="004B0830">
        <w:rPr>
          <w:lang w:val="en-US"/>
        </w:rPr>
        <w:t xml:space="preserve"> </w:t>
      </w:r>
      <w:r w:rsidRPr="006D503D">
        <w:rPr>
          <w:lang w:val="en-US"/>
        </w:rPr>
        <w:t>S</w:t>
      </w:r>
      <w:r w:rsidRPr="004B0830">
        <w:rPr>
          <w:lang w:val="en-US"/>
        </w:rPr>
        <w:t xml:space="preserve">, </w:t>
      </w:r>
      <w:r w:rsidRPr="006D503D">
        <w:rPr>
          <w:lang w:val="en-US"/>
        </w:rPr>
        <w:t>Korur</w:t>
      </w:r>
      <w:r w:rsidRPr="004B0830">
        <w:rPr>
          <w:lang w:val="en-US"/>
        </w:rPr>
        <w:t xml:space="preserve"> </w:t>
      </w:r>
      <w:r w:rsidRPr="006D503D">
        <w:rPr>
          <w:lang w:val="en-US"/>
        </w:rPr>
        <w:t>A</w:t>
      </w:r>
      <w:r w:rsidRPr="004B0830">
        <w:rPr>
          <w:lang w:val="en-US"/>
        </w:rPr>
        <w:t xml:space="preserve">, </w:t>
      </w:r>
      <w:r w:rsidRPr="006D503D">
        <w:rPr>
          <w:lang w:val="en-US"/>
        </w:rPr>
        <w:t>Gereklio</w:t>
      </w:r>
      <w:r w:rsidRPr="004B0830">
        <w:rPr>
          <w:lang w:val="en-US"/>
        </w:rPr>
        <w:t>ğ</w:t>
      </w:r>
      <w:r w:rsidRPr="006D503D">
        <w:rPr>
          <w:lang w:val="en-US"/>
        </w:rPr>
        <w:t>lu</w:t>
      </w:r>
      <w:r w:rsidRPr="004B0830">
        <w:rPr>
          <w:lang w:val="en-US"/>
        </w:rPr>
        <w:t xml:space="preserve"> Ç, </w:t>
      </w:r>
      <w:r w:rsidRPr="006D503D">
        <w:rPr>
          <w:lang w:val="en-US"/>
        </w:rPr>
        <w:t>et</w:t>
      </w:r>
      <w:r w:rsidRPr="004B0830">
        <w:rPr>
          <w:lang w:val="en-US"/>
        </w:rPr>
        <w:t xml:space="preserve"> </w:t>
      </w:r>
      <w:r w:rsidRPr="006D503D">
        <w:rPr>
          <w:lang w:val="en-US"/>
        </w:rPr>
        <w:t>al</w:t>
      </w:r>
      <w:r w:rsidRPr="004B0830">
        <w:rPr>
          <w:lang w:val="en-US"/>
        </w:rPr>
        <w:t xml:space="preserve">. </w:t>
      </w:r>
      <w:r w:rsidRPr="006D503D">
        <w:rPr>
          <w:lang w:val="en-US"/>
        </w:rPr>
        <w:t>Anorectal Complications During Neutropenic Period in Patients with Hematologic Diseases. Mediterr J Hematol Infect Dis. 2016 Mar 1;8(1):e2016019. doi: 10.4084/MJHID.2016.019. eCollection 2016.PMID: 26977278</w:t>
      </w:r>
    </w:p>
    <w:p w14:paraId="17A1C3ED" w14:textId="77777777" w:rsidR="006D503D" w:rsidRPr="00FD15FE" w:rsidRDefault="006D503D" w:rsidP="006D503D">
      <w:pPr>
        <w:tabs>
          <w:tab w:val="left" w:pos="0"/>
        </w:tabs>
        <w:spacing w:before="0" w:after="0"/>
        <w:rPr>
          <w:lang w:val="en-US"/>
        </w:rPr>
      </w:pPr>
      <w:r w:rsidRPr="006D503D">
        <w:rPr>
          <w:lang w:val="en-US"/>
        </w:rPr>
        <w:t xml:space="preserve">18. Loureiro RV, Borges VP, Tomé AL et al. Anorectal complications in patients with haematological malignancies. </w:t>
      </w:r>
      <w:r w:rsidRPr="00FD15FE">
        <w:rPr>
          <w:lang w:val="en-US"/>
        </w:rPr>
        <w:t>Eur J Gastroenterol Hepatol. 2018 Jul;30(7):722-726. doi: 10.1097/MEG.0000000000001133.</w:t>
      </w:r>
    </w:p>
    <w:p w14:paraId="33E61D56" w14:textId="77777777" w:rsidR="006D503D" w:rsidRPr="00FD15FE" w:rsidRDefault="006D503D" w:rsidP="006D503D">
      <w:pPr>
        <w:tabs>
          <w:tab w:val="left" w:pos="0"/>
        </w:tabs>
        <w:spacing w:before="0" w:after="0"/>
        <w:rPr>
          <w:lang w:val="en-US"/>
        </w:rPr>
      </w:pPr>
      <w:r w:rsidRPr="006D503D">
        <w:rPr>
          <w:lang w:val="en-US"/>
        </w:rPr>
        <w:lastRenderedPageBreak/>
        <w:t xml:space="preserve">19. Vogel JD, Johnson EK, Morris AM et al. Clinical Practice Guideline for the Management of Anorectal Abscess, Fistula-in-Ano, and Rectovaginal Fistula. </w:t>
      </w:r>
      <w:r w:rsidRPr="00FD15FE">
        <w:rPr>
          <w:lang w:val="en-US"/>
        </w:rPr>
        <w:t>Dis Colon Rectum. 2016 Dec;59(12):1117-1133. No abstract available. PMID: 27824697</w:t>
      </w:r>
    </w:p>
    <w:p w14:paraId="1E003599" w14:textId="77777777" w:rsidR="006D503D" w:rsidRPr="00FD15FE" w:rsidRDefault="006D503D" w:rsidP="006D503D">
      <w:pPr>
        <w:tabs>
          <w:tab w:val="left" w:pos="0"/>
        </w:tabs>
        <w:spacing w:before="0" w:after="0"/>
        <w:rPr>
          <w:lang w:val="en-US"/>
        </w:rPr>
      </w:pPr>
      <w:r w:rsidRPr="006D503D">
        <w:rPr>
          <w:lang w:val="en-US"/>
        </w:rPr>
        <w:t xml:space="preserve">20. Haliloglu N., Gulpinar B., Ozkavukcu E. et al. Typical MR imaging findings of perianal infections in patients with hematologic malignancies. </w:t>
      </w:r>
      <w:r w:rsidRPr="00FD15FE">
        <w:rPr>
          <w:lang w:val="en-US"/>
        </w:rPr>
        <w:t>Eur J Radiol. 2017 Aug;93:284-288. doi: 10.1016/j.ejrad.2017.05.046.</w:t>
      </w:r>
    </w:p>
    <w:p w14:paraId="091501C2" w14:textId="77777777" w:rsidR="006D503D" w:rsidRPr="006D503D" w:rsidRDefault="006D503D" w:rsidP="006D503D">
      <w:pPr>
        <w:tabs>
          <w:tab w:val="left" w:pos="0"/>
        </w:tabs>
        <w:spacing w:before="0" w:after="0"/>
        <w:rPr>
          <w:lang w:val="en-US"/>
        </w:rPr>
      </w:pPr>
      <w:r w:rsidRPr="006D503D">
        <w:rPr>
          <w:lang w:val="en-US"/>
        </w:rPr>
        <w:t>21.Morcos B., Amarin R., Abu Sba A. et al. Contemporary management of perianal conditions in febrile neutropenic patients. Eur. J. Surg. Oncol. 2013; 39(4): 404–7. doi: 10.1016/j.ejso</w:t>
      </w:r>
    </w:p>
    <w:p w14:paraId="05F1146C" w14:textId="77777777" w:rsidR="006D503D" w:rsidRPr="006D503D" w:rsidRDefault="006D503D" w:rsidP="006D503D">
      <w:pPr>
        <w:tabs>
          <w:tab w:val="left" w:pos="0"/>
        </w:tabs>
        <w:spacing w:before="0" w:after="0"/>
        <w:rPr>
          <w:lang w:val="en-US"/>
        </w:rPr>
      </w:pPr>
      <w:r w:rsidRPr="006D503D">
        <w:rPr>
          <w:lang w:val="en-US"/>
        </w:rPr>
        <w:t>10. Chen C.Y., Cheng A., Huang S.Y. et al. Clinical and microbiological characteristics of perianal infections in adult patients with acute leukemia. PLoS One. 2013; 8(4); doi:10.1371/journal.pone.0060624;http://www.plosone.orghttp://www.pubmedcentral.gov/tocrender.fcgi?journal=440</w:t>
      </w:r>
    </w:p>
    <w:p w14:paraId="0CA91568" w14:textId="77777777" w:rsidR="006D503D" w:rsidRPr="006D503D" w:rsidRDefault="006D503D" w:rsidP="006D503D">
      <w:pPr>
        <w:tabs>
          <w:tab w:val="left" w:pos="0"/>
        </w:tabs>
        <w:spacing w:before="0" w:after="0"/>
        <w:rPr>
          <w:lang w:val="en-US"/>
        </w:rPr>
      </w:pPr>
      <w:r w:rsidRPr="006D503D">
        <w:rPr>
          <w:lang w:val="en-US"/>
        </w:rPr>
        <w:t>11. Ashkar C, Britto M, Carne P, Cheung W, Mirbagheri N. Perianal sepsis in neutropaenic patients with haematological malignancies: the role of magnetic resonance imaging and surgery ANZ J Surg. 2020 Feb 18. doi: 10.1111/ans.15744. Online ahead of print.PMID: 32072724</w:t>
      </w:r>
    </w:p>
    <w:p w14:paraId="755DC377" w14:textId="68B424B3" w:rsidR="006D503D" w:rsidRPr="00FD15FE" w:rsidRDefault="006D503D" w:rsidP="006D503D">
      <w:pPr>
        <w:tabs>
          <w:tab w:val="left" w:pos="0"/>
        </w:tabs>
        <w:spacing w:before="0" w:after="0"/>
        <w:rPr>
          <w:lang w:val="en-US"/>
        </w:rPr>
      </w:pPr>
      <w:r w:rsidRPr="006D503D">
        <w:rPr>
          <w:lang w:val="en-US"/>
        </w:rPr>
        <w:t xml:space="preserve">12  Plumb AA, Halligan S, Bhatnagar G et al.. Perianal Sepsis in Hematologic Malignancy: MR Imaging Appearances and Distinction from Cryptoglandular Infection in Immunocompetent Patients. </w:t>
      </w:r>
      <w:r w:rsidRPr="00FD15FE">
        <w:rPr>
          <w:lang w:val="en-US"/>
        </w:rPr>
        <w:t>Radiology. 2015 Jul;276(1):147-55. doi: 10.1148/radiol.15141662. Epub 2015 Mar 10.PMID: 25759970</w:t>
      </w:r>
    </w:p>
    <w:p w14:paraId="5784C4E8" w14:textId="62538E62" w:rsidR="006D503D" w:rsidRPr="00FD15FE" w:rsidRDefault="006D503D">
      <w:pPr>
        <w:spacing w:before="0" w:after="0" w:line="240" w:lineRule="auto"/>
        <w:jc w:val="left"/>
        <w:rPr>
          <w:lang w:val="en-US"/>
        </w:rPr>
      </w:pPr>
      <w:r w:rsidRPr="00FD15FE">
        <w:rPr>
          <w:lang w:val="en-US"/>
        </w:rPr>
        <w:br w:type="page"/>
      </w:r>
    </w:p>
    <w:p w14:paraId="4EB1D5D0" w14:textId="512627DF" w:rsidR="006D503D" w:rsidRPr="00FD15FE" w:rsidRDefault="00683A05" w:rsidP="00683A05">
      <w:pPr>
        <w:pStyle w:val="1"/>
        <w:rPr>
          <w:lang w:val="en-US"/>
        </w:rPr>
      </w:pPr>
      <w:bookmarkStart w:id="88" w:name="_Toc53140933"/>
      <w:r w:rsidRPr="00683A05">
        <w:lastRenderedPageBreak/>
        <w:t>Приложение</w:t>
      </w:r>
      <w:r w:rsidRPr="00FD15FE">
        <w:rPr>
          <w:lang w:val="en-US"/>
        </w:rPr>
        <w:t xml:space="preserve"> </w:t>
      </w:r>
      <w:r w:rsidRPr="00683A05">
        <w:t>Г</w:t>
      </w:r>
      <w:r w:rsidRPr="00FD15FE">
        <w:rPr>
          <w:lang w:val="en-US"/>
        </w:rPr>
        <w:t xml:space="preserve">13. </w:t>
      </w:r>
      <w:r w:rsidR="006D503D" w:rsidRPr="00FD15FE">
        <w:rPr>
          <w:lang w:val="en-US"/>
        </w:rPr>
        <w:t>«</w:t>
      </w:r>
      <w:r w:rsidRPr="00683A05">
        <w:t>Л</w:t>
      </w:r>
      <w:r w:rsidR="006D503D" w:rsidRPr="00683A05">
        <w:t>ечение</w:t>
      </w:r>
      <w:r w:rsidR="006D503D" w:rsidRPr="00FD15FE">
        <w:rPr>
          <w:lang w:val="en-US"/>
        </w:rPr>
        <w:t xml:space="preserve"> </w:t>
      </w:r>
      <w:r w:rsidR="006D503D" w:rsidRPr="00683A05">
        <w:t>вирусных</w:t>
      </w:r>
      <w:r w:rsidR="006D503D" w:rsidRPr="00FD15FE">
        <w:rPr>
          <w:lang w:val="en-US"/>
        </w:rPr>
        <w:t xml:space="preserve"> </w:t>
      </w:r>
      <w:r w:rsidR="006D503D" w:rsidRPr="00683A05">
        <w:t>инфекций</w:t>
      </w:r>
      <w:r w:rsidR="006D503D" w:rsidRPr="00FD15FE">
        <w:rPr>
          <w:lang w:val="en-US"/>
        </w:rPr>
        <w:t>»</w:t>
      </w:r>
      <w:bookmarkEnd w:id="88"/>
    </w:p>
    <w:p w14:paraId="6770552B" w14:textId="77777777" w:rsidR="006D503D" w:rsidRPr="00044498" w:rsidRDefault="006D503D" w:rsidP="006D503D">
      <w:pPr>
        <w:spacing w:before="0" w:after="0"/>
        <w:rPr>
          <w:b/>
        </w:rPr>
      </w:pPr>
      <w:r w:rsidRPr="00044498">
        <w:rPr>
          <w:b/>
        </w:rPr>
        <w:t>Список сокращений</w:t>
      </w:r>
    </w:p>
    <w:p w14:paraId="5B805119" w14:textId="77777777" w:rsidR="006D503D" w:rsidRPr="00053026" w:rsidRDefault="006D503D" w:rsidP="006D503D">
      <w:pPr>
        <w:spacing w:before="0" w:after="0"/>
      </w:pPr>
      <w:r w:rsidRPr="00053026">
        <w:t>ДНК – дезоксирибонуклеиновая кислота</w:t>
      </w:r>
    </w:p>
    <w:p w14:paraId="64B41D4C" w14:textId="77777777" w:rsidR="006D503D" w:rsidRPr="00053026" w:rsidRDefault="006D503D" w:rsidP="006D503D">
      <w:pPr>
        <w:spacing w:before="0" w:after="0"/>
      </w:pPr>
      <w:r w:rsidRPr="00053026">
        <w:t>ОМЛ – острый миелоидный лейкоз</w:t>
      </w:r>
    </w:p>
    <w:p w14:paraId="6CD4D80E" w14:textId="77777777" w:rsidR="006D503D" w:rsidRPr="00053026" w:rsidRDefault="006D503D" w:rsidP="006D503D">
      <w:pPr>
        <w:spacing w:before="0" w:after="0"/>
      </w:pPr>
      <w:r w:rsidRPr="00053026">
        <w:t>ПХТ – полихимиотерапия</w:t>
      </w:r>
    </w:p>
    <w:p w14:paraId="3C717D0F" w14:textId="77777777" w:rsidR="006D503D" w:rsidRPr="00053026" w:rsidRDefault="006D503D" w:rsidP="006D503D">
      <w:pPr>
        <w:spacing w:before="0" w:after="0"/>
      </w:pPr>
      <w:r w:rsidRPr="00053026">
        <w:t>ПЦР – полимеразная цепная реакция</w:t>
      </w:r>
    </w:p>
    <w:p w14:paraId="68D7788C" w14:textId="77777777" w:rsidR="006D503D" w:rsidRDefault="006D503D" w:rsidP="006D503D">
      <w:pPr>
        <w:spacing w:before="0" w:after="0"/>
      </w:pPr>
      <w:r w:rsidRPr="00053026">
        <w:t>РТПХ – реакция «трансплантат против хозяина»</w:t>
      </w:r>
    </w:p>
    <w:p w14:paraId="2D38735E" w14:textId="77777777" w:rsidR="006D503D" w:rsidRPr="00053026" w:rsidRDefault="006D503D" w:rsidP="006D503D">
      <w:pPr>
        <w:spacing w:before="0" w:after="0"/>
      </w:pPr>
      <w:r w:rsidRPr="00053026">
        <w:t>СМЖ</w:t>
      </w:r>
      <w:r>
        <w:t xml:space="preserve"> – спинномозговая жидкость</w:t>
      </w:r>
    </w:p>
    <w:p w14:paraId="69AEB530" w14:textId="77777777" w:rsidR="006D503D" w:rsidRPr="00053026" w:rsidRDefault="006D503D" w:rsidP="006D503D">
      <w:pPr>
        <w:spacing w:before="0" w:after="0"/>
      </w:pPr>
      <w:r w:rsidRPr="00053026">
        <w:t>ТГСК – трансплантация гемопоэтических стволовых клеток</w:t>
      </w:r>
    </w:p>
    <w:p w14:paraId="6E69DCAF" w14:textId="77777777" w:rsidR="006D503D" w:rsidRPr="00053026" w:rsidRDefault="006D503D" w:rsidP="006D503D">
      <w:pPr>
        <w:spacing w:before="0" w:after="0"/>
      </w:pPr>
      <w:r w:rsidRPr="00053026">
        <w:t>ХЛЛ – хронический лимфолейкоз</w:t>
      </w:r>
    </w:p>
    <w:p w14:paraId="6E441524" w14:textId="77777777" w:rsidR="006D503D" w:rsidRPr="00053026" w:rsidRDefault="006D503D" w:rsidP="006D503D">
      <w:pPr>
        <w:spacing w:before="0" w:after="0"/>
      </w:pPr>
      <w:r w:rsidRPr="00053026">
        <w:t>CMV – cytomegalovirus</w:t>
      </w:r>
    </w:p>
    <w:p w14:paraId="44EBF1C0" w14:textId="77777777" w:rsidR="006D503D" w:rsidRPr="0028579C" w:rsidRDefault="006D503D" w:rsidP="006D503D">
      <w:pPr>
        <w:spacing w:before="0" w:after="0"/>
      </w:pPr>
      <w:r w:rsidRPr="00053026">
        <w:t>EBV</w:t>
      </w:r>
      <w:r w:rsidRPr="0028579C">
        <w:t xml:space="preserve"> – </w:t>
      </w:r>
      <w:r w:rsidRPr="00053026">
        <w:t>Epstein</w:t>
      </w:r>
      <w:r w:rsidRPr="0028579C">
        <w:t>-</w:t>
      </w:r>
      <w:r w:rsidRPr="00053026">
        <w:t>Barr</w:t>
      </w:r>
      <w:r w:rsidRPr="0028579C">
        <w:t xml:space="preserve"> </w:t>
      </w:r>
      <w:r w:rsidRPr="00053026">
        <w:t>virus</w:t>
      </w:r>
    </w:p>
    <w:p w14:paraId="2AA62D57" w14:textId="77777777" w:rsidR="006D503D" w:rsidRPr="006D503D" w:rsidRDefault="006D503D" w:rsidP="006D503D">
      <w:pPr>
        <w:spacing w:before="0" w:after="0"/>
        <w:rPr>
          <w:lang w:val="en-US"/>
        </w:rPr>
      </w:pPr>
      <w:r w:rsidRPr="006D503D">
        <w:rPr>
          <w:lang w:val="en-US"/>
        </w:rPr>
        <w:t>HHV-6 – Human herpes virus 6</w:t>
      </w:r>
    </w:p>
    <w:p w14:paraId="44262D3C" w14:textId="77777777" w:rsidR="006D503D" w:rsidRPr="006D503D" w:rsidRDefault="006D503D" w:rsidP="006D503D">
      <w:pPr>
        <w:spacing w:before="0" w:after="0"/>
        <w:rPr>
          <w:lang w:val="en-US"/>
        </w:rPr>
      </w:pPr>
      <w:r w:rsidRPr="006D503D">
        <w:rPr>
          <w:lang w:val="en-US"/>
        </w:rPr>
        <w:t>HSV – Herpes simplex virus</w:t>
      </w:r>
    </w:p>
    <w:p w14:paraId="07A22D58" w14:textId="77777777" w:rsidR="006D503D" w:rsidRPr="006D503D" w:rsidRDefault="006D503D" w:rsidP="006D503D">
      <w:pPr>
        <w:spacing w:before="0" w:after="0"/>
        <w:rPr>
          <w:lang w:val="en-US"/>
        </w:rPr>
      </w:pPr>
      <w:r w:rsidRPr="006D503D">
        <w:rPr>
          <w:lang w:val="en-US"/>
        </w:rPr>
        <w:t>HZV – Herpes zoster virus</w:t>
      </w:r>
    </w:p>
    <w:p w14:paraId="1697E0AB" w14:textId="77777777" w:rsidR="006D503D" w:rsidRPr="00FD15FE" w:rsidRDefault="006D503D" w:rsidP="006D503D">
      <w:pPr>
        <w:spacing w:before="0" w:after="0"/>
        <w:ind w:firstLine="708"/>
        <w:rPr>
          <w:b/>
          <w:lang w:val="en-US"/>
        </w:rPr>
      </w:pPr>
      <w:r w:rsidRPr="00BB152B">
        <w:rPr>
          <w:b/>
        </w:rPr>
        <w:t>Общие</w:t>
      </w:r>
      <w:r w:rsidRPr="00FD15FE">
        <w:rPr>
          <w:b/>
          <w:lang w:val="en-US"/>
        </w:rPr>
        <w:t xml:space="preserve"> </w:t>
      </w:r>
      <w:r w:rsidRPr="00BB152B">
        <w:rPr>
          <w:b/>
        </w:rPr>
        <w:t>сведения</w:t>
      </w:r>
      <w:r w:rsidRPr="00FD15FE">
        <w:rPr>
          <w:b/>
          <w:lang w:val="en-US"/>
        </w:rPr>
        <w:t>.</w:t>
      </w:r>
    </w:p>
    <w:p w14:paraId="5B92BDF0" w14:textId="270B00E3" w:rsidR="006D503D" w:rsidRDefault="006D503D" w:rsidP="006D503D">
      <w:pPr>
        <w:spacing w:before="0" w:after="0"/>
        <w:ind w:firstLine="708"/>
      </w:pPr>
      <w:r w:rsidRPr="0028579C">
        <w:t xml:space="preserve">Герпесвирусные инфекции диагностируют </w:t>
      </w:r>
      <w:r>
        <w:t>чаще</w:t>
      </w:r>
      <w:r w:rsidRPr="0028579C">
        <w:t xml:space="preserve"> всего у </w:t>
      </w:r>
      <w:r>
        <w:t>гематологических пациентов с</w:t>
      </w:r>
      <w:r w:rsidRPr="0028579C">
        <w:t xml:space="preserve"> лимфопролиферативными заболеваниями</w:t>
      </w:r>
      <w:r>
        <w:t>, в том числе множественной миеломой</w:t>
      </w:r>
      <w:r w:rsidRPr="0028579C">
        <w:t xml:space="preserve">. </w:t>
      </w:r>
      <w:r>
        <w:t>Для диагностики герпесвирусных инфекций проводят комплекс необходимых инструментальных исследований для получения материала – исследование полости рта, промежности, влагалища, прямой кишки, эзофагогастродуоденоскопия, бронхоальвеалярный лаваж, люмбальная пункция, пункция/биопсия ткани/очага поражения любой локализации, выявленных при УЗИ, КТ/СКТ, МРТ органов и полостей, или физикально (</w:t>
      </w:r>
      <w:r w:rsidRPr="0028579C">
        <w:t>везикул</w:t>
      </w:r>
      <w:r>
        <w:t>ы</w:t>
      </w:r>
      <w:r w:rsidRPr="0028579C">
        <w:t>, “корочки” с везикул</w:t>
      </w:r>
      <w:r>
        <w:t xml:space="preserve">), </w:t>
      </w:r>
      <w:r w:rsidRPr="0028579C">
        <w:t>сыворотк</w:t>
      </w:r>
      <w:r>
        <w:t>а</w:t>
      </w:r>
      <w:r w:rsidRPr="0028579C">
        <w:t xml:space="preserve"> крови</w:t>
      </w:r>
      <w:r>
        <w:t>, и др</w:t>
      </w:r>
      <w:r w:rsidRPr="0028579C">
        <w:t>.</w:t>
      </w:r>
    </w:p>
    <w:p w14:paraId="278D7469" w14:textId="77777777" w:rsidR="006D503D" w:rsidRPr="00044498" w:rsidRDefault="006D503D" w:rsidP="00CE6C1C">
      <w:pPr>
        <w:pStyle w:val="a6"/>
        <w:numPr>
          <w:ilvl w:val="0"/>
          <w:numId w:val="148"/>
        </w:numPr>
        <w:spacing w:before="0" w:after="0"/>
        <w:rPr>
          <w:b/>
        </w:rPr>
      </w:pPr>
      <w:r w:rsidRPr="00044498">
        <w:rPr>
          <w:b/>
        </w:rPr>
        <w:t>Вирусы простого герпеса 1 и 2 типа (Herpes simplex virus, HSV)</w:t>
      </w:r>
    </w:p>
    <w:p w14:paraId="78B799E9" w14:textId="3468E285" w:rsidR="006D503D" w:rsidRPr="006B215F" w:rsidRDefault="006D503D" w:rsidP="006D503D">
      <w:pPr>
        <w:spacing w:before="0" w:after="0"/>
        <w:ind w:firstLine="708"/>
      </w:pPr>
      <w:r>
        <w:t>HSV</w:t>
      </w:r>
      <w:r w:rsidRPr="006B215F">
        <w:t xml:space="preserve"> вызывают у </w:t>
      </w:r>
      <w:r>
        <w:t>пациентов</w:t>
      </w:r>
      <w:r w:rsidRPr="006B215F">
        <w:t xml:space="preserve"> прежде всего </w:t>
      </w:r>
      <w:r w:rsidRPr="0028579C">
        <w:t xml:space="preserve">повреждение слизистых оболочек (мукозиты), чаще HSV 1 тип. До 80% взрослых </w:t>
      </w:r>
      <w:r>
        <w:t xml:space="preserve">пациентов с </w:t>
      </w:r>
      <w:r w:rsidRPr="0028579C">
        <w:t>острыми миелоидными лейкозами (ОМЛ) являются серопозитивными</w:t>
      </w:r>
      <w:r>
        <w:t xml:space="preserve"> по HSV</w:t>
      </w:r>
      <w:r w:rsidRPr="0028579C">
        <w:t>. Мукозиты, вызванные HSV, являются</w:t>
      </w:r>
      <w:r>
        <w:t>,</w:t>
      </w:r>
      <w:r w:rsidRPr="0028579C">
        <w:t xml:space="preserve"> как правило</w:t>
      </w:r>
      <w:r>
        <w:t>,</w:t>
      </w:r>
      <w:r w:rsidRPr="0028579C">
        <w:t xml:space="preserve"> проявлением реактивации латентной вирусной инфекции во время курсов полихимиотерапии (ПХТ) и у реципиентов ТГСК. </w:t>
      </w:r>
      <w:r w:rsidRPr="006B215F">
        <w:t xml:space="preserve">При реактивации </w:t>
      </w:r>
      <w:r>
        <w:t>HSV</w:t>
      </w:r>
      <w:r w:rsidRPr="006B215F">
        <w:t xml:space="preserve"> орофарингеальные дефекты на слизистой оболочке возникают у 85-90%, в области промежности (генитальный гесрпес) – у 10-15% больных. Другая манифестация </w:t>
      </w:r>
      <w:r w:rsidRPr="006B215F">
        <w:lastRenderedPageBreak/>
        <w:t xml:space="preserve">реактивации </w:t>
      </w:r>
      <w:r>
        <w:t>HSV</w:t>
      </w:r>
      <w:r w:rsidRPr="006B215F">
        <w:t xml:space="preserve"> – это эзофагит (10%). К редким проявлениям относят пневмонию (2-3% при отсутствии профилактики), гепатиты, менингит, энцефалит.</w:t>
      </w:r>
    </w:p>
    <w:p w14:paraId="36988192" w14:textId="77777777" w:rsidR="006D503D" w:rsidRDefault="006D503D" w:rsidP="006D503D">
      <w:pPr>
        <w:spacing w:before="0" w:after="0"/>
        <w:ind w:firstLine="708"/>
        <w:rPr>
          <w:b/>
          <w:u w:val="single"/>
        </w:rPr>
      </w:pPr>
      <w:r w:rsidRPr="006B215F">
        <w:rPr>
          <w:b/>
          <w:u w:val="single"/>
        </w:rPr>
        <w:t>Диагностика</w:t>
      </w:r>
    </w:p>
    <w:p w14:paraId="13AF9688" w14:textId="77777777" w:rsidR="006D503D" w:rsidRPr="006B215F" w:rsidRDefault="006D503D" w:rsidP="006D503D">
      <w:pPr>
        <w:spacing w:before="0" w:after="0"/>
        <w:ind w:firstLine="708"/>
      </w:pPr>
      <w:r w:rsidRPr="006B215F">
        <w:t>Серологические тесты (выявление антител</w:t>
      </w:r>
      <w:r>
        <w:t xml:space="preserve"> в крови, биологических жидкостях</w:t>
      </w:r>
      <w:r w:rsidRPr="006B215F">
        <w:t>) проводят до индукционного курса П</w:t>
      </w:r>
      <w:r>
        <w:t>ХТ и</w:t>
      </w:r>
      <w:r w:rsidRPr="006B215F">
        <w:t xml:space="preserve"> перед ТГСК с целью выявдения серопозитивных пациентов.</w:t>
      </w:r>
    </w:p>
    <w:p w14:paraId="522EA6BD" w14:textId="77777777" w:rsidR="006D503D" w:rsidRPr="006B215F" w:rsidRDefault="006D503D" w:rsidP="006D503D">
      <w:pPr>
        <w:spacing w:before="0" w:after="0"/>
        <w:ind w:firstLine="708"/>
      </w:pPr>
      <w:r w:rsidRPr="006B215F">
        <w:t xml:space="preserve">Для диагностики инфекции необходимо выявление вирусного генома </w:t>
      </w:r>
      <w:r>
        <w:t xml:space="preserve">при молекулярно-биологическом исследовании </w:t>
      </w:r>
      <w:r w:rsidRPr="006B215F">
        <w:t xml:space="preserve">методом </w:t>
      </w:r>
      <w:r w:rsidRPr="0028579C">
        <w:t>полимеразной цепной реакции (ПЦР). Исследуемые</w:t>
      </w:r>
      <w:r w:rsidRPr="006B215F">
        <w:t xml:space="preserve"> образцы – сыворотка крови, отделяемой со слизистой ротогл</w:t>
      </w:r>
      <w:r>
        <w:t>отки (</w:t>
      </w:r>
      <w:r w:rsidRPr="006B215F">
        <w:t xml:space="preserve">при наличии признаков мукозита) или со слизистой пищевода, </w:t>
      </w:r>
      <w:r>
        <w:t xml:space="preserve">аспираты и </w:t>
      </w:r>
      <w:r w:rsidRPr="006B215F">
        <w:t>биоптаты слизистых и органов.</w:t>
      </w:r>
    </w:p>
    <w:p w14:paraId="62BF7780" w14:textId="77777777" w:rsidR="006D503D" w:rsidRPr="006B215F" w:rsidRDefault="006D503D" w:rsidP="006D503D">
      <w:pPr>
        <w:spacing w:before="0" w:after="0"/>
        <w:ind w:firstLine="708"/>
        <w:rPr>
          <w:b/>
          <w:u w:val="single"/>
        </w:rPr>
      </w:pPr>
      <w:r w:rsidRPr="006B215F">
        <w:rPr>
          <w:b/>
          <w:u w:val="single"/>
        </w:rPr>
        <w:t>Лечение</w:t>
      </w:r>
    </w:p>
    <w:p w14:paraId="66585758" w14:textId="77777777" w:rsidR="006D503D" w:rsidRPr="006B215F" w:rsidRDefault="006D503D" w:rsidP="006D503D">
      <w:pPr>
        <w:spacing w:before="0" w:after="0"/>
        <w:ind w:firstLine="708"/>
      </w:pPr>
      <w:r w:rsidRPr="006B215F">
        <w:t>Назначают ацикловир в дозе 250 мг/м2 или 5 мг/кг каждые 8 часов в течение 7-10 дней. При нетяжелых мукозитах проводят лечение пероральной формой препаратов- ацикловир по 200 и 5 раз или по 400 мг 5 раз в сутки, валацикловир – по 500 мг х 2 раза, фамцикловир по 500 мг 2 раза в течение 10 дней. При пневмонии или менингите используют высокие дозы ацикловира внутривенно 500 мг/м</w:t>
      </w:r>
      <w:r w:rsidRPr="006B215F">
        <w:rPr>
          <w:vertAlign w:val="superscript"/>
        </w:rPr>
        <w:t xml:space="preserve">2 </w:t>
      </w:r>
      <w:r w:rsidRPr="006B215F">
        <w:t>или 10 мг/кг каждые 8 часов в течение 14-21 дня.</w:t>
      </w:r>
    </w:p>
    <w:p w14:paraId="661BAFBF" w14:textId="77777777" w:rsidR="006D503D" w:rsidRPr="006B215F" w:rsidRDefault="006D503D" w:rsidP="006D503D">
      <w:pPr>
        <w:spacing w:before="0" w:after="0"/>
        <w:ind w:firstLine="708"/>
      </w:pPr>
      <w:r w:rsidRPr="006B215F">
        <w:t xml:space="preserve">Длительный прием ацикловира редко приводит к развитию резистентности. Резистентность к ацикловиру является следствием длительной реактивации </w:t>
      </w:r>
      <w:r>
        <w:t>HSV.</w:t>
      </w:r>
      <w:r w:rsidRPr="006B215F">
        <w:t xml:space="preserve"> В этих случаях назначают фоскарнет внутривенно 60 м</w:t>
      </w:r>
      <w:r>
        <w:t>г/кг каждые 12 час или 40 мг/кг</w:t>
      </w:r>
      <w:r w:rsidRPr="006B215F">
        <w:t xml:space="preserve"> каждые 8 час в течение 7-21 дня или до ликвидации симптомов инфекции.</w:t>
      </w:r>
    </w:p>
    <w:p w14:paraId="4F3217FD" w14:textId="77777777" w:rsidR="006D503D" w:rsidRPr="00044498" w:rsidRDefault="006D503D" w:rsidP="00CE6C1C">
      <w:pPr>
        <w:pStyle w:val="a6"/>
        <w:numPr>
          <w:ilvl w:val="0"/>
          <w:numId w:val="147"/>
        </w:numPr>
        <w:spacing w:before="0" w:after="0"/>
        <w:rPr>
          <w:b/>
        </w:rPr>
      </w:pPr>
      <w:r w:rsidRPr="00044498">
        <w:rPr>
          <w:b/>
        </w:rPr>
        <w:t xml:space="preserve">Герпес зостер вирус (Herpes zoster virus, HZV) </w:t>
      </w:r>
    </w:p>
    <w:p w14:paraId="4FCF2A70" w14:textId="36C6E29B" w:rsidR="006D503D" w:rsidRPr="00EE012F" w:rsidRDefault="006D503D" w:rsidP="006D503D">
      <w:pPr>
        <w:spacing w:before="0" w:after="0"/>
        <w:ind w:firstLine="708"/>
      </w:pPr>
      <w:r>
        <w:t>Гематологические пациенты с лимфопролиферативными заболеваниями составляют группу повышенного риска, независимо от этапа лечения / наблюдения.</w:t>
      </w:r>
    </w:p>
    <w:p w14:paraId="599BE93F" w14:textId="77777777" w:rsidR="006D503D" w:rsidRPr="006B215F" w:rsidRDefault="006D503D" w:rsidP="006D503D">
      <w:pPr>
        <w:spacing w:before="0" w:after="0"/>
        <w:ind w:firstLine="708"/>
      </w:pPr>
      <w:r w:rsidRPr="006B215F">
        <w:t xml:space="preserve">Инфекция, вызванная </w:t>
      </w:r>
      <w:r>
        <w:t>HZV</w:t>
      </w:r>
      <w:r w:rsidRPr="006B215F">
        <w:t xml:space="preserve">, характеризуется поражением межпозвоночных ганглиев, множественными высыпаниями на коже по ходу вовлеченных в процесс нервов, часто сопровождающимися сильными болями, возможно развитие энцефалита, гепатита, пневмонии. Описаны случаи локализации </w:t>
      </w:r>
      <w:r>
        <w:t>боли в эпигастральной области,</w:t>
      </w:r>
      <w:r w:rsidRPr="006B215F">
        <w:t xml:space="preserve"> абдоминальные с развитием паралитической кишечной непроходимости.</w:t>
      </w:r>
    </w:p>
    <w:p w14:paraId="4D4FF891" w14:textId="77777777" w:rsidR="006D503D" w:rsidRPr="006B215F" w:rsidRDefault="006D503D" w:rsidP="006D503D">
      <w:pPr>
        <w:spacing w:before="0" w:after="0"/>
        <w:ind w:firstLine="708"/>
      </w:pPr>
      <w:r w:rsidRPr="006B215F">
        <w:t xml:space="preserve">Диагностику проводят на основании </w:t>
      </w:r>
      <w:r>
        <w:t xml:space="preserve">выявления </w:t>
      </w:r>
      <w:r w:rsidRPr="0028579C">
        <w:t xml:space="preserve">дезоксирибонуклеиновой кислоты (ДНК) вируса </w:t>
      </w:r>
      <w:r>
        <w:t xml:space="preserve">при молекулярно-биологическом исследовании </w:t>
      </w:r>
      <w:r w:rsidRPr="0028579C">
        <w:t>методом ПЦР. Исследуют содержимое везикул, “корочки” с везикул, биоптаты тканей, мазки со слизистой зева, спинномозговую жидкость (СМЖ), сыворотку крови</w:t>
      </w:r>
      <w:r>
        <w:t>, и др</w:t>
      </w:r>
      <w:r w:rsidRPr="0028579C">
        <w:t>.</w:t>
      </w:r>
    </w:p>
    <w:p w14:paraId="0FFFB4FC" w14:textId="77777777" w:rsidR="006D503D" w:rsidRDefault="006D503D" w:rsidP="006D503D">
      <w:pPr>
        <w:spacing w:before="0" w:after="0"/>
        <w:ind w:firstLine="708"/>
      </w:pPr>
      <w:r w:rsidRPr="006B215F">
        <w:lastRenderedPageBreak/>
        <w:t>Лечение проводят ацикловиром внутривенно в дозе 500 мг/м</w:t>
      </w:r>
      <w:r w:rsidRPr="006B215F">
        <w:rPr>
          <w:vertAlign w:val="superscript"/>
        </w:rPr>
        <w:t>2</w:t>
      </w:r>
      <w:r w:rsidRPr="006B215F">
        <w:t xml:space="preserve">, введение каждые 8 часов. При стабилизации состояния возможен переход на пероральный прием препаратов – валацикловир (по 100 мг 3 раза), фамцикловир (по 500 мг 3 раза), ацикловир (800 мг 5 раз). Общая длительность лечения составляет не менее 7 дней. В случае ацикловир-резистентных </w:t>
      </w:r>
      <w:r>
        <w:t xml:space="preserve">HZV используют фоскарнет (60 мг/кг каждые 12 час внутривенно) в течение 2х недель. </w:t>
      </w:r>
    </w:p>
    <w:p w14:paraId="5FCEE702" w14:textId="77777777" w:rsidR="006D503D" w:rsidRPr="00044498" w:rsidRDefault="006D503D" w:rsidP="00CE6C1C">
      <w:pPr>
        <w:pStyle w:val="a6"/>
        <w:numPr>
          <w:ilvl w:val="0"/>
          <w:numId w:val="147"/>
        </w:numPr>
        <w:spacing w:before="0" w:after="0"/>
        <w:rPr>
          <w:b/>
        </w:rPr>
      </w:pPr>
      <w:r w:rsidRPr="00044498">
        <w:rPr>
          <w:b/>
        </w:rPr>
        <w:t>Цитомегаловирус (Cytomegalovirus, CMV)</w:t>
      </w:r>
    </w:p>
    <w:p w14:paraId="1F813229" w14:textId="5E441F14" w:rsidR="006D503D" w:rsidRPr="006B215F" w:rsidRDefault="006D503D" w:rsidP="006D503D">
      <w:pPr>
        <w:spacing w:before="0" w:after="0"/>
        <w:ind w:firstLine="708"/>
      </w:pPr>
      <w:r w:rsidRPr="0028579C">
        <w:t xml:space="preserve">CMV остается частым осложнением </w:t>
      </w:r>
      <w:r>
        <w:t xml:space="preserve">у гематологических пациентов. </w:t>
      </w:r>
      <w:r w:rsidRPr="0028579C">
        <w:t>Виремия при лимфоидных гематологических заболеваниях (ХЛЛ, лимфомы, острый лимфобластный лейкоз) и множественной миеломе достигает 13,6% в то время при миелоидны</w:t>
      </w:r>
      <w:r>
        <w:t>х гемобластозах составляет 3,9%.</w:t>
      </w:r>
      <w:r w:rsidRPr="0028579C">
        <w:t xml:space="preserve"> Выделяют CMV</w:t>
      </w:r>
      <w:r>
        <w:t>-</w:t>
      </w:r>
      <w:r w:rsidRPr="0028579C">
        <w:t>инфекцию и CMV</w:t>
      </w:r>
      <w:r>
        <w:t>-</w:t>
      </w:r>
      <w:r w:rsidRPr="0028579C">
        <w:t>заболевание. При CMV</w:t>
      </w:r>
      <w:r>
        <w:t>-</w:t>
      </w:r>
      <w:r w:rsidRPr="0028579C">
        <w:t>инфекции определяется виремия и температура в сочетании или без подавления костно-мозгового кроветворения. В случае CMV</w:t>
      </w:r>
      <w:r>
        <w:t>-</w:t>
      </w:r>
      <w:r w:rsidRPr="0028579C">
        <w:t xml:space="preserve">заболевания вирус определяется в биоптате или из образцов, полученных в ходе инвазивных вмешательств (жидкость бронхоальвеолярного лаважа, СМЖ), </w:t>
      </w:r>
      <w:r>
        <w:t>с</w:t>
      </w:r>
      <w:r w:rsidRPr="0028579C">
        <w:t xml:space="preserve"> наличием</w:t>
      </w:r>
      <w:r w:rsidRPr="006B215F">
        <w:t xml:space="preserve"> симптомов, ассоциированных с </w:t>
      </w:r>
      <w:r>
        <w:t xml:space="preserve">локализацией мест получения </w:t>
      </w:r>
      <w:r w:rsidRPr="006B215F">
        <w:t>образц</w:t>
      </w:r>
      <w:r>
        <w:t>ов</w:t>
      </w:r>
      <w:r w:rsidRPr="006B215F">
        <w:t xml:space="preserve"> исследования. Наряду с пневмонией, энцефалитом, ретинитом может развиться </w:t>
      </w:r>
      <w:r>
        <w:t>CMV-</w:t>
      </w:r>
      <w:r w:rsidRPr="006B215F">
        <w:t xml:space="preserve">гастроинтестинальное заболевание, диагностика которого является наиболее трудной, особенно </w:t>
      </w:r>
      <w:r>
        <w:t>у пациентов</w:t>
      </w:r>
      <w:r w:rsidRPr="006B215F">
        <w:t xml:space="preserve"> с РТПХ. </w:t>
      </w:r>
    </w:p>
    <w:p w14:paraId="3A6E2117" w14:textId="77777777" w:rsidR="006D503D" w:rsidRPr="00FB3C29" w:rsidRDefault="006D503D" w:rsidP="006D503D">
      <w:pPr>
        <w:spacing w:before="0" w:after="0"/>
        <w:ind w:firstLine="708"/>
        <w:rPr>
          <w:b/>
          <w:u w:val="single"/>
        </w:rPr>
      </w:pPr>
      <w:r w:rsidRPr="00FB3C29">
        <w:rPr>
          <w:b/>
          <w:u w:val="single"/>
        </w:rPr>
        <w:t>Диагностика</w:t>
      </w:r>
    </w:p>
    <w:p w14:paraId="2A9B23A3" w14:textId="18614D23" w:rsidR="006D503D" w:rsidRPr="006B215F" w:rsidRDefault="006D503D" w:rsidP="006D503D">
      <w:pPr>
        <w:spacing w:before="0" w:after="0"/>
        <w:ind w:firstLine="708"/>
      </w:pPr>
      <w:r w:rsidRPr="006B215F">
        <w:t xml:space="preserve">Для диагностики инфекции или заболевания используют </w:t>
      </w:r>
      <w:r w:rsidRPr="00B67A55">
        <w:t>молекулярно-биологическое исследование на цитомегаловирус, включая количественное исследование</w:t>
      </w:r>
      <w:r>
        <w:t xml:space="preserve"> </w:t>
      </w:r>
      <w:r w:rsidRPr="006B215F">
        <w:t xml:space="preserve"> мето</w:t>
      </w:r>
      <w:r>
        <w:t>дом</w:t>
      </w:r>
      <w:r w:rsidRPr="006B215F">
        <w:t xml:space="preserve"> ПЦР. </w:t>
      </w:r>
    </w:p>
    <w:p w14:paraId="1CB2F298" w14:textId="77777777" w:rsidR="006D503D" w:rsidRPr="00FB3C29" w:rsidRDefault="006D503D" w:rsidP="006D503D">
      <w:pPr>
        <w:spacing w:before="0" w:after="0"/>
        <w:ind w:firstLine="708"/>
        <w:rPr>
          <w:b/>
          <w:u w:val="single"/>
        </w:rPr>
      </w:pPr>
      <w:r w:rsidRPr="00FB3C29">
        <w:rPr>
          <w:b/>
          <w:u w:val="single"/>
        </w:rPr>
        <w:t>Лечение</w:t>
      </w:r>
    </w:p>
    <w:p w14:paraId="1811648C" w14:textId="77777777" w:rsidR="006D503D" w:rsidRPr="006B215F" w:rsidRDefault="006D503D" w:rsidP="006D503D">
      <w:pPr>
        <w:spacing w:before="0" w:after="0"/>
        <w:ind w:firstLine="708"/>
      </w:pPr>
      <w:r w:rsidRPr="006B215F">
        <w:t>Препаратом 1й линии является ганцикловир (внутривенно, 10 мг/кг/сутки, дозу разделяют на два приема). При резистентности назначают фоскарнет. Длительность лечения составляет не мене 2 недель. Назначают поддерживающую терапию ганцикловиром, если виремия продолжает определяться через 2 недели.</w:t>
      </w:r>
    </w:p>
    <w:p w14:paraId="6E4B1298" w14:textId="77777777" w:rsidR="006D503D" w:rsidRPr="00044498" w:rsidRDefault="006D503D" w:rsidP="00CE6C1C">
      <w:pPr>
        <w:pStyle w:val="a6"/>
        <w:numPr>
          <w:ilvl w:val="0"/>
          <w:numId w:val="147"/>
        </w:numPr>
        <w:spacing w:before="0" w:after="0"/>
        <w:rPr>
          <w:b/>
        </w:rPr>
      </w:pPr>
      <w:r w:rsidRPr="00044498">
        <w:rPr>
          <w:b/>
        </w:rPr>
        <w:t>Вирус Эпштейна-Барр (Epstein-Barr virus – EBV)</w:t>
      </w:r>
    </w:p>
    <w:p w14:paraId="511532D9" w14:textId="67D8FB26" w:rsidR="006D503D" w:rsidRDefault="006D503D" w:rsidP="006D503D">
      <w:pPr>
        <w:spacing w:before="0" w:after="0"/>
        <w:ind w:firstLine="708"/>
      </w:pPr>
      <w:r w:rsidRPr="003605AD">
        <w:t xml:space="preserve">Проявления </w:t>
      </w:r>
      <w:r>
        <w:t>EBV</w:t>
      </w:r>
      <w:r w:rsidRPr="00275E66">
        <w:t>-</w:t>
      </w:r>
      <w:r w:rsidRPr="003605AD">
        <w:t xml:space="preserve">инфекции могут быть в виде </w:t>
      </w:r>
      <w:r>
        <w:t>инфекционного мононуклеоза, хронической EBV</w:t>
      </w:r>
      <w:r w:rsidRPr="00275E66">
        <w:t>-</w:t>
      </w:r>
      <w:r>
        <w:t xml:space="preserve">инфекции, EBV-ассоциированной опухоли. В некоторых случаях проявлением реактивации бывает энцефалит, пневмония и гепатит. </w:t>
      </w:r>
    </w:p>
    <w:p w14:paraId="354CA2BF" w14:textId="76513D9C" w:rsidR="006D503D" w:rsidRPr="006B215F" w:rsidRDefault="006D503D" w:rsidP="006D503D">
      <w:pPr>
        <w:spacing w:before="0" w:after="0"/>
        <w:ind w:firstLine="708"/>
      </w:pPr>
      <w:r>
        <w:t>Диагностика – детекция ДНК EBV</w:t>
      </w:r>
      <w:r w:rsidRPr="006B215F">
        <w:t xml:space="preserve"> методом ПЦР (количественный метод). </w:t>
      </w:r>
    </w:p>
    <w:p w14:paraId="6BDEC9DE" w14:textId="77777777" w:rsidR="006D503D" w:rsidRPr="00044498" w:rsidRDefault="006D503D" w:rsidP="00CE6C1C">
      <w:pPr>
        <w:pStyle w:val="a6"/>
        <w:numPr>
          <w:ilvl w:val="0"/>
          <w:numId w:val="147"/>
        </w:numPr>
        <w:spacing w:before="0" w:after="0"/>
        <w:rPr>
          <w:b/>
        </w:rPr>
      </w:pPr>
      <w:r w:rsidRPr="00044498">
        <w:rPr>
          <w:b/>
        </w:rPr>
        <w:t>Вирус герпеса человека 6 типа (Human herpes virus 6 – HHV-6)</w:t>
      </w:r>
    </w:p>
    <w:p w14:paraId="5CF34D85" w14:textId="25B57B7D" w:rsidR="006D503D" w:rsidRPr="006B215F" w:rsidRDefault="006D503D" w:rsidP="006D503D">
      <w:pPr>
        <w:spacing w:before="0" w:after="0"/>
        <w:ind w:firstLine="708"/>
      </w:pPr>
      <w:r>
        <w:lastRenderedPageBreak/>
        <w:t>Среди</w:t>
      </w:r>
      <w:r w:rsidRPr="006B215F">
        <w:rPr>
          <w:b/>
        </w:rPr>
        <w:t xml:space="preserve"> </w:t>
      </w:r>
      <w:r w:rsidRPr="00620C7D">
        <w:t>HHV</w:t>
      </w:r>
      <w:r w:rsidRPr="006B215F">
        <w:t xml:space="preserve">6 выделяют тип А и тип В. </w:t>
      </w:r>
      <w:r>
        <w:t xml:space="preserve">Реактивация вируса может приводить к развитию энцефалита, угнетению костно-мозгового кроветворения, пневмонии, быть причиной диареи. </w:t>
      </w:r>
    </w:p>
    <w:p w14:paraId="7CF1DB87" w14:textId="77777777" w:rsidR="006D503D" w:rsidRDefault="006D503D" w:rsidP="006D503D">
      <w:pPr>
        <w:spacing w:before="0" w:after="0"/>
        <w:ind w:firstLine="708"/>
      </w:pPr>
      <w:r>
        <w:t xml:space="preserve">Диагностика проводится на основании молекулярно-биологического исследования на </w:t>
      </w:r>
      <w:r w:rsidRPr="00620C7D">
        <w:t>HHV</w:t>
      </w:r>
      <w:r w:rsidRPr="006B215F">
        <w:t>6</w:t>
      </w:r>
      <w:r>
        <w:t xml:space="preserve">, выявляющая ДНК вируса методом ПЦР в крови, в СМЖ, других биологических субстратах,  в том числе, количественным методом. </w:t>
      </w:r>
    </w:p>
    <w:p w14:paraId="657FBFAE" w14:textId="77777777" w:rsidR="006D503D" w:rsidRDefault="006D503D" w:rsidP="006D503D">
      <w:pPr>
        <w:spacing w:before="0" w:after="0"/>
        <w:ind w:firstLine="708"/>
      </w:pPr>
      <w:r>
        <w:t>Лечение включает назначение ганцикловира или фоскарнета, возможно сочетанное применение препаратов. Профилактика в отношении HHV</w:t>
      </w:r>
      <w:r w:rsidRPr="006B215F">
        <w:t>-6</w:t>
      </w:r>
      <w:r>
        <w:t xml:space="preserve"> не проводится.</w:t>
      </w:r>
    </w:p>
    <w:p w14:paraId="42B388C1" w14:textId="77777777" w:rsidR="006D503D" w:rsidRPr="00044498" w:rsidRDefault="006D503D" w:rsidP="006D503D">
      <w:pPr>
        <w:spacing w:before="0" w:after="0"/>
        <w:ind w:firstLine="708"/>
        <w:rPr>
          <w:b/>
        </w:rPr>
      </w:pPr>
      <w:r w:rsidRPr="00044498">
        <w:rPr>
          <w:b/>
        </w:rPr>
        <w:t>Список литературы</w:t>
      </w:r>
    </w:p>
    <w:p w14:paraId="7C923A3D" w14:textId="77777777" w:rsidR="006D503D" w:rsidRPr="006D503D" w:rsidRDefault="006D503D" w:rsidP="006D503D">
      <w:pPr>
        <w:spacing w:before="0" w:after="0"/>
        <w:rPr>
          <w:lang w:val="en-US"/>
        </w:rPr>
      </w:pPr>
      <w:r w:rsidRPr="00CA7AD8">
        <w:rPr>
          <w:lang w:val="en-US"/>
        </w:rPr>
        <w:t xml:space="preserve">1. </w:t>
      </w:r>
      <w:r w:rsidRPr="00FD15FE">
        <w:rPr>
          <w:lang w:val="en-US"/>
        </w:rPr>
        <w:t>Styczynski</w:t>
      </w:r>
      <w:r w:rsidRPr="00CA7AD8">
        <w:rPr>
          <w:lang w:val="en-US"/>
        </w:rPr>
        <w:t xml:space="preserve"> </w:t>
      </w:r>
      <w:r w:rsidRPr="00FD15FE">
        <w:rPr>
          <w:lang w:val="en-US"/>
        </w:rPr>
        <w:t>J</w:t>
      </w:r>
      <w:r w:rsidRPr="00CA7AD8">
        <w:rPr>
          <w:lang w:val="en-US"/>
        </w:rPr>
        <w:t xml:space="preserve">, </w:t>
      </w:r>
      <w:r w:rsidRPr="00FD15FE">
        <w:rPr>
          <w:lang w:val="en-US"/>
        </w:rPr>
        <w:t>Reusser</w:t>
      </w:r>
      <w:r w:rsidRPr="00CA7AD8">
        <w:rPr>
          <w:lang w:val="en-US"/>
        </w:rPr>
        <w:t xml:space="preserve"> </w:t>
      </w:r>
      <w:r w:rsidRPr="00FD15FE">
        <w:rPr>
          <w:lang w:val="en-US"/>
        </w:rPr>
        <w:t>P</w:t>
      </w:r>
      <w:r w:rsidRPr="00CA7AD8">
        <w:rPr>
          <w:lang w:val="en-US"/>
        </w:rPr>
        <w:t xml:space="preserve">. , </w:t>
      </w:r>
      <w:r w:rsidRPr="00FD15FE">
        <w:rPr>
          <w:lang w:val="en-US"/>
        </w:rPr>
        <w:t>Einsele</w:t>
      </w:r>
      <w:r w:rsidRPr="00CA7AD8">
        <w:rPr>
          <w:lang w:val="en-US"/>
        </w:rPr>
        <w:t xml:space="preserve"> </w:t>
      </w:r>
      <w:r w:rsidRPr="00FD15FE">
        <w:rPr>
          <w:lang w:val="en-US"/>
        </w:rPr>
        <w:t>H</w:t>
      </w:r>
      <w:r w:rsidRPr="00CA7AD8">
        <w:rPr>
          <w:lang w:val="en-US"/>
        </w:rPr>
        <w:t xml:space="preserve"> </w:t>
      </w:r>
      <w:r w:rsidRPr="00FD15FE">
        <w:rPr>
          <w:lang w:val="en-US"/>
        </w:rPr>
        <w:t>et</w:t>
      </w:r>
      <w:r w:rsidRPr="00CA7AD8">
        <w:rPr>
          <w:lang w:val="en-US"/>
        </w:rPr>
        <w:t xml:space="preserve"> </w:t>
      </w:r>
      <w:r w:rsidRPr="00FD15FE">
        <w:rPr>
          <w:lang w:val="en-US"/>
        </w:rPr>
        <w:t>al</w:t>
      </w:r>
      <w:r w:rsidRPr="00CA7AD8">
        <w:rPr>
          <w:lang w:val="en-US"/>
        </w:rPr>
        <w:t xml:space="preserve">. </w:t>
      </w:r>
      <w:r w:rsidRPr="006D503D">
        <w:rPr>
          <w:lang w:val="en-US"/>
        </w:rPr>
        <w:t>Management of HSV, VZV and EBV infections in patients wih hematological malignancies and after SCT: guidelines from the Second European Conference on Infections in Leukemia. Bone marrow transplantation 2009, 43, 757-770</w:t>
      </w:r>
    </w:p>
    <w:p w14:paraId="10D1261B" w14:textId="77777777" w:rsidR="006D503D" w:rsidRPr="006B215F" w:rsidRDefault="006D503D" w:rsidP="006D503D">
      <w:pPr>
        <w:spacing w:before="0" w:after="0"/>
      </w:pPr>
      <w:r w:rsidRPr="006D503D">
        <w:rPr>
          <w:lang w:val="en-US"/>
        </w:rPr>
        <w:t xml:space="preserve">2. Ljungman P., Camara R, Cordonnier C. et al. Management of CMV, HHV-66 HHV-7 and Kaposi –sarcoma herpesvirus (HHV-8)  infections in patients wih hematological malignancies and after SCT. </w:t>
      </w:r>
      <w:r w:rsidRPr="006B215F">
        <w:t>Bone marrow transplantation, 2008, 42, 227-240</w:t>
      </w:r>
      <w:r>
        <w:t xml:space="preserve"> </w:t>
      </w:r>
    </w:p>
    <w:p w14:paraId="3A8A3B77" w14:textId="73A6D6C5" w:rsidR="00683A05" w:rsidRDefault="00683A05">
      <w:pPr>
        <w:spacing w:before="0" w:after="0" w:line="240" w:lineRule="auto"/>
        <w:jc w:val="left"/>
      </w:pPr>
      <w:r>
        <w:br w:type="page"/>
      </w:r>
    </w:p>
    <w:p w14:paraId="43D4AE95" w14:textId="527F946D" w:rsidR="00683A05" w:rsidRPr="00683A05" w:rsidRDefault="00683A05" w:rsidP="00683A05">
      <w:pPr>
        <w:pStyle w:val="1"/>
      </w:pPr>
      <w:bookmarkStart w:id="89" w:name="_Toc53140934"/>
      <w:r w:rsidRPr="00683A05">
        <w:lastRenderedPageBreak/>
        <w:t>Приложение Г1</w:t>
      </w:r>
      <w:r>
        <w:t>4</w:t>
      </w:r>
      <w:r w:rsidRPr="00683A05">
        <w:t>. «Профилактика инфекционных осложнений»</w:t>
      </w:r>
      <w:bookmarkEnd w:id="89"/>
    </w:p>
    <w:p w14:paraId="3A846581" w14:textId="77777777" w:rsidR="00683A05" w:rsidRPr="000357B8" w:rsidRDefault="00683A05" w:rsidP="008F69F6">
      <w:pPr>
        <w:spacing w:before="0" w:after="0"/>
        <w:ind w:right="49"/>
        <w:contextualSpacing/>
        <w:rPr>
          <w:b/>
        </w:rPr>
      </w:pPr>
      <w:r w:rsidRPr="000357B8">
        <w:rPr>
          <w:b/>
        </w:rPr>
        <w:t>Список сокращений</w:t>
      </w:r>
    </w:p>
    <w:p w14:paraId="451D317F" w14:textId="77777777" w:rsidR="00683A05" w:rsidRPr="00C738DD" w:rsidRDefault="00683A05" w:rsidP="008F69F6">
      <w:pPr>
        <w:spacing w:before="0" w:after="0"/>
        <w:ind w:right="49"/>
        <w:contextualSpacing/>
      </w:pPr>
      <w:r>
        <w:t>ВПГ – вирус простого герпеса</w:t>
      </w:r>
    </w:p>
    <w:p w14:paraId="13B26290" w14:textId="77777777" w:rsidR="00683A05" w:rsidRPr="0053357C" w:rsidRDefault="00683A05" w:rsidP="008F69F6">
      <w:pPr>
        <w:spacing w:before="0" w:after="0"/>
        <w:ind w:right="49"/>
        <w:contextualSpacing/>
      </w:pPr>
      <w:r>
        <w:t>ПХТ – полихимиотерапия</w:t>
      </w:r>
    </w:p>
    <w:p w14:paraId="5355A248" w14:textId="77777777" w:rsidR="00683A05" w:rsidRDefault="00683A05" w:rsidP="008F69F6">
      <w:pPr>
        <w:spacing w:before="0" w:after="0"/>
        <w:ind w:right="49"/>
        <w:contextualSpacing/>
      </w:pPr>
      <w:r w:rsidRPr="0053357C">
        <w:t>ТГСК – трансплантация гемопоэтических стволовых клеток</w:t>
      </w:r>
    </w:p>
    <w:p w14:paraId="173F7681" w14:textId="77777777" w:rsidR="00683A05" w:rsidRDefault="00683A05" w:rsidP="008F69F6">
      <w:pPr>
        <w:spacing w:before="0" w:after="0"/>
        <w:ind w:right="49"/>
        <w:contextualSpacing/>
      </w:pPr>
      <w:r>
        <w:t>ЦНС – центральная нервная система</w:t>
      </w:r>
    </w:p>
    <w:p w14:paraId="5F736005" w14:textId="77777777" w:rsidR="00683A05" w:rsidRPr="00670BEB" w:rsidRDefault="00683A05" w:rsidP="008F69F6">
      <w:pPr>
        <w:spacing w:before="0" w:after="0"/>
        <w:ind w:right="49"/>
        <w:contextualSpacing/>
        <w:rPr>
          <w:b/>
        </w:rPr>
      </w:pPr>
      <w:r w:rsidRPr="00670BEB">
        <w:rPr>
          <w:b/>
        </w:rPr>
        <w:t>Общие сведения</w:t>
      </w:r>
    </w:p>
    <w:p w14:paraId="68379560" w14:textId="77777777" w:rsidR="00683A05" w:rsidRDefault="00683A05" w:rsidP="008F69F6">
      <w:pPr>
        <w:spacing w:before="0" w:after="0"/>
        <w:ind w:right="49" w:firstLine="708"/>
        <w:contextualSpacing/>
      </w:pPr>
      <w:r w:rsidRPr="00744C95">
        <w:t xml:space="preserve">Высокая частота инфекционных осложнений у </w:t>
      </w:r>
      <w:r>
        <w:t xml:space="preserve">гематологических пациентов, особенно в период нейтропении, диктует необходимость назначения препаратов для профилактики. Профилактика показана для инфекций, вызванных грибами и вирусами в группе высокого риска. Профилактика бактериальных инфекций становится менее актуальной по причине увеличения полирезистентных бактерий и проводится у определенной категории больных. </w:t>
      </w:r>
    </w:p>
    <w:p w14:paraId="4965A651" w14:textId="77777777" w:rsidR="00CE6C1C" w:rsidRPr="00DB1FCB" w:rsidRDefault="00CE6C1C" w:rsidP="008F69F6">
      <w:pPr>
        <w:tabs>
          <w:tab w:val="left" w:pos="0"/>
          <w:tab w:val="left" w:pos="567"/>
        </w:tabs>
        <w:spacing w:before="0" w:after="0"/>
        <w:jc w:val="center"/>
        <w:rPr>
          <w:b/>
          <w:szCs w:val="24"/>
        </w:rPr>
      </w:pPr>
      <w:r w:rsidRPr="00DB1FCB">
        <w:rPr>
          <w:b/>
          <w:szCs w:val="24"/>
        </w:rPr>
        <w:t xml:space="preserve">Профилактика пневмоцистной пневмонии </w:t>
      </w:r>
      <w:r w:rsidRPr="00DB1FCB">
        <w:rPr>
          <w:b/>
          <w:szCs w:val="24"/>
          <w:lang w:val="en-US"/>
        </w:rPr>
        <w:fldChar w:fldCharType="begin" w:fldLock="1"/>
      </w:r>
      <w:r>
        <w:rPr>
          <w:b/>
          <w:szCs w:val="24"/>
          <w:lang w:val="en-US"/>
        </w:rPr>
        <w:instrText>ADDIN</w:instrText>
      </w:r>
      <w:r w:rsidRPr="00936D8F">
        <w:rPr>
          <w:b/>
          <w:szCs w:val="24"/>
        </w:rPr>
        <w:instrText xml:space="preserve"> </w:instrText>
      </w:r>
      <w:r>
        <w:rPr>
          <w:b/>
          <w:szCs w:val="24"/>
          <w:lang w:val="en-US"/>
        </w:rPr>
        <w:instrText>CSL</w:instrText>
      </w:r>
      <w:r w:rsidRPr="00936D8F">
        <w:rPr>
          <w:b/>
          <w:szCs w:val="24"/>
        </w:rPr>
        <w:instrText>_</w:instrText>
      </w:r>
      <w:r>
        <w:rPr>
          <w:b/>
          <w:szCs w:val="24"/>
          <w:lang w:val="en-US"/>
        </w:rPr>
        <w:instrText>CITATION</w:instrText>
      </w:r>
      <w:r w:rsidRPr="00936D8F">
        <w:rPr>
          <w:b/>
          <w:szCs w:val="24"/>
        </w:rPr>
        <w:instrText xml:space="preserve"> {"</w:instrText>
      </w:r>
      <w:r>
        <w:rPr>
          <w:b/>
          <w:szCs w:val="24"/>
          <w:lang w:val="en-US"/>
        </w:rPr>
        <w:instrText>citationItems</w:instrText>
      </w:r>
      <w:r w:rsidRPr="00936D8F">
        <w:rPr>
          <w:b/>
          <w:szCs w:val="24"/>
        </w:rPr>
        <w:instrText>":[{"</w:instrText>
      </w:r>
      <w:r>
        <w:rPr>
          <w:b/>
          <w:szCs w:val="24"/>
          <w:lang w:val="en-US"/>
        </w:rPr>
        <w:instrText>id</w:instrText>
      </w:r>
      <w:r w:rsidRPr="00936D8F">
        <w:rPr>
          <w:b/>
          <w:szCs w:val="24"/>
        </w:rPr>
        <w:instrText>":"</w:instrText>
      </w:r>
      <w:r>
        <w:rPr>
          <w:b/>
          <w:szCs w:val="24"/>
          <w:lang w:val="en-US"/>
        </w:rPr>
        <w:instrText>ITEM</w:instrText>
      </w:r>
      <w:r w:rsidRPr="00936D8F">
        <w:rPr>
          <w:b/>
          <w:szCs w:val="24"/>
        </w:rPr>
        <w:instrText>-1","</w:instrText>
      </w:r>
      <w:r>
        <w:rPr>
          <w:b/>
          <w:szCs w:val="24"/>
          <w:lang w:val="en-US"/>
        </w:rPr>
        <w:instrText>itemData</w:instrText>
      </w:r>
      <w:r w:rsidRPr="00936D8F">
        <w:rPr>
          <w:b/>
          <w:szCs w:val="24"/>
        </w:rPr>
        <w:instrText>":{"</w:instrText>
      </w:r>
      <w:r>
        <w:rPr>
          <w:b/>
          <w:szCs w:val="24"/>
          <w:lang w:val="en-US"/>
        </w:rPr>
        <w:instrText>author</w:instrText>
      </w:r>
      <w:r w:rsidRPr="00936D8F">
        <w:rPr>
          <w:b/>
          <w:szCs w:val="24"/>
        </w:rPr>
        <w:instrText>":[{"</w:instrText>
      </w:r>
      <w:r>
        <w:rPr>
          <w:b/>
          <w:szCs w:val="24"/>
          <w:lang w:val="en-US"/>
        </w:rPr>
        <w:instrText>dropping</w:instrText>
      </w:r>
      <w:r w:rsidRPr="00936D8F">
        <w:rPr>
          <w:b/>
          <w:szCs w:val="24"/>
        </w:rPr>
        <w:instrText>-</w:instrText>
      </w:r>
      <w:r>
        <w:rPr>
          <w:b/>
          <w:szCs w:val="24"/>
          <w:lang w:val="en-US"/>
        </w:rPr>
        <w:instrText>particle</w:instrText>
      </w:r>
      <w:r w:rsidRPr="00936D8F">
        <w:rPr>
          <w:b/>
          <w:szCs w:val="24"/>
        </w:rPr>
        <w:instrText>":"","</w:instrText>
      </w:r>
      <w:r>
        <w:rPr>
          <w:b/>
          <w:szCs w:val="24"/>
          <w:lang w:val="en-US"/>
        </w:rPr>
        <w:instrText>family</w:instrText>
      </w:r>
      <w:r w:rsidRPr="00936D8F">
        <w:rPr>
          <w:b/>
          <w:szCs w:val="24"/>
        </w:rPr>
        <w:instrText>":"Савченко В.Г. и др","</w:instrText>
      </w:r>
      <w:r>
        <w:rPr>
          <w:b/>
          <w:szCs w:val="24"/>
          <w:lang w:val="en-US"/>
        </w:rPr>
        <w:instrText>given</w:instrText>
      </w:r>
      <w:r w:rsidRPr="00936D8F">
        <w:rPr>
          <w:b/>
          <w:szCs w:val="24"/>
        </w:rPr>
        <w:instrText>":"","</w:instrText>
      </w:r>
      <w:r>
        <w:rPr>
          <w:b/>
          <w:szCs w:val="24"/>
          <w:lang w:val="en-US"/>
        </w:rPr>
        <w:instrText>non</w:instrText>
      </w:r>
      <w:r w:rsidRPr="00936D8F">
        <w:rPr>
          <w:b/>
          <w:szCs w:val="24"/>
        </w:rPr>
        <w:instrText>-</w:instrText>
      </w:r>
      <w:r>
        <w:rPr>
          <w:b/>
          <w:szCs w:val="24"/>
          <w:lang w:val="en-US"/>
        </w:rPr>
        <w:instrText>dropping</w:instrText>
      </w:r>
      <w:r w:rsidRPr="00936D8F">
        <w:rPr>
          <w:b/>
          <w:szCs w:val="24"/>
        </w:rPr>
        <w:instrText>-</w:instrText>
      </w:r>
      <w:r>
        <w:rPr>
          <w:b/>
          <w:szCs w:val="24"/>
          <w:lang w:val="en-US"/>
        </w:rPr>
        <w:instrText>particle</w:instrText>
      </w:r>
      <w:r w:rsidRPr="00936D8F">
        <w:rPr>
          <w:b/>
          <w:szCs w:val="24"/>
        </w:rPr>
        <w:instrText>":"","</w:instrText>
      </w:r>
      <w:r>
        <w:rPr>
          <w:b/>
          <w:szCs w:val="24"/>
          <w:lang w:val="en-US"/>
        </w:rPr>
        <w:instrText>parse</w:instrText>
      </w:r>
      <w:r w:rsidRPr="00936D8F">
        <w:rPr>
          <w:b/>
          <w:szCs w:val="24"/>
        </w:rPr>
        <w:instrText>-</w:instrText>
      </w:r>
      <w:r>
        <w:rPr>
          <w:b/>
          <w:szCs w:val="24"/>
          <w:lang w:val="en-US"/>
        </w:rPr>
        <w:instrText>names</w:instrText>
      </w:r>
      <w:r w:rsidRPr="00936D8F">
        <w:rPr>
          <w:b/>
          <w:szCs w:val="24"/>
        </w:rPr>
        <w:instrText>":</w:instrText>
      </w:r>
      <w:r>
        <w:rPr>
          <w:b/>
          <w:szCs w:val="24"/>
          <w:lang w:val="en-US"/>
        </w:rPr>
        <w:instrText>false</w:instrText>
      </w:r>
      <w:r w:rsidRPr="00936D8F">
        <w:rPr>
          <w:b/>
          <w:szCs w:val="24"/>
        </w:rPr>
        <w:instrText>,"</w:instrText>
      </w:r>
      <w:r>
        <w:rPr>
          <w:b/>
          <w:szCs w:val="24"/>
          <w:lang w:val="en-US"/>
        </w:rPr>
        <w:instrText>suffix</w:instrText>
      </w:r>
      <w:r w:rsidRPr="00936D8F">
        <w:rPr>
          <w:b/>
          <w:szCs w:val="24"/>
        </w:rPr>
        <w:instrText>":""}],"</w:instrText>
      </w:r>
      <w:r>
        <w:rPr>
          <w:b/>
          <w:szCs w:val="24"/>
          <w:lang w:val="en-US"/>
        </w:rPr>
        <w:instrText>id</w:instrText>
      </w:r>
      <w:r w:rsidRPr="00936D8F">
        <w:rPr>
          <w:b/>
          <w:szCs w:val="24"/>
        </w:rPr>
        <w:instrText>":"</w:instrText>
      </w:r>
      <w:r>
        <w:rPr>
          <w:b/>
          <w:szCs w:val="24"/>
          <w:lang w:val="en-US"/>
        </w:rPr>
        <w:instrText>ITEM</w:instrText>
      </w:r>
      <w:r w:rsidRPr="00936D8F">
        <w:rPr>
          <w:b/>
          <w:szCs w:val="24"/>
        </w:rPr>
        <w:instrText>-1","</w:instrText>
      </w:r>
      <w:r>
        <w:rPr>
          <w:b/>
          <w:szCs w:val="24"/>
          <w:lang w:val="en-US"/>
        </w:rPr>
        <w:instrText>issued</w:instrText>
      </w:r>
      <w:r w:rsidRPr="00936D8F">
        <w:rPr>
          <w:b/>
          <w:szCs w:val="24"/>
        </w:rPr>
        <w:instrText>":{"</w:instrText>
      </w:r>
      <w:r>
        <w:rPr>
          <w:b/>
          <w:szCs w:val="24"/>
          <w:lang w:val="en-US"/>
        </w:rPr>
        <w:instrText>date</w:instrText>
      </w:r>
      <w:r w:rsidRPr="00936D8F">
        <w:rPr>
          <w:b/>
          <w:szCs w:val="24"/>
        </w:rPr>
        <w:instrText>-</w:instrText>
      </w:r>
      <w:r>
        <w:rPr>
          <w:b/>
          <w:szCs w:val="24"/>
          <w:lang w:val="en-US"/>
        </w:rPr>
        <w:instrText>parts</w:instrText>
      </w:r>
      <w:r w:rsidRPr="00936D8F">
        <w:rPr>
          <w:b/>
          <w:szCs w:val="24"/>
        </w:rPr>
        <w:instrText>":[["2018"]]},"</w:instrText>
      </w:r>
      <w:r>
        <w:rPr>
          <w:b/>
          <w:szCs w:val="24"/>
          <w:lang w:val="en-US"/>
        </w:rPr>
        <w:instrText>note</w:instrText>
      </w:r>
      <w:r w:rsidRPr="00936D8F">
        <w:rPr>
          <w:b/>
          <w:szCs w:val="24"/>
        </w:rPr>
        <w:instrText>":"</w:instrText>
      </w:r>
      <w:r>
        <w:rPr>
          <w:b/>
          <w:szCs w:val="24"/>
          <w:lang w:val="en-US"/>
        </w:rPr>
        <w:instrText>a</w:instrText>
      </w:r>
      <w:r w:rsidRPr="00936D8F">
        <w:rPr>
          <w:b/>
          <w:szCs w:val="24"/>
        </w:rPr>
        <w:instrText>","</w:instrText>
      </w:r>
      <w:r>
        <w:rPr>
          <w:b/>
          <w:szCs w:val="24"/>
          <w:lang w:val="en-US"/>
        </w:rPr>
        <w:instrText>number</w:instrText>
      </w:r>
      <w:r w:rsidRPr="00936D8F">
        <w:rPr>
          <w:b/>
          <w:szCs w:val="24"/>
        </w:rPr>
        <w:instrText>-</w:instrText>
      </w:r>
      <w:r>
        <w:rPr>
          <w:b/>
          <w:szCs w:val="24"/>
          <w:lang w:val="en-US"/>
        </w:rPr>
        <w:instrText>of</w:instrText>
      </w:r>
      <w:r w:rsidRPr="00936D8F">
        <w:rPr>
          <w:b/>
          <w:szCs w:val="24"/>
        </w:rPr>
        <w:instrText>-</w:instrText>
      </w:r>
      <w:r>
        <w:rPr>
          <w:b/>
          <w:szCs w:val="24"/>
          <w:lang w:val="en-US"/>
        </w:rPr>
        <w:instrText>pages</w:instrText>
      </w:r>
      <w:r w:rsidRPr="00936D8F">
        <w:rPr>
          <w:b/>
          <w:szCs w:val="24"/>
        </w:rPr>
        <w:instrText>":"1008","</w:instrText>
      </w:r>
      <w:r>
        <w:rPr>
          <w:b/>
          <w:szCs w:val="24"/>
          <w:lang w:val="en-US"/>
        </w:rPr>
        <w:instrText>publisher</w:instrText>
      </w:r>
      <w:r w:rsidRPr="00936D8F">
        <w:rPr>
          <w:b/>
          <w:szCs w:val="24"/>
        </w:rPr>
        <w:instrText>":"Практика","</w:instrText>
      </w:r>
      <w:r>
        <w:rPr>
          <w:b/>
          <w:szCs w:val="24"/>
          <w:lang w:val="en-US"/>
        </w:rPr>
        <w:instrText>publisher</w:instrText>
      </w:r>
      <w:r w:rsidRPr="00936D8F">
        <w:rPr>
          <w:b/>
          <w:szCs w:val="24"/>
        </w:rPr>
        <w:instrText>-</w:instrText>
      </w:r>
      <w:r>
        <w:rPr>
          <w:b/>
          <w:szCs w:val="24"/>
          <w:lang w:val="en-US"/>
        </w:rPr>
        <w:instrText>place</w:instrText>
      </w:r>
      <w:r w:rsidRPr="00936D8F">
        <w:rPr>
          <w:b/>
          <w:szCs w:val="24"/>
        </w:rPr>
        <w:instrText>":"Москва","</w:instrText>
      </w:r>
      <w:r>
        <w:rPr>
          <w:b/>
          <w:szCs w:val="24"/>
          <w:lang w:val="en-US"/>
        </w:rPr>
        <w:instrText>title</w:instrText>
      </w:r>
      <w:r w:rsidRPr="00936D8F">
        <w:rPr>
          <w:b/>
          <w:szCs w:val="24"/>
        </w:rPr>
        <w:instrText>":"Алгоритмы диагностики и протоколы лечения заболеваний системы крови.","</w:instrText>
      </w:r>
      <w:r>
        <w:rPr>
          <w:b/>
          <w:szCs w:val="24"/>
          <w:lang w:val="en-US"/>
        </w:rPr>
        <w:instrText>type</w:instrText>
      </w:r>
      <w:r w:rsidRPr="00936D8F">
        <w:rPr>
          <w:b/>
          <w:szCs w:val="24"/>
        </w:rPr>
        <w:instrText>":"</w:instrText>
      </w:r>
      <w:r>
        <w:rPr>
          <w:b/>
          <w:szCs w:val="24"/>
          <w:lang w:val="en-US"/>
        </w:rPr>
        <w:instrText>book</w:instrText>
      </w:r>
      <w:r w:rsidRPr="00936D8F">
        <w:rPr>
          <w:b/>
          <w:szCs w:val="24"/>
        </w:rPr>
        <w:instrText>"},"</w:instrText>
      </w:r>
      <w:r>
        <w:rPr>
          <w:b/>
          <w:szCs w:val="24"/>
          <w:lang w:val="en-US"/>
        </w:rPr>
        <w:instrText>uris</w:instrText>
      </w:r>
      <w:r w:rsidRPr="00936D8F">
        <w:rPr>
          <w:b/>
          <w:szCs w:val="24"/>
        </w:rPr>
        <w:instrText>":["</w:instrText>
      </w:r>
      <w:r>
        <w:rPr>
          <w:b/>
          <w:szCs w:val="24"/>
          <w:lang w:val="en-US"/>
        </w:rPr>
        <w:instrText>http</w:instrText>
      </w:r>
      <w:r w:rsidRPr="00936D8F">
        <w:rPr>
          <w:b/>
          <w:szCs w:val="24"/>
        </w:rPr>
        <w:instrText>://</w:instrText>
      </w:r>
      <w:r>
        <w:rPr>
          <w:b/>
          <w:szCs w:val="24"/>
          <w:lang w:val="en-US"/>
        </w:rPr>
        <w:instrText>www</w:instrText>
      </w:r>
      <w:r w:rsidRPr="00936D8F">
        <w:rPr>
          <w:b/>
          <w:szCs w:val="24"/>
        </w:rPr>
        <w:instrText>.</w:instrText>
      </w:r>
      <w:r>
        <w:rPr>
          <w:b/>
          <w:szCs w:val="24"/>
          <w:lang w:val="en-US"/>
        </w:rPr>
        <w:instrText>mendeley</w:instrText>
      </w:r>
      <w:r w:rsidRPr="00936D8F">
        <w:rPr>
          <w:b/>
          <w:szCs w:val="24"/>
        </w:rPr>
        <w:instrText>.</w:instrText>
      </w:r>
      <w:r>
        <w:rPr>
          <w:b/>
          <w:szCs w:val="24"/>
          <w:lang w:val="en-US"/>
        </w:rPr>
        <w:instrText>com</w:instrText>
      </w:r>
      <w:r w:rsidRPr="00936D8F">
        <w:rPr>
          <w:b/>
          <w:szCs w:val="24"/>
        </w:rPr>
        <w:instrText>/</w:instrText>
      </w:r>
      <w:r>
        <w:rPr>
          <w:b/>
          <w:szCs w:val="24"/>
          <w:lang w:val="en-US"/>
        </w:rPr>
        <w:instrText>documents</w:instrText>
      </w:r>
      <w:r w:rsidRPr="00936D8F">
        <w:rPr>
          <w:b/>
          <w:szCs w:val="24"/>
        </w:rPr>
        <w:instrText>/?</w:instrText>
      </w:r>
      <w:r>
        <w:rPr>
          <w:b/>
          <w:szCs w:val="24"/>
          <w:lang w:val="en-US"/>
        </w:rPr>
        <w:instrText>uuid</w:instrText>
      </w:r>
      <w:r w:rsidRPr="00936D8F">
        <w:rPr>
          <w:b/>
          <w:szCs w:val="24"/>
        </w:rPr>
        <w:instrText>=2</w:instrText>
      </w:r>
      <w:r>
        <w:rPr>
          <w:b/>
          <w:szCs w:val="24"/>
          <w:lang w:val="en-US"/>
        </w:rPr>
        <w:instrText>cd</w:instrText>
      </w:r>
      <w:r w:rsidRPr="00936D8F">
        <w:rPr>
          <w:b/>
          <w:szCs w:val="24"/>
        </w:rPr>
        <w:instrText>270</w:instrText>
      </w:r>
      <w:r>
        <w:rPr>
          <w:b/>
          <w:szCs w:val="24"/>
          <w:lang w:val="en-US"/>
        </w:rPr>
        <w:instrText>b</w:instrText>
      </w:r>
      <w:r w:rsidRPr="00936D8F">
        <w:rPr>
          <w:b/>
          <w:szCs w:val="24"/>
        </w:rPr>
        <w:instrText>2-</w:instrText>
      </w:r>
      <w:r>
        <w:rPr>
          <w:b/>
          <w:szCs w:val="24"/>
          <w:lang w:val="en-US"/>
        </w:rPr>
        <w:instrText>efaf</w:instrText>
      </w:r>
      <w:r w:rsidRPr="00936D8F">
        <w:rPr>
          <w:b/>
          <w:szCs w:val="24"/>
        </w:rPr>
        <w:instrText>-4</w:instrText>
      </w:r>
      <w:r>
        <w:rPr>
          <w:b/>
          <w:szCs w:val="24"/>
          <w:lang w:val="en-US"/>
        </w:rPr>
        <w:instrText>da</w:instrText>
      </w:r>
      <w:r w:rsidRPr="00936D8F">
        <w:rPr>
          <w:b/>
          <w:szCs w:val="24"/>
        </w:rPr>
        <w:instrText>9-</w:instrText>
      </w:r>
      <w:r>
        <w:rPr>
          <w:b/>
          <w:szCs w:val="24"/>
          <w:lang w:val="en-US"/>
        </w:rPr>
        <w:instrText>a</w:instrText>
      </w:r>
      <w:r w:rsidRPr="00936D8F">
        <w:rPr>
          <w:b/>
          <w:szCs w:val="24"/>
        </w:rPr>
        <w:instrText>95</w:instrText>
      </w:r>
      <w:r>
        <w:rPr>
          <w:b/>
          <w:szCs w:val="24"/>
          <w:lang w:val="en-US"/>
        </w:rPr>
        <w:instrText>d</w:instrText>
      </w:r>
      <w:r w:rsidRPr="00936D8F">
        <w:rPr>
          <w:b/>
          <w:szCs w:val="24"/>
        </w:rPr>
        <w:instrText>-66324661</w:instrText>
      </w:r>
      <w:r>
        <w:rPr>
          <w:b/>
          <w:szCs w:val="24"/>
          <w:lang w:val="en-US"/>
        </w:rPr>
        <w:instrText>ea</w:instrText>
      </w:r>
      <w:r w:rsidRPr="00936D8F">
        <w:rPr>
          <w:b/>
          <w:szCs w:val="24"/>
        </w:rPr>
        <w:instrText>35","</w:instrText>
      </w:r>
      <w:r>
        <w:rPr>
          <w:b/>
          <w:szCs w:val="24"/>
          <w:lang w:val="en-US"/>
        </w:rPr>
        <w:instrText>http</w:instrText>
      </w:r>
      <w:r w:rsidRPr="00936D8F">
        <w:rPr>
          <w:b/>
          <w:szCs w:val="24"/>
        </w:rPr>
        <w:instrText>://</w:instrText>
      </w:r>
      <w:r>
        <w:rPr>
          <w:b/>
          <w:szCs w:val="24"/>
          <w:lang w:val="en-US"/>
        </w:rPr>
        <w:instrText>www</w:instrText>
      </w:r>
      <w:r w:rsidRPr="00936D8F">
        <w:rPr>
          <w:b/>
          <w:szCs w:val="24"/>
        </w:rPr>
        <w:instrText>.</w:instrText>
      </w:r>
      <w:r>
        <w:rPr>
          <w:b/>
          <w:szCs w:val="24"/>
          <w:lang w:val="en-US"/>
        </w:rPr>
        <w:instrText>mendeley</w:instrText>
      </w:r>
      <w:r w:rsidRPr="00936D8F">
        <w:rPr>
          <w:b/>
          <w:szCs w:val="24"/>
        </w:rPr>
        <w:instrText>.</w:instrText>
      </w:r>
      <w:r>
        <w:rPr>
          <w:b/>
          <w:szCs w:val="24"/>
          <w:lang w:val="en-US"/>
        </w:rPr>
        <w:instrText>com</w:instrText>
      </w:r>
      <w:r w:rsidRPr="00936D8F">
        <w:rPr>
          <w:b/>
          <w:szCs w:val="24"/>
        </w:rPr>
        <w:instrText>/</w:instrText>
      </w:r>
      <w:r>
        <w:rPr>
          <w:b/>
          <w:szCs w:val="24"/>
          <w:lang w:val="en-US"/>
        </w:rPr>
        <w:instrText>documents</w:instrText>
      </w:r>
      <w:r w:rsidRPr="00936D8F">
        <w:rPr>
          <w:b/>
          <w:szCs w:val="24"/>
        </w:rPr>
        <w:instrText>/?</w:instrText>
      </w:r>
      <w:r>
        <w:rPr>
          <w:b/>
          <w:szCs w:val="24"/>
          <w:lang w:val="en-US"/>
        </w:rPr>
        <w:instrText>uuid</w:instrText>
      </w:r>
      <w:r w:rsidRPr="00936D8F">
        <w:rPr>
          <w:b/>
          <w:szCs w:val="24"/>
        </w:rPr>
        <w:instrText>=</w:instrText>
      </w:r>
      <w:r>
        <w:rPr>
          <w:b/>
          <w:szCs w:val="24"/>
          <w:lang w:val="en-US"/>
        </w:rPr>
        <w:instrText>fe</w:instrText>
      </w:r>
      <w:r w:rsidRPr="00936D8F">
        <w:rPr>
          <w:b/>
          <w:szCs w:val="24"/>
        </w:rPr>
        <w:instrText>583573-532</w:instrText>
      </w:r>
      <w:r>
        <w:rPr>
          <w:b/>
          <w:szCs w:val="24"/>
          <w:lang w:val="en-US"/>
        </w:rPr>
        <w:instrText>c</w:instrText>
      </w:r>
      <w:r w:rsidRPr="00936D8F">
        <w:rPr>
          <w:b/>
          <w:szCs w:val="24"/>
        </w:rPr>
        <w:instrText>-46</w:instrText>
      </w:r>
      <w:r>
        <w:rPr>
          <w:b/>
          <w:szCs w:val="24"/>
          <w:lang w:val="en-US"/>
        </w:rPr>
        <w:instrText>dc</w:instrText>
      </w:r>
      <w:r w:rsidRPr="00936D8F">
        <w:rPr>
          <w:b/>
          <w:szCs w:val="24"/>
        </w:rPr>
        <w:instrText>-</w:instrText>
      </w:r>
      <w:r>
        <w:rPr>
          <w:b/>
          <w:szCs w:val="24"/>
          <w:lang w:val="en-US"/>
        </w:rPr>
        <w:instrText>b</w:instrText>
      </w:r>
      <w:r w:rsidRPr="00936D8F">
        <w:rPr>
          <w:b/>
          <w:szCs w:val="24"/>
        </w:rPr>
        <w:instrText>4</w:instrText>
      </w:r>
      <w:r>
        <w:rPr>
          <w:b/>
          <w:szCs w:val="24"/>
          <w:lang w:val="en-US"/>
        </w:rPr>
        <w:instrText>f</w:instrText>
      </w:r>
      <w:r w:rsidRPr="00936D8F">
        <w:rPr>
          <w:b/>
          <w:szCs w:val="24"/>
        </w:rPr>
        <w:instrText>4-</w:instrText>
      </w:r>
      <w:r>
        <w:rPr>
          <w:b/>
          <w:szCs w:val="24"/>
          <w:lang w:val="en-US"/>
        </w:rPr>
        <w:instrText>f</w:instrText>
      </w:r>
      <w:r w:rsidRPr="00936D8F">
        <w:rPr>
          <w:b/>
          <w:szCs w:val="24"/>
        </w:rPr>
        <w:instrText>9</w:instrText>
      </w:r>
      <w:r>
        <w:rPr>
          <w:b/>
          <w:szCs w:val="24"/>
          <w:lang w:val="en-US"/>
        </w:rPr>
        <w:instrText>d</w:instrText>
      </w:r>
      <w:r w:rsidRPr="00936D8F">
        <w:rPr>
          <w:b/>
          <w:szCs w:val="24"/>
        </w:rPr>
        <w:instrText>01345</w:instrText>
      </w:r>
      <w:r>
        <w:rPr>
          <w:b/>
          <w:szCs w:val="24"/>
          <w:lang w:val="en-US"/>
        </w:rPr>
        <w:instrText>e</w:instrText>
      </w:r>
      <w:r w:rsidRPr="00936D8F">
        <w:rPr>
          <w:b/>
          <w:szCs w:val="24"/>
        </w:rPr>
        <w:instrText>27</w:instrText>
      </w:r>
      <w:r>
        <w:rPr>
          <w:b/>
          <w:szCs w:val="24"/>
          <w:lang w:val="en-US"/>
        </w:rPr>
        <w:instrText>c</w:instrText>
      </w:r>
      <w:r w:rsidRPr="00936D8F">
        <w:rPr>
          <w:b/>
          <w:szCs w:val="24"/>
        </w:rPr>
        <w:instrText>","</w:instrText>
      </w:r>
      <w:r>
        <w:rPr>
          <w:b/>
          <w:szCs w:val="24"/>
          <w:lang w:val="en-US"/>
        </w:rPr>
        <w:instrText>http</w:instrText>
      </w:r>
      <w:r w:rsidRPr="00936D8F">
        <w:rPr>
          <w:b/>
          <w:szCs w:val="24"/>
        </w:rPr>
        <w:instrText>://</w:instrText>
      </w:r>
      <w:r>
        <w:rPr>
          <w:b/>
          <w:szCs w:val="24"/>
          <w:lang w:val="en-US"/>
        </w:rPr>
        <w:instrText>www</w:instrText>
      </w:r>
      <w:r w:rsidRPr="00936D8F">
        <w:rPr>
          <w:b/>
          <w:szCs w:val="24"/>
        </w:rPr>
        <w:instrText>.</w:instrText>
      </w:r>
      <w:r>
        <w:rPr>
          <w:b/>
          <w:szCs w:val="24"/>
          <w:lang w:val="en-US"/>
        </w:rPr>
        <w:instrText>mendeley</w:instrText>
      </w:r>
      <w:r w:rsidRPr="00936D8F">
        <w:rPr>
          <w:b/>
          <w:szCs w:val="24"/>
        </w:rPr>
        <w:instrText>.</w:instrText>
      </w:r>
      <w:r>
        <w:rPr>
          <w:b/>
          <w:szCs w:val="24"/>
          <w:lang w:val="en-US"/>
        </w:rPr>
        <w:instrText>com</w:instrText>
      </w:r>
      <w:r w:rsidRPr="00936D8F">
        <w:rPr>
          <w:b/>
          <w:szCs w:val="24"/>
        </w:rPr>
        <w:instrText>/</w:instrText>
      </w:r>
      <w:r>
        <w:rPr>
          <w:b/>
          <w:szCs w:val="24"/>
          <w:lang w:val="en-US"/>
        </w:rPr>
        <w:instrText>documents</w:instrText>
      </w:r>
      <w:r w:rsidRPr="00936D8F">
        <w:rPr>
          <w:b/>
          <w:szCs w:val="24"/>
        </w:rPr>
        <w:instrText>/?</w:instrText>
      </w:r>
      <w:r>
        <w:rPr>
          <w:b/>
          <w:szCs w:val="24"/>
          <w:lang w:val="en-US"/>
        </w:rPr>
        <w:instrText>uuid</w:instrText>
      </w:r>
      <w:r w:rsidRPr="00936D8F">
        <w:rPr>
          <w:b/>
          <w:szCs w:val="24"/>
        </w:rPr>
        <w:instrText>=26</w:instrText>
      </w:r>
      <w:r>
        <w:rPr>
          <w:b/>
          <w:szCs w:val="24"/>
          <w:lang w:val="en-US"/>
        </w:rPr>
        <w:instrText>da</w:instrText>
      </w:r>
      <w:r w:rsidRPr="00936D8F">
        <w:rPr>
          <w:b/>
          <w:szCs w:val="24"/>
        </w:rPr>
        <w:instrText>25</w:instrText>
      </w:r>
      <w:r>
        <w:rPr>
          <w:b/>
          <w:szCs w:val="24"/>
          <w:lang w:val="en-US"/>
        </w:rPr>
        <w:instrText>a</w:instrText>
      </w:r>
      <w:r w:rsidRPr="00936D8F">
        <w:rPr>
          <w:b/>
          <w:szCs w:val="24"/>
        </w:rPr>
        <w:instrText>5-</w:instrText>
      </w:r>
      <w:r>
        <w:rPr>
          <w:b/>
          <w:szCs w:val="24"/>
          <w:lang w:val="en-US"/>
        </w:rPr>
        <w:instrText>bd</w:instrText>
      </w:r>
      <w:r w:rsidRPr="00936D8F">
        <w:rPr>
          <w:b/>
          <w:szCs w:val="24"/>
        </w:rPr>
        <w:instrText>21-4509-8</w:instrText>
      </w:r>
      <w:r>
        <w:rPr>
          <w:b/>
          <w:szCs w:val="24"/>
          <w:lang w:val="en-US"/>
        </w:rPr>
        <w:instrText>e</w:instrText>
      </w:r>
      <w:r w:rsidRPr="00936D8F">
        <w:rPr>
          <w:b/>
          <w:szCs w:val="24"/>
        </w:rPr>
        <w:instrText>88-</w:instrText>
      </w:r>
      <w:r>
        <w:rPr>
          <w:b/>
          <w:szCs w:val="24"/>
          <w:lang w:val="en-US"/>
        </w:rPr>
        <w:instrText>e</w:instrText>
      </w:r>
      <w:r w:rsidRPr="00936D8F">
        <w:rPr>
          <w:b/>
          <w:szCs w:val="24"/>
        </w:rPr>
        <w:instrText>4</w:instrText>
      </w:r>
      <w:r>
        <w:rPr>
          <w:b/>
          <w:szCs w:val="24"/>
          <w:lang w:val="en-US"/>
        </w:rPr>
        <w:instrText>e</w:instrText>
      </w:r>
      <w:r w:rsidRPr="00936D8F">
        <w:rPr>
          <w:b/>
          <w:szCs w:val="24"/>
        </w:rPr>
        <w:instrText>6744</w:instrText>
      </w:r>
      <w:r>
        <w:rPr>
          <w:b/>
          <w:szCs w:val="24"/>
          <w:lang w:val="en-US"/>
        </w:rPr>
        <w:instrText>fab</w:instrText>
      </w:r>
      <w:r w:rsidRPr="00936D8F">
        <w:rPr>
          <w:b/>
          <w:szCs w:val="24"/>
        </w:rPr>
        <w:instrText>98","</w:instrText>
      </w:r>
      <w:r>
        <w:rPr>
          <w:b/>
          <w:szCs w:val="24"/>
          <w:lang w:val="en-US"/>
        </w:rPr>
        <w:instrText>http</w:instrText>
      </w:r>
      <w:r w:rsidRPr="00936D8F">
        <w:rPr>
          <w:b/>
          <w:szCs w:val="24"/>
        </w:rPr>
        <w:instrText>://</w:instrText>
      </w:r>
      <w:r>
        <w:rPr>
          <w:b/>
          <w:szCs w:val="24"/>
          <w:lang w:val="en-US"/>
        </w:rPr>
        <w:instrText>www</w:instrText>
      </w:r>
      <w:r w:rsidRPr="00936D8F">
        <w:rPr>
          <w:b/>
          <w:szCs w:val="24"/>
        </w:rPr>
        <w:instrText>.</w:instrText>
      </w:r>
      <w:r>
        <w:rPr>
          <w:b/>
          <w:szCs w:val="24"/>
          <w:lang w:val="en-US"/>
        </w:rPr>
        <w:instrText>mendeley</w:instrText>
      </w:r>
      <w:r w:rsidRPr="00936D8F">
        <w:rPr>
          <w:b/>
          <w:szCs w:val="24"/>
        </w:rPr>
        <w:instrText>.</w:instrText>
      </w:r>
      <w:r>
        <w:rPr>
          <w:b/>
          <w:szCs w:val="24"/>
          <w:lang w:val="en-US"/>
        </w:rPr>
        <w:instrText>com</w:instrText>
      </w:r>
      <w:r w:rsidRPr="00936D8F">
        <w:rPr>
          <w:b/>
          <w:szCs w:val="24"/>
        </w:rPr>
        <w:instrText>/</w:instrText>
      </w:r>
      <w:r>
        <w:rPr>
          <w:b/>
          <w:szCs w:val="24"/>
          <w:lang w:val="en-US"/>
        </w:rPr>
        <w:instrText>documents</w:instrText>
      </w:r>
      <w:r w:rsidRPr="00936D8F">
        <w:rPr>
          <w:b/>
          <w:szCs w:val="24"/>
        </w:rPr>
        <w:instrText>/?</w:instrText>
      </w:r>
      <w:r>
        <w:rPr>
          <w:b/>
          <w:szCs w:val="24"/>
          <w:lang w:val="en-US"/>
        </w:rPr>
        <w:instrText>uuid</w:instrText>
      </w:r>
      <w:r w:rsidRPr="00936D8F">
        <w:rPr>
          <w:b/>
          <w:szCs w:val="24"/>
        </w:rPr>
        <w:instrText>=</w:instrText>
      </w:r>
      <w:r>
        <w:rPr>
          <w:b/>
          <w:szCs w:val="24"/>
          <w:lang w:val="en-US"/>
        </w:rPr>
        <w:instrText>a</w:instrText>
      </w:r>
      <w:r w:rsidRPr="00936D8F">
        <w:rPr>
          <w:b/>
          <w:szCs w:val="24"/>
        </w:rPr>
        <w:instrText>1</w:instrText>
      </w:r>
      <w:r>
        <w:rPr>
          <w:b/>
          <w:szCs w:val="24"/>
          <w:lang w:val="en-US"/>
        </w:rPr>
        <w:instrText>e</w:instrText>
      </w:r>
      <w:r w:rsidRPr="00936D8F">
        <w:rPr>
          <w:b/>
          <w:szCs w:val="24"/>
        </w:rPr>
        <w:instrText>2</w:instrText>
      </w:r>
      <w:r>
        <w:rPr>
          <w:b/>
          <w:szCs w:val="24"/>
          <w:lang w:val="en-US"/>
        </w:rPr>
        <w:instrText>f</w:instrText>
      </w:r>
      <w:r w:rsidRPr="00936D8F">
        <w:rPr>
          <w:b/>
          <w:szCs w:val="24"/>
        </w:rPr>
        <w:instrText>5</w:instrText>
      </w:r>
      <w:r>
        <w:rPr>
          <w:b/>
          <w:szCs w:val="24"/>
          <w:lang w:val="en-US"/>
        </w:rPr>
        <w:instrText>d</w:instrText>
      </w:r>
      <w:r w:rsidRPr="00936D8F">
        <w:rPr>
          <w:b/>
          <w:szCs w:val="24"/>
        </w:rPr>
        <w:instrText>6-</w:instrText>
      </w:r>
      <w:r>
        <w:rPr>
          <w:b/>
          <w:szCs w:val="24"/>
          <w:lang w:val="en-US"/>
        </w:rPr>
        <w:instrText>ef</w:instrText>
      </w:r>
      <w:r w:rsidRPr="00936D8F">
        <w:rPr>
          <w:b/>
          <w:szCs w:val="24"/>
        </w:rPr>
        <w:instrText>05-4351-9481-13</w:instrText>
      </w:r>
      <w:r>
        <w:rPr>
          <w:b/>
          <w:szCs w:val="24"/>
          <w:lang w:val="en-US"/>
        </w:rPr>
        <w:instrText>fad</w:instrText>
      </w:r>
      <w:r w:rsidRPr="00936D8F">
        <w:rPr>
          <w:b/>
          <w:szCs w:val="24"/>
        </w:rPr>
        <w:instrText>4</w:instrText>
      </w:r>
      <w:r>
        <w:rPr>
          <w:b/>
          <w:szCs w:val="24"/>
          <w:lang w:val="en-US"/>
        </w:rPr>
        <w:instrText>fd</w:instrText>
      </w:r>
      <w:r w:rsidRPr="00936D8F">
        <w:rPr>
          <w:b/>
          <w:szCs w:val="24"/>
        </w:rPr>
        <w:instrText>103</w:instrText>
      </w:r>
      <w:r>
        <w:rPr>
          <w:b/>
          <w:szCs w:val="24"/>
          <w:lang w:val="en-US"/>
        </w:rPr>
        <w:instrText>b</w:instrText>
      </w:r>
      <w:r w:rsidRPr="00936D8F">
        <w:rPr>
          <w:b/>
          <w:szCs w:val="24"/>
        </w:rPr>
        <w:instrText>","</w:instrText>
      </w:r>
      <w:r>
        <w:rPr>
          <w:b/>
          <w:szCs w:val="24"/>
          <w:lang w:val="en-US"/>
        </w:rPr>
        <w:instrText>http</w:instrText>
      </w:r>
      <w:r w:rsidRPr="00936D8F">
        <w:rPr>
          <w:b/>
          <w:szCs w:val="24"/>
        </w:rPr>
        <w:instrText>://</w:instrText>
      </w:r>
      <w:r>
        <w:rPr>
          <w:b/>
          <w:szCs w:val="24"/>
          <w:lang w:val="en-US"/>
        </w:rPr>
        <w:instrText>www</w:instrText>
      </w:r>
      <w:r w:rsidRPr="00936D8F">
        <w:rPr>
          <w:b/>
          <w:szCs w:val="24"/>
        </w:rPr>
        <w:instrText>.</w:instrText>
      </w:r>
      <w:r>
        <w:rPr>
          <w:b/>
          <w:szCs w:val="24"/>
          <w:lang w:val="en-US"/>
        </w:rPr>
        <w:instrText>mendeley</w:instrText>
      </w:r>
      <w:r w:rsidRPr="00936D8F">
        <w:rPr>
          <w:b/>
          <w:szCs w:val="24"/>
        </w:rPr>
        <w:instrText>.</w:instrText>
      </w:r>
      <w:r>
        <w:rPr>
          <w:b/>
          <w:szCs w:val="24"/>
          <w:lang w:val="en-US"/>
        </w:rPr>
        <w:instrText>com</w:instrText>
      </w:r>
      <w:r w:rsidRPr="00936D8F">
        <w:rPr>
          <w:b/>
          <w:szCs w:val="24"/>
        </w:rPr>
        <w:instrText>/</w:instrText>
      </w:r>
      <w:r>
        <w:rPr>
          <w:b/>
          <w:szCs w:val="24"/>
          <w:lang w:val="en-US"/>
        </w:rPr>
        <w:instrText>documents</w:instrText>
      </w:r>
      <w:r w:rsidRPr="00936D8F">
        <w:rPr>
          <w:b/>
          <w:szCs w:val="24"/>
        </w:rPr>
        <w:instrText>/?</w:instrText>
      </w:r>
      <w:r>
        <w:rPr>
          <w:b/>
          <w:szCs w:val="24"/>
          <w:lang w:val="en-US"/>
        </w:rPr>
        <w:instrText>uuid</w:instrText>
      </w:r>
      <w:r w:rsidRPr="00936D8F">
        <w:rPr>
          <w:b/>
          <w:szCs w:val="24"/>
        </w:rPr>
        <w:instrText>=478</w:instrText>
      </w:r>
      <w:r>
        <w:rPr>
          <w:b/>
          <w:szCs w:val="24"/>
          <w:lang w:val="en-US"/>
        </w:rPr>
        <w:instrText>d</w:instrText>
      </w:r>
      <w:r w:rsidRPr="00936D8F">
        <w:rPr>
          <w:b/>
          <w:szCs w:val="24"/>
        </w:rPr>
        <w:instrText>6</w:instrText>
      </w:r>
      <w:r>
        <w:rPr>
          <w:b/>
          <w:szCs w:val="24"/>
          <w:lang w:val="en-US"/>
        </w:rPr>
        <w:instrText>ce</w:instrText>
      </w:r>
      <w:r w:rsidRPr="00936D8F">
        <w:rPr>
          <w:b/>
          <w:szCs w:val="24"/>
        </w:rPr>
        <w:instrText>1-</w:instrText>
      </w:r>
      <w:r>
        <w:rPr>
          <w:b/>
          <w:szCs w:val="24"/>
          <w:lang w:val="en-US"/>
        </w:rPr>
        <w:instrText>e</w:instrText>
      </w:r>
      <w:r w:rsidRPr="00936D8F">
        <w:rPr>
          <w:b/>
          <w:szCs w:val="24"/>
        </w:rPr>
        <w:instrText>425-4912-87</w:instrText>
      </w:r>
      <w:r>
        <w:rPr>
          <w:b/>
          <w:szCs w:val="24"/>
          <w:lang w:val="en-US"/>
        </w:rPr>
        <w:instrText>db</w:instrText>
      </w:r>
      <w:r w:rsidRPr="00936D8F">
        <w:rPr>
          <w:b/>
          <w:szCs w:val="24"/>
        </w:rPr>
        <w:instrText>-</w:instrText>
      </w:r>
      <w:r>
        <w:rPr>
          <w:b/>
          <w:szCs w:val="24"/>
          <w:lang w:val="en-US"/>
        </w:rPr>
        <w:instrText>adfee</w:instrText>
      </w:r>
      <w:r w:rsidRPr="00936D8F">
        <w:rPr>
          <w:b/>
          <w:szCs w:val="24"/>
        </w:rPr>
        <w:instrText>39</w:instrText>
      </w:r>
      <w:r>
        <w:rPr>
          <w:b/>
          <w:szCs w:val="24"/>
          <w:lang w:val="en-US"/>
        </w:rPr>
        <w:instrText>f</w:instrText>
      </w:r>
      <w:r w:rsidRPr="00936D8F">
        <w:rPr>
          <w:b/>
          <w:szCs w:val="24"/>
        </w:rPr>
        <w:instrText>1</w:instrText>
      </w:r>
      <w:r>
        <w:rPr>
          <w:b/>
          <w:szCs w:val="24"/>
          <w:lang w:val="en-US"/>
        </w:rPr>
        <w:instrText>ce</w:instrText>
      </w:r>
      <w:r w:rsidRPr="00936D8F">
        <w:rPr>
          <w:b/>
          <w:szCs w:val="24"/>
        </w:rPr>
        <w:instrText>9","</w:instrText>
      </w:r>
      <w:r>
        <w:rPr>
          <w:b/>
          <w:szCs w:val="24"/>
          <w:lang w:val="en-US"/>
        </w:rPr>
        <w:instrText>http</w:instrText>
      </w:r>
      <w:r w:rsidRPr="00936D8F">
        <w:rPr>
          <w:b/>
          <w:szCs w:val="24"/>
        </w:rPr>
        <w:instrText>://</w:instrText>
      </w:r>
      <w:r>
        <w:rPr>
          <w:b/>
          <w:szCs w:val="24"/>
          <w:lang w:val="en-US"/>
        </w:rPr>
        <w:instrText>www</w:instrText>
      </w:r>
      <w:r w:rsidRPr="00936D8F">
        <w:rPr>
          <w:b/>
          <w:szCs w:val="24"/>
        </w:rPr>
        <w:instrText>.</w:instrText>
      </w:r>
      <w:r>
        <w:rPr>
          <w:b/>
          <w:szCs w:val="24"/>
          <w:lang w:val="en-US"/>
        </w:rPr>
        <w:instrText>mendeley</w:instrText>
      </w:r>
      <w:r w:rsidRPr="00936D8F">
        <w:rPr>
          <w:b/>
          <w:szCs w:val="24"/>
        </w:rPr>
        <w:instrText>.</w:instrText>
      </w:r>
      <w:r>
        <w:rPr>
          <w:b/>
          <w:szCs w:val="24"/>
          <w:lang w:val="en-US"/>
        </w:rPr>
        <w:instrText>com</w:instrText>
      </w:r>
      <w:r w:rsidRPr="00936D8F">
        <w:rPr>
          <w:b/>
          <w:szCs w:val="24"/>
        </w:rPr>
        <w:instrText>/</w:instrText>
      </w:r>
      <w:r>
        <w:rPr>
          <w:b/>
          <w:szCs w:val="24"/>
          <w:lang w:val="en-US"/>
        </w:rPr>
        <w:instrText>documents</w:instrText>
      </w:r>
      <w:r w:rsidRPr="00936D8F">
        <w:rPr>
          <w:b/>
          <w:szCs w:val="24"/>
        </w:rPr>
        <w:instrText>/?</w:instrText>
      </w:r>
      <w:r>
        <w:rPr>
          <w:b/>
          <w:szCs w:val="24"/>
          <w:lang w:val="en-US"/>
        </w:rPr>
        <w:instrText>uuid</w:instrText>
      </w:r>
      <w:r w:rsidRPr="00936D8F">
        <w:rPr>
          <w:b/>
          <w:szCs w:val="24"/>
        </w:rPr>
        <w:instrText>=9</w:instrText>
      </w:r>
      <w:r>
        <w:rPr>
          <w:b/>
          <w:szCs w:val="24"/>
          <w:lang w:val="en-US"/>
        </w:rPr>
        <w:instrText>cac</w:instrText>
      </w:r>
      <w:r w:rsidRPr="00936D8F">
        <w:rPr>
          <w:b/>
          <w:szCs w:val="24"/>
        </w:rPr>
        <w:instrText>36</w:instrText>
      </w:r>
      <w:r>
        <w:rPr>
          <w:b/>
          <w:szCs w:val="24"/>
          <w:lang w:val="en-US"/>
        </w:rPr>
        <w:instrText>ab</w:instrText>
      </w:r>
      <w:r w:rsidRPr="00936D8F">
        <w:rPr>
          <w:b/>
          <w:szCs w:val="24"/>
        </w:rPr>
        <w:instrText>-7685-4894-</w:instrText>
      </w:r>
      <w:r>
        <w:rPr>
          <w:b/>
          <w:szCs w:val="24"/>
          <w:lang w:val="en-US"/>
        </w:rPr>
        <w:instrText>b</w:instrText>
      </w:r>
      <w:r w:rsidRPr="00936D8F">
        <w:rPr>
          <w:b/>
          <w:szCs w:val="24"/>
        </w:rPr>
        <w:instrText>1</w:instrText>
      </w:r>
      <w:r>
        <w:rPr>
          <w:b/>
          <w:szCs w:val="24"/>
          <w:lang w:val="en-US"/>
        </w:rPr>
        <w:instrText>cb</w:instrText>
      </w:r>
      <w:r w:rsidRPr="00936D8F">
        <w:rPr>
          <w:b/>
          <w:szCs w:val="24"/>
        </w:rPr>
        <w:instrText>-</w:instrText>
      </w:r>
      <w:r>
        <w:rPr>
          <w:b/>
          <w:szCs w:val="24"/>
          <w:lang w:val="en-US"/>
        </w:rPr>
        <w:instrText>f</w:instrText>
      </w:r>
      <w:r w:rsidRPr="00936D8F">
        <w:rPr>
          <w:b/>
          <w:szCs w:val="24"/>
        </w:rPr>
        <w:instrText>141</w:instrText>
      </w:r>
      <w:r>
        <w:rPr>
          <w:b/>
          <w:szCs w:val="24"/>
          <w:lang w:val="en-US"/>
        </w:rPr>
        <w:instrText>a</w:instrText>
      </w:r>
      <w:r w:rsidRPr="00936D8F">
        <w:rPr>
          <w:b/>
          <w:szCs w:val="24"/>
        </w:rPr>
        <w:instrText>1797526","</w:instrText>
      </w:r>
      <w:r>
        <w:rPr>
          <w:b/>
          <w:szCs w:val="24"/>
          <w:lang w:val="en-US"/>
        </w:rPr>
        <w:instrText>http</w:instrText>
      </w:r>
      <w:r w:rsidRPr="00936D8F">
        <w:rPr>
          <w:b/>
          <w:szCs w:val="24"/>
        </w:rPr>
        <w:instrText>://</w:instrText>
      </w:r>
      <w:r>
        <w:rPr>
          <w:b/>
          <w:szCs w:val="24"/>
          <w:lang w:val="en-US"/>
        </w:rPr>
        <w:instrText>www</w:instrText>
      </w:r>
      <w:r w:rsidRPr="00936D8F">
        <w:rPr>
          <w:b/>
          <w:szCs w:val="24"/>
        </w:rPr>
        <w:instrText>.</w:instrText>
      </w:r>
      <w:r>
        <w:rPr>
          <w:b/>
          <w:szCs w:val="24"/>
          <w:lang w:val="en-US"/>
        </w:rPr>
        <w:instrText>mendeley</w:instrText>
      </w:r>
      <w:r w:rsidRPr="00936D8F">
        <w:rPr>
          <w:b/>
          <w:szCs w:val="24"/>
        </w:rPr>
        <w:instrText>.</w:instrText>
      </w:r>
      <w:r>
        <w:rPr>
          <w:b/>
          <w:szCs w:val="24"/>
          <w:lang w:val="en-US"/>
        </w:rPr>
        <w:instrText>com</w:instrText>
      </w:r>
      <w:r w:rsidRPr="00936D8F">
        <w:rPr>
          <w:b/>
          <w:szCs w:val="24"/>
        </w:rPr>
        <w:instrText>/</w:instrText>
      </w:r>
      <w:r>
        <w:rPr>
          <w:b/>
          <w:szCs w:val="24"/>
          <w:lang w:val="en-US"/>
        </w:rPr>
        <w:instrText>documents</w:instrText>
      </w:r>
      <w:r w:rsidRPr="00936D8F">
        <w:rPr>
          <w:b/>
          <w:szCs w:val="24"/>
        </w:rPr>
        <w:instrText>/?</w:instrText>
      </w:r>
      <w:r>
        <w:rPr>
          <w:b/>
          <w:szCs w:val="24"/>
          <w:lang w:val="en-US"/>
        </w:rPr>
        <w:instrText>uuid</w:instrText>
      </w:r>
      <w:r w:rsidRPr="00936D8F">
        <w:rPr>
          <w:b/>
          <w:szCs w:val="24"/>
        </w:rPr>
        <w:instrText>=</w:instrText>
      </w:r>
      <w:r>
        <w:rPr>
          <w:b/>
          <w:szCs w:val="24"/>
          <w:lang w:val="en-US"/>
        </w:rPr>
        <w:instrText>c</w:instrText>
      </w:r>
      <w:r w:rsidRPr="00936D8F">
        <w:rPr>
          <w:b/>
          <w:szCs w:val="24"/>
        </w:rPr>
        <w:instrText>0</w:instrText>
      </w:r>
      <w:r>
        <w:rPr>
          <w:b/>
          <w:szCs w:val="24"/>
          <w:lang w:val="en-US"/>
        </w:rPr>
        <w:instrText>eae</w:instrText>
      </w:r>
      <w:r w:rsidRPr="00936D8F">
        <w:rPr>
          <w:b/>
          <w:szCs w:val="24"/>
        </w:rPr>
        <w:instrText>3</w:instrText>
      </w:r>
      <w:r>
        <w:rPr>
          <w:b/>
          <w:szCs w:val="24"/>
          <w:lang w:val="en-US"/>
        </w:rPr>
        <w:instrText>a</w:instrText>
      </w:r>
      <w:r w:rsidRPr="00936D8F">
        <w:rPr>
          <w:b/>
          <w:szCs w:val="24"/>
        </w:rPr>
        <w:instrText>3-34</w:instrText>
      </w:r>
      <w:r>
        <w:rPr>
          <w:b/>
          <w:szCs w:val="24"/>
          <w:lang w:val="en-US"/>
        </w:rPr>
        <w:instrText>ee</w:instrText>
      </w:r>
      <w:r w:rsidRPr="00936D8F">
        <w:rPr>
          <w:b/>
          <w:szCs w:val="24"/>
        </w:rPr>
        <w:instrText>-40</w:instrText>
      </w:r>
      <w:r>
        <w:rPr>
          <w:b/>
          <w:szCs w:val="24"/>
          <w:lang w:val="en-US"/>
        </w:rPr>
        <w:instrText>e</w:instrText>
      </w:r>
      <w:r w:rsidRPr="00936D8F">
        <w:rPr>
          <w:b/>
          <w:szCs w:val="24"/>
        </w:rPr>
        <w:instrText>1-8813-566</w:instrText>
      </w:r>
      <w:r>
        <w:rPr>
          <w:b/>
          <w:szCs w:val="24"/>
          <w:lang w:val="en-US"/>
        </w:rPr>
        <w:instrText>cb</w:instrText>
      </w:r>
      <w:r w:rsidRPr="00936D8F">
        <w:rPr>
          <w:b/>
          <w:szCs w:val="24"/>
        </w:rPr>
        <w:instrText>7</w:instrText>
      </w:r>
      <w:r>
        <w:rPr>
          <w:b/>
          <w:szCs w:val="24"/>
          <w:lang w:val="en-US"/>
        </w:rPr>
        <w:instrText>fa</w:instrText>
      </w:r>
      <w:r w:rsidRPr="00936D8F">
        <w:rPr>
          <w:b/>
          <w:szCs w:val="24"/>
        </w:rPr>
        <w:instrText>2</w:instrText>
      </w:r>
      <w:r>
        <w:rPr>
          <w:b/>
          <w:szCs w:val="24"/>
          <w:lang w:val="en-US"/>
        </w:rPr>
        <w:instrText>b</w:instrText>
      </w:r>
      <w:r w:rsidRPr="00936D8F">
        <w:rPr>
          <w:b/>
          <w:szCs w:val="24"/>
        </w:rPr>
        <w:instrText>4</w:instrText>
      </w:r>
      <w:r>
        <w:rPr>
          <w:b/>
          <w:szCs w:val="24"/>
          <w:lang w:val="en-US"/>
        </w:rPr>
        <w:instrText>a</w:instrText>
      </w:r>
      <w:r w:rsidRPr="00936D8F">
        <w:rPr>
          <w:b/>
          <w:szCs w:val="24"/>
        </w:rPr>
        <w:instrText>"]}],"</w:instrText>
      </w:r>
      <w:r>
        <w:rPr>
          <w:b/>
          <w:szCs w:val="24"/>
          <w:lang w:val="en-US"/>
        </w:rPr>
        <w:instrText>mendeley</w:instrText>
      </w:r>
      <w:r w:rsidRPr="00936D8F">
        <w:rPr>
          <w:b/>
          <w:szCs w:val="24"/>
        </w:rPr>
        <w:instrText>":{"</w:instrText>
      </w:r>
      <w:r>
        <w:rPr>
          <w:b/>
          <w:szCs w:val="24"/>
          <w:lang w:val="en-US"/>
        </w:rPr>
        <w:instrText>formattedCitation</w:instrText>
      </w:r>
      <w:r w:rsidRPr="00936D8F">
        <w:rPr>
          <w:b/>
          <w:szCs w:val="24"/>
        </w:rPr>
        <w:instrText>":"[1]","</w:instrText>
      </w:r>
      <w:r>
        <w:rPr>
          <w:b/>
          <w:szCs w:val="24"/>
          <w:lang w:val="en-US"/>
        </w:rPr>
        <w:instrText>plainTextFormattedCitation</w:instrText>
      </w:r>
      <w:r w:rsidRPr="00936D8F">
        <w:rPr>
          <w:b/>
          <w:szCs w:val="24"/>
        </w:rPr>
        <w:instrText>":"[1]","</w:instrText>
      </w:r>
      <w:r>
        <w:rPr>
          <w:b/>
          <w:szCs w:val="24"/>
          <w:lang w:val="en-US"/>
        </w:rPr>
        <w:instrText>previouslyFormattedCitation</w:instrText>
      </w:r>
      <w:r w:rsidRPr="00936D8F">
        <w:rPr>
          <w:b/>
          <w:szCs w:val="24"/>
        </w:rPr>
        <w:instrText>":"[9]"},"</w:instrText>
      </w:r>
      <w:r>
        <w:rPr>
          <w:b/>
          <w:szCs w:val="24"/>
          <w:lang w:val="en-US"/>
        </w:rPr>
        <w:instrText>properties</w:instrText>
      </w:r>
      <w:r w:rsidRPr="00936D8F">
        <w:rPr>
          <w:b/>
          <w:szCs w:val="24"/>
        </w:rPr>
        <w:instrText>":{"</w:instrText>
      </w:r>
      <w:r>
        <w:rPr>
          <w:b/>
          <w:szCs w:val="24"/>
          <w:lang w:val="en-US"/>
        </w:rPr>
        <w:instrText>noteIndex</w:instrText>
      </w:r>
      <w:r w:rsidRPr="00936D8F">
        <w:rPr>
          <w:b/>
          <w:szCs w:val="24"/>
        </w:rPr>
        <w:instrText>":0},"</w:instrText>
      </w:r>
      <w:r>
        <w:rPr>
          <w:b/>
          <w:szCs w:val="24"/>
          <w:lang w:val="en-US"/>
        </w:rPr>
        <w:instrText>schema</w:instrText>
      </w:r>
      <w:r w:rsidRPr="00936D8F">
        <w:rPr>
          <w:b/>
          <w:szCs w:val="24"/>
        </w:rPr>
        <w:instrText>":"</w:instrText>
      </w:r>
      <w:r>
        <w:rPr>
          <w:b/>
          <w:szCs w:val="24"/>
          <w:lang w:val="en-US"/>
        </w:rPr>
        <w:instrText>https</w:instrText>
      </w:r>
      <w:r w:rsidRPr="00936D8F">
        <w:rPr>
          <w:b/>
          <w:szCs w:val="24"/>
        </w:rPr>
        <w:instrText>://</w:instrText>
      </w:r>
      <w:r>
        <w:rPr>
          <w:b/>
          <w:szCs w:val="24"/>
          <w:lang w:val="en-US"/>
        </w:rPr>
        <w:instrText>github</w:instrText>
      </w:r>
      <w:r w:rsidRPr="00936D8F">
        <w:rPr>
          <w:b/>
          <w:szCs w:val="24"/>
        </w:rPr>
        <w:instrText>.</w:instrText>
      </w:r>
      <w:r>
        <w:rPr>
          <w:b/>
          <w:szCs w:val="24"/>
          <w:lang w:val="en-US"/>
        </w:rPr>
        <w:instrText>com</w:instrText>
      </w:r>
      <w:r w:rsidRPr="00936D8F">
        <w:rPr>
          <w:b/>
          <w:szCs w:val="24"/>
        </w:rPr>
        <w:instrText>/</w:instrText>
      </w:r>
      <w:r>
        <w:rPr>
          <w:b/>
          <w:szCs w:val="24"/>
          <w:lang w:val="en-US"/>
        </w:rPr>
        <w:instrText>citation-style-language/schema/raw/master/csl-citation.json"}</w:instrText>
      </w:r>
      <w:r w:rsidRPr="00DB1FCB">
        <w:rPr>
          <w:b/>
          <w:szCs w:val="24"/>
          <w:lang w:val="en-US"/>
        </w:rPr>
        <w:fldChar w:fldCharType="separate"/>
      </w:r>
      <w:r w:rsidRPr="00936D8F">
        <w:rPr>
          <w:noProof/>
          <w:szCs w:val="24"/>
        </w:rPr>
        <w:t>[1]</w:t>
      </w:r>
      <w:r w:rsidRPr="00DB1FCB">
        <w:rPr>
          <w:szCs w:val="24"/>
        </w:rPr>
        <w:fldChar w:fldCharType="end"/>
      </w:r>
      <w:r w:rsidRPr="00DB1FCB">
        <w:rPr>
          <w:b/>
          <w:szCs w:val="24"/>
        </w:rPr>
        <w:t xml:space="preserve"> </w:t>
      </w:r>
      <w:r w:rsidRPr="00DB1FCB">
        <w:rPr>
          <w:b/>
          <w:szCs w:val="24"/>
        </w:rPr>
        <w:fldChar w:fldCharType="begin" w:fldLock="1"/>
      </w:r>
      <w:r>
        <w:rPr>
          <w:b/>
          <w:szCs w:val="24"/>
        </w:rPr>
        <w:instrText>ADDIN CSL_CITATION {"citationItems":[{"id":"ITEM-1","itemData":{"DOI":"10.1093/jac/dkw157 LK  - http://rug.on.worldcat.org/atoztitles/link/?sid=EMBASE&amp;issn=14602091&amp;id=doi:10.1093%2Fjac%2Fdkw157&amp;atitle=ECIL+guidelines+for+preventing+Pneumocystis+jirovecii+pneumonia+in+patients+with+haematological+malignancies+and+stem+cell+transplant+recipients&amp;stitle=J.+Antimicrob.+Chemother.&amp;title=Journal+of+Antimicrobial+Chemotherapy&amp;volume=71&amp;issue=9&amp;spage=1&amp;epage=8&amp;aulast=Maertens&amp;aufirst=Johan&amp;auinit=J.&amp;aufull=Maertens+J.&amp;coden=JACHD&amp;isbn=&amp;pages=1-8&amp;date=2016&amp;auinit1=J&amp;auinit","ISSN":"1460-2091","abstract":"The 5th European Conference on Infections in Leukaemia (ECIL-5) meeting aimed to establish evidence-based recommendations for the prophylaxis of Pneumocystis jirovecii pneumonia (PCP) in non-HIV-infected patients with an underlying haematological condition, including allogeneic HSCT recipients. Recommendations were based on the grading system of the IDSA. Trimethoprim/sulfamethoxazole given 2-3 times weekly is the drug of choice for the primary prophylaxis of PCP in adults (A-II) and children (A-I) and should be given during the entire period at risk. Recent data indicate that children may benefit equally from a once-weekly regimen (B-II). All other drugs, including pentamidine, atovaquone and dapsone, are considered second-line alternatives when trimethoprim/ sulfamethoxazole is poorly tolerated or contraindicated. The main indications of PCP prophylaxis are ALL, allogeneic HSCT, treatment with alemtuzumab, fludarabine/cyclophosphamide/rituximab combinations, &gt;4 weeks of treatmentwith corticosteroids andwell-defined primary immune deficiencies in children. Additional indications are proposed depending on the treatment regimen.","author":[{"dropping-particle":"","family":"J.","given":"Maertens","non-dropping-particle":"","parse-names":false,"suffix":""},{"dropping-particle":"","family":"S.","given":"Cesaro","non-dropping-particle":"","parse-names":false,"suffix":""},{"dropping-particle":"","family":"G.","given":"Maschmeyer","non-dropping-particle":"","parse-names":false,"suffix":""},{"dropping-particle":"","family":"H.","given":"Einsele","non-dropping-particle":"","parse-names":false,"suffix":""},{"dropping-particle":"","family":"J.P.","given":"Donnelly","non-dropping-particle":"","parse-names":false,"suffix":""},{"dropping-particle":"","family":"A.","given":"Alanio","non-dropping-particle":"","parse-names":false,"suffix":""},{"dropping-particle":"","family":"P.M.","given":"Hauser","non-dropping-particle":"","parse-names":false,"suffix":""},{"dropping-particle":"","family":"K.","given":"Lagrou","non-dropping-particle":"","parse-names":false,"suffix":""},{"dropping-particle":"","family":"W.J.G.","given":"Melchers","non-dropping-particle":"","parse-names":false,"suffix":""},{"dropping-particle":"","family":"J.","given":"Helweg-Larsen","non-dropping-particle":"","parse-names":false,"suffix":""},{"dropping-particle":"","family":"O.","given":"Matos","non-dropping-particle":"","parse-names":false,"suffix":""},{"dropping-particle":"","family":"S.","given":"Bretagne","non-dropping-particle":"","parse-names":false,"suffix":""},{"dropping-particle":"","family":"C.","given":"Cordonnier","non-dropping-particle":"","parse-names":false,"suffix":""},{"dropping-particle":"","family":"S.","given":"Agrawal","non-dropping-particle":"","parse-names":false,"suffix":""},{"dropping-particle":"","family":"C.","given":"Kibbler","non-dropping-particle":"","parse-names":false,"suffix":""},{"dropping-particle":"","family":"A.","given":"Pagliuca","non-dropping-particle":"","parse-names":false,"suffix":""},{"dropping-particle":"","family":"K.","given":"Ward","non-dropping-particle":"","parse-names":false,"suffix":""},{"dropping-particle":"","family":"M.","given":"Akova","non-dropping-particle":"","parse-names":false,"suffix":""},{"dropping-particle":"","family":"R.","given":"Herbrecht","non-dropping-particle":"","parse-names":false,"suffix":""},{"dropping-particle":"","family":"V.","given":"Mallet","non-dropping-particle":"","parse-names":false,"suffix":""},{"dropping-particle":"","family":"P.","given":"Ribaud","non-dropping-particle":"","parse-names":false,"suffix":""},{"dropping-particle":"","family":"M.","given":"Aljurf","non-dropping-particle":"","parse-names":false,"suffix":""},{"dropping-particle":"","family":"D.","given":"Averbuch","non-dropping-particle":"","parse-names":false,"suffix":""},{"dropping-particle":"","family":"D.","given":"Engelhard","non-dropping-particle":"","parse-names":false,"suffix":""},{"dropping-particle":"","family":"T.","given":"Berg","non-dropping-particle":"","parse-names":false,"suffix":""},{"dropping-particle":"","family":"O.","given":"Cornely","non-dropping-particle":"","parse-names":false,"suffix":""},{"dropping-particle":"","family":"O.","given":"Penack","non-dropping-particle":"","parse-names":false,"suffix":""},{"dropping-particle":"","family":"F.","given":"van Boemmel","non-dropping-particle":"","parse-names":false,"suffix":""},{"dropping-particle":"","family":"M.","given":"von Lilienfeld-Toal","non-dropping-particle":"","parse-names":false,"suffix":""},{"dropping-particle":"","family":"O.","given":"Blennow","non-dropping-particle":"","parse-names":false,"suffix":""},{"dropping-particle":"","family":"P.","given":"Ljungman","non-dropping-particle":"","parse-names":false,"suffix":""},{"dropping-particle":"","family":"R.","given":"Bruggemann","non-dropping-particle":"","parse-names":false,"suffix":""},{"dropping-particle":"","family":"P.","given":"Donnelly","non-dropping-particle":"","parse-names":false,"suffix":""},{"dropping-particle":"","family":"B.-J.","given":"Kullberg","non-dropping-particle":"","parse-names":false,"suffix":""},{"dropping-particle":"","family":"W.","given":"Melchers","non-dropping-particle":"","parse-names":false,"suffix":""},{"dropping-particle":"","family":"T.","given":"Calandra","non-dropping-particle":"","parse-names":false,"suffix":""},{"dropping-particle":"","family":"H.","given":"Hirsch","non-dropping-particle":"","parse-names":false,"suffix":""},{"dropping-particle":"","family":"O.","given":"Marchetti","non-dropping-particle":"","parse-names":false,"suffix":""},{"dropping-particle":"","family":"C.","given":"Orasch","non-dropping-particle":"","parse-names":false,"suffix":""},{"dropping-particle":"","family":"F.","given":"Tissot","non-dropping-particle":"","parse-names":false,"suffix":""},{"dropping-particle":"","family":"E.","given":"Castagnola","non-dropping-particle":"","parse-names":false,"suffix":""},{"dropping-particle":"","family":"C.","given":"Girmenia","non-dropping-particle":"","parse-names":false,"suffix":""},{"dropping-particle":"","family":"M.","given":"Mikulska","non-dropping-particle":"","parse-names":false,"suffix":""},{"dropping-particle":"","family":"L.","given":"Pagano","non-dropping-particle":"","parse-names":false,"suffix":""},{"dropping-particle":"","family":"C.","given":"Viscoli","non-dropping-particle":"","parse-names":false,"suffix":""},{"dropping-particle":"","family":"R.","given":"De La Camara","non-dropping-particle":"","parse-names":false,"suffix":""},{"dropping-particle":"","family":"R.","given":"Duarte","non-dropping-particle":"","parse-names":false,"suffix":""},{"dropping-particle":"","family":"P.","given":"Munoz","non-dropping-particle":"","parse-names":false,"suffix":""},{"dropping-particle":"","family":"L.","given":"Drgona","non-dropping-particle":"","parse-names":false,"suffix":""},{"dropping-particle":"","family":"R.","given":"Hargreaves","non-dropping-particle":"","parse-names":false,"suffix":""},{"dropping-particle":"","family":"P.","given":"Hubacek","non-dropping-particle":"","parse-names":false,"suffix":""},{"dropping-particle":"","family":"M.","given":"Kouba","non-dropping-particle":"","parse-names":false,"suffix":""},{"dropping-particle":"","family":"Z.","given":"Racil","non-dropping-particle":"","parse-names":false,"suffix":""},{"dropping-particle":"","family":"G.","given":"Klyasova","non-dropping-particle":"","parse-names":false,"suffix":""},{"dropping-particle":"","family":"G.","given":"Pettrikos","non-dropping-particle":"","parse-names":false,"suffix":""},{"dropping-particle":"","family":"E.","given":"Roilides","non-dropping-particle":"","parse-names":false,"suffix":""},{"dropping-particle":"","family":"A.","given":"Skiada","non-dropping-particle":"","parse-names":false,"suffix":""},{"dropping-particle":"","family":"V.","given":"Rizzi-Puechal","non-dropping-particle":"","parse-names":false,"suffix":""},{"dropping-particle":"","family":"J.","given":"Sinko","non-dropping-particle":"","parse-names":false,"suffix":""},{"dropping-particle":"","family":"M.","given":"Slavin","non-dropping-particle":"","parse-names":false,"suffix":""},{"dropping-particle":"","family":"J.","given":"Styczynski","non-dropping-particle":"","parse-names":false,"suffix":""},{"dropping-particle":"","family":"L.","given":"Tweddle","non-dropping-particle":"","parse-names":false,"suffix":""},{"dropping-particle":"","family":"C.","given":"Wood","non-dropping-particle":"","parse-names":false,"suffix":""}],"container-title":"Journal of Antimicrobial Chemotherapy","id":"ITEM-1","issued":{"date-parts":[["2016"]]},"title":"ECIL guidelines for preventing Pneumocystis jirovecii pneumonia in patients with haematological malignancies and stem cell transplant recipients","type":"article-journal"},"uris":["http://www.mendeley.com/documents/?uuid=9c7a401f-4312-4ee4-9a91-cb4dc05b1a8b","http://www.mendeley.com/documents/?uuid=432c4a63-eeff-4716-9bd2-7dafff7c9e49","http://www.mendeley.com/documents/?uuid=81507a67-4e5d-4519-a331-ca24cd066853","http://www.mendeley.com/documents/?uuid=02248e01-7925-499b-976f-af52cf75668f","http://www.mendeley.com/documents/?uuid=5eb13410-90ce-4305-bff0-16b816eefa2c","http://www.mendeley.com/documents/?uuid=53e0413c-28c9-42a7-821c-907d113790fd","http://www.mendeley.com/documents/?uuid=0bb08efd-3608-4f4f-965a-dd3ebe45222a"]}],"mendeley":{"formattedCitation":"[2]","plainTextFormattedCitation":"[2]","previouslyFormattedCitation":"[47]"},"properties":{"noteIndex":0},"schema":"https://github.com/citation-style-language/schema/raw/master/csl-citation.json"}</w:instrText>
      </w:r>
      <w:r w:rsidRPr="00DB1FCB">
        <w:rPr>
          <w:b/>
          <w:szCs w:val="24"/>
        </w:rPr>
        <w:fldChar w:fldCharType="separate"/>
      </w:r>
      <w:r w:rsidRPr="00936D8F">
        <w:rPr>
          <w:noProof/>
          <w:szCs w:val="24"/>
        </w:rPr>
        <w:t>[2]</w:t>
      </w:r>
      <w:r w:rsidRPr="00DB1FCB">
        <w:rPr>
          <w:szCs w:val="24"/>
        </w:rPr>
        <w:fldChar w:fldCharType="end"/>
      </w:r>
    </w:p>
    <w:p w14:paraId="5BAA50F5" w14:textId="77777777" w:rsidR="00CE6C1C" w:rsidRPr="00DB1FCB" w:rsidRDefault="00CE6C1C" w:rsidP="008F69F6">
      <w:pPr>
        <w:numPr>
          <w:ilvl w:val="0"/>
          <w:numId w:val="154"/>
        </w:numPr>
        <w:tabs>
          <w:tab w:val="left" w:pos="0"/>
          <w:tab w:val="left" w:pos="567"/>
        </w:tabs>
        <w:spacing w:before="0" w:after="0"/>
        <w:ind w:left="0" w:firstLine="0"/>
        <w:rPr>
          <w:szCs w:val="24"/>
        </w:rPr>
      </w:pPr>
      <w:r w:rsidRPr="00DB1FCB">
        <w:rPr>
          <w:szCs w:val="24"/>
        </w:rPr>
        <w:t>Показания:</w:t>
      </w:r>
    </w:p>
    <w:p w14:paraId="2FF0B78C" w14:textId="77777777" w:rsidR="00CE6C1C" w:rsidRPr="00DB1FCB" w:rsidRDefault="00CE6C1C" w:rsidP="008F69F6">
      <w:pPr>
        <w:numPr>
          <w:ilvl w:val="0"/>
          <w:numId w:val="155"/>
        </w:numPr>
        <w:tabs>
          <w:tab w:val="left" w:pos="0"/>
          <w:tab w:val="left" w:pos="567"/>
        </w:tabs>
        <w:spacing w:before="0" w:after="0"/>
        <w:ind w:left="0" w:firstLine="0"/>
        <w:rPr>
          <w:szCs w:val="24"/>
        </w:rPr>
      </w:pPr>
      <w:r w:rsidRPr="00DB1FCB">
        <w:rPr>
          <w:szCs w:val="24"/>
        </w:rPr>
        <w:t xml:space="preserve">Терапия глюкокортикоидами. </w:t>
      </w:r>
    </w:p>
    <w:p w14:paraId="40BE48F5" w14:textId="77777777" w:rsidR="00CE6C1C" w:rsidRPr="00DB1FCB" w:rsidRDefault="00CE6C1C" w:rsidP="008F69F6">
      <w:pPr>
        <w:numPr>
          <w:ilvl w:val="0"/>
          <w:numId w:val="155"/>
        </w:numPr>
        <w:tabs>
          <w:tab w:val="left" w:pos="0"/>
          <w:tab w:val="left" w:pos="567"/>
        </w:tabs>
        <w:spacing w:before="0" w:after="0"/>
        <w:ind w:left="0" w:firstLine="0"/>
        <w:rPr>
          <w:szCs w:val="24"/>
        </w:rPr>
      </w:pPr>
      <w:r w:rsidRPr="00DB1FCB">
        <w:rPr>
          <w:szCs w:val="24"/>
        </w:rPr>
        <w:t>Лечение препаратами, приводящими к снижению числа лимфоцитов CD4.</w:t>
      </w:r>
    </w:p>
    <w:p w14:paraId="5F01A356" w14:textId="77777777" w:rsidR="00CE6C1C" w:rsidRPr="00DB1FCB" w:rsidRDefault="00CE6C1C" w:rsidP="008F69F6">
      <w:pPr>
        <w:numPr>
          <w:ilvl w:val="0"/>
          <w:numId w:val="155"/>
        </w:numPr>
        <w:tabs>
          <w:tab w:val="left" w:pos="0"/>
          <w:tab w:val="left" w:pos="567"/>
        </w:tabs>
        <w:spacing w:before="0" w:after="0"/>
        <w:ind w:left="0" w:firstLine="0"/>
        <w:rPr>
          <w:szCs w:val="24"/>
        </w:rPr>
      </w:pPr>
      <w:r w:rsidRPr="00DB1FCB">
        <w:rPr>
          <w:szCs w:val="24"/>
        </w:rPr>
        <w:t>Пациенты, имеющие в анамнезе пневмоцистную пневмонию.</w:t>
      </w:r>
    </w:p>
    <w:p w14:paraId="5CE40D41" w14:textId="77777777" w:rsidR="00CE6C1C" w:rsidRPr="00DB1FCB" w:rsidRDefault="00CE6C1C" w:rsidP="008F69F6">
      <w:pPr>
        <w:numPr>
          <w:ilvl w:val="0"/>
          <w:numId w:val="156"/>
        </w:numPr>
        <w:tabs>
          <w:tab w:val="left" w:pos="0"/>
          <w:tab w:val="left" w:pos="567"/>
        </w:tabs>
        <w:spacing w:before="0" w:after="0"/>
        <w:ind w:left="0" w:firstLine="0"/>
        <w:rPr>
          <w:szCs w:val="24"/>
        </w:rPr>
      </w:pPr>
      <w:r w:rsidRPr="00DB1FCB">
        <w:rPr>
          <w:szCs w:val="24"/>
        </w:rPr>
        <w:t>Назначают один из следующих препаратов:</w:t>
      </w:r>
    </w:p>
    <w:p w14:paraId="33DD6FD9" w14:textId="77777777" w:rsidR="00CE6C1C" w:rsidRPr="00DB1FCB" w:rsidRDefault="00CE6C1C" w:rsidP="008F69F6">
      <w:pPr>
        <w:numPr>
          <w:ilvl w:val="0"/>
          <w:numId w:val="155"/>
        </w:numPr>
        <w:tabs>
          <w:tab w:val="left" w:pos="0"/>
          <w:tab w:val="left" w:pos="567"/>
        </w:tabs>
        <w:spacing w:before="0" w:after="0"/>
        <w:ind w:left="0" w:firstLine="0"/>
        <w:rPr>
          <w:szCs w:val="24"/>
        </w:rPr>
      </w:pPr>
      <w:r w:rsidRPr="00DB1FCB">
        <w:rPr>
          <w:szCs w:val="24"/>
        </w:rPr>
        <w:t xml:space="preserve">Триметоприм/сульфаметоксазол назначают по 480 мг ежедневно. </w:t>
      </w:r>
    </w:p>
    <w:p w14:paraId="5118ADA0" w14:textId="77777777" w:rsidR="00CE6C1C" w:rsidRPr="00DB1FCB" w:rsidRDefault="00CE6C1C" w:rsidP="008F69F6">
      <w:pPr>
        <w:numPr>
          <w:ilvl w:val="0"/>
          <w:numId w:val="155"/>
        </w:numPr>
        <w:tabs>
          <w:tab w:val="left" w:pos="0"/>
          <w:tab w:val="left" w:pos="567"/>
        </w:tabs>
        <w:spacing w:before="0" w:after="0"/>
        <w:ind w:left="0" w:firstLine="0"/>
        <w:rPr>
          <w:szCs w:val="24"/>
        </w:rPr>
      </w:pPr>
      <w:r w:rsidRPr="00DB1FCB">
        <w:rPr>
          <w:szCs w:val="24"/>
        </w:rPr>
        <w:t>Дапсон, 100 мг внутрь ежедневно.</w:t>
      </w:r>
    </w:p>
    <w:p w14:paraId="3AC9AC24" w14:textId="77777777" w:rsidR="00CE6C1C" w:rsidRPr="00DB1FCB" w:rsidRDefault="00CE6C1C" w:rsidP="008F69F6">
      <w:pPr>
        <w:numPr>
          <w:ilvl w:val="0"/>
          <w:numId w:val="155"/>
        </w:numPr>
        <w:tabs>
          <w:tab w:val="left" w:pos="0"/>
          <w:tab w:val="left" w:pos="567"/>
        </w:tabs>
        <w:spacing w:before="0" w:after="0"/>
        <w:ind w:left="0" w:firstLine="0"/>
        <w:rPr>
          <w:szCs w:val="24"/>
        </w:rPr>
      </w:pPr>
      <w:r w:rsidRPr="00DB1FCB">
        <w:rPr>
          <w:szCs w:val="24"/>
        </w:rPr>
        <w:t>Пентамидин, 300 мг в виде аэрозоля через респираторный ингалятор или внутривенно каждые 3—4 недели.</w:t>
      </w:r>
    </w:p>
    <w:p w14:paraId="65DDB2D3" w14:textId="77777777" w:rsidR="00CE6C1C" w:rsidRPr="00DB1FCB" w:rsidRDefault="00CE6C1C" w:rsidP="008F69F6">
      <w:pPr>
        <w:numPr>
          <w:ilvl w:val="0"/>
          <w:numId w:val="157"/>
        </w:numPr>
        <w:tabs>
          <w:tab w:val="left" w:pos="0"/>
          <w:tab w:val="left" w:pos="567"/>
        </w:tabs>
        <w:spacing w:before="0" w:after="0"/>
        <w:ind w:left="0" w:firstLine="0"/>
        <w:rPr>
          <w:szCs w:val="24"/>
        </w:rPr>
      </w:pPr>
      <w:r w:rsidRPr="00DB1FCB">
        <w:rPr>
          <w:szCs w:val="24"/>
        </w:rPr>
        <w:t>Препараты применяют в период цитостатической терапии и в течение всего периода нейтропении.</w:t>
      </w:r>
    </w:p>
    <w:p w14:paraId="05222904" w14:textId="77777777" w:rsidR="00CE6C1C" w:rsidRPr="00DB1FCB" w:rsidRDefault="00CE6C1C" w:rsidP="008F69F6">
      <w:pPr>
        <w:numPr>
          <w:ilvl w:val="0"/>
          <w:numId w:val="157"/>
        </w:numPr>
        <w:tabs>
          <w:tab w:val="left" w:pos="0"/>
          <w:tab w:val="left" w:pos="567"/>
        </w:tabs>
        <w:spacing w:before="0" w:after="0"/>
        <w:ind w:left="0" w:firstLine="0"/>
        <w:rPr>
          <w:szCs w:val="24"/>
        </w:rPr>
      </w:pPr>
      <w:r w:rsidRPr="00DB1FCB">
        <w:rPr>
          <w:szCs w:val="24"/>
        </w:rPr>
        <w:t xml:space="preserve">Использование триметоприма/сульфаметоксазола одновременно предупреждает инфекции, вызываемые </w:t>
      </w:r>
      <w:r w:rsidRPr="00DB1FCB">
        <w:rPr>
          <w:i/>
          <w:szCs w:val="24"/>
        </w:rPr>
        <w:t>Toxoplasma gondii, Listeria monocytogenes, Nocardia asteroides</w:t>
      </w:r>
      <w:r w:rsidRPr="00DB1FCB">
        <w:rPr>
          <w:szCs w:val="24"/>
        </w:rPr>
        <w:t xml:space="preserve">. </w:t>
      </w:r>
    </w:p>
    <w:p w14:paraId="55428511" w14:textId="56B089D2" w:rsidR="00CE6C1C" w:rsidRPr="00DB1FCB" w:rsidRDefault="00CE6C1C" w:rsidP="008F69F6">
      <w:pPr>
        <w:tabs>
          <w:tab w:val="left" w:pos="0"/>
          <w:tab w:val="left" w:pos="284"/>
        </w:tabs>
        <w:spacing w:before="0" w:after="0"/>
        <w:jc w:val="center"/>
        <w:rPr>
          <w:b/>
          <w:szCs w:val="24"/>
        </w:rPr>
      </w:pPr>
      <w:r w:rsidRPr="00DB1FCB">
        <w:rPr>
          <w:b/>
          <w:szCs w:val="24"/>
        </w:rPr>
        <w:t xml:space="preserve">Противогрибковая профилактика </w:t>
      </w:r>
      <w:r w:rsidRPr="00DB1FCB">
        <w:rPr>
          <w:b/>
          <w:szCs w:val="24"/>
        </w:rPr>
        <w:fldChar w:fldCharType="begin" w:fldLock="1"/>
      </w:r>
      <w:r>
        <w:rPr>
          <w:b/>
          <w:szCs w:val="24"/>
        </w:rPr>
        <w:instrText>ADDIN CSL_CITATION {"citationItems":[{"id":"ITEM-1","itemData":{"author":[{"dropping-particle":"","family":"Савченко В.Г. и др","given":"","non-dropping-particle":"","parse-names":false,"suffix":""}],"id":"ITEM-1","issued":{"date-parts":[["2018"]]},"note":"a","number-of-pages":"1008","publisher":"Практика","publisher-place":"Москва","title":"Алгоритмы диагностики и протоколы лечения заболеваний системы крови.","type":"book"},"uris":["http://www.mendeley.com/documents/?uuid=2cd270b2-efaf-4da9-a95d-66324661ea35","http://www.mendeley.com/documents/?uuid=fe583573-532c-46dc-b4f4-f9d01345e27c","http://www.mendeley.com/documents/?uuid=26da25a5-bd21-4509-8e88-e4e6744fab98","http://www.mendeley.com/documents/?uuid=a1e2f5d6-ef05-4351-9481-13fad4fd103b","http://www.mendeley.com/documents/?uuid=478d6ce1-e425-4912-87db-adfee39f1ce9","http://www.mendeley.com/documents/?uuid=9cac36ab-7685-4894-b1cb-f141a1797526","http://www.mendeley.com/documents/?uuid=c0eae3a3-34ee-40e1-8813-566cb7fa2b4a"]}],"mendeley":{"formattedCitation":"[1]","plainTextFormattedCitation":"[1]","previouslyFormattedCitation":"[9]"},"properties":{"noteIndex":0},"schema":"https://github.com/citation-style-language/schema/raw/master/csl-citation.json"}</w:instrText>
      </w:r>
      <w:r w:rsidRPr="00DB1FCB">
        <w:rPr>
          <w:b/>
          <w:szCs w:val="24"/>
        </w:rPr>
        <w:fldChar w:fldCharType="separate"/>
      </w:r>
      <w:r w:rsidRPr="00936D8F">
        <w:rPr>
          <w:noProof/>
          <w:szCs w:val="24"/>
        </w:rPr>
        <w:t>[1]</w:t>
      </w:r>
      <w:r w:rsidRPr="00DB1FCB">
        <w:rPr>
          <w:szCs w:val="24"/>
        </w:rPr>
        <w:fldChar w:fldCharType="end"/>
      </w:r>
    </w:p>
    <w:p w14:paraId="73F7AF85" w14:textId="77777777" w:rsidR="00CE6C1C" w:rsidRPr="00DB1FCB" w:rsidRDefault="00CE6C1C" w:rsidP="008F69F6">
      <w:pPr>
        <w:numPr>
          <w:ilvl w:val="0"/>
          <w:numId w:val="150"/>
        </w:numPr>
        <w:tabs>
          <w:tab w:val="left" w:pos="0"/>
          <w:tab w:val="left" w:pos="567"/>
        </w:tabs>
        <w:spacing w:before="0" w:after="0"/>
        <w:ind w:left="0" w:firstLine="0"/>
        <w:rPr>
          <w:szCs w:val="24"/>
        </w:rPr>
      </w:pPr>
      <w:r w:rsidRPr="00DB1FCB">
        <w:rPr>
          <w:szCs w:val="24"/>
        </w:rPr>
        <w:t>Проводится пациентам с отягощенным анамнезом (острый диссеминированный кандидоз, хронический диссеминированный кандидоз, мукормикоз или инвазивный аспергиллез).</w:t>
      </w:r>
    </w:p>
    <w:p w14:paraId="00157310" w14:textId="77777777" w:rsidR="00CE6C1C" w:rsidRPr="00DB1FCB" w:rsidRDefault="00CE6C1C" w:rsidP="008F69F6">
      <w:pPr>
        <w:numPr>
          <w:ilvl w:val="0"/>
          <w:numId w:val="150"/>
        </w:numPr>
        <w:tabs>
          <w:tab w:val="left" w:pos="0"/>
          <w:tab w:val="left" w:pos="567"/>
        </w:tabs>
        <w:spacing w:before="0" w:after="0"/>
        <w:ind w:left="0" w:firstLine="0"/>
        <w:rPr>
          <w:szCs w:val="24"/>
        </w:rPr>
      </w:pPr>
      <w:r w:rsidRPr="00DB1FCB">
        <w:rPr>
          <w:szCs w:val="24"/>
        </w:rPr>
        <w:t xml:space="preserve">Назначают препарат, при использовании которого было достигнуто излечение от инвазивного микоза. </w:t>
      </w:r>
    </w:p>
    <w:p w14:paraId="51EBD5F3" w14:textId="77777777" w:rsidR="00CE6C1C" w:rsidRPr="00DB1FCB" w:rsidRDefault="00CE6C1C" w:rsidP="008F69F6">
      <w:pPr>
        <w:numPr>
          <w:ilvl w:val="0"/>
          <w:numId w:val="150"/>
        </w:numPr>
        <w:tabs>
          <w:tab w:val="left" w:pos="0"/>
          <w:tab w:val="left" w:pos="567"/>
        </w:tabs>
        <w:spacing w:before="0" w:after="0"/>
        <w:ind w:left="0" w:firstLine="0"/>
        <w:rPr>
          <w:szCs w:val="24"/>
        </w:rPr>
      </w:pPr>
      <w:r w:rsidRPr="00DB1FCB">
        <w:rPr>
          <w:szCs w:val="24"/>
        </w:rPr>
        <w:lastRenderedPageBreak/>
        <w:t>Пациенты с наличием в анамнезе острого или хронического диссеминированного кандидоза</w:t>
      </w:r>
      <w:r>
        <w:rPr>
          <w:szCs w:val="24"/>
        </w:rPr>
        <w:t xml:space="preserve"> (обычно один препарат из перечня)</w:t>
      </w:r>
      <w:r w:rsidRPr="00DB1FCB">
        <w:rPr>
          <w:szCs w:val="24"/>
        </w:rPr>
        <w:t>:</w:t>
      </w:r>
    </w:p>
    <w:p w14:paraId="5F7B9A67" w14:textId="77777777" w:rsidR="00CE6C1C" w:rsidRPr="00DB1FCB" w:rsidRDefault="00CE6C1C" w:rsidP="008F69F6">
      <w:pPr>
        <w:numPr>
          <w:ilvl w:val="0"/>
          <w:numId w:val="151"/>
        </w:numPr>
        <w:tabs>
          <w:tab w:val="left" w:pos="0"/>
          <w:tab w:val="left" w:pos="567"/>
        </w:tabs>
        <w:spacing w:before="0" w:after="0"/>
        <w:ind w:left="0" w:firstLine="0"/>
        <w:rPr>
          <w:szCs w:val="24"/>
        </w:rPr>
      </w:pPr>
      <w:r w:rsidRPr="00DB1FCB">
        <w:rPr>
          <w:szCs w:val="24"/>
        </w:rPr>
        <w:t>Флуконазол, по 400 мг в сутки, внутривенно или внутрь.</w:t>
      </w:r>
    </w:p>
    <w:p w14:paraId="23DF41B4" w14:textId="77777777" w:rsidR="00CE6C1C" w:rsidRPr="00DB1FCB" w:rsidRDefault="00CE6C1C" w:rsidP="008F69F6">
      <w:pPr>
        <w:numPr>
          <w:ilvl w:val="0"/>
          <w:numId w:val="151"/>
        </w:numPr>
        <w:tabs>
          <w:tab w:val="left" w:pos="0"/>
          <w:tab w:val="left" w:pos="567"/>
        </w:tabs>
        <w:spacing w:before="0" w:after="0"/>
        <w:ind w:left="0" w:firstLine="0"/>
        <w:rPr>
          <w:szCs w:val="24"/>
        </w:rPr>
      </w:pPr>
      <w:r w:rsidRPr="00DB1FCB">
        <w:rPr>
          <w:szCs w:val="24"/>
        </w:rPr>
        <w:t>Каспофунгин, по 50 мг в сутки внутривенно.</w:t>
      </w:r>
    </w:p>
    <w:p w14:paraId="46E85987" w14:textId="77777777" w:rsidR="00CE6C1C" w:rsidRPr="00DB1FCB" w:rsidRDefault="00CE6C1C" w:rsidP="008F69F6">
      <w:pPr>
        <w:numPr>
          <w:ilvl w:val="0"/>
          <w:numId w:val="151"/>
        </w:numPr>
        <w:tabs>
          <w:tab w:val="left" w:pos="0"/>
          <w:tab w:val="left" w:pos="567"/>
        </w:tabs>
        <w:spacing w:before="0" w:after="0"/>
        <w:ind w:left="0" w:firstLine="0"/>
        <w:rPr>
          <w:szCs w:val="24"/>
        </w:rPr>
      </w:pPr>
      <w:r w:rsidRPr="00DB1FCB">
        <w:rPr>
          <w:szCs w:val="24"/>
        </w:rPr>
        <w:t>Микафунгин, по 100 мг в сутки внутривенно.</w:t>
      </w:r>
    </w:p>
    <w:p w14:paraId="5ABF604A" w14:textId="77777777" w:rsidR="00CE6C1C" w:rsidRPr="00DB1FCB" w:rsidRDefault="00CE6C1C" w:rsidP="008F69F6">
      <w:pPr>
        <w:numPr>
          <w:ilvl w:val="0"/>
          <w:numId w:val="151"/>
        </w:numPr>
        <w:tabs>
          <w:tab w:val="left" w:pos="0"/>
          <w:tab w:val="left" w:pos="567"/>
        </w:tabs>
        <w:spacing w:before="0" w:after="0"/>
        <w:ind w:left="0" w:firstLine="0"/>
        <w:rPr>
          <w:szCs w:val="24"/>
        </w:rPr>
      </w:pPr>
      <w:r w:rsidRPr="00DB1FCB">
        <w:rPr>
          <w:szCs w:val="24"/>
        </w:rPr>
        <w:t>Анидулафунгин, по 100 мг в сутки внутривенно.</w:t>
      </w:r>
    </w:p>
    <w:p w14:paraId="7ADDE553" w14:textId="77777777" w:rsidR="00CE6C1C" w:rsidRPr="00DB1FCB" w:rsidRDefault="00CE6C1C" w:rsidP="008F69F6">
      <w:pPr>
        <w:numPr>
          <w:ilvl w:val="0"/>
          <w:numId w:val="150"/>
        </w:numPr>
        <w:tabs>
          <w:tab w:val="left" w:pos="0"/>
          <w:tab w:val="left" w:pos="567"/>
        </w:tabs>
        <w:spacing w:before="0" w:after="0"/>
        <w:ind w:left="0" w:firstLine="0"/>
        <w:rPr>
          <w:szCs w:val="24"/>
        </w:rPr>
      </w:pPr>
      <w:r w:rsidRPr="00DB1FCB">
        <w:rPr>
          <w:szCs w:val="24"/>
        </w:rPr>
        <w:t>Пациенты с наличием в анамнезе инвазивного аспергиллеза</w:t>
      </w:r>
      <w:r>
        <w:rPr>
          <w:szCs w:val="24"/>
        </w:rPr>
        <w:t xml:space="preserve"> (обычно один препарат из перечня)</w:t>
      </w:r>
      <w:r w:rsidRPr="00DB1FCB">
        <w:rPr>
          <w:szCs w:val="24"/>
        </w:rPr>
        <w:t>:</w:t>
      </w:r>
    </w:p>
    <w:p w14:paraId="2DB39751" w14:textId="77777777" w:rsidR="00CE6C1C" w:rsidRPr="00DB1FCB" w:rsidRDefault="00CE6C1C" w:rsidP="008F69F6">
      <w:pPr>
        <w:numPr>
          <w:ilvl w:val="0"/>
          <w:numId w:val="152"/>
        </w:numPr>
        <w:tabs>
          <w:tab w:val="left" w:pos="0"/>
          <w:tab w:val="left" w:pos="567"/>
        </w:tabs>
        <w:spacing w:before="0" w:after="0"/>
        <w:ind w:left="0" w:firstLine="0"/>
        <w:rPr>
          <w:szCs w:val="24"/>
        </w:rPr>
      </w:pPr>
      <w:r w:rsidRPr="00DB1FCB">
        <w:rPr>
          <w:szCs w:val="24"/>
        </w:rPr>
        <w:t>Вориконазол, по 200 мг 2 раза в сутки внутрь (в таблетках, натощак) или внутривенно.</w:t>
      </w:r>
    </w:p>
    <w:p w14:paraId="5DC0C322" w14:textId="77777777" w:rsidR="00CE6C1C" w:rsidRPr="00DB1FCB" w:rsidRDefault="00CE6C1C" w:rsidP="008F69F6">
      <w:pPr>
        <w:numPr>
          <w:ilvl w:val="0"/>
          <w:numId w:val="152"/>
        </w:numPr>
        <w:tabs>
          <w:tab w:val="left" w:pos="0"/>
          <w:tab w:val="left" w:pos="567"/>
        </w:tabs>
        <w:spacing w:before="0" w:after="0"/>
        <w:ind w:left="0" w:firstLine="0"/>
        <w:rPr>
          <w:szCs w:val="24"/>
        </w:rPr>
      </w:pPr>
      <w:r w:rsidRPr="00DB1FCB">
        <w:rPr>
          <w:szCs w:val="24"/>
        </w:rPr>
        <w:t>Позаконазол (суспензия), по 200 мг 3 раза в сутки внутрь (после еды).</w:t>
      </w:r>
    </w:p>
    <w:p w14:paraId="470ADED8" w14:textId="77777777" w:rsidR="00CE6C1C" w:rsidRPr="00DB1FCB" w:rsidRDefault="00CE6C1C" w:rsidP="008F69F6">
      <w:pPr>
        <w:numPr>
          <w:ilvl w:val="0"/>
          <w:numId w:val="152"/>
        </w:numPr>
        <w:tabs>
          <w:tab w:val="left" w:pos="0"/>
          <w:tab w:val="left" w:pos="567"/>
        </w:tabs>
        <w:spacing w:before="0" w:after="0"/>
        <w:ind w:left="0" w:firstLine="0"/>
        <w:rPr>
          <w:szCs w:val="24"/>
        </w:rPr>
      </w:pPr>
      <w:r w:rsidRPr="00DB1FCB">
        <w:rPr>
          <w:szCs w:val="24"/>
        </w:rPr>
        <w:t>Итраконазол (суспензия), по 200 мг 2 раза в сутки внутрь (натощак).</w:t>
      </w:r>
    </w:p>
    <w:p w14:paraId="0713E91A" w14:textId="77777777" w:rsidR="00CE6C1C" w:rsidRPr="00DB1FCB" w:rsidRDefault="00CE6C1C" w:rsidP="008F69F6">
      <w:pPr>
        <w:numPr>
          <w:ilvl w:val="0"/>
          <w:numId w:val="153"/>
        </w:numPr>
        <w:tabs>
          <w:tab w:val="left" w:pos="0"/>
          <w:tab w:val="left" w:pos="567"/>
        </w:tabs>
        <w:spacing w:before="0" w:after="0"/>
        <w:ind w:left="0" w:firstLine="0"/>
        <w:rPr>
          <w:szCs w:val="24"/>
        </w:rPr>
      </w:pPr>
      <w:r w:rsidRPr="00DB1FCB">
        <w:rPr>
          <w:szCs w:val="24"/>
        </w:rPr>
        <w:t>Пациенты с наличием в анамнезе мукормикоза:</w:t>
      </w:r>
    </w:p>
    <w:p w14:paraId="21E23BC0" w14:textId="77777777" w:rsidR="00CE6C1C" w:rsidRPr="00DB1FCB" w:rsidRDefault="00CE6C1C" w:rsidP="008F69F6">
      <w:pPr>
        <w:tabs>
          <w:tab w:val="left" w:pos="0"/>
          <w:tab w:val="left" w:pos="567"/>
        </w:tabs>
        <w:spacing w:before="0" w:after="0"/>
        <w:rPr>
          <w:b/>
          <w:szCs w:val="24"/>
        </w:rPr>
      </w:pPr>
      <w:r w:rsidRPr="00DB1FCB">
        <w:rPr>
          <w:szCs w:val="24"/>
        </w:rPr>
        <w:t>Позаконазол (суспензия), по 200 мг 3 раза в сутки внутрь (после еды).</w:t>
      </w:r>
      <w:r w:rsidRPr="00DB1FCB">
        <w:rPr>
          <w:b/>
          <w:szCs w:val="24"/>
        </w:rPr>
        <w:t xml:space="preserve"> </w:t>
      </w:r>
    </w:p>
    <w:p w14:paraId="3F9DB4FC" w14:textId="77777777" w:rsidR="00683A05" w:rsidRPr="000357B8" w:rsidRDefault="00683A05" w:rsidP="008F69F6">
      <w:pPr>
        <w:pStyle w:val="a6"/>
        <w:widowControl w:val="0"/>
        <w:autoSpaceDE w:val="0"/>
        <w:autoSpaceDN w:val="0"/>
        <w:adjustRightInd w:val="0"/>
        <w:spacing w:before="0" w:after="0"/>
        <w:ind w:right="51"/>
        <w:jc w:val="center"/>
        <w:rPr>
          <w:b/>
          <w:szCs w:val="24"/>
        </w:rPr>
      </w:pPr>
      <w:r w:rsidRPr="000357B8">
        <w:rPr>
          <w:b/>
          <w:szCs w:val="24"/>
        </w:rPr>
        <w:t>Профилактика вирусных инфекций</w:t>
      </w:r>
    </w:p>
    <w:p w14:paraId="49486857" w14:textId="77DC9D94" w:rsidR="00CE6C1C" w:rsidRPr="00DB1FCB" w:rsidRDefault="00CE6C1C" w:rsidP="008F69F6">
      <w:pPr>
        <w:tabs>
          <w:tab w:val="left" w:pos="0"/>
          <w:tab w:val="left" w:pos="567"/>
        </w:tabs>
        <w:spacing w:before="0" w:after="0"/>
        <w:rPr>
          <w:szCs w:val="24"/>
        </w:rPr>
      </w:pPr>
      <w:r w:rsidRPr="00DB1FCB">
        <w:rPr>
          <w:szCs w:val="24"/>
        </w:rPr>
        <w:t>Показана пациентам, имеющим отягощенный анамнез (частые, рецидивирующие эпизоды герпетических инфе</w:t>
      </w:r>
      <w:r w:rsidR="00BF079B">
        <w:rPr>
          <w:szCs w:val="24"/>
        </w:rPr>
        <w:t xml:space="preserve">кций) </w:t>
      </w:r>
      <w:r w:rsidR="00BF079B" w:rsidRPr="00D9248B">
        <w:rPr>
          <w:szCs w:val="24"/>
        </w:rPr>
        <w:t>и пациентам, получающим бортезомиб.</w:t>
      </w:r>
    </w:p>
    <w:p w14:paraId="297247F2" w14:textId="77777777" w:rsidR="00683A05" w:rsidRPr="00B201D3" w:rsidRDefault="00683A05" w:rsidP="008F69F6">
      <w:pPr>
        <w:spacing w:before="0" w:after="0"/>
        <w:ind w:right="49" w:firstLine="709"/>
        <w:contextualSpacing/>
      </w:pPr>
      <w:r w:rsidRPr="00B201D3">
        <w:t>Используют следующие препараты для профилактики</w:t>
      </w:r>
      <w:r>
        <w:t xml:space="preserve"> </w:t>
      </w:r>
      <w:r w:rsidRPr="00B201D3">
        <w:t>вирусных инфекций</w:t>
      </w:r>
      <w:r>
        <w:t>:</w:t>
      </w:r>
    </w:p>
    <w:p w14:paraId="203ECE75" w14:textId="77777777" w:rsidR="00683A05" w:rsidRPr="00933F76" w:rsidRDefault="00683A05" w:rsidP="008F69F6">
      <w:pPr>
        <w:pStyle w:val="a6"/>
        <w:numPr>
          <w:ilvl w:val="0"/>
          <w:numId w:val="149"/>
        </w:numPr>
        <w:spacing w:before="0" w:after="0"/>
        <w:ind w:right="49"/>
        <w:rPr>
          <w:szCs w:val="24"/>
        </w:rPr>
      </w:pPr>
      <w:r w:rsidRPr="00933F76">
        <w:rPr>
          <w:szCs w:val="24"/>
        </w:rPr>
        <w:t>ацикловир внутривенно 250 мг/м</w:t>
      </w:r>
      <w:r w:rsidRPr="00933F76">
        <w:rPr>
          <w:szCs w:val="24"/>
          <w:vertAlign w:val="superscript"/>
        </w:rPr>
        <w:t>2</w:t>
      </w:r>
      <w:r w:rsidRPr="00933F76">
        <w:rPr>
          <w:szCs w:val="24"/>
        </w:rPr>
        <w:t xml:space="preserve"> или 5 мг/кг каждые 12 часов;</w:t>
      </w:r>
    </w:p>
    <w:p w14:paraId="2483132E" w14:textId="77777777" w:rsidR="00683A05" w:rsidRPr="00933F76" w:rsidRDefault="00683A05" w:rsidP="008F69F6">
      <w:pPr>
        <w:pStyle w:val="a6"/>
        <w:numPr>
          <w:ilvl w:val="0"/>
          <w:numId w:val="149"/>
        </w:numPr>
        <w:spacing w:before="0" w:after="0"/>
        <w:ind w:right="49"/>
        <w:rPr>
          <w:szCs w:val="24"/>
        </w:rPr>
      </w:pPr>
      <w:r w:rsidRPr="00933F76">
        <w:rPr>
          <w:szCs w:val="24"/>
        </w:rPr>
        <w:t>ацикловир таблетки по 200 мг х 3 раза;</w:t>
      </w:r>
    </w:p>
    <w:p w14:paraId="538399C9" w14:textId="77777777" w:rsidR="00683A05" w:rsidRPr="00933F76" w:rsidRDefault="00683A05" w:rsidP="008F69F6">
      <w:pPr>
        <w:pStyle w:val="a6"/>
        <w:numPr>
          <w:ilvl w:val="0"/>
          <w:numId w:val="149"/>
        </w:numPr>
        <w:spacing w:before="0" w:after="0"/>
        <w:ind w:right="49"/>
        <w:rPr>
          <w:szCs w:val="24"/>
        </w:rPr>
      </w:pPr>
      <w:r w:rsidRPr="00933F76">
        <w:rPr>
          <w:szCs w:val="24"/>
        </w:rPr>
        <w:t>валациковир по 500 мг х 2 раза;</w:t>
      </w:r>
    </w:p>
    <w:p w14:paraId="7AAF9832" w14:textId="77777777" w:rsidR="00683A05" w:rsidRPr="00040AAA" w:rsidRDefault="00683A05" w:rsidP="008F69F6">
      <w:pPr>
        <w:pStyle w:val="a6"/>
        <w:numPr>
          <w:ilvl w:val="0"/>
          <w:numId w:val="149"/>
        </w:numPr>
        <w:spacing w:before="0" w:after="0"/>
        <w:ind w:right="49"/>
        <w:rPr>
          <w:szCs w:val="24"/>
        </w:rPr>
      </w:pPr>
      <w:r w:rsidRPr="00933F76">
        <w:rPr>
          <w:szCs w:val="24"/>
        </w:rPr>
        <w:t>фамцикловир по 500 мг 2 раза</w:t>
      </w:r>
      <w:r w:rsidRPr="00040AAA">
        <w:rPr>
          <w:szCs w:val="24"/>
        </w:rPr>
        <w:t>.</w:t>
      </w:r>
    </w:p>
    <w:p w14:paraId="5A7F6F85" w14:textId="510CF5BB" w:rsidR="00683A05" w:rsidRDefault="00683A05" w:rsidP="008F69F6">
      <w:pPr>
        <w:spacing w:before="0" w:after="0"/>
        <w:ind w:right="49" w:firstLine="709"/>
        <w:contextualSpacing/>
      </w:pPr>
      <w:r w:rsidRPr="00040AAA">
        <w:t>П</w:t>
      </w:r>
      <w:r>
        <w:t>ротивовирусную профилактику п</w:t>
      </w:r>
      <w:r w:rsidRPr="00040AAA">
        <w:t>рименяют в те</w:t>
      </w:r>
      <w:r w:rsidR="00CE6C1C">
        <w:t xml:space="preserve">чение 3-5 недель с 1-го дня ПХТ. </w:t>
      </w:r>
      <w:r w:rsidRPr="00040AAA">
        <w:t>Перевод с пероральной на вн</w:t>
      </w:r>
      <w:r>
        <w:t>у</w:t>
      </w:r>
      <w:r w:rsidRPr="00040AAA">
        <w:t xml:space="preserve">тривенную форму проводят у больных с мукозитом. </w:t>
      </w:r>
    </w:p>
    <w:p w14:paraId="47EEBC3A" w14:textId="77777777" w:rsidR="00683A05" w:rsidRPr="00FD15FE" w:rsidRDefault="00683A05" w:rsidP="00683A05">
      <w:pPr>
        <w:ind w:right="49"/>
        <w:contextualSpacing/>
        <w:rPr>
          <w:b/>
          <w:bCs/>
        </w:rPr>
      </w:pPr>
      <w:r w:rsidRPr="000357B8">
        <w:rPr>
          <w:b/>
          <w:bCs/>
        </w:rPr>
        <w:t>Список</w:t>
      </w:r>
      <w:r w:rsidRPr="00FD15FE">
        <w:rPr>
          <w:b/>
          <w:bCs/>
        </w:rPr>
        <w:t xml:space="preserve"> </w:t>
      </w:r>
      <w:r w:rsidRPr="000357B8">
        <w:rPr>
          <w:b/>
          <w:bCs/>
        </w:rPr>
        <w:t>литературы</w:t>
      </w:r>
    </w:p>
    <w:p w14:paraId="3DB5A80D" w14:textId="77777777" w:rsidR="00CE6C1C" w:rsidRPr="00CE6C1C" w:rsidRDefault="00CE6C1C" w:rsidP="008F69F6">
      <w:pPr>
        <w:widowControl w:val="0"/>
        <w:autoSpaceDE w:val="0"/>
        <w:autoSpaceDN w:val="0"/>
        <w:adjustRightInd w:val="0"/>
        <w:spacing w:before="0" w:after="0" w:line="240" w:lineRule="auto"/>
        <w:rPr>
          <w:noProof/>
          <w:szCs w:val="24"/>
          <w:lang w:val="en-US"/>
        </w:rPr>
      </w:pPr>
      <w:r w:rsidRPr="00CE6C1C">
        <w:rPr>
          <w:szCs w:val="24"/>
        </w:rPr>
        <w:fldChar w:fldCharType="begin" w:fldLock="1"/>
      </w:r>
      <w:r w:rsidRPr="00CE6C1C">
        <w:rPr>
          <w:szCs w:val="24"/>
        </w:rPr>
        <w:instrText xml:space="preserve">ADDIN Mendeley Bibliography CSL_BIBLIOGRAPHY </w:instrText>
      </w:r>
      <w:r w:rsidRPr="00CE6C1C">
        <w:rPr>
          <w:szCs w:val="24"/>
        </w:rPr>
        <w:fldChar w:fldCharType="separate"/>
      </w:r>
      <w:r w:rsidRPr="00CE6C1C">
        <w:rPr>
          <w:noProof/>
          <w:szCs w:val="24"/>
        </w:rPr>
        <w:t xml:space="preserve">1. Савченко В.Г. и дрАлгоритмы диагностики и протоколы лечения заболеваний системы крови. / Савченко В.Г. и др – Москва: Практика, 2018.– </w:t>
      </w:r>
      <w:r w:rsidRPr="00CE6C1C">
        <w:rPr>
          <w:noProof/>
          <w:szCs w:val="24"/>
          <w:lang w:val="en-US"/>
        </w:rPr>
        <w:t>1008c.</w:t>
      </w:r>
    </w:p>
    <w:p w14:paraId="7CFCDE13" w14:textId="77777777" w:rsidR="00CE6C1C" w:rsidRPr="00CE6C1C" w:rsidRDefault="00CE6C1C" w:rsidP="008F69F6">
      <w:pPr>
        <w:widowControl w:val="0"/>
        <w:autoSpaceDE w:val="0"/>
        <w:autoSpaceDN w:val="0"/>
        <w:adjustRightInd w:val="0"/>
        <w:spacing w:before="0" w:after="0" w:line="240" w:lineRule="auto"/>
        <w:rPr>
          <w:noProof/>
          <w:szCs w:val="24"/>
          <w:lang w:val="en-US"/>
        </w:rPr>
      </w:pPr>
      <w:r w:rsidRPr="00CE6C1C">
        <w:rPr>
          <w:noProof/>
          <w:szCs w:val="24"/>
          <w:lang w:val="en-US"/>
        </w:rPr>
        <w:t>2. J. M. ECIL guidelines for preventing Pneumocystis jirovecii pneumonia in patients with haematological malignancies and stem cell transplant recipients / M. J., C. S., M. G., W. C. // J. Antimicrob. Chemother. – 2016.</w:t>
      </w:r>
    </w:p>
    <w:p w14:paraId="0BE07990" w14:textId="77777777" w:rsidR="00CE6C1C" w:rsidRPr="00CE6C1C" w:rsidRDefault="00CE6C1C" w:rsidP="008F69F6">
      <w:pPr>
        <w:widowControl w:val="0"/>
        <w:autoSpaceDE w:val="0"/>
        <w:autoSpaceDN w:val="0"/>
        <w:adjustRightInd w:val="0"/>
        <w:spacing w:before="0" w:after="0" w:line="240" w:lineRule="auto"/>
        <w:rPr>
          <w:noProof/>
          <w:szCs w:val="24"/>
          <w:lang w:val="en-US"/>
        </w:rPr>
      </w:pPr>
      <w:r w:rsidRPr="00CE6C1C">
        <w:rPr>
          <w:noProof/>
          <w:szCs w:val="24"/>
          <w:lang w:val="en-US"/>
        </w:rPr>
        <w:t xml:space="preserve">3. Terpos E. European myeloma network guidelines for the management of multiple myeloma-related complications / E. Terpos, M. Kleber, M. Engelhardt, S. Zweegman, F. Gay, E. Kastritis, N. W. C. J. van de Donk, B. Bruno, O. Sezer, A. Broij, S. Bringhen, M. Beksac, A. Larocca, R. Hajek, P. Musto, H. E. Johnsen, F. Morabito, H. Ludwig, M. Cavo, H. Einsele, P. Sonneveld, M. A. Dimopoulos, A. Palumbo // Haematologica – 2015. – </w:t>
      </w:r>
      <w:r w:rsidRPr="00CE6C1C">
        <w:rPr>
          <w:noProof/>
          <w:szCs w:val="24"/>
        </w:rPr>
        <w:t>Т</w:t>
      </w:r>
      <w:r w:rsidRPr="00CE6C1C">
        <w:rPr>
          <w:noProof/>
          <w:szCs w:val="24"/>
          <w:lang w:val="en-US"/>
        </w:rPr>
        <w:t>. 100 – № 10 – 1254–1266</w:t>
      </w:r>
      <w:r w:rsidRPr="00CE6C1C">
        <w:rPr>
          <w:noProof/>
          <w:szCs w:val="24"/>
        </w:rPr>
        <w:t>с</w:t>
      </w:r>
      <w:r w:rsidRPr="00CE6C1C">
        <w:rPr>
          <w:noProof/>
          <w:szCs w:val="24"/>
          <w:lang w:val="en-US"/>
        </w:rPr>
        <w:t>.</w:t>
      </w:r>
    </w:p>
    <w:p w14:paraId="628A3741" w14:textId="70F72D5B" w:rsidR="00CE6C1C" w:rsidRPr="00FD15FE" w:rsidRDefault="00CE6C1C" w:rsidP="00CE6C1C">
      <w:pPr>
        <w:rPr>
          <w:szCs w:val="24"/>
          <w:lang w:val="en-US"/>
        </w:rPr>
      </w:pPr>
      <w:r w:rsidRPr="00CE6C1C">
        <w:rPr>
          <w:szCs w:val="24"/>
        </w:rPr>
        <w:fldChar w:fldCharType="end"/>
      </w:r>
    </w:p>
    <w:p w14:paraId="5593F6A4" w14:textId="77777777" w:rsidR="00CE6C1C" w:rsidRPr="00FD15FE" w:rsidRDefault="00CE6C1C">
      <w:pPr>
        <w:spacing w:before="0" w:after="0" w:line="240" w:lineRule="auto"/>
        <w:jc w:val="left"/>
        <w:rPr>
          <w:szCs w:val="24"/>
          <w:lang w:val="en-US"/>
        </w:rPr>
      </w:pPr>
      <w:r w:rsidRPr="00FD15FE">
        <w:rPr>
          <w:szCs w:val="24"/>
          <w:lang w:val="en-US"/>
        </w:rPr>
        <w:br w:type="page"/>
      </w:r>
    </w:p>
    <w:p w14:paraId="2869D1B6" w14:textId="74B9756D" w:rsidR="00CE6C1C" w:rsidRPr="00683A05" w:rsidRDefault="00CE6C1C" w:rsidP="00CE6C1C">
      <w:pPr>
        <w:pStyle w:val="1"/>
      </w:pPr>
      <w:bookmarkStart w:id="90" w:name="_Toc53140935"/>
      <w:r w:rsidRPr="00683A05">
        <w:lastRenderedPageBreak/>
        <w:t>Приложение Г1</w:t>
      </w:r>
      <w:r>
        <w:t>5</w:t>
      </w:r>
      <w:r w:rsidRPr="00683A05">
        <w:t>. «</w:t>
      </w:r>
      <w:r>
        <w:rPr>
          <w:szCs w:val="28"/>
        </w:rPr>
        <w:t>Инфузионная терапия</w:t>
      </w:r>
      <w:r w:rsidRPr="00683A05">
        <w:t>»</w:t>
      </w:r>
      <w:bookmarkEnd w:id="90"/>
    </w:p>
    <w:p w14:paraId="719338DF" w14:textId="77777777" w:rsidR="00CE6C1C" w:rsidRPr="00CE6C1C" w:rsidRDefault="00CE6C1C" w:rsidP="00CE6C1C">
      <w:pPr>
        <w:spacing w:before="0" w:after="0"/>
        <w:rPr>
          <w:b/>
          <w:i/>
          <w:szCs w:val="24"/>
        </w:rPr>
      </w:pPr>
      <w:r w:rsidRPr="00CE6C1C">
        <w:rPr>
          <w:b/>
          <w:i/>
          <w:szCs w:val="24"/>
        </w:rPr>
        <w:t>Список сокращений</w:t>
      </w:r>
    </w:p>
    <w:p w14:paraId="37F9B2BB" w14:textId="77777777" w:rsidR="00CE6C1C" w:rsidRPr="00CE6C1C" w:rsidRDefault="00CE6C1C" w:rsidP="00CE6C1C">
      <w:pPr>
        <w:spacing w:before="0" w:after="0"/>
        <w:rPr>
          <w:szCs w:val="24"/>
        </w:rPr>
      </w:pPr>
      <w:r w:rsidRPr="00CE6C1C">
        <w:rPr>
          <w:szCs w:val="24"/>
        </w:rPr>
        <w:t xml:space="preserve">ИТ – инфузионная терапия </w:t>
      </w:r>
    </w:p>
    <w:p w14:paraId="014A8E92" w14:textId="77777777" w:rsidR="00CE6C1C" w:rsidRPr="00CE6C1C" w:rsidRDefault="00CE6C1C" w:rsidP="00CE6C1C">
      <w:pPr>
        <w:spacing w:before="0" w:after="0"/>
        <w:rPr>
          <w:szCs w:val="24"/>
        </w:rPr>
      </w:pPr>
      <w:r w:rsidRPr="00CE6C1C">
        <w:rPr>
          <w:szCs w:val="24"/>
        </w:rPr>
        <w:t xml:space="preserve">ЦВД – центральное венозное давление </w:t>
      </w:r>
    </w:p>
    <w:p w14:paraId="244C3A54" w14:textId="77777777" w:rsidR="00CE6C1C" w:rsidRPr="00CE6C1C" w:rsidRDefault="00CE6C1C" w:rsidP="00CE6C1C">
      <w:pPr>
        <w:spacing w:before="0" w:after="0"/>
        <w:ind w:firstLine="709"/>
        <w:rPr>
          <w:b/>
          <w:szCs w:val="24"/>
        </w:rPr>
      </w:pPr>
      <w:r w:rsidRPr="00CE6C1C">
        <w:rPr>
          <w:b/>
          <w:szCs w:val="24"/>
        </w:rPr>
        <w:t>Общие сведения.</w:t>
      </w:r>
    </w:p>
    <w:p w14:paraId="1B666057" w14:textId="4CE4AF91" w:rsidR="00CE6C1C" w:rsidRPr="00CE6C1C" w:rsidRDefault="00CE6C1C" w:rsidP="00CE6C1C">
      <w:pPr>
        <w:spacing w:before="0" w:after="0"/>
        <w:ind w:firstLine="709"/>
        <w:rPr>
          <w:szCs w:val="24"/>
        </w:rPr>
      </w:pPr>
      <w:r w:rsidRPr="00CE6C1C">
        <w:rPr>
          <w:szCs w:val="24"/>
        </w:rPr>
        <w:t>Особое место в сопроводительной терапии пациентов с гематологическими заболеваниями занимает инфузионная терапия (ИТ). Она используется почти у всех пациентов, находящихся на стационарном лечении. Однако некорректное ее применение может приводить к тяжелым осложнениям. Инфузионные растворы должны рассматриваться как лекарственные препараты со своими показаниями и противопоказаниями. Необходим обоснованный выбор типа раствора, его количества и темпа введения. Но, несмотря на накопленный опыт использования ИТ (первое сообщение о применении внутривенной инфузии раствора солей у больных холерой п</w:t>
      </w:r>
      <w:r w:rsidR="00BF079B">
        <w:rPr>
          <w:szCs w:val="24"/>
        </w:rPr>
        <w:t xml:space="preserve">оявилось почти 200 лет назад), </w:t>
      </w:r>
      <w:r w:rsidRPr="00CE6C1C">
        <w:rPr>
          <w:szCs w:val="24"/>
        </w:rPr>
        <w:t>концепции и схемы ИТ продолжают развиваться.</w:t>
      </w:r>
    </w:p>
    <w:p w14:paraId="418AB4F2" w14:textId="77777777" w:rsidR="00CE6C1C" w:rsidRPr="00CE6C1C" w:rsidRDefault="00CE6C1C" w:rsidP="00CE6C1C">
      <w:pPr>
        <w:spacing w:before="0" w:after="0"/>
        <w:ind w:firstLine="709"/>
        <w:rPr>
          <w:szCs w:val="24"/>
        </w:rPr>
      </w:pPr>
      <w:r w:rsidRPr="00CE6C1C">
        <w:rPr>
          <w:szCs w:val="24"/>
        </w:rPr>
        <w:t>ИТ в гематологии используется для решения таких задач, как создание гемоделюции и форсированного диуреза для профилактики синдрома лизиса опухоли, возмещение жидкостных потерь в результате диареи, лихорадки, сепсиса, кровотечения, депонирования в полостях организма и коррекция электролитных расстройств.</w:t>
      </w:r>
    </w:p>
    <w:p w14:paraId="014C871D" w14:textId="77777777" w:rsidR="00CE6C1C" w:rsidRPr="00CE6C1C" w:rsidRDefault="00CE6C1C" w:rsidP="00CE6C1C">
      <w:pPr>
        <w:spacing w:before="0" w:after="0"/>
        <w:ind w:firstLine="709"/>
        <w:rPr>
          <w:i/>
          <w:szCs w:val="24"/>
        </w:rPr>
      </w:pPr>
      <w:r w:rsidRPr="00CE6C1C">
        <w:rPr>
          <w:i/>
          <w:szCs w:val="24"/>
        </w:rPr>
        <w:t>Виды инфузионных растворов</w:t>
      </w:r>
    </w:p>
    <w:p w14:paraId="6FE82193" w14:textId="77777777" w:rsidR="00CE6C1C" w:rsidRPr="00CE6C1C" w:rsidRDefault="00CE6C1C" w:rsidP="00CE6C1C">
      <w:pPr>
        <w:spacing w:before="0" w:after="0"/>
        <w:ind w:firstLine="709"/>
        <w:rPr>
          <w:szCs w:val="24"/>
        </w:rPr>
      </w:pPr>
      <w:r w:rsidRPr="00CE6C1C">
        <w:rPr>
          <w:szCs w:val="24"/>
        </w:rPr>
        <w:t xml:space="preserve">Кристаллоиды и коллоиды – два основных типа растворов, которые используются для ИТ в медицине. Кристаллоиды – это растворы солей и глюкозы, которые могут легко премещаться за пределы сосудистого русла посредством диффузии в отличие от коллоидов, представляющие собой растворы крупных молекул (гидроксиэтилкрахмала (ГЭК), альбумина), благодаря которым после инфузии преимущественно остаются в русле и увеличивают коллоидно-осмотическое давление, тем самым удерживая жидкость в просвете сосуда. Однако коллоидные растворы (в частности растворы ГЭК первого и второго поколения) обладают более широким спектром побочных эффектов: нефротоксичность, способность вызывать гипокоагуляцию. Поэтому высокая способность удерживать жидкость в сосудистом русле в сочетании с потенциальной опасностью у коллоидов против низкой коллоидно-осмотической способности и относительной безопасности кристаллоидов  являются предметом спора в выборе наилучшего типа раствора для инфузии. Но коллоиды и кристаллоиды не являются взаимоисключающими растворами, а используются в различных клинических ситуациях. Преимущественно для </w:t>
      </w:r>
      <w:r w:rsidRPr="00CE6C1C">
        <w:rPr>
          <w:szCs w:val="24"/>
        </w:rPr>
        <w:lastRenderedPageBreak/>
        <w:t xml:space="preserve">поддерживающей ИТ и при коррекции </w:t>
      </w:r>
      <w:r w:rsidRPr="00CE6C1C">
        <w:rPr>
          <w:i/>
          <w:szCs w:val="24"/>
        </w:rPr>
        <w:t>дегидратации</w:t>
      </w:r>
      <w:r w:rsidRPr="00CE6C1C">
        <w:rPr>
          <w:szCs w:val="24"/>
        </w:rPr>
        <w:t xml:space="preserve"> в результате потери жидкости с перспирацией, лихорадкой, диареей, когда обезвоживаются все жидкостные пространства организма (сосудистое русло, интерстиций, внутриклеточная жидкость) используют сбалансированные кристаллоидные растворы. В экстренных ситуациях, например при массивном кровотечении (</w:t>
      </w:r>
      <w:r w:rsidRPr="00CE6C1C">
        <w:rPr>
          <w:i/>
          <w:szCs w:val="24"/>
        </w:rPr>
        <w:t>гиповолемия</w:t>
      </w:r>
      <w:r w:rsidRPr="00CE6C1C">
        <w:rPr>
          <w:szCs w:val="24"/>
        </w:rPr>
        <w:t>), когда требуется быстрое восполнение объема циркулирующей крови для поддержания гемодинамики и, соответственно, доставки кислорода тканям, используют комбинацию коллоидных и кристаллоидных растворов.</w:t>
      </w:r>
    </w:p>
    <w:p w14:paraId="375CED87" w14:textId="77777777" w:rsidR="00CE6C1C" w:rsidRPr="00CE6C1C" w:rsidRDefault="00CE6C1C" w:rsidP="00CE6C1C">
      <w:pPr>
        <w:spacing w:before="0" w:after="0"/>
        <w:ind w:firstLine="709"/>
        <w:rPr>
          <w:szCs w:val="24"/>
        </w:rPr>
      </w:pPr>
      <w:r w:rsidRPr="00CE6C1C">
        <w:rPr>
          <w:i/>
          <w:szCs w:val="24"/>
        </w:rPr>
        <w:t xml:space="preserve">Изотонический 0,9% раствор натрия хлорида (0,9% </w:t>
      </w:r>
      <w:r w:rsidRPr="00CE6C1C">
        <w:rPr>
          <w:i/>
          <w:szCs w:val="24"/>
          <w:lang w:val="en-US"/>
        </w:rPr>
        <w:t>NaCl</w:t>
      </w:r>
      <w:r w:rsidRPr="00CE6C1C">
        <w:rPr>
          <w:i/>
          <w:szCs w:val="24"/>
        </w:rPr>
        <w:t>),</w:t>
      </w:r>
      <w:r w:rsidRPr="00CE6C1C">
        <w:rPr>
          <w:szCs w:val="24"/>
        </w:rPr>
        <w:t xml:space="preserve"> который исторически принято было называть физиологическим, таковым не является. Это связано с его высокой концентрацией ионов натрия 154 ммоль/л и хлорида 154 ммоль/л, что выше, чем в плазме здорового человека (см. таб. 1), и с отсутствием буфера. Поэтому инфузия изотонического раствора хлорида натрия может привести к гиперхлоремическому метаболическому ацидозу с развитием хлорид-индуцированного спазма почечных капилляров с последующей острой почечной недостаточностью</w:t>
      </w:r>
      <w:r w:rsidRPr="00CE6C1C">
        <w:rPr>
          <w:szCs w:val="24"/>
        </w:rPr>
        <w:fldChar w:fldCharType="begin" w:fldLock="1"/>
      </w:r>
      <w:r w:rsidRPr="00CE6C1C">
        <w:rPr>
          <w:szCs w:val="24"/>
        </w:rPr>
        <w:instrText>ADDIN CSL_CITATION { "citationItems" : [ { "id" : "ITEM-1", "itemData" : { "DOI" : "10.1001/jama.2015.12334", "ISSN" : "15383598", "abstract" : "IMPORTANCE: Saline (0.9% sodium chloride) is the most commonly administered intravenous fluid; however, its use may be associated with acute kidney injury (AKI) and increased mortality. OBJECTIVE: To determine the effect of a buffered crystalloid compared with saline on renal complications in patients admitted to the intensive care unit (ICU). DESIGN AND SETTING: Double-blind, cluster randomized, double-crossover trial conducted in 4 ICUs in New Zealand from April 2014 through October 2014. Three ICUs were general medical and surgical ICUs; 1ICU had a predominance of cardiothoracic and vascular surgical patients. PARTICIPANTS: All patients admitted to the ICU requiring crystalloid fluid therapy were eligible for inclusion. Patients with established AKI requiring renal replacement therapy (RRT) were excluded. All 2278 eligible patients were enrolled; 1152 of 1162 patients (99.1%) receiving buffered crystalloid and 1110 of 1116 patients (99.5%) receiving saline were analyzed. INTERVENTIONS: Participating ICUs were assigned a masked study fluid, either saline or a buffered crystalloid, for alternating 7-week treatment blocks. Two ICUs commenced using 1 fluid and the other 2 commenced using the alternative fluid. Two crossovers occurred so that each ICU used each fluid twice over the 28 weeks of the study. The treating clinician determined the rate and frequency of fluid administration. MAIN OUTCOMES AND MEASURES: The primary outcome was proportion of patients with AKI (defined as a rise in serum creatinine level of at least 2-fold or a serum creatinine level of \u22653.96 mg/dL with an increase of \u22650.5 mg/dL); main secondary outcomes were incidence of RRT use and in-hospital mortality. RESULTS: In the buffered crystalloid group, 102 of 1067 patients (9.6%) developed AKI within 90 days after enrollment compared with 94 of 1025 patients (9.2%) in the saline group (absolute difference, 0.4% [95% CI, -2.1% to 2.9%]; relative risk [RR], 1.04 [95% CI, 0.80 to 1.36]; P =.77). In the buffered crystalloid group, RRT was used in 38 of 1152 patients (3.3%) compared with 38 of 1110 patients (3.4%) in the saline group (absolute difference, -0.1% [95% CI, -1.6% to 1.4%]; RR, 0.96 [95% CI, 0.62 to 1.50]; P =.91). Overall, 87 of 1152 patients (7.6%) in the buffered crystalloid group and 95 of 1110 patients (8.6%) in the saline group died in the hospital (absolute difference, -1.0% [95% CI, -3.3% to 1.2%]; RR, 0.88 [95% CI, 0.67 to 1.17]; P=.40). CONCLUSIONS AND RELEVANCE: Amon\u2026", "author" : [ { "dropping-particle" : "", "family" : "Young", "given" : "Paul", "non-dropping-particle" : "", "parse-names" : false, "suffix" : "" }, { "dropping-particle" : "", "family" : "Bailey", "given" : "Michael", "non-dropping-particle" : "", "parse-names" : false, "suffix" : "" }, { "dropping-particle" : "", "family" : "Beasley", "given" : "Richard", "non-dropping-particle" : "", "parse-names" : false, "suffix" : "" }, { "dropping-particle" : "", "family" : "Henderson", "given" : "Seton", "non-dropping-particle" : "", "parse-names" : false, "suffix" : "" }, { "dropping-particle" : "", "family" : "Mackle", "given" : "Diane", "non-dropping-particle" : "", "parse-names" : false, "suffix" : "" }, { "dropping-particle" : "", "family" : "McArthur", "given" : "Colin", "non-dropping-particle" : "", "parse-names" : false, "suffix" : "" }, { "dropping-particle" : "", "family" : "McGuinness", "given" : "Shay", "non-dropping-particle" : "", "parse-names" : false, "suffix" : "" }, { "dropping-particle" : "", "family" : "Mehrtens", "given" : "Jan", "non-dropping-particle" : "", "parse-names" : false, "suffix" : "" }, { "dropping-particle" : "", "family" : "Myburgh", "given" : "John", "non-dropping-particle" : "", "parse-names" : false, "suffix" : "" }, { "dropping-particle" : "", "family" : "Psirides", "given" : "Alex", "non-dropping-particle" : "", "parse-names" : false, "suffix" : "" }, { "dropping-particle" : "", "family" : "Reddy", "given" : "Sumeet", "non-dropping-particle" : "", "parse-names" : false, "suffix" : "" }, { "dropping-particle" : "", "family" : "Bellomo", "given" : "Rinaldo", "non-dropping-particle" : "", "parse-names" : false, "suffix" : "" }, { "dropping-particle" : "", "family" : "Hunt", "given" : "Anna", "non-dropping-particle" : "", "parse-names" : false, "suffix" : "" }, { "dropping-particle" : "", "family" : "Hurford", "given" : "Sally", "non-dropping-particle" : "", "parse-names" : false, "suffix" : "" }, { "dropping-particle" : "", "family" : "Navarra", "given" : "Leanlove", "non-dropping-particle" : "", "parse-names" : false, "suffix" : "" }, { "dropping-particle" : "", "family" : "Jason-Smith", "given" : "Adelaide", "non-dropping-particle" : "", "parse-names" : false, "suffix" : "" }, { "dropping-particle" : "", "family" : "Andrews", "given" : "Lynn", "non-dropping-particle" : "", "parse-names" : false, "suffix" : "" }, { "dropping-particle" : "", "family" : "Hitchings", "given" : "Louise", "non-dropping-particle" : "", "parse-names" : false, "suffix" : "" }, { "dropping-particle" : "", "family" : "Closey", "given" : "David", "non-dropping-particle" : "", "parse-names" : false, "suffix" : "" }, { "dropping-particle" : "", "family" : "Parker", "given" : "Kim", "non-dropping-particle" : "", "parse-names" : false, "suffix" : "" }, { "dropping-particle" : "", "family" : "Minto", "given" : "Emmeline", "non-dropping-particle" : "", "parse-names" : false, "suffix" : "" }, { "dropping-particle" : "", "family" : "Morris", "given" : "Anna", "non-dropping-particle" : "", "parse-names" : false, "suffix" : "" }, { "dropping-particle" : "", "family" : "McConnochie", "given" : "Rachael", "non-dropping-particle" : "", "parse-names" : false, "suffix" : "" }, { "dropping-particle" : "", "family" : "Chen", "given" : "Yan", "non-dropping-particle" : "", "parse-names" : false, "suffix" : "" }, { "dropping-particle" : "", "family" : "Newby", "given" : "Lynette", "non-dropping-particle" : "", "parse-names" : false, "suffix" : "" }, { "dropping-particle" : "", "family" : "Parke", "given" : "Rachael", "non-dropping-particle" : "", "parse-names" : false, "suffix" : "" }, { "dropping-particle" : "", "family" : "McCarthy", "given" : "Lianne", "non-dropping-particle" : "", "parse-names" : false, "suffix" : "" }, { "dropping-particle" : "", "family" : "Gilder", "given" : "Eileen", "non-dropping-particle" : "", "parse-names" : false, "suffix" : "" }, { "dropping-particle" : "", "family" : "Lammert", "given" : "Andrea", "non-dropping-particle" : "", "parse-names" : false, "suffix" : "" }, { "dropping-particle" : "", "family" : "Long", "given" : "Stephanie", "non-dropping-particle" : "", "parse-names" : false, "suffix" : "" }, { "dropping-particle" : "", "family" : "Cowdrey", "given" : "Keri Anne", "non-dropping-particle" : "", "parse-names" : false, "suffix" : "" }, { "dropping-particle" : "", "family" : "Perner", "given" : "Anders", "non-dropping-particle" : "", "parse-names" : false, "suffix" : "" }, { "dropping-particle" : "", "family" : "Morgan", "given" : "John", "non-dropping-particle" : "", "parse-names" : false, "suffix" : "" }, { "dropping-particle" : "", "family" : "Forbes", "given" : "Andrew", "non-dropping-particle" : "", "parse-names" : false, "suffix" : "" } ], "container-title" : "JAMA - Journal of the American Medical Association", "id" : "ITEM-1", "issue" : "16", "issued" : { "date-parts" : [ [ "2015", "10", "27" ] ] }, "page" : "1701-1710", "publisher" : "American Medical Association", "title" : "Effect of a buffered crystalloid solution vs saline on acute kidney injury among patients in the intensive care unit: The SPLIT randomized clinical trial", "type" : "article-journal", "volume" : "314" }, "uris" : [ "http://www.mendeley.com/documents/?uuid=2c88c5d9-bfcc-3520-b6bd-db50c835be5e" ] } ], "mendeley" : { "formattedCitation" : "[15]", "plainTextFormattedCitation" : "[15]", "previouslyFormattedCitation" : "[15]" }, "properties" : { "noteIndex" : 0 }, "schema" : "https://github.com/citation-style-language/schema/raw/master/csl-citation.json" }</w:instrText>
      </w:r>
      <w:r w:rsidRPr="00CE6C1C">
        <w:rPr>
          <w:szCs w:val="24"/>
        </w:rPr>
        <w:fldChar w:fldCharType="end"/>
      </w:r>
      <w:r w:rsidRPr="00CE6C1C">
        <w:rPr>
          <w:szCs w:val="24"/>
        </w:rPr>
        <w:t xml:space="preserve">. </w:t>
      </w:r>
    </w:p>
    <w:p w14:paraId="03113348" w14:textId="7A50CD06" w:rsidR="00CE6C1C" w:rsidRPr="00CE6C1C" w:rsidRDefault="00CE6C1C" w:rsidP="00CE6C1C">
      <w:pPr>
        <w:spacing w:before="0" w:after="0"/>
        <w:ind w:firstLine="709"/>
        <w:rPr>
          <w:szCs w:val="24"/>
        </w:rPr>
      </w:pPr>
      <w:r w:rsidRPr="00CE6C1C">
        <w:rPr>
          <w:szCs w:val="24"/>
        </w:rPr>
        <w:t xml:space="preserve">Введение 1000 мл 0,9% натрия хлорида увеличивает объем плазмы на 275 мл, а интерстициальной жидкости на 875 мл, суммарно 1100 мл (на 100 мл больше за счет диффузии воды из внутриклеточного пространства в интерстиций под действием концентрационного градиента, который создается ионами </w:t>
      </w:r>
      <w:r w:rsidRPr="00CE6C1C">
        <w:rPr>
          <w:szCs w:val="24"/>
          <w:lang w:val="en-US"/>
        </w:rPr>
        <w:t>Na</w:t>
      </w:r>
      <w:r w:rsidRPr="00CE6C1C">
        <w:rPr>
          <w:szCs w:val="24"/>
        </w:rPr>
        <w:t xml:space="preserve">). </w:t>
      </w:r>
    </w:p>
    <w:p w14:paraId="45E8FF76" w14:textId="77777777" w:rsidR="00CE6C1C" w:rsidRPr="00CE6C1C" w:rsidRDefault="00CE6C1C" w:rsidP="00CE6C1C">
      <w:pPr>
        <w:spacing w:before="0" w:after="0"/>
        <w:ind w:firstLine="709"/>
        <w:rPr>
          <w:szCs w:val="24"/>
        </w:rPr>
      </w:pPr>
      <w:r w:rsidRPr="00CE6C1C">
        <w:rPr>
          <w:i/>
          <w:szCs w:val="24"/>
        </w:rPr>
        <w:t>Сбалансированные кристаллоидные растворы (Стерофундин, Плазмалит, Рингер-лактат)</w:t>
      </w:r>
      <w:r w:rsidRPr="00CE6C1C">
        <w:rPr>
          <w:szCs w:val="24"/>
        </w:rPr>
        <w:t xml:space="preserve"> обладают меньшим количеством побочных эффектов за счет снижения концентрации ионов натрия и добавления буфера в раствор, что частично решает проблемы периферических отеков: низкая концентрация ионов натрия в растворе не создает градиент для диффузии воды из внутриклеточного пространства, как это происходит при использовании 0,9% натрия хлорида, а находящийся в растворе  буфер предотвращает развитие ацидоза. Однако раствор Рингер-лактата</w:t>
      </w:r>
      <w:r w:rsidRPr="00CE6C1C">
        <w:rPr>
          <w:i/>
          <w:szCs w:val="24"/>
        </w:rPr>
        <w:t xml:space="preserve"> </w:t>
      </w:r>
      <w:r w:rsidRPr="00CE6C1C">
        <w:rPr>
          <w:szCs w:val="24"/>
        </w:rPr>
        <w:t xml:space="preserve">является гипоосмолярным – 256 ммоль/л, что делает его непригодным для использования у пациентов с отеком головного мозга. В настоящее время раствор Рингер-лактата успешно применяется для коррекции гипернатриемии, инфузионной терапии во время лечения сепсиса, панкреатита и др. </w:t>
      </w:r>
    </w:p>
    <w:p w14:paraId="169D3574" w14:textId="6867BFB6" w:rsidR="00CE6C1C" w:rsidRPr="00CE6C1C" w:rsidRDefault="00CE6C1C" w:rsidP="00CE6C1C">
      <w:pPr>
        <w:spacing w:before="0" w:after="0"/>
        <w:ind w:firstLine="709"/>
        <w:rPr>
          <w:szCs w:val="24"/>
        </w:rPr>
      </w:pPr>
      <w:r w:rsidRPr="00CE6C1C">
        <w:rPr>
          <w:szCs w:val="24"/>
        </w:rPr>
        <w:t xml:space="preserve">Следует помнить, что у больных с циркуляторным шоком (тканевой гипоксией) и с заболеваниями печени лактат из раствора не будет метаболизироваться в анаэробных условиях до бикарбоната, что может приводить к гиперлактатаемии. Следует ограничивать проведение ИТ раствором Рингер-лактата у больных с циркуляторным шоком. Необходимо с осторожностью использовать раствор Рингер – Лактата для </w:t>
      </w:r>
      <w:r w:rsidRPr="00CE6C1C">
        <w:rPr>
          <w:szCs w:val="24"/>
        </w:rPr>
        <w:lastRenderedPageBreak/>
        <w:t xml:space="preserve">разведения эритроцитарной массы, </w:t>
      </w:r>
      <w:r w:rsidR="00BF079B">
        <w:rPr>
          <w:szCs w:val="24"/>
        </w:rPr>
        <w:t xml:space="preserve">так как находящийся в растворе </w:t>
      </w:r>
      <w:r w:rsidRPr="00CE6C1C">
        <w:rPr>
          <w:szCs w:val="24"/>
        </w:rPr>
        <w:t xml:space="preserve">кальций может связать цитрат (антикоагулянт для компонентов крови) и вызвать образование сгустков крови </w:t>
      </w:r>
      <w:r w:rsidR="00BF079B">
        <w:rPr>
          <w:szCs w:val="24"/>
        </w:rPr>
        <w:t xml:space="preserve">в пакете с компонентами крови. </w:t>
      </w:r>
    </w:p>
    <w:p w14:paraId="2818569E" w14:textId="0DB63D3F" w:rsidR="00CE6C1C" w:rsidRPr="00CE6C1C" w:rsidRDefault="00CE6C1C" w:rsidP="00CE6C1C">
      <w:pPr>
        <w:spacing w:before="0" w:after="0"/>
        <w:ind w:firstLine="708"/>
        <w:rPr>
          <w:szCs w:val="24"/>
        </w:rPr>
      </w:pPr>
      <w:r w:rsidRPr="00CE6C1C">
        <w:rPr>
          <w:szCs w:val="24"/>
        </w:rPr>
        <w:t xml:space="preserve">Современные растворы, такие как </w:t>
      </w:r>
      <w:r w:rsidRPr="00CE6C1C">
        <w:rPr>
          <w:i/>
          <w:szCs w:val="24"/>
        </w:rPr>
        <w:t>Стерофундин, Плазмалит</w:t>
      </w:r>
      <w:r w:rsidRPr="00CE6C1C">
        <w:rPr>
          <w:szCs w:val="24"/>
        </w:rPr>
        <w:t xml:space="preserve"> и др.,  содержат в себе меньшую концентрацию кальция за счет добавления ионов магния, а в качестве буфера – ацетат. Таким образом, у этих растворов также имеется ряд преимуществ перед изотоническим раствором натрия и раствором Рингер-лактат: более низкая концентрация хлорида уменьшает риск развития гиперхлоремического ацидоза, а применение ацетата в качестве буфера дает возможность применять эти растворы у больных с печеночной недостаточностью и циркуляторным шоком без риска ятрогенной гиперлактатемии. Эти растворы также подходят для проведения регидратации при снижении объема жидкости при </w:t>
      </w:r>
      <w:r w:rsidRPr="00D9248B">
        <w:rPr>
          <w:szCs w:val="24"/>
        </w:rPr>
        <w:t>диаре</w:t>
      </w:r>
      <w:r w:rsidR="000B2ACE" w:rsidRPr="00D9248B">
        <w:rPr>
          <w:szCs w:val="24"/>
        </w:rPr>
        <w:t>е</w:t>
      </w:r>
      <w:r w:rsidRPr="00D9248B">
        <w:rPr>
          <w:szCs w:val="24"/>
        </w:rPr>
        <w:t>, рвоте</w:t>
      </w:r>
      <w:r w:rsidRPr="00CE6C1C">
        <w:rPr>
          <w:szCs w:val="24"/>
        </w:rPr>
        <w:t xml:space="preserve">, лихорадке. </w:t>
      </w:r>
    </w:p>
    <w:p w14:paraId="48BFBD12" w14:textId="68F9D282" w:rsidR="00CE6C1C" w:rsidRPr="00CE6C1C" w:rsidRDefault="00CE6C1C" w:rsidP="00CE6C1C">
      <w:pPr>
        <w:spacing w:before="0" w:after="0"/>
        <w:ind w:firstLine="709"/>
        <w:rPr>
          <w:szCs w:val="24"/>
        </w:rPr>
      </w:pPr>
      <w:r w:rsidRPr="00CE6C1C">
        <w:rPr>
          <w:szCs w:val="24"/>
        </w:rPr>
        <w:t>Не рекомендуется использ</w:t>
      </w:r>
      <w:r w:rsidR="00BF079B">
        <w:rPr>
          <w:szCs w:val="24"/>
        </w:rPr>
        <w:t xml:space="preserve">ование изотонического раствора </w:t>
      </w:r>
      <w:r w:rsidRPr="00CE6C1C">
        <w:rPr>
          <w:szCs w:val="24"/>
        </w:rPr>
        <w:t>натрия хлорида у больных с гиперкалиемией и почечной недостаточностью (например, при синдроме лизиса опухоли) вместо сбалансированных кристаллоидных растворов, несмотря на наличие в составе последних ионов калия, так как ацидоз, возникающий при использовании 0,9% раствора натрия хлорида, может усугубить гиперкалиемию за счет трансклеточного сдвига калия, который происходит для поддержания электронейтральности плазмы во время ацидоза. Введение же сбалансированного кристаллоидного инфузионного раствора с концентрацией калия 4 ммоль/л больному с гиперкалиемией будет уменьшать концентрацию калия в сторону значения концентрации</w:t>
      </w:r>
      <w:r w:rsidR="00BF079B">
        <w:rPr>
          <w:szCs w:val="24"/>
        </w:rPr>
        <w:t xml:space="preserve"> калия в вводимом растворе.</w:t>
      </w:r>
    </w:p>
    <w:p w14:paraId="6E8C5CAF" w14:textId="77777777" w:rsidR="00CE6C1C" w:rsidRPr="00CE6C1C" w:rsidRDefault="00CE6C1C" w:rsidP="00CE6C1C">
      <w:pPr>
        <w:spacing w:before="0" w:after="0"/>
        <w:ind w:firstLine="709"/>
        <w:rPr>
          <w:szCs w:val="24"/>
        </w:rPr>
      </w:pPr>
      <w:r w:rsidRPr="00CE6C1C">
        <w:rPr>
          <w:szCs w:val="24"/>
        </w:rPr>
        <w:t>Таблица 1. Кристаллоидные растворы</w:t>
      </w:r>
    </w:p>
    <w:tbl>
      <w:tblPr>
        <w:tblStyle w:val="ae"/>
        <w:tblW w:w="0" w:type="auto"/>
        <w:tblLook w:val="04A0" w:firstRow="1" w:lastRow="0" w:firstColumn="1" w:lastColumn="0" w:noHBand="0" w:noVBand="1"/>
      </w:tblPr>
      <w:tblGrid>
        <w:gridCol w:w="1914"/>
        <w:gridCol w:w="1914"/>
        <w:gridCol w:w="1914"/>
        <w:gridCol w:w="1914"/>
        <w:gridCol w:w="1915"/>
      </w:tblGrid>
      <w:tr w:rsidR="00CE6C1C" w:rsidRPr="00CE6C1C" w14:paraId="19594732" w14:textId="77777777" w:rsidTr="001F3CDD">
        <w:tc>
          <w:tcPr>
            <w:tcW w:w="1914" w:type="dxa"/>
          </w:tcPr>
          <w:p w14:paraId="19CC97B1" w14:textId="77777777" w:rsidR="00CE6C1C" w:rsidRPr="00CE6C1C" w:rsidRDefault="00CE6C1C" w:rsidP="00CE6C1C">
            <w:pPr>
              <w:spacing w:before="0" w:after="0"/>
              <w:rPr>
                <w:b/>
                <w:szCs w:val="24"/>
              </w:rPr>
            </w:pPr>
            <w:r w:rsidRPr="00CE6C1C">
              <w:rPr>
                <w:b/>
                <w:szCs w:val="24"/>
              </w:rPr>
              <w:t>Компоненты</w:t>
            </w:r>
          </w:p>
        </w:tc>
        <w:tc>
          <w:tcPr>
            <w:tcW w:w="1914" w:type="dxa"/>
          </w:tcPr>
          <w:p w14:paraId="58E42D5A" w14:textId="77777777" w:rsidR="00CE6C1C" w:rsidRPr="00CE6C1C" w:rsidRDefault="00CE6C1C" w:rsidP="00CE6C1C">
            <w:pPr>
              <w:spacing w:before="0" w:after="0"/>
              <w:rPr>
                <w:b/>
                <w:szCs w:val="24"/>
              </w:rPr>
            </w:pPr>
            <w:r w:rsidRPr="00CE6C1C">
              <w:rPr>
                <w:b/>
                <w:szCs w:val="24"/>
              </w:rPr>
              <w:t>Плазма</w:t>
            </w:r>
          </w:p>
        </w:tc>
        <w:tc>
          <w:tcPr>
            <w:tcW w:w="1914" w:type="dxa"/>
          </w:tcPr>
          <w:p w14:paraId="44ACBD8C" w14:textId="77777777" w:rsidR="00CE6C1C" w:rsidRPr="00CE6C1C" w:rsidRDefault="00CE6C1C" w:rsidP="00CE6C1C">
            <w:pPr>
              <w:spacing w:before="0" w:after="0"/>
              <w:rPr>
                <w:b/>
                <w:szCs w:val="24"/>
                <w:lang w:val="en-US"/>
              </w:rPr>
            </w:pPr>
            <w:r w:rsidRPr="00CE6C1C">
              <w:rPr>
                <w:b/>
                <w:szCs w:val="24"/>
              </w:rPr>
              <w:t xml:space="preserve">0,9% </w:t>
            </w:r>
            <w:r w:rsidRPr="00CE6C1C">
              <w:rPr>
                <w:b/>
                <w:szCs w:val="24"/>
                <w:lang w:val="en-US"/>
              </w:rPr>
              <w:t>NaCl</w:t>
            </w:r>
          </w:p>
        </w:tc>
        <w:tc>
          <w:tcPr>
            <w:tcW w:w="1914" w:type="dxa"/>
          </w:tcPr>
          <w:p w14:paraId="31F07442" w14:textId="77777777" w:rsidR="00CE6C1C" w:rsidRPr="00CE6C1C" w:rsidRDefault="00CE6C1C" w:rsidP="00CE6C1C">
            <w:pPr>
              <w:spacing w:before="0" w:after="0"/>
              <w:rPr>
                <w:b/>
                <w:szCs w:val="24"/>
              </w:rPr>
            </w:pPr>
            <w:r w:rsidRPr="00CE6C1C">
              <w:rPr>
                <w:b/>
                <w:szCs w:val="24"/>
              </w:rPr>
              <w:t>Рингер-лактат</w:t>
            </w:r>
          </w:p>
        </w:tc>
        <w:tc>
          <w:tcPr>
            <w:tcW w:w="1915" w:type="dxa"/>
          </w:tcPr>
          <w:p w14:paraId="70A8DDFE" w14:textId="77777777" w:rsidR="00CE6C1C" w:rsidRPr="00CE6C1C" w:rsidRDefault="00CE6C1C" w:rsidP="00CE6C1C">
            <w:pPr>
              <w:spacing w:before="0" w:after="0"/>
              <w:rPr>
                <w:b/>
                <w:szCs w:val="24"/>
              </w:rPr>
            </w:pPr>
            <w:r w:rsidRPr="00CE6C1C">
              <w:rPr>
                <w:b/>
                <w:szCs w:val="24"/>
              </w:rPr>
              <w:t>Плазмалит</w:t>
            </w:r>
          </w:p>
        </w:tc>
      </w:tr>
      <w:tr w:rsidR="00CE6C1C" w:rsidRPr="00CE6C1C" w14:paraId="6B410260" w14:textId="77777777" w:rsidTr="001F3CDD">
        <w:tc>
          <w:tcPr>
            <w:tcW w:w="1914" w:type="dxa"/>
          </w:tcPr>
          <w:p w14:paraId="110D0EA0" w14:textId="77777777" w:rsidR="00CE6C1C" w:rsidRPr="00CE6C1C" w:rsidRDefault="00CE6C1C" w:rsidP="00CE6C1C">
            <w:pPr>
              <w:spacing w:before="0" w:after="0"/>
              <w:rPr>
                <w:szCs w:val="24"/>
              </w:rPr>
            </w:pPr>
            <w:r w:rsidRPr="00CE6C1C">
              <w:rPr>
                <w:szCs w:val="24"/>
              </w:rPr>
              <w:t>Натрий (ммоль/л)</w:t>
            </w:r>
          </w:p>
        </w:tc>
        <w:tc>
          <w:tcPr>
            <w:tcW w:w="1914" w:type="dxa"/>
          </w:tcPr>
          <w:p w14:paraId="3CF6D236" w14:textId="77777777" w:rsidR="00CE6C1C" w:rsidRPr="00CE6C1C" w:rsidRDefault="00CE6C1C" w:rsidP="00CE6C1C">
            <w:pPr>
              <w:spacing w:before="0" w:after="0"/>
              <w:rPr>
                <w:szCs w:val="24"/>
              </w:rPr>
            </w:pPr>
            <w:r w:rsidRPr="00CE6C1C">
              <w:rPr>
                <w:szCs w:val="24"/>
              </w:rPr>
              <w:t>135-145</w:t>
            </w:r>
          </w:p>
        </w:tc>
        <w:tc>
          <w:tcPr>
            <w:tcW w:w="1914" w:type="dxa"/>
          </w:tcPr>
          <w:p w14:paraId="63EB4366" w14:textId="77777777" w:rsidR="00CE6C1C" w:rsidRPr="00CE6C1C" w:rsidRDefault="00CE6C1C" w:rsidP="00CE6C1C">
            <w:pPr>
              <w:spacing w:before="0" w:after="0"/>
              <w:rPr>
                <w:szCs w:val="24"/>
                <w:lang w:val="en-US"/>
              </w:rPr>
            </w:pPr>
            <w:r w:rsidRPr="00CE6C1C">
              <w:rPr>
                <w:szCs w:val="24"/>
                <w:lang w:val="en-US"/>
              </w:rPr>
              <w:t>154</w:t>
            </w:r>
          </w:p>
        </w:tc>
        <w:tc>
          <w:tcPr>
            <w:tcW w:w="1914" w:type="dxa"/>
          </w:tcPr>
          <w:p w14:paraId="53857B77" w14:textId="77777777" w:rsidR="00CE6C1C" w:rsidRPr="00CE6C1C" w:rsidRDefault="00CE6C1C" w:rsidP="00CE6C1C">
            <w:pPr>
              <w:spacing w:before="0" w:after="0"/>
              <w:rPr>
                <w:szCs w:val="24"/>
                <w:lang w:val="en-US"/>
              </w:rPr>
            </w:pPr>
            <w:r w:rsidRPr="00CE6C1C">
              <w:rPr>
                <w:szCs w:val="24"/>
                <w:lang w:val="en-US"/>
              </w:rPr>
              <w:t>130</w:t>
            </w:r>
          </w:p>
        </w:tc>
        <w:tc>
          <w:tcPr>
            <w:tcW w:w="1915" w:type="dxa"/>
          </w:tcPr>
          <w:p w14:paraId="42DE7526" w14:textId="77777777" w:rsidR="00CE6C1C" w:rsidRPr="00CE6C1C" w:rsidRDefault="00CE6C1C" w:rsidP="00CE6C1C">
            <w:pPr>
              <w:spacing w:before="0" w:after="0"/>
              <w:rPr>
                <w:szCs w:val="24"/>
              </w:rPr>
            </w:pPr>
            <w:r w:rsidRPr="00CE6C1C">
              <w:rPr>
                <w:szCs w:val="24"/>
              </w:rPr>
              <w:t>140</w:t>
            </w:r>
          </w:p>
        </w:tc>
      </w:tr>
      <w:tr w:rsidR="00CE6C1C" w:rsidRPr="00CE6C1C" w14:paraId="35B25691" w14:textId="77777777" w:rsidTr="001F3CDD">
        <w:tc>
          <w:tcPr>
            <w:tcW w:w="1914" w:type="dxa"/>
          </w:tcPr>
          <w:p w14:paraId="38051955" w14:textId="77777777" w:rsidR="00CE6C1C" w:rsidRPr="00CE6C1C" w:rsidRDefault="00CE6C1C" w:rsidP="00CE6C1C">
            <w:pPr>
              <w:spacing w:before="0" w:after="0"/>
              <w:rPr>
                <w:szCs w:val="24"/>
              </w:rPr>
            </w:pPr>
            <w:r w:rsidRPr="00CE6C1C">
              <w:rPr>
                <w:szCs w:val="24"/>
              </w:rPr>
              <w:t>Хлорид (ммоль/л)</w:t>
            </w:r>
          </w:p>
        </w:tc>
        <w:tc>
          <w:tcPr>
            <w:tcW w:w="1914" w:type="dxa"/>
          </w:tcPr>
          <w:p w14:paraId="36A9A07B" w14:textId="77777777" w:rsidR="00CE6C1C" w:rsidRPr="00CE6C1C" w:rsidRDefault="00CE6C1C" w:rsidP="00CE6C1C">
            <w:pPr>
              <w:spacing w:before="0" w:after="0"/>
              <w:rPr>
                <w:szCs w:val="24"/>
              </w:rPr>
            </w:pPr>
            <w:r w:rsidRPr="00CE6C1C">
              <w:rPr>
                <w:szCs w:val="24"/>
              </w:rPr>
              <w:t>98-106</w:t>
            </w:r>
          </w:p>
        </w:tc>
        <w:tc>
          <w:tcPr>
            <w:tcW w:w="1914" w:type="dxa"/>
          </w:tcPr>
          <w:p w14:paraId="247E56EB" w14:textId="77777777" w:rsidR="00CE6C1C" w:rsidRPr="00CE6C1C" w:rsidRDefault="00CE6C1C" w:rsidP="00CE6C1C">
            <w:pPr>
              <w:spacing w:before="0" w:after="0"/>
              <w:rPr>
                <w:szCs w:val="24"/>
                <w:lang w:val="en-US"/>
              </w:rPr>
            </w:pPr>
            <w:r w:rsidRPr="00CE6C1C">
              <w:rPr>
                <w:szCs w:val="24"/>
                <w:lang w:val="en-US"/>
              </w:rPr>
              <w:t>154</w:t>
            </w:r>
          </w:p>
        </w:tc>
        <w:tc>
          <w:tcPr>
            <w:tcW w:w="1914" w:type="dxa"/>
          </w:tcPr>
          <w:p w14:paraId="1DD92CBF" w14:textId="77777777" w:rsidR="00CE6C1C" w:rsidRPr="00CE6C1C" w:rsidRDefault="00CE6C1C" w:rsidP="00CE6C1C">
            <w:pPr>
              <w:spacing w:before="0" w:after="0"/>
              <w:rPr>
                <w:szCs w:val="24"/>
                <w:lang w:val="en-US"/>
              </w:rPr>
            </w:pPr>
            <w:r w:rsidRPr="00CE6C1C">
              <w:rPr>
                <w:szCs w:val="24"/>
                <w:lang w:val="en-US"/>
              </w:rPr>
              <w:t>109</w:t>
            </w:r>
          </w:p>
        </w:tc>
        <w:tc>
          <w:tcPr>
            <w:tcW w:w="1915" w:type="dxa"/>
          </w:tcPr>
          <w:p w14:paraId="2F9657C8" w14:textId="77777777" w:rsidR="00CE6C1C" w:rsidRPr="00CE6C1C" w:rsidRDefault="00CE6C1C" w:rsidP="00CE6C1C">
            <w:pPr>
              <w:spacing w:before="0" w:after="0"/>
              <w:rPr>
                <w:szCs w:val="24"/>
              </w:rPr>
            </w:pPr>
            <w:r w:rsidRPr="00CE6C1C">
              <w:rPr>
                <w:szCs w:val="24"/>
              </w:rPr>
              <w:t>98</w:t>
            </w:r>
          </w:p>
        </w:tc>
      </w:tr>
      <w:tr w:rsidR="00CE6C1C" w:rsidRPr="00CE6C1C" w14:paraId="5B643A62" w14:textId="77777777" w:rsidTr="001F3CDD">
        <w:tc>
          <w:tcPr>
            <w:tcW w:w="1914" w:type="dxa"/>
          </w:tcPr>
          <w:p w14:paraId="15AFDA63" w14:textId="77777777" w:rsidR="00CE6C1C" w:rsidRPr="00CE6C1C" w:rsidRDefault="00CE6C1C" w:rsidP="00CE6C1C">
            <w:pPr>
              <w:spacing w:before="0" w:after="0"/>
              <w:rPr>
                <w:szCs w:val="24"/>
              </w:rPr>
            </w:pPr>
            <w:r w:rsidRPr="00CE6C1C">
              <w:rPr>
                <w:szCs w:val="24"/>
              </w:rPr>
              <w:t>Калий (ммоль/л)</w:t>
            </w:r>
          </w:p>
        </w:tc>
        <w:tc>
          <w:tcPr>
            <w:tcW w:w="1914" w:type="dxa"/>
          </w:tcPr>
          <w:p w14:paraId="1659B60C" w14:textId="77777777" w:rsidR="00CE6C1C" w:rsidRPr="00CE6C1C" w:rsidRDefault="00CE6C1C" w:rsidP="00CE6C1C">
            <w:pPr>
              <w:spacing w:before="0" w:after="0"/>
              <w:rPr>
                <w:szCs w:val="24"/>
              </w:rPr>
            </w:pPr>
            <w:r w:rsidRPr="00CE6C1C">
              <w:rPr>
                <w:szCs w:val="24"/>
              </w:rPr>
              <w:t>3,5-5,0</w:t>
            </w:r>
          </w:p>
        </w:tc>
        <w:tc>
          <w:tcPr>
            <w:tcW w:w="1914" w:type="dxa"/>
          </w:tcPr>
          <w:p w14:paraId="0AA9B90A" w14:textId="77777777" w:rsidR="00CE6C1C" w:rsidRPr="00CE6C1C" w:rsidRDefault="00CE6C1C" w:rsidP="00CE6C1C">
            <w:pPr>
              <w:spacing w:before="0" w:after="0"/>
              <w:rPr>
                <w:szCs w:val="24"/>
                <w:lang w:val="en-US"/>
              </w:rPr>
            </w:pPr>
            <w:r w:rsidRPr="00CE6C1C">
              <w:rPr>
                <w:szCs w:val="24"/>
                <w:lang w:val="en-US"/>
              </w:rPr>
              <w:t>-</w:t>
            </w:r>
          </w:p>
        </w:tc>
        <w:tc>
          <w:tcPr>
            <w:tcW w:w="1914" w:type="dxa"/>
          </w:tcPr>
          <w:p w14:paraId="2C2C5D78" w14:textId="77777777" w:rsidR="00CE6C1C" w:rsidRPr="00CE6C1C" w:rsidRDefault="00CE6C1C" w:rsidP="00CE6C1C">
            <w:pPr>
              <w:spacing w:before="0" w:after="0"/>
              <w:rPr>
                <w:szCs w:val="24"/>
                <w:lang w:val="en-US"/>
              </w:rPr>
            </w:pPr>
            <w:r w:rsidRPr="00CE6C1C">
              <w:rPr>
                <w:szCs w:val="24"/>
                <w:lang w:val="en-US"/>
              </w:rPr>
              <w:t>4</w:t>
            </w:r>
          </w:p>
        </w:tc>
        <w:tc>
          <w:tcPr>
            <w:tcW w:w="1915" w:type="dxa"/>
          </w:tcPr>
          <w:p w14:paraId="3D0A9E35" w14:textId="77777777" w:rsidR="00CE6C1C" w:rsidRPr="00CE6C1C" w:rsidRDefault="00CE6C1C" w:rsidP="00CE6C1C">
            <w:pPr>
              <w:spacing w:before="0" w:after="0"/>
              <w:rPr>
                <w:szCs w:val="24"/>
              </w:rPr>
            </w:pPr>
            <w:r w:rsidRPr="00CE6C1C">
              <w:rPr>
                <w:szCs w:val="24"/>
              </w:rPr>
              <w:t>5</w:t>
            </w:r>
          </w:p>
        </w:tc>
      </w:tr>
      <w:tr w:rsidR="00CE6C1C" w:rsidRPr="00CE6C1C" w14:paraId="400466BE" w14:textId="77777777" w:rsidTr="001F3CDD">
        <w:tc>
          <w:tcPr>
            <w:tcW w:w="1914" w:type="dxa"/>
          </w:tcPr>
          <w:p w14:paraId="2F20A75B" w14:textId="77777777" w:rsidR="00CE6C1C" w:rsidRPr="00CE6C1C" w:rsidRDefault="00CE6C1C" w:rsidP="00CE6C1C">
            <w:pPr>
              <w:spacing w:before="0" w:after="0"/>
              <w:rPr>
                <w:szCs w:val="24"/>
              </w:rPr>
            </w:pPr>
            <w:r w:rsidRPr="00CE6C1C">
              <w:rPr>
                <w:szCs w:val="24"/>
              </w:rPr>
              <w:t>Кальций (мг/дл)</w:t>
            </w:r>
          </w:p>
        </w:tc>
        <w:tc>
          <w:tcPr>
            <w:tcW w:w="1914" w:type="dxa"/>
          </w:tcPr>
          <w:p w14:paraId="12C11B2A" w14:textId="77777777" w:rsidR="00CE6C1C" w:rsidRPr="00CE6C1C" w:rsidRDefault="00CE6C1C" w:rsidP="00CE6C1C">
            <w:pPr>
              <w:spacing w:before="0" w:after="0"/>
              <w:rPr>
                <w:szCs w:val="24"/>
              </w:rPr>
            </w:pPr>
            <w:r w:rsidRPr="00CE6C1C">
              <w:rPr>
                <w:szCs w:val="24"/>
              </w:rPr>
              <w:t>3,0-4,5</w:t>
            </w:r>
          </w:p>
        </w:tc>
        <w:tc>
          <w:tcPr>
            <w:tcW w:w="1914" w:type="dxa"/>
          </w:tcPr>
          <w:p w14:paraId="153BCA37" w14:textId="77777777" w:rsidR="00CE6C1C" w:rsidRPr="00CE6C1C" w:rsidRDefault="00CE6C1C" w:rsidP="00CE6C1C">
            <w:pPr>
              <w:spacing w:before="0" w:after="0"/>
              <w:rPr>
                <w:szCs w:val="24"/>
                <w:lang w:val="en-US"/>
              </w:rPr>
            </w:pPr>
            <w:r w:rsidRPr="00CE6C1C">
              <w:rPr>
                <w:szCs w:val="24"/>
                <w:lang w:val="en-US"/>
              </w:rPr>
              <w:t>-</w:t>
            </w:r>
          </w:p>
        </w:tc>
        <w:tc>
          <w:tcPr>
            <w:tcW w:w="1914" w:type="dxa"/>
          </w:tcPr>
          <w:p w14:paraId="31C95D0C" w14:textId="77777777" w:rsidR="00CE6C1C" w:rsidRPr="00CE6C1C" w:rsidRDefault="00CE6C1C" w:rsidP="00CE6C1C">
            <w:pPr>
              <w:spacing w:before="0" w:after="0"/>
              <w:rPr>
                <w:szCs w:val="24"/>
                <w:lang w:val="en-US"/>
              </w:rPr>
            </w:pPr>
            <w:r w:rsidRPr="00CE6C1C">
              <w:rPr>
                <w:szCs w:val="24"/>
                <w:lang w:val="en-US"/>
              </w:rPr>
              <w:t>4</w:t>
            </w:r>
          </w:p>
        </w:tc>
        <w:tc>
          <w:tcPr>
            <w:tcW w:w="1915" w:type="dxa"/>
          </w:tcPr>
          <w:p w14:paraId="150370A0" w14:textId="77777777" w:rsidR="00CE6C1C" w:rsidRPr="00CE6C1C" w:rsidRDefault="00CE6C1C" w:rsidP="00CE6C1C">
            <w:pPr>
              <w:spacing w:before="0" w:after="0"/>
              <w:rPr>
                <w:szCs w:val="24"/>
              </w:rPr>
            </w:pPr>
            <w:r w:rsidRPr="00CE6C1C">
              <w:rPr>
                <w:szCs w:val="24"/>
              </w:rPr>
              <w:t>-</w:t>
            </w:r>
          </w:p>
        </w:tc>
      </w:tr>
      <w:tr w:rsidR="00CE6C1C" w:rsidRPr="00CE6C1C" w14:paraId="7935BEFF" w14:textId="77777777" w:rsidTr="001F3CDD">
        <w:tc>
          <w:tcPr>
            <w:tcW w:w="1914" w:type="dxa"/>
          </w:tcPr>
          <w:p w14:paraId="03E65ED8" w14:textId="77777777" w:rsidR="00CE6C1C" w:rsidRPr="00CE6C1C" w:rsidRDefault="00CE6C1C" w:rsidP="00CE6C1C">
            <w:pPr>
              <w:spacing w:before="0" w:after="0"/>
              <w:rPr>
                <w:szCs w:val="24"/>
              </w:rPr>
            </w:pPr>
            <w:r w:rsidRPr="00CE6C1C">
              <w:rPr>
                <w:szCs w:val="24"/>
              </w:rPr>
              <w:t>Магний (ммоль/л)</w:t>
            </w:r>
          </w:p>
        </w:tc>
        <w:tc>
          <w:tcPr>
            <w:tcW w:w="1914" w:type="dxa"/>
          </w:tcPr>
          <w:p w14:paraId="37D13373" w14:textId="77777777" w:rsidR="00CE6C1C" w:rsidRPr="00CE6C1C" w:rsidRDefault="00CE6C1C" w:rsidP="00CE6C1C">
            <w:pPr>
              <w:spacing w:before="0" w:after="0"/>
              <w:rPr>
                <w:szCs w:val="24"/>
              </w:rPr>
            </w:pPr>
            <w:r w:rsidRPr="00CE6C1C">
              <w:rPr>
                <w:szCs w:val="24"/>
              </w:rPr>
              <w:t>0,7-1,2</w:t>
            </w:r>
          </w:p>
        </w:tc>
        <w:tc>
          <w:tcPr>
            <w:tcW w:w="1914" w:type="dxa"/>
          </w:tcPr>
          <w:p w14:paraId="6FAF9858" w14:textId="77777777" w:rsidR="00CE6C1C" w:rsidRPr="00CE6C1C" w:rsidRDefault="00CE6C1C" w:rsidP="00CE6C1C">
            <w:pPr>
              <w:spacing w:before="0" w:after="0"/>
              <w:rPr>
                <w:szCs w:val="24"/>
                <w:lang w:val="en-US"/>
              </w:rPr>
            </w:pPr>
            <w:r w:rsidRPr="00CE6C1C">
              <w:rPr>
                <w:szCs w:val="24"/>
                <w:lang w:val="en-US"/>
              </w:rPr>
              <w:t>-</w:t>
            </w:r>
          </w:p>
        </w:tc>
        <w:tc>
          <w:tcPr>
            <w:tcW w:w="1914" w:type="dxa"/>
          </w:tcPr>
          <w:p w14:paraId="3E745271" w14:textId="77777777" w:rsidR="00CE6C1C" w:rsidRPr="00CE6C1C" w:rsidRDefault="00CE6C1C" w:rsidP="00CE6C1C">
            <w:pPr>
              <w:spacing w:before="0" w:after="0"/>
              <w:rPr>
                <w:szCs w:val="24"/>
                <w:lang w:val="en-US"/>
              </w:rPr>
            </w:pPr>
            <w:r w:rsidRPr="00CE6C1C">
              <w:rPr>
                <w:szCs w:val="24"/>
                <w:lang w:val="en-US"/>
              </w:rPr>
              <w:t>-</w:t>
            </w:r>
          </w:p>
        </w:tc>
        <w:tc>
          <w:tcPr>
            <w:tcW w:w="1915" w:type="dxa"/>
          </w:tcPr>
          <w:p w14:paraId="0F8B973D" w14:textId="77777777" w:rsidR="00CE6C1C" w:rsidRPr="00CE6C1C" w:rsidRDefault="00CE6C1C" w:rsidP="00CE6C1C">
            <w:pPr>
              <w:spacing w:before="0" w:after="0"/>
              <w:rPr>
                <w:szCs w:val="24"/>
              </w:rPr>
            </w:pPr>
            <w:r w:rsidRPr="00CE6C1C">
              <w:rPr>
                <w:szCs w:val="24"/>
              </w:rPr>
              <w:t>3</w:t>
            </w:r>
          </w:p>
        </w:tc>
      </w:tr>
      <w:tr w:rsidR="00CE6C1C" w:rsidRPr="00CE6C1C" w14:paraId="7E2C6199" w14:textId="77777777" w:rsidTr="001F3CDD">
        <w:tc>
          <w:tcPr>
            <w:tcW w:w="1914" w:type="dxa"/>
          </w:tcPr>
          <w:p w14:paraId="1DED338D" w14:textId="77777777" w:rsidR="00CE6C1C" w:rsidRPr="00CE6C1C" w:rsidRDefault="00CE6C1C" w:rsidP="00CE6C1C">
            <w:pPr>
              <w:spacing w:before="0" w:after="0"/>
              <w:rPr>
                <w:szCs w:val="24"/>
              </w:rPr>
            </w:pPr>
            <w:r w:rsidRPr="00CE6C1C">
              <w:rPr>
                <w:szCs w:val="24"/>
              </w:rPr>
              <w:lastRenderedPageBreak/>
              <w:t>Буфер (ммоль/л)</w:t>
            </w:r>
          </w:p>
        </w:tc>
        <w:tc>
          <w:tcPr>
            <w:tcW w:w="1914" w:type="dxa"/>
          </w:tcPr>
          <w:p w14:paraId="2FDF65E4" w14:textId="77777777" w:rsidR="00CE6C1C" w:rsidRPr="00CE6C1C" w:rsidRDefault="00CE6C1C" w:rsidP="00CE6C1C">
            <w:pPr>
              <w:spacing w:before="0" w:after="0"/>
              <w:rPr>
                <w:szCs w:val="24"/>
                <w:vertAlign w:val="subscript"/>
                <w:lang w:val="en-US"/>
              </w:rPr>
            </w:pPr>
            <w:r w:rsidRPr="00CE6C1C">
              <w:rPr>
                <w:szCs w:val="24"/>
                <w:lang w:val="en-US"/>
              </w:rPr>
              <w:t>HCO</w:t>
            </w:r>
            <w:r w:rsidRPr="00CE6C1C">
              <w:rPr>
                <w:szCs w:val="24"/>
                <w:vertAlign w:val="superscript"/>
                <w:lang w:val="en-US"/>
              </w:rPr>
              <w:t>-</w:t>
            </w:r>
            <w:r w:rsidRPr="00CE6C1C">
              <w:rPr>
                <w:szCs w:val="24"/>
                <w:vertAlign w:val="subscript"/>
                <w:lang w:val="en-US"/>
              </w:rPr>
              <w:t>3</w:t>
            </w:r>
          </w:p>
          <w:p w14:paraId="2854A21D" w14:textId="77777777" w:rsidR="00CE6C1C" w:rsidRPr="00CE6C1C" w:rsidRDefault="00CE6C1C" w:rsidP="00CE6C1C">
            <w:pPr>
              <w:spacing w:before="0" w:after="0"/>
              <w:rPr>
                <w:szCs w:val="24"/>
                <w:lang w:val="en-US"/>
              </w:rPr>
            </w:pPr>
            <w:r w:rsidRPr="00CE6C1C">
              <w:rPr>
                <w:szCs w:val="24"/>
                <w:lang w:val="en-US"/>
              </w:rPr>
              <w:t>(22-28)</w:t>
            </w:r>
          </w:p>
        </w:tc>
        <w:tc>
          <w:tcPr>
            <w:tcW w:w="1914" w:type="dxa"/>
          </w:tcPr>
          <w:p w14:paraId="51DBF48C" w14:textId="77777777" w:rsidR="00CE6C1C" w:rsidRPr="00CE6C1C" w:rsidRDefault="00CE6C1C" w:rsidP="00CE6C1C">
            <w:pPr>
              <w:spacing w:before="0" w:after="0"/>
              <w:rPr>
                <w:szCs w:val="24"/>
                <w:lang w:val="en-US"/>
              </w:rPr>
            </w:pPr>
            <w:r w:rsidRPr="00CE6C1C">
              <w:rPr>
                <w:szCs w:val="24"/>
                <w:lang w:val="en-US"/>
              </w:rPr>
              <w:t>-</w:t>
            </w:r>
          </w:p>
        </w:tc>
        <w:tc>
          <w:tcPr>
            <w:tcW w:w="1914" w:type="dxa"/>
          </w:tcPr>
          <w:p w14:paraId="7E4179AB" w14:textId="77777777" w:rsidR="00CE6C1C" w:rsidRPr="00CE6C1C" w:rsidRDefault="00CE6C1C" w:rsidP="00CE6C1C">
            <w:pPr>
              <w:spacing w:before="0" w:after="0"/>
              <w:rPr>
                <w:szCs w:val="24"/>
              </w:rPr>
            </w:pPr>
            <w:r w:rsidRPr="00CE6C1C">
              <w:rPr>
                <w:szCs w:val="24"/>
              </w:rPr>
              <w:t>Лактат (28)</w:t>
            </w:r>
          </w:p>
        </w:tc>
        <w:tc>
          <w:tcPr>
            <w:tcW w:w="1915" w:type="dxa"/>
          </w:tcPr>
          <w:p w14:paraId="30E59B05" w14:textId="77777777" w:rsidR="00CE6C1C" w:rsidRPr="00CE6C1C" w:rsidRDefault="00CE6C1C" w:rsidP="00CE6C1C">
            <w:pPr>
              <w:spacing w:before="0" w:after="0"/>
              <w:rPr>
                <w:szCs w:val="24"/>
              </w:rPr>
            </w:pPr>
            <w:r w:rsidRPr="00CE6C1C">
              <w:rPr>
                <w:szCs w:val="24"/>
              </w:rPr>
              <w:t>Ацетат (27)</w:t>
            </w:r>
          </w:p>
          <w:p w14:paraId="7378D911" w14:textId="77777777" w:rsidR="00CE6C1C" w:rsidRPr="00CE6C1C" w:rsidRDefault="00CE6C1C" w:rsidP="00CE6C1C">
            <w:pPr>
              <w:spacing w:before="0" w:after="0"/>
              <w:rPr>
                <w:szCs w:val="24"/>
              </w:rPr>
            </w:pPr>
            <w:r w:rsidRPr="00CE6C1C">
              <w:rPr>
                <w:szCs w:val="24"/>
              </w:rPr>
              <w:t>Глюканат (23)</w:t>
            </w:r>
          </w:p>
        </w:tc>
      </w:tr>
      <w:tr w:rsidR="00CE6C1C" w:rsidRPr="00CE6C1C" w14:paraId="6BFDEAEC" w14:textId="77777777" w:rsidTr="001F3CDD">
        <w:tc>
          <w:tcPr>
            <w:tcW w:w="1914" w:type="dxa"/>
          </w:tcPr>
          <w:p w14:paraId="07A93787" w14:textId="77777777" w:rsidR="00CE6C1C" w:rsidRPr="00CE6C1C" w:rsidRDefault="00CE6C1C" w:rsidP="00CE6C1C">
            <w:pPr>
              <w:spacing w:before="0" w:after="0"/>
              <w:rPr>
                <w:szCs w:val="24"/>
              </w:rPr>
            </w:pPr>
            <w:r w:rsidRPr="00CE6C1C">
              <w:rPr>
                <w:szCs w:val="24"/>
              </w:rPr>
              <w:t>Осмолярность  (мОсм/л)</w:t>
            </w:r>
          </w:p>
        </w:tc>
        <w:tc>
          <w:tcPr>
            <w:tcW w:w="1914" w:type="dxa"/>
          </w:tcPr>
          <w:p w14:paraId="01C3DCC9" w14:textId="77777777" w:rsidR="00CE6C1C" w:rsidRPr="00CE6C1C" w:rsidRDefault="00CE6C1C" w:rsidP="00CE6C1C">
            <w:pPr>
              <w:spacing w:before="0" w:after="0"/>
              <w:rPr>
                <w:szCs w:val="24"/>
                <w:lang w:val="en-US"/>
              </w:rPr>
            </w:pPr>
            <w:r w:rsidRPr="00CE6C1C">
              <w:rPr>
                <w:szCs w:val="24"/>
                <w:lang w:val="en-US"/>
              </w:rPr>
              <w:t>290</w:t>
            </w:r>
          </w:p>
        </w:tc>
        <w:tc>
          <w:tcPr>
            <w:tcW w:w="1914" w:type="dxa"/>
          </w:tcPr>
          <w:p w14:paraId="51F9BAF9" w14:textId="77777777" w:rsidR="00CE6C1C" w:rsidRPr="00CE6C1C" w:rsidRDefault="00CE6C1C" w:rsidP="00CE6C1C">
            <w:pPr>
              <w:spacing w:before="0" w:after="0"/>
              <w:rPr>
                <w:szCs w:val="24"/>
                <w:lang w:val="en-US"/>
              </w:rPr>
            </w:pPr>
            <w:r w:rsidRPr="00CE6C1C">
              <w:rPr>
                <w:szCs w:val="24"/>
                <w:lang w:val="en-US"/>
              </w:rPr>
              <w:t>308</w:t>
            </w:r>
          </w:p>
        </w:tc>
        <w:tc>
          <w:tcPr>
            <w:tcW w:w="1914" w:type="dxa"/>
          </w:tcPr>
          <w:p w14:paraId="7486C5E3" w14:textId="77777777" w:rsidR="00CE6C1C" w:rsidRPr="00CE6C1C" w:rsidRDefault="00CE6C1C" w:rsidP="00CE6C1C">
            <w:pPr>
              <w:spacing w:before="0" w:after="0"/>
              <w:rPr>
                <w:szCs w:val="24"/>
              </w:rPr>
            </w:pPr>
            <w:r w:rsidRPr="00CE6C1C">
              <w:rPr>
                <w:szCs w:val="24"/>
              </w:rPr>
              <w:t>273</w:t>
            </w:r>
          </w:p>
        </w:tc>
        <w:tc>
          <w:tcPr>
            <w:tcW w:w="1915" w:type="dxa"/>
          </w:tcPr>
          <w:p w14:paraId="716287BA" w14:textId="77777777" w:rsidR="00CE6C1C" w:rsidRPr="00CE6C1C" w:rsidRDefault="00CE6C1C" w:rsidP="00CE6C1C">
            <w:pPr>
              <w:spacing w:before="0" w:after="0"/>
              <w:rPr>
                <w:szCs w:val="24"/>
              </w:rPr>
            </w:pPr>
            <w:r w:rsidRPr="00CE6C1C">
              <w:rPr>
                <w:szCs w:val="24"/>
              </w:rPr>
              <w:t>295</w:t>
            </w:r>
          </w:p>
        </w:tc>
      </w:tr>
    </w:tbl>
    <w:p w14:paraId="072A3F6C" w14:textId="77777777" w:rsidR="00CE6C1C" w:rsidRPr="00CE6C1C" w:rsidRDefault="00CE6C1C" w:rsidP="00CE6C1C">
      <w:pPr>
        <w:spacing w:before="0" w:after="0"/>
        <w:ind w:firstLine="709"/>
        <w:rPr>
          <w:szCs w:val="24"/>
        </w:rPr>
      </w:pPr>
    </w:p>
    <w:p w14:paraId="7ACFC40F" w14:textId="77777777" w:rsidR="00CE6C1C" w:rsidRPr="00CE6C1C" w:rsidRDefault="00CE6C1C" w:rsidP="00CE6C1C">
      <w:pPr>
        <w:spacing w:before="0" w:after="0"/>
        <w:ind w:firstLine="709"/>
        <w:rPr>
          <w:b/>
          <w:szCs w:val="24"/>
        </w:rPr>
      </w:pPr>
      <w:r w:rsidRPr="00CE6C1C">
        <w:rPr>
          <w:b/>
          <w:szCs w:val="24"/>
        </w:rPr>
        <w:t>Показания к проведению инфузионной терапии</w:t>
      </w:r>
    </w:p>
    <w:p w14:paraId="0FA16BA3" w14:textId="77777777" w:rsidR="00CE6C1C" w:rsidRPr="00CE6C1C" w:rsidRDefault="00CE6C1C" w:rsidP="00CE6C1C">
      <w:pPr>
        <w:spacing w:before="0" w:after="0"/>
        <w:ind w:firstLine="709"/>
        <w:rPr>
          <w:szCs w:val="24"/>
        </w:rPr>
      </w:pPr>
      <w:r w:rsidRPr="00CE6C1C">
        <w:rPr>
          <w:szCs w:val="24"/>
        </w:rPr>
        <w:t>Основными показаниями для инфузионной терапии являются:</w:t>
      </w:r>
    </w:p>
    <w:p w14:paraId="3EAB0D2E" w14:textId="77777777" w:rsidR="00CE6C1C" w:rsidRPr="00CE6C1C" w:rsidRDefault="00CE6C1C" w:rsidP="00CE6C1C">
      <w:pPr>
        <w:pStyle w:val="a6"/>
        <w:numPr>
          <w:ilvl w:val="0"/>
          <w:numId w:val="158"/>
        </w:numPr>
        <w:spacing w:before="0" w:after="0" w:line="276" w:lineRule="auto"/>
        <w:rPr>
          <w:szCs w:val="24"/>
        </w:rPr>
      </w:pPr>
      <w:r w:rsidRPr="00CE6C1C">
        <w:rPr>
          <w:szCs w:val="24"/>
        </w:rPr>
        <w:t>Дегидратация,</w:t>
      </w:r>
      <w:r w:rsidRPr="00CE6C1C">
        <w:rPr>
          <w:i/>
          <w:szCs w:val="24"/>
        </w:rPr>
        <w:t xml:space="preserve"> </w:t>
      </w:r>
      <w:r w:rsidRPr="00CE6C1C">
        <w:rPr>
          <w:szCs w:val="24"/>
        </w:rPr>
        <w:t>причинами которой могут быть диарея, перспирация (вследствие лихорадки), рвота, алиментарная недостаточность.</w:t>
      </w:r>
    </w:p>
    <w:p w14:paraId="432563B2" w14:textId="77777777" w:rsidR="00CE6C1C" w:rsidRPr="00CE6C1C" w:rsidRDefault="00CE6C1C" w:rsidP="00CE6C1C">
      <w:pPr>
        <w:pStyle w:val="a6"/>
        <w:numPr>
          <w:ilvl w:val="0"/>
          <w:numId w:val="158"/>
        </w:numPr>
        <w:spacing w:before="0" w:after="0" w:line="276" w:lineRule="auto"/>
        <w:rPr>
          <w:szCs w:val="24"/>
        </w:rPr>
      </w:pPr>
      <w:r w:rsidRPr="00CE6C1C">
        <w:rPr>
          <w:szCs w:val="24"/>
        </w:rPr>
        <w:t>Гиповолемия или дефицит объема циркулирующей крови (например, при кровотечении у гематологических пациентов).</w:t>
      </w:r>
    </w:p>
    <w:p w14:paraId="0C6E702B" w14:textId="77777777" w:rsidR="00CE6C1C" w:rsidRPr="00CE6C1C" w:rsidRDefault="00CE6C1C" w:rsidP="00CE6C1C">
      <w:pPr>
        <w:pStyle w:val="a6"/>
        <w:numPr>
          <w:ilvl w:val="0"/>
          <w:numId w:val="158"/>
        </w:numPr>
        <w:spacing w:before="0" w:after="0" w:line="276" w:lineRule="auto"/>
        <w:rPr>
          <w:szCs w:val="24"/>
        </w:rPr>
      </w:pPr>
      <w:r w:rsidRPr="00CE6C1C">
        <w:rPr>
          <w:szCs w:val="24"/>
        </w:rPr>
        <w:t xml:space="preserve">Проведение форсированного диуреза для профилактики синдрома лизиса опухоли. </w:t>
      </w:r>
    </w:p>
    <w:p w14:paraId="03D1E68F" w14:textId="77777777" w:rsidR="00CE6C1C" w:rsidRPr="00CE6C1C" w:rsidRDefault="00CE6C1C" w:rsidP="00CE6C1C">
      <w:pPr>
        <w:pStyle w:val="a6"/>
        <w:numPr>
          <w:ilvl w:val="0"/>
          <w:numId w:val="158"/>
        </w:numPr>
        <w:spacing w:before="0" w:after="0" w:line="276" w:lineRule="auto"/>
        <w:rPr>
          <w:szCs w:val="24"/>
        </w:rPr>
      </w:pPr>
      <w:r w:rsidRPr="00CE6C1C">
        <w:rPr>
          <w:szCs w:val="24"/>
        </w:rPr>
        <w:t xml:space="preserve">Проведение терапевтической гемоделюции (для лечения ишемических и тромботических осложнений). </w:t>
      </w:r>
    </w:p>
    <w:p w14:paraId="2686B39F" w14:textId="77777777" w:rsidR="00CE6C1C" w:rsidRPr="00CE6C1C" w:rsidRDefault="00CE6C1C" w:rsidP="00CE6C1C">
      <w:pPr>
        <w:pStyle w:val="a6"/>
        <w:numPr>
          <w:ilvl w:val="0"/>
          <w:numId w:val="158"/>
        </w:numPr>
        <w:spacing w:before="0" w:after="0" w:line="276" w:lineRule="auto"/>
        <w:rPr>
          <w:szCs w:val="24"/>
        </w:rPr>
      </w:pPr>
      <w:r w:rsidRPr="00CE6C1C">
        <w:rPr>
          <w:szCs w:val="24"/>
        </w:rPr>
        <w:t xml:space="preserve">Коррекция электролитных нарушений. </w:t>
      </w:r>
    </w:p>
    <w:p w14:paraId="18A5B308" w14:textId="77777777" w:rsidR="00CE6C1C" w:rsidRPr="00CE6C1C" w:rsidRDefault="00CE6C1C" w:rsidP="00CE6C1C">
      <w:pPr>
        <w:pStyle w:val="a6"/>
        <w:numPr>
          <w:ilvl w:val="0"/>
          <w:numId w:val="158"/>
        </w:numPr>
        <w:spacing w:before="0" w:after="0" w:line="276" w:lineRule="auto"/>
        <w:rPr>
          <w:szCs w:val="24"/>
        </w:rPr>
      </w:pPr>
      <w:r w:rsidRPr="00CE6C1C">
        <w:rPr>
          <w:szCs w:val="24"/>
        </w:rPr>
        <w:t xml:space="preserve">Дезинтоксикационная терапия. </w:t>
      </w:r>
    </w:p>
    <w:p w14:paraId="27D1EC56" w14:textId="77777777" w:rsidR="00CE6C1C" w:rsidRPr="00CE6C1C" w:rsidRDefault="00CE6C1C" w:rsidP="00CE6C1C">
      <w:pPr>
        <w:spacing w:before="0" w:after="0"/>
        <w:ind w:firstLine="709"/>
        <w:rPr>
          <w:b/>
          <w:szCs w:val="24"/>
        </w:rPr>
      </w:pPr>
      <w:r w:rsidRPr="00CE6C1C">
        <w:rPr>
          <w:b/>
          <w:szCs w:val="24"/>
        </w:rPr>
        <w:t>Выбор инфузионных растворов</w:t>
      </w:r>
    </w:p>
    <w:p w14:paraId="3B645C16" w14:textId="77777777" w:rsidR="00CE6C1C" w:rsidRPr="00CE6C1C" w:rsidRDefault="00CE6C1C" w:rsidP="00CE6C1C">
      <w:pPr>
        <w:spacing w:before="0" w:after="0"/>
        <w:ind w:firstLine="709"/>
        <w:rPr>
          <w:szCs w:val="24"/>
        </w:rPr>
      </w:pPr>
      <w:r w:rsidRPr="00CE6C1C">
        <w:rPr>
          <w:szCs w:val="24"/>
        </w:rPr>
        <w:t>Сбалансированные полиэлектролитные растворы применяются для коррекции дегидратации, форсированного диуреза, терапевтической гемоделюции.</w:t>
      </w:r>
    </w:p>
    <w:p w14:paraId="142D7E5A" w14:textId="77777777" w:rsidR="00CE6C1C" w:rsidRPr="00CE6C1C" w:rsidRDefault="00CE6C1C" w:rsidP="00CE6C1C">
      <w:pPr>
        <w:spacing w:before="0" w:after="0"/>
        <w:ind w:firstLine="709"/>
        <w:rPr>
          <w:szCs w:val="24"/>
        </w:rPr>
      </w:pPr>
      <w:r w:rsidRPr="00CE6C1C">
        <w:rPr>
          <w:szCs w:val="24"/>
        </w:rPr>
        <w:t>Коллоидные растворы (такие как раствор альбумина), используются в сочетании с кристаллоидными для коррекции гиповолемии. Допустимо использовать только кристаллоидные растворы для коррекции гиповолемии легкой степени.</w:t>
      </w:r>
    </w:p>
    <w:p w14:paraId="30550BAD" w14:textId="77777777" w:rsidR="00CE6C1C" w:rsidRPr="00CE6C1C" w:rsidRDefault="00CE6C1C" w:rsidP="00CE6C1C">
      <w:pPr>
        <w:spacing w:before="0" w:after="0"/>
        <w:ind w:firstLine="709"/>
        <w:rPr>
          <w:szCs w:val="24"/>
        </w:rPr>
      </w:pPr>
      <w:r w:rsidRPr="00CE6C1C">
        <w:rPr>
          <w:szCs w:val="24"/>
        </w:rPr>
        <w:t>Для разведения лекарственных препаратов используется 0,9% раствор натрия хлорида, что исключает выпадения солей кальция в приготовленном растворе.</w:t>
      </w:r>
    </w:p>
    <w:p w14:paraId="49ADC28A" w14:textId="77777777" w:rsidR="00CE6C1C" w:rsidRPr="00CE6C1C" w:rsidRDefault="00CE6C1C" w:rsidP="00CE6C1C">
      <w:pPr>
        <w:spacing w:before="0" w:after="0"/>
        <w:ind w:firstLine="709"/>
        <w:rPr>
          <w:szCs w:val="24"/>
        </w:rPr>
      </w:pPr>
      <w:r w:rsidRPr="00CE6C1C">
        <w:rPr>
          <w:szCs w:val="24"/>
        </w:rPr>
        <w:t xml:space="preserve">Объем инфузионной терапии определяется клиническими показаниями. </w:t>
      </w:r>
    </w:p>
    <w:p w14:paraId="2A0D080B" w14:textId="77777777" w:rsidR="00CE6C1C" w:rsidRPr="00CE6C1C" w:rsidRDefault="00CE6C1C" w:rsidP="00CE6C1C">
      <w:pPr>
        <w:spacing w:before="0" w:after="0"/>
        <w:ind w:firstLine="709"/>
        <w:rPr>
          <w:b/>
          <w:szCs w:val="24"/>
        </w:rPr>
      </w:pPr>
      <w:r w:rsidRPr="00CE6C1C">
        <w:rPr>
          <w:b/>
          <w:szCs w:val="24"/>
        </w:rPr>
        <w:t>Алгоритм действия врача</w:t>
      </w:r>
    </w:p>
    <w:p w14:paraId="50FA54A7" w14:textId="77777777" w:rsidR="00CE6C1C" w:rsidRPr="00CE6C1C" w:rsidRDefault="00CE6C1C" w:rsidP="00CE6C1C">
      <w:pPr>
        <w:spacing w:before="0" w:after="0"/>
        <w:ind w:firstLine="709"/>
        <w:rPr>
          <w:szCs w:val="24"/>
        </w:rPr>
      </w:pPr>
      <w:r w:rsidRPr="00CE6C1C">
        <w:rPr>
          <w:szCs w:val="24"/>
        </w:rPr>
        <w:t>1. Определение показаний для инфузионная терапии.</w:t>
      </w:r>
    </w:p>
    <w:p w14:paraId="2E8E6F86" w14:textId="77777777" w:rsidR="00CE6C1C" w:rsidRPr="00CE6C1C" w:rsidRDefault="00CE6C1C" w:rsidP="00CE6C1C">
      <w:pPr>
        <w:spacing w:before="0" w:after="0"/>
        <w:ind w:firstLine="709"/>
        <w:rPr>
          <w:szCs w:val="24"/>
        </w:rPr>
      </w:pPr>
      <w:r w:rsidRPr="00CE6C1C">
        <w:rPr>
          <w:szCs w:val="24"/>
        </w:rPr>
        <w:t>2. Выбор инфузионного раствора в зависимости от показаний.</w:t>
      </w:r>
    </w:p>
    <w:p w14:paraId="29592DE4" w14:textId="77777777" w:rsidR="00CE6C1C" w:rsidRPr="00CE6C1C" w:rsidRDefault="00CE6C1C" w:rsidP="00CE6C1C">
      <w:pPr>
        <w:spacing w:before="0" w:after="0"/>
        <w:ind w:firstLine="709"/>
        <w:rPr>
          <w:szCs w:val="24"/>
        </w:rPr>
      </w:pPr>
      <w:r w:rsidRPr="00CE6C1C">
        <w:rPr>
          <w:szCs w:val="24"/>
        </w:rPr>
        <w:t>3. Оценка волемического статуса пациента (оценка частоты сердечных сокращений, артериального давления, тургора кожи, влажности слизистых, темпа диуреза и др.). Центральное венозное давление (ЦВД) не является единственным показателем волемического статуса больного и часто может не отражать истинное состояние. Так, у больного с легочной гипертензией и гиповолемией ЦВД может превышать  нормальные значения.</w:t>
      </w:r>
    </w:p>
    <w:p w14:paraId="5D423EDF" w14:textId="77777777" w:rsidR="00CE6C1C" w:rsidRPr="00CE6C1C" w:rsidRDefault="00CE6C1C" w:rsidP="00CE6C1C">
      <w:pPr>
        <w:spacing w:before="0" w:after="0"/>
        <w:ind w:firstLine="709"/>
        <w:rPr>
          <w:szCs w:val="24"/>
        </w:rPr>
      </w:pPr>
      <w:r w:rsidRPr="00CE6C1C">
        <w:rPr>
          <w:szCs w:val="24"/>
        </w:rPr>
        <w:lastRenderedPageBreak/>
        <w:t>4. Обеспечение сосудистого доступа. Проведение инфузионной терапии и оценка ее эффекта (частота сердечных сокращений, артериальное давление, тургор кожи, влажность слизистых, темп диуреза и др.).</w:t>
      </w:r>
    </w:p>
    <w:p w14:paraId="3CA05613" w14:textId="77777777" w:rsidR="00CE6C1C" w:rsidRPr="00CE6C1C" w:rsidRDefault="00CE6C1C" w:rsidP="00CE6C1C">
      <w:pPr>
        <w:spacing w:before="0" w:after="0"/>
        <w:rPr>
          <w:b/>
          <w:i/>
          <w:szCs w:val="24"/>
        </w:rPr>
      </w:pPr>
      <w:r w:rsidRPr="00CE6C1C">
        <w:rPr>
          <w:b/>
          <w:i/>
          <w:szCs w:val="24"/>
        </w:rPr>
        <w:t>Список литературы</w:t>
      </w:r>
    </w:p>
    <w:p w14:paraId="6E12E49A" w14:textId="77777777" w:rsidR="00CE6C1C" w:rsidRPr="00CE6C1C" w:rsidRDefault="00CE6C1C" w:rsidP="00B424E0">
      <w:pPr>
        <w:widowControl w:val="0"/>
        <w:autoSpaceDE w:val="0"/>
        <w:autoSpaceDN w:val="0"/>
        <w:adjustRightInd w:val="0"/>
        <w:spacing w:before="0" w:after="0"/>
        <w:rPr>
          <w:noProof/>
          <w:szCs w:val="24"/>
          <w:lang w:val="en-US"/>
        </w:rPr>
      </w:pPr>
      <w:r w:rsidRPr="00CE6C1C">
        <w:rPr>
          <w:szCs w:val="24"/>
        </w:rPr>
        <w:fldChar w:fldCharType="begin" w:fldLock="1"/>
      </w:r>
      <w:r w:rsidRPr="00B424E0">
        <w:rPr>
          <w:szCs w:val="24"/>
          <w:lang w:val="en-US"/>
        </w:rPr>
        <w:instrText>ADDIN</w:instrText>
      </w:r>
      <w:r w:rsidRPr="00FA6648">
        <w:rPr>
          <w:szCs w:val="24"/>
        </w:rPr>
        <w:instrText xml:space="preserve"> </w:instrText>
      </w:r>
      <w:r w:rsidRPr="00B424E0">
        <w:rPr>
          <w:szCs w:val="24"/>
          <w:lang w:val="en-US"/>
        </w:rPr>
        <w:instrText>Mendeley</w:instrText>
      </w:r>
      <w:r w:rsidRPr="00FA6648">
        <w:rPr>
          <w:szCs w:val="24"/>
        </w:rPr>
        <w:instrText xml:space="preserve"> </w:instrText>
      </w:r>
      <w:r w:rsidRPr="00B424E0">
        <w:rPr>
          <w:szCs w:val="24"/>
          <w:lang w:val="en-US"/>
        </w:rPr>
        <w:instrText>Bibliography</w:instrText>
      </w:r>
      <w:r w:rsidRPr="00FA6648">
        <w:rPr>
          <w:szCs w:val="24"/>
        </w:rPr>
        <w:instrText xml:space="preserve"> </w:instrText>
      </w:r>
      <w:r w:rsidRPr="00B424E0">
        <w:rPr>
          <w:szCs w:val="24"/>
          <w:lang w:val="en-US"/>
        </w:rPr>
        <w:instrText>CSL</w:instrText>
      </w:r>
      <w:r w:rsidRPr="00FA6648">
        <w:rPr>
          <w:szCs w:val="24"/>
        </w:rPr>
        <w:instrText>_</w:instrText>
      </w:r>
      <w:r w:rsidRPr="00B424E0">
        <w:rPr>
          <w:szCs w:val="24"/>
          <w:lang w:val="en-US"/>
        </w:rPr>
        <w:instrText>BIBLIOGRAPHY</w:instrText>
      </w:r>
      <w:r w:rsidRPr="00FA6648">
        <w:rPr>
          <w:szCs w:val="24"/>
        </w:rPr>
        <w:instrText xml:space="preserve"> </w:instrText>
      </w:r>
      <w:r w:rsidRPr="00CE6C1C">
        <w:rPr>
          <w:szCs w:val="24"/>
        </w:rPr>
        <w:fldChar w:fldCharType="separate"/>
      </w:r>
      <w:r w:rsidRPr="00FA6648">
        <w:rPr>
          <w:noProof/>
          <w:szCs w:val="24"/>
        </w:rPr>
        <w:t xml:space="preserve">1. </w:t>
      </w:r>
      <w:r w:rsidRPr="00B424E0">
        <w:rPr>
          <w:noProof/>
          <w:szCs w:val="24"/>
          <w:lang w:val="en-US"/>
        </w:rPr>
        <w:t>Casey</w:t>
      </w:r>
      <w:r w:rsidRPr="00FA6648">
        <w:rPr>
          <w:noProof/>
          <w:szCs w:val="24"/>
        </w:rPr>
        <w:t xml:space="preserve"> </w:t>
      </w:r>
      <w:r w:rsidRPr="00B424E0">
        <w:rPr>
          <w:noProof/>
          <w:szCs w:val="24"/>
          <w:lang w:val="en-US"/>
        </w:rPr>
        <w:t>J</w:t>
      </w:r>
      <w:r w:rsidRPr="00FA6648">
        <w:rPr>
          <w:noProof/>
          <w:szCs w:val="24"/>
        </w:rPr>
        <w:t>.</w:t>
      </w:r>
      <w:r w:rsidRPr="00B424E0">
        <w:rPr>
          <w:noProof/>
          <w:szCs w:val="24"/>
          <w:lang w:val="en-US"/>
        </w:rPr>
        <w:t>D</w:t>
      </w:r>
      <w:r w:rsidRPr="00FA6648">
        <w:rPr>
          <w:noProof/>
          <w:szCs w:val="24"/>
        </w:rPr>
        <w:t xml:space="preserve">.  </w:t>
      </w:r>
      <w:r w:rsidRPr="00CE6C1C">
        <w:rPr>
          <w:noProof/>
          <w:szCs w:val="24"/>
          <w:lang w:val="en-US"/>
        </w:rPr>
        <w:t xml:space="preserve">Resuscitation fluids // Curr. Opin. Crit. Care. – 2018. – </w:t>
      </w:r>
      <w:r w:rsidRPr="00CE6C1C">
        <w:rPr>
          <w:noProof/>
          <w:szCs w:val="24"/>
        </w:rPr>
        <w:t>Т</w:t>
      </w:r>
      <w:r w:rsidRPr="00CE6C1C">
        <w:rPr>
          <w:noProof/>
          <w:szCs w:val="24"/>
          <w:lang w:val="en-US"/>
        </w:rPr>
        <w:t>. 24. – № 6. – 512–518</w:t>
      </w:r>
      <w:r w:rsidRPr="00CE6C1C">
        <w:rPr>
          <w:noProof/>
          <w:szCs w:val="24"/>
        </w:rPr>
        <w:t>с</w:t>
      </w:r>
      <w:r w:rsidRPr="00CE6C1C">
        <w:rPr>
          <w:noProof/>
          <w:szCs w:val="24"/>
          <w:lang w:val="en-US"/>
        </w:rPr>
        <w:t>.</w:t>
      </w:r>
    </w:p>
    <w:p w14:paraId="65D8CFA5" w14:textId="77777777" w:rsidR="00CE6C1C" w:rsidRPr="00CE6C1C" w:rsidRDefault="00CE6C1C" w:rsidP="00B424E0">
      <w:pPr>
        <w:widowControl w:val="0"/>
        <w:autoSpaceDE w:val="0"/>
        <w:autoSpaceDN w:val="0"/>
        <w:adjustRightInd w:val="0"/>
        <w:spacing w:before="0" w:after="0"/>
        <w:rPr>
          <w:noProof/>
          <w:szCs w:val="24"/>
          <w:lang w:val="en-US"/>
        </w:rPr>
      </w:pPr>
      <w:r w:rsidRPr="00CE6C1C">
        <w:rPr>
          <w:noProof/>
          <w:szCs w:val="24"/>
          <w:lang w:val="en-US"/>
        </w:rPr>
        <w:t xml:space="preserve">2. Degoute C.S.  Intraoperative glucose infusion and blood lactate: Endocrine and metabolic relationships during abdominal aortic surgery / C. S. Degoute, M. J. Ray, M. Manchon, B. Claustrat, V. Banssillon // Anesthesiology – 1989. – </w:t>
      </w:r>
      <w:r w:rsidRPr="00CE6C1C">
        <w:rPr>
          <w:noProof/>
          <w:szCs w:val="24"/>
        </w:rPr>
        <w:t>Т</w:t>
      </w:r>
      <w:r w:rsidRPr="00CE6C1C">
        <w:rPr>
          <w:noProof/>
          <w:szCs w:val="24"/>
          <w:lang w:val="en-US"/>
        </w:rPr>
        <w:t>. 71 – № 3 – 355–361</w:t>
      </w:r>
      <w:r w:rsidRPr="00CE6C1C">
        <w:rPr>
          <w:noProof/>
          <w:szCs w:val="24"/>
        </w:rPr>
        <w:t>с</w:t>
      </w:r>
      <w:r w:rsidRPr="00CE6C1C">
        <w:rPr>
          <w:noProof/>
          <w:szCs w:val="24"/>
          <w:lang w:val="en-US"/>
        </w:rPr>
        <w:t>.</w:t>
      </w:r>
    </w:p>
    <w:p w14:paraId="49A2D5C4" w14:textId="77777777" w:rsidR="00CE6C1C" w:rsidRPr="00CE6C1C" w:rsidRDefault="00CE6C1C" w:rsidP="00B424E0">
      <w:pPr>
        <w:widowControl w:val="0"/>
        <w:autoSpaceDE w:val="0"/>
        <w:autoSpaceDN w:val="0"/>
        <w:adjustRightInd w:val="0"/>
        <w:spacing w:before="0" w:after="0"/>
        <w:rPr>
          <w:noProof/>
          <w:szCs w:val="24"/>
          <w:lang w:val="en-US"/>
        </w:rPr>
      </w:pPr>
      <w:r w:rsidRPr="00CE6C1C">
        <w:rPr>
          <w:noProof/>
          <w:szCs w:val="24"/>
          <w:lang w:val="en-US"/>
        </w:rPr>
        <w:t xml:space="preserve">3. DuBose T.D. Regulation of Potassium Homeostasis in CKD // Adv. Chronic Kidney Dis. – 2017. – </w:t>
      </w:r>
      <w:r w:rsidRPr="00CE6C1C">
        <w:rPr>
          <w:noProof/>
          <w:szCs w:val="24"/>
        </w:rPr>
        <w:t>Т</w:t>
      </w:r>
      <w:r w:rsidRPr="00CE6C1C">
        <w:rPr>
          <w:noProof/>
          <w:szCs w:val="24"/>
          <w:lang w:val="en-US"/>
        </w:rPr>
        <w:t>. 24. – № 5. – 305–314</w:t>
      </w:r>
      <w:r w:rsidRPr="00CE6C1C">
        <w:rPr>
          <w:noProof/>
          <w:szCs w:val="24"/>
        </w:rPr>
        <w:t>с</w:t>
      </w:r>
      <w:r w:rsidRPr="00CE6C1C">
        <w:rPr>
          <w:noProof/>
          <w:szCs w:val="24"/>
          <w:lang w:val="en-US"/>
        </w:rPr>
        <w:t>.</w:t>
      </w:r>
    </w:p>
    <w:p w14:paraId="06EF9E77" w14:textId="77777777" w:rsidR="00CE6C1C" w:rsidRPr="00CE6C1C" w:rsidRDefault="00CE6C1C" w:rsidP="00B424E0">
      <w:pPr>
        <w:widowControl w:val="0"/>
        <w:autoSpaceDE w:val="0"/>
        <w:autoSpaceDN w:val="0"/>
        <w:adjustRightInd w:val="0"/>
        <w:spacing w:before="0" w:after="0"/>
        <w:rPr>
          <w:noProof/>
          <w:szCs w:val="24"/>
          <w:lang w:val="en-US"/>
        </w:rPr>
      </w:pPr>
      <w:r w:rsidRPr="00CE6C1C">
        <w:rPr>
          <w:noProof/>
          <w:szCs w:val="24"/>
          <w:lang w:val="en-US"/>
        </w:rPr>
        <w:t xml:space="preserve">4. Feldman Z.  Brain edema and neurological status with rapid infusion of lactated Ringer’s or 5% dextrose solution following head trauma / Z. Feldman, S. Zachari, E. Reichenthal, A. A. Artru, Y. Shapira // J. Neurosurg. – 1995. – </w:t>
      </w:r>
      <w:r w:rsidRPr="00CE6C1C">
        <w:rPr>
          <w:noProof/>
          <w:szCs w:val="24"/>
        </w:rPr>
        <w:t>Т</w:t>
      </w:r>
      <w:r w:rsidRPr="00CE6C1C">
        <w:rPr>
          <w:noProof/>
          <w:szCs w:val="24"/>
          <w:lang w:val="en-US"/>
        </w:rPr>
        <w:t>. 83 – № 6 – 1060–1066</w:t>
      </w:r>
      <w:r w:rsidRPr="00CE6C1C">
        <w:rPr>
          <w:noProof/>
          <w:szCs w:val="24"/>
        </w:rPr>
        <w:t>с</w:t>
      </w:r>
      <w:r w:rsidRPr="00CE6C1C">
        <w:rPr>
          <w:noProof/>
          <w:szCs w:val="24"/>
          <w:lang w:val="en-US"/>
        </w:rPr>
        <w:t>.</w:t>
      </w:r>
    </w:p>
    <w:p w14:paraId="319F020A" w14:textId="77777777" w:rsidR="00CE6C1C" w:rsidRPr="00CE6C1C" w:rsidRDefault="00CE6C1C" w:rsidP="00B424E0">
      <w:pPr>
        <w:widowControl w:val="0"/>
        <w:autoSpaceDE w:val="0"/>
        <w:autoSpaceDN w:val="0"/>
        <w:adjustRightInd w:val="0"/>
        <w:spacing w:before="0" w:after="0"/>
        <w:rPr>
          <w:noProof/>
          <w:szCs w:val="24"/>
          <w:lang w:val="en-US"/>
        </w:rPr>
      </w:pPr>
      <w:r w:rsidRPr="00CE6C1C">
        <w:rPr>
          <w:noProof/>
          <w:szCs w:val="24"/>
          <w:lang w:val="en-US"/>
        </w:rPr>
        <w:t xml:space="preserve">5. Hoorn E.J. Intravenous fluids: balancing solutions // J. Nephrol. – 2017. – </w:t>
      </w:r>
      <w:r w:rsidRPr="00CE6C1C">
        <w:rPr>
          <w:noProof/>
          <w:szCs w:val="24"/>
        </w:rPr>
        <w:t>Т</w:t>
      </w:r>
      <w:r w:rsidRPr="00CE6C1C">
        <w:rPr>
          <w:noProof/>
          <w:szCs w:val="24"/>
          <w:lang w:val="en-US"/>
        </w:rPr>
        <w:t>. 30. – № 4. – 485–492</w:t>
      </w:r>
      <w:r w:rsidRPr="00CE6C1C">
        <w:rPr>
          <w:noProof/>
          <w:szCs w:val="24"/>
        </w:rPr>
        <w:t>с</w:t>
      </w:r>
      <w:r w:rsidRPr="00CE6C1C">
        <w:rPr>
          <w:noProof/>
          <w:szCs w:val="24"/>
          <w:lang w:val="en-US"/>
        </w:rPr>
        <w:t>.</w:t>
      </w:r>
    </w:p>
    <w:p w14:paraId="3C1E060F" w14:textId="77777777" w:rsidR="00CE6C1C" w:rsidRPr="00CE6C1C" w:rsidRDefault="00CE6C1C" w:rsidP="00B424E0">
      <w:pPr>
        <w:widowControl w:val="0"/>
        <w:autoSpaceDE w:val="0"/>
        <w:autoSpaceDN w:val="0"/>
        <w:adjustRightInd w:val="0"/>
        <w:spacing w:before="0" w:after="0"/>
        <w:rPr>
          <w:noProof/>
          <w:szCs w:val="24"/>
          <w:lang w:val="en-US"/>
        </w:rPr>
      </w:pPr>
      <w:r w:rsidRPr="00CE6C1C">
        <w:rPr>
          <w:noProof/>
          <w:szCs w:val="24"/>
          <w:lang w:val="en-US"/>
        </w:rPr>
        <w:t xml:space="preserve">6. LEE J.A. Sydney Ringer (1834?1910) and Alexis Hartmann (1898?1964) / J. A. LEE // Anaesthesia – 1981. – </w:t>
      </w:r>
      <w:r w:rsidRPr="00CE6C1C">
        <w:rPr>
          <w:noProof/>
          <w:szCs w:val="24"/>
        </w:rPr>
        <w:t>Т</w:t>
      </w:r>
      <w:r w:rsidRPr="00CE6C1C">
        <w:rPr>
          <w:noProof/>
          <w:szCs w:val="24"/>
          <w:lang w:val="en-US"/>
        </w:rPr>
        <w:t>. 36 – № 12 – 1115–1121</w:t>
      </w:r>
      <w:r w:rsidRPr="00CE6C1C">
        <w:rPr>
          <w:noProof/>
          <w:szCs w:val="24"/>
        </w:rPr>
        <w:t>с</w:t>
      </w:r>
      <w:r w:rsidRPr="00CE6C1C">
        <w:rPr>
          <w:noProof/>
          <w:szCs w:val="24"/>
          <w:lang w:val="en-US"/>
        </w:rPr>
        <w:t>.</w:t>
      </w:r>
    </w:p>
    <w:p w14:paraId="66DB51C7" w14:textId="0C6E10EF" w:rsidR="00CE6C1C" w:rsidRPr="00CE6C1C" w:rsidRDefault="00CE6C1C" w:rsidP="00B424E0">
      <w:pPr>
        <w:widowControl w:val="0"/>
        <w:autoSpaceDE w:val="0"/>
        <w:autoSpaceDN w:val="0"/>
        <w:adjustRightInd w:val="0"/>
        <w:spacing w:before="0" w:after="0"/>
        <w:rPr>
          <w:noProof/>
          <w:szCs w:val="24"/>
          <w:lang w:val="en-US"/>
        </w:rPr>
      </w:pPr>
      <w:r w:rsidRPr="00CE6C1C">
        <w:rPr>
          <w:noProof/>
          <w:szCs w:val="24"/>
          <w:lang w:val="en-US"/>
        </w:rPr>
        <w:t xml:space="preserve">7. Lewis S.R. Colloids versus crystalloids for fluid resuscitation in critically ill people // Cochrane Database Syst. Rev. – 2018. – </w:t>
      </w:r>
      <w:r w:rsidRPr="00CE6C1C">
        <w:rPr>
          <w:noProof/>
          <w:szCs w:val="24"/>
        </w:rPr>
        <w:t>Т</w:t>
      </w:r>
      <w:r w:rsidRPr="00CE6C1C">
        <w:rPr>
          <w:noProof/>
          <w:szCs w:val="24"/>
          <w:lang w:val="en-US"/>
        </w:rPr>
        <w:t>. 2018. – № 8.</w:t>
      </w:r>
    </w:p>
    <w:p w14:paraId="06DD2174" w14:textId="77777777" w:rsidR="00CE6C1C" w:rsidRPr="00CE6C1C" w:rsidRDefault="00CE6C1C" w:rsidP="00B424E0">
      <w:pPr>
        <w:widowControl w:val="0"/>
        <w:autoSpaceDE w:val="0"/>
        <w:autoSpaceDN w:val="0"/>
        <w:adjustRightInd w:val="0"/>
        <w:spacing w:before="0" w:after="0"/>
        <w:rPr>
          <w:noProof/>
          <w:szCs w:val="24"/>
          <w:lang w:val="en-US"/>
        </w:rPr>
      </w:pPr>
      <w:r w:rsidRPr="00CE6C1C">
        <w:rPr>
          <w:noProof/>
          <w:szCs w:val="24"/>
          <w:lang w:val="en-US"/>
        </w:rPr>
        <w:t xml:space="preserve">8. Martin G.S.  Crystalloids vs. colloids for fluid resuscitation in the Intensive Care Unit: A systematic review and meta-analysis // J. Crit. Care. – 2019. – </w:t>
      </w:r>
      <w:r w:rsidRPr="00CE6C1C">
        <w:rPr>
          <w:noProof/>
          <w:szCs w:val="24"/>
        </w:rPr>
        <w:t>Т</w:t>
      </w:r>
      <w:r w:rsidRPr="00CE6C1C">
        <w:rPr>
          <w:noProof/>
          <w:szCs w:val="24"/>
          <w:lang w:val="en-US"/>
        </w:rPr>
        <w:t>. 50. – 144–154</w:t>
      </w:r>
      <w:r w:rsidRPr="00CE6C1C">
        <w:rPr>
          <w:noProof/>
          <w:szCs w:val="24"/>
        </w:rPr>
        <w:t>с</w:t>
      </w:r>
      <w:r w:rsidRPr="00CE6C1C">
        <w:rPr>
          <w:noProof/>
          <w:szCs w:val="24"/>
          <w:lang w:val="en-US"/>
        </w:rPr>
        <w:t>.</w:t>
      </w:r>
    </w:p>
    <w:p w14:paraId="6C5910AA" w14:textId="77777777" w:rsidR="00CE6C1C" w:rsidRPr="00CE6C1C" w:rsidRDefault="00CE6C1C" w:rsidP="00B424E0">
      <w:pPr>
        <w:widowControl w:val="0"/>
        <w:autoSpaceDE w:val="0"/>
        <w:autoSpaceDN w:val="0"/>
        <w:adjustRightInd w:val="0"/>
        <w:spacing w:before="0" w:after="0"/>
        <w:rPr>
          <w:noProof/>
          <w:szCs w:val="24"/>
          <w:lang w:val="en-US"/>
        </w:rPr>
      </w:pPr>
      <w:r w:rsidRPr="00CE6C1C">
        <w:rPr>
          <w:noProof/>
          <w:szCs w:val="24"/>
          <w:lang w:val="en-US"/>
        </w:rPr>
        <w:t xml:space="preserve">9. Myburgh J.A.  Resuscitation Fluids / J. A. Myburgh, M. G. Mythen // N. Engl. J. Med. – 2013. – </w:t>
      </w:r>
      <w:r w:rsidRPr="00CE6C1C">
        <w:rPr>
          <w:noProof/>
          <w:szCs w:val="24"/>
        </w:rPr>
        <w:t>Т</w:t>
      </w:r>
      <w:r w:rsidRPr="00CE6C1C">
        <w:rPr>
          <w:noProof/>
          <w:szCs w:val="24"/>
          <w:lang w:val="en-US"/>
        </w:rPr>
        <w:t>. 369 – № 13 – 1243–1251</w:t>
      </w:r>
      <w:r w:rsidRPr="00CE6C1C">
        <w:rPr>
          <w:noProof/>
          <w:szCs w:val="24"/>
        </w:rPr>
        <w:t>с</w:t>
      </w:r>
      <w:r w:rsidRPr="00CE6C1C">
        <w:rPr>
          <w:noProof/>
          <w:szCs w:val="24"/>
          <w:lang w:val="en-US"/>
        </w:rPr>
        <w:t>.</w:t>
      </w:r>
    </w:p>
    <w:p w14:paraId="2FE14C6F" w14:textId="77777777" w:rsidR="00CE6C1C" w:rsidRPr="00CE6C1C" w:rsidRDefault="00CE6C1C" w:rsidP="00B424E0">
      <w:pPr>
        <w:widowControl w:val="0"/>
        <w:autoSpaceDE w:val="0"/>
        <w:autoSpaceDN w:val="0"/>
        <w:adjustRightInd w:val="0"/>
        <w:spacing w:before="0" w:after="0"/>
        <w:rPr>
          <w:noProof/>
          <w:szCs w:val="24"/>
          <w:lang w:val="en-US"/>
        </w:rPr>
      </w:pPr>
      <w:r w:rsidRPr="00CE6C1C">
        <w:rPr>
          <w:noProof/>
          <w:szCs w:val="24"/>
          <w:lang w:val="en-US"/>
        </w:rPr>
        <w:t>10. Perel P.  Colloids versus crystalloids for fluid resuscitation in critically ill patients John Wiley &amp; Sons, Ltd, 2012.</w:t>
      </w:r>
    </w:p>
    <w:p w14:paraId="713E0FC5" w14:textId="77777777" w:rsidR="00CE6C1C" w:rsidRPr="00CE6C1C" w:rsidRDefault="00CE6C1C" w:rsidP="00B424E0">
      <w:pPr>
        <w:widowControl w:val="0"/>
        <w:autoSpaceDE w:val="0"/>
        <w:autoSpaceDN w:val="0"/>
        <w:adjustRightInd w:val="0"/>
        <w:spacing w:before="0" w:after="0"/>
        <w:rPr>
          <w:noProof/>
          <w:szCs w:val="24"/>
          <w:lang w:val="en-US"/>
        </w:rPr>
      </w:pPr>
      <w:r w:rsidRPr="00CE6C1C">
        <w:rPr>
          <w:noProof/>
          <w:szCs w:val="24"/>
          <w:lang w:val="en-US"/>
        </w:rPr>
        <w:t xml:space="preserve">11. Perel P.  Colloids versus crystalloids for fluid resuscitation in critically ill patients // Cochrane Database Syst. Rev. – 2013. – </w:t>
      </w:r>
      <w:r w:rsidRPr="00CE6C1C">
        <w:rPr>
          <w:noProof/>
          <w:szCs w:val="24"/>
        </w:rPr>
        <w:t>Т</w:t>
      </w:r>
      <w:r w:rsidRPr="00CE6C1C">
        <w:rPr>
          <w:noProof/>
          <w:szCs w:val="24"/>
          <w:lang w:val="en-US"/>
        </w:rPr>
        <w:t>. 2013. – № 2.</w:t>
      </w:r>
    </w:p>
    <w:p w14:paraId="74EFE369" w14:textId="77777777" w:rsidR="00CE6C1C" w:rsidRPr="00CE6C1C" w:rsidRDefault="00CE6C1C" w:rsidP="00B424E0">
      <w:pPr>
        <w:widowControl w:val="0"/>
        <w:autoSpaceDE w:val="0"/>
        <w:autoSpaceDN w:val="0"/>
        <w:adjustRightInd w:val="0"/>
        <w:spacing w:before="0" w:after="0"/>
        <w:rPr>
          <w:noProof/>
          <w:szCs w:val="24"/>
          <w:lang w:val="en-US"/>
        </w:rPr>
      </w:pPr>
      <w:r w:rsidRPr="00CE6C1C">
        <w:rPr>
          <w:noProof/>
          <w:szCs w:val="24"/>
          <w:lang w:val="en-US"/>
        </w:rPr>
        <w:t>12. R. L. Saline injections into the veins / L. R. // London Med. Gaz. – 1832. – № 257 – 68</w:t>
      </w:r>
      <w:r w:rsidRPr="00CE6C1C">
        <w:rPr>
          <w:noProof/>
          <w:szCs w:val="24"/>
        </w:rPr>
        <w:t>с</w:t>
      </w:r>
      <w:r w:rsidRPr="00CE6C1C">
        <w:rPr>
          <w:noProof/>
          <w:szCs w:val="24"/>
          <w:lang w:val="en-US"/>
        </w:rPr>
        <w:t>.</w:t>
      </w:r>
    </w:p>
    <w:p w14:paraId="31F43419" w14:textId="77777777" w:rsidR="00CE6C1C" w:rsidRPr="00CE6C1C" w:rsidRDefault="00CE6C1C" w:rsidP="00B424E0">
      <w:pPr>
        <w:widowControl w:val="0"/>
        <w:autoSpaceDE w:val="0"/>
        <w:autoSpaceDN w:val="0"/>
        <w:adjustRightInd w:val="0"/>
        <w:spacing w:before="0" w:after="0"/>
        <w:rPr>
          <w:noProof/>
          <w:szCs w:val="24"/>
          <w:lang w:val="en-US"/>
        </w:rPr>
      </w:pPr>
      <w:r w:rsidRPr="00CE6C1C">
        <w:rPr>
          <w:noProof/>
          <w:szCs w:val="24"/>
          <w:lang w:val="en-US"/>
        </w:rPr>
        <w:t xml:space="preserve">13. Turina M.  Acute hyperglycemia and the innate immune system: Clinical, cellular, and molecular aspects // Crit. Care Med. – 2005. – </w:t>
      </w:r>
      <w:r w:rsidRPr="00CE6C1C">
        <w:rPr>
          <w:noProof/>
          <w:szCs w:val="24"/>
        </w:rPr>
        <w:t>Т</w:t>
      </w:r>
      <w:r w:rsidRPr="00CE6C1C">
        <w:rPr>
          <w:noProof/>
          <w:szCs w:val="24"/>
          <w:lang w:val="en-US"/>
        </w:rPr>
        <w:t>. 33. – № 7. – 1624–1633</w:t>
      </w:r>
      <w:r w:rsidRPr="00CE6C1C">
        <w:rPr>
          <w:noProof/>
          <w:szCs w:val="24"/>
        </w:rPr>
        <w:t>с</w:t>
      </w:r>
      <w:r w:rsidRPr="00CE6C1C">
        <w:rPr>
          <w:noProof/>
          <w:szCs w:val="24"/>
          <w:lang w:val="en-US"/>
        </w:rPr>
        <w:t>.</w:t>
      </w:r>
    </w:p>
    <w:p w14:paraId="007F6DCA" w14:textId="77777777" w:rsidR="00CE6C1C" w:rsidRPr="00CE6C1C" w:rsidRDefault="00CE6C1C" w:rsidP="00B424E0">
      <w:pPr>
        <w:widowControl w:val="0"/>
        <w:autoSpaceDE w:val="0"/>
        <w:autoSpaceDN w:val="0"/>
        <w:adjustRightInd w:val="0"/>
        <w:spacing w:before="0" w:after="0"/>
        <w:rPr>
          <w:noProof/>
          <w:szCs w:val="24"/>
          <w:lang w:val="en-US"/>
        </w:rPr>
      </w:pPr>
      <w:r w:rsidRPr="00CE6C1C">
        <w:rPr>
          <w:noProof/>
          <w:szCs w:val="24"/>
          <w:lang w:val="en-US"/>
        </w:rPr>
        <w:t xml:space="preserve">14. Wu B.U.  Lactated Ringer’s solution reduces systemic inflammation compared with saline in patients with acute pancreatitis. / B. U. Wu, J. Q. Hwang, T. H. Gardner, K. Repas, R. Delee, S. Yu, B. Smith, P. A. Banks, D. L. Conwell // Clin. Gastroenterol. Hepatol. – 2011. – </w:t>
      </w:r>
      <w:r w:rsidRPr="00CE6C1C">
        <w:rPr>
          <w:noProof/>
          <w:szCs w:val="24"/>
        </w:rPr>
        <w:t>Т</w:t>
      </w:r>
      <w:r w:rsidRPr="00CE6C1C">
        <w:rPr>
          <w:noProof/>
          <w:szCs w:val="24"/>
          <w:lang w:val="en-US"/>
        </w:rPr>
        <w:t>. 9 – № 8 – 710–717.e1</w:t>
      </w:r>
      <w:r w:rsidRPr="00CE6C1C">
        <w:rPr>
          <w:noProof/>
          <w:szCs w:val="24"/>
        </w:rPr>
        <w:t>с</w:t>
      </w:r>
      <w:r w:rsidRPr="00CE6C1C">
        <w:rPr>
          <w:noProof/>
          <w:szCs w:val="24"/>
          <w:lang w:val="en-US"/>
        </w:rPr>
        <w:t>.</w:t>
      </w:r>
    </w:p>
    <w:p w14:paraId="33A39588" w14:textId="77777777" w:rsidR="00CE6C1C" w:rsidRPr="00CE6C1C" w:rsidRDefault="00CE6C1C" w:rsidP="00B424E0">
      <w:pPr>
        <w:widowControl w:val="0"/>
        <w:autoSpaceDE w:val="0"/>
        <w:autoSpaceDN w:val="0"/>
        <w:adjustRightInd w:val="0"/>
        <w:spacing w:before="0" w:after="0"/>
        <w:rPr>
          <w:noProof/>
          <w:szCs w:val="24"/>
        </w:rPr>
      </w:pPr>
      <w:r w:rsidRPr="00CE6C1C">
        <w:rPr>
          <w:noProof/>
          <w:szCs w:val="24"/>
          <w:lang w:val="en-US"/>
        </w:rPr>
        <w:lastRenderedPageBreak/>
        <w:t xml:space="preserve">15. Young P.  Effect of a buffered crystalloid solution vs saline on acute kidney injury among patients in the intensive care unit: The SPLIT randomized clinical trial / P. Young, M. Bailey, R. Beasley, S. Henderson, D. Mackle, C. McArthur, S. McGuinness, J. Mehrtens, J. Myburgh, A. Psirides, S. Reddy, R. Bellomo, A. Hunt, S. Hurford, L. Navarra, A. Jason-Smith, L. Andrews, L. Hitchings, D. Closey, K. Parker, E. Minto, A. Morris, R. McConnochie, Y. Chen, L. Newby, R. Parke, L. McCarthy, E. Gilder, A. Lammert, S. Long, K. A. Cowdrey, A. Perner, J. Morgan, A. Forbes // JAMA - J. Am. Med. </w:t>
      </w:r>
      <w:r w:rsidRPr="00CE6C1C">
        <w:rPr>
          <w:noProof/>
          <w:szCs w:val="24"/>
        </w:rPr>
        <w:t>Assoc. – 2015. – Т. 314 – № 16 – 1701–1710с.</w:t>
      </w:r>
    </w:p>
    <w:p w14:paraId="25AC5043" w14:textId="77777777" w:rsidR="00CE6C1C" w:rsidRPr="00CE6C1C" w:rsidRDefault="00CE6C1C" w:rsidP="00B424E0">
      <w:pPr>
        <w:widowControl w:val="0"/>
        <w:autoSpaceDE w:val="0"/>
        <w:autoSpaceDN w:val="0"/>
        <w:adjustRightInd w:val="0"/>
        <w:spacing w:before="0" w:after="0"/>
        <w:rPr>
          <w:noProof/>
          <w:szCs w:val="24"/>
        </w:rPr>
      </w:pPr>
      <w:r w:rsidRPr="00CE6C1C">
        <w:rPr>
          <w:noProof/>
          <w:szCs w:val="24"/>
        </w:rPr>
        <w:t>16. Интенсивная терапия / / под ред. М. Поль. – – Москва: Бином, 2019.</w:t>
      </w:r>
    </w:p>
    <w:p w14:paraId="35D2BF07" w14:textId="5E8FCEC0" w:rsidR="00266EEA" w:rsidRPr="00CE6C1C" w:rsidRDefault="00CE6C1C" w:rsidP="00B424E0">
      <w:pPr>
        <w:spacing w:before="0" w:after="0"/>
        <w:rPr>
          <w:szCs w:val="24"/>
        </w:rPr>
      </w:pPr>
      <w:r w:rsidRPr="00CE6C1C">
        <w:rPr>
          <w:szCs w:val="24"/>
        </w:rPr>
        <w:fldChar w:fldCharType="end"/>
      </w:r>
    </w:p>
    <w:sectPr w:rsidR="00266EEA" w:rsidRPr="00CE6C1C" w:rsidSect="009A22CE">
      <w:footerReference w:type="default" r:id="rId11"/>
      <w:pgSz w:w="11906" w:h="16838"/>
      <w:pgMar w:top="1134" w:right="850" w:bottom="1134" w:left="170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070FB" w14:textId="77777777" w:rsidR="00BF4D39" w:rsidRDefault="00BF4D39" w:rsidP="00383556">
      <w:pPr>
        <w:spacing w:before="0" w:after="0" w:line="240" w:lineRule="auto"/>
      </w:pPr>
      <w:r>
        <w:separator/>
      </w:r>
    </w:p>
  </w:endnote>
  <w:endnote w:type="continuationSeparator" w:id="0">
    <w:p w14:paraId="4062C5D4" w14:textId="77777777" w:rsidR="00BF4D39" w:rsidRDefault="00BF4D39" w:rsidP="00383556">
      <w:pPr>
        <w:spacing w:before="0" w:after="0" w:line="240" w:lineRule="auto"/>
      </w:pPr>
      <w:r>
        <w:continuationSeparator/>
      </w:r>
    </w:p>
  </w:endnote>
  <w:endnote w:type="continuationNotice" w:id="1">
    <w:p w14:paraId="0AB87A0F" w14:textId="77777777" w:rsidR="00BF4D39" w:rsidRDefault="00BF4D3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panose1 w:val="00000000000000000000"/>
    <w:charset w:val="CC"/>
    <w:family w:val="swiss"/>
    <w:notTrueType/>
    <w:pitch w:val="variable"/>
    <w:sig w:usb0="00000203" w:usb1="00000000" w:usb2="00000000" w:usb3="00000000" w:csb0="00000005"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ＭＳ 明朝 (Основной т・">
    <w:altName w:val="MS PMincho"/>
    <w:panose1 w:val="00000000000000000000"/>
    <w:charset w:val="80"/>
    <w:family w:val="roman"/>
    <w:notTrueType/>
    <w:pitch w:val="default"/>
    <w:sig w:usb0="00000001" w:usb1="08070000" w:usb2="00000010" w:usb3="00000000" w:csb0="00020000" w:csb1="00000000"/>
  </w:font>
  <w:font w:name="GalsLightC">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E00002FF" w:usb1="420024FF" w:usb2="00000000" w:usb3="00000000" w:csb0="0000019F" w:csb1="00000000"/>
  </w:font>
  <w:font w:name="GaramondC-Light">
    <w:panose1 w:val="00000000000000000000"/>
    <w:charset w:val="CC"/>
    <w:family w:val="auto"/>
    <w:notTrueType/>
    <w:pitch w:val="default"/>
    <w:sig w:usb0="00000201" w:usb1="00000000" w:usb2="00000000" w:usb3="00000000" w:csb0="00000004" w:csb1="00000000"/>
  </w:font>
  <w:font w:name="ＭＳ 明朝 (Основной текст темы (ази">
    <w:charset w:val="00"/>
    <w:family w:val="auto"/>
    <w:pitch w:val="default"/>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E21CA" w14:textId="77777777" w:rsidR="006F119F" w:rsidRDefault="006F119F">
    <w:pPr>
      <w:pStyle w:val="aa"/>
      <w:jc w:val="center"/>
    </w:pPr>
    <w:r>
      <w:fldChar w:fldCharType="begin"/>
    </w:r>
    <w:r w:rsidRPr="00383556">
      <w:instrText>PAGE   \* MERGEFORMAT</w:instrText>
    </w:r>
    <w:r>
      <w:fldChar w:fldCharType="separate"/>
    </w:r>
    <w:r w:rsidR="00CA7AD8">
      <w:rPr>
        <w:noProof/>
      </w:rPr>
      <w:t>181</w:t>
    </w:r>
    <w:r>
      <w:fldChar w:fldCharType="end"/>
    </w:r>
  </w:p>
  <w:p w14:paraId="4952EEAA" w14:textId="77777777" w:rsidR="006F119F" w:rsidRDefault="006F119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E0340" w14:textId="77777777" w:rsidR="00BF4D39" w:rsidRDefault="00BF4D39" w:rsidP="00383556">
      <w:pPr>
        <w:spacing w:before="0" w:after="0" w:line="240" w:lineRule="auto"/>
      </w:pPr>
      <w:r>
        <w:separator/>
      </w:r>
    </w:p>
  </w:footnote>
  <w:footnote w:type="continuationSeparator" w:id="0">
    <w:p w14:paraId="51056478" w14:textId="77777777" w:rsidR="00BF4D39" w:rsidRDefault="00BF4D39" w:rsidP="00383556">
      <w:pPr>
        <w:spacing w:before="0" w:after="0" w:line="240" w:lineRule="auto"/>
      </w:pPr>
      <w:r>
        <w:continuationSeparator/>
      </w:r>
    </w:p>
  </w:footnote>
  <w:footnote w:type="continuationNotice" w:id="1">
    <w:p w14:paraId="3EAAA5BA" w14:textId="77777777" w:rsidR="00BF4D39" w:rsidRDefault="00BF4D39">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nsid w:val="00000005"/>
    <w:multiLevelType w:val="multilevel"/>
    <w:tmpl w:val="A818306A"/>
    <w:name w:val="WW8Num5"/>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color w:val="000000"/>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nsid w:val="00000019"/>
    <w:multiLevelType w:val="singleLevel"/>
    <w:tmpl w:val="00000019"/>
    <w:name w:val="WW8Num25"/>
    <w:lvl w:ilvl="0">
      <w:start w:val="1"/>
      <w:numFmt w:val="bullet"/>
      <w:lvlText w:val=""/>
      <w:lvlJc w:val="left"/>
      <w:pPr>
        <w:tabs>
          <w:tab w:val="num" w:pos="0"/>
        </w:tabs>
        <w:ind w:left="720" w:hanging="360"/>
      </w:pPr>
      <w:rPr>
        <w:rFonts w:ascii="Symbol" w:hAnsi="Symbol" w:cs="Symbol"/>
      </w:rPr>
    </w:lvl>
  </w:abstractNum>
  <w:abstractNum w:abstractNumId="3">
    <w:nsid w:val="00000020"/>
    <w:multiLevelType w:val="singleLevel"/>
    <w:tmpl w:val="00000020"/>
    <w:name w:val="WW8Num32"/>
    <w:lvl w:ilvl="0">
      <w:start w:val="1"/>
      <w:numFmt w:val="bullet"/>
      <w:lvlText w:val=""/>
      <w:lvlJc w:val="left"/>
      <w:pPr>
        <w:tabs>
          <w:tab w:val="num" w:pos="0"/>
        </w:tabs>
        <w:ind w:left="720" w:hanging="360"/>
      </w:pPr>
      <w:rPr>
        <w:rFonts w:ascii="Symbol" w:hAnsi="Symbol" w:cs="Symbol"/>
      </w:rPr>
    </w:lvl>
  </w:abstractNum>
  <w:abstractNum w:abstractNumId="4">
    <w:nsid w:val="00000026"/>
    <w:multiLevelType w:val="singleLevel"/>
    <w:tmpl w:val="00000026"/>
    <w:name w:val="WW8Num38"/>
    <w:lvl w:ilvl="0">
      <w:start w:val="1"/>
      <w:numFmt w:val="bullet"/>
      <w:lvlText w:val=""/>
      <w:lvlJc w:val="left"/>
      <w:pPr>
        <w:tabs>
          <w:tab w:val="num" w:pos="0"/>
        </w:tabs>
        <w:ind w:left="720" w:hanging="360"/>
      </w:pPr>
      <w:rPr>
        <w:rFonts w:ascii="Symbol" w:hAnsi="Symbol" w:cs="Symbol"/>
      </w:rPr>
    </w:lvl>
  </w:abstractNum>
  <w:abstractNum w:abstractNumId="5">
    <w:nsid w:val="00000030"/>
    <w:multiLevelType w:val="singleLevel"/>
    <w:tmpl w:val="00000030"/>
    <w:name w:val="WW8Num48"/>
    <w:lvl w:ilvl="0">
      <w:start w:val="1"/>
      <w:numFmt w:val="bullet"/>
      <w:lvlText w:val=""/>
      <w:lvlJc w:val="left"/>
      <w:pPr>
        <w:tabs>
          <w:tab w:val="num" w:pos="0"/>
        </w:tabs>
        <w:ind w:left="720" w:hanging="360"/>
      </w:pPr>
      <w:rPr>
        <w:rFonts w:ascii="Symbol" w:hAnsi="Symbol" w:cs="Symbol"/>
      </w:rPr>
    </w:lvl>
  </w:abstractNum>
  <w:abstractNum w:abstractNumId="6">
    <w:nsid w:val="00000031"/>
    <w:multiLevelType w:val="multilevel"/>
    <w:tmpl w:val="00000031"/>
    <w:name w:val="WW8Num49"/>
    <w:lvl w:ilvl="0">
      <w:start w:val="1"/>
      <w:numFmt w:val="bullet"/>
      <w:lvlText w:val=""/>
      <w:lvlJc w:val="left"/>
      <w:pPr>
        <w:tabs>
          <w:tab w:val="num" w:pos="348"/>
        </w:tabs>
        <w:ind w:left="1068" w:hanging="360"/>
      </w:pPr>
      <w:rPr>
        <w:rFonts w:ascii="Symbol" w:hAnsi="Symbol" w:cs="Symbol"/>
      </w:rPr>
    </w:lvl>
    <w:lvl w:ilvl="1">
      <w:start w:val="1"/>
      <w:numFmt w:val="bullet"/>
      <w:lvlText w:val="o"/>
      <w:lvlJc w:val="left"/>
      <w:pPr>
        <w:tabs>
          <w:tab w:val="num" w:pos="348"/>
        </w:tabs>
        <w:ind w:left="1788" w:hanging="360"/>
      </w:pPr>
      <w:rPr>
        <w:rFonts w:ascii="Courier New" w:hAnsi="Courier New" w:cs="Courier New"/>
      </w:rPr>
    </w:lvl>
    <w:lvl w:ilvl="2">
      <w:start w:val="1"/>
      <w:numFmt w:val="bullet"/>
      <w:lvlText w:val=""/>
      <w:lvlJc w:val="left"/>
      <w:pPr>
        <w:tabs>
          <w:tab w:val="num" w:pos="348"/>
        </w:tabs>
        <w:ind w:left="2508" w:hanging="360"/>
      </w:pPr>
      <w:rPr>
        <w:rFonts w:ascii="Wingdings" w:hAnsi="Wingdings" w:cs="Wingdings"/>
      </w:rPr>
    </w:lvl>
    <w:lvl w:ilvl="3">
      <w:start w:val="1"/>
      <w:numFmt w:val="bullet"/>
      <w:lvlText w:val=""/>
      <w:lvlJc w:val="left"/>
      <w:pPr>
        <w:tabs>
          <w:tab w:val="num" w:pos="348"/>
        </w:tabs>
        <w:ind w:left="3228" w:hanging="360"/>
      </w:pPr>
      <w:rPr>
        <w:rFonts w:ascii="Symbol" w:hAnsi="Symbol" w:cs="Symbol"/>
      </w:rPr>
    </w:lvl>
    <w:lvl w:ilvl="4">
      <w:start w:val="1"/>
      <w:numFmt w:val="bullet"/>
      <w:lvlText w:val="o"/>
      <w:lvlJc w:val="left"/>
      <w:pPr>
        <w:tabs>
          <w:tab w:val="num" w:pos="348"/>
        </w:tabs>
        <w:ind w:left="3948" w:hanging="360"/>
      </w:pPr>
      <w:rPr>
        <w:rFonts w:ascii="Courier New" w:hAnsi="Courier New" w:cs="Courier New"/>
      </w:rPr>
    </w:lvl>
    <w:lvl w:ilvl="5">
      <w:start w:val="1"/>
      <w:numFmt w:val="bullet"/>
      <w:lvlText w:val=""/>
      <w:lvlJc w:val="left"/>
      <w:pPr>
        <w:tabs>
          <w:tab w:val="num" w:pos="348"/>
        </w:tabs>
        <w:ind w:left="4668" w:hanging="360"/>
      </w:pPr>
      <w:rPr>
        <w:rFonts w:ascii="Wingdings" w:hAnsi="Wingdings" w:cs="Wingdings"/>
      </w:rPr>
    </w:lvl>
    <w:lvl w:ilvl="6">
      <w:start w:val="1"/>
      <w:numFmt w:val="bullet"/>
      <w:lvlText w:val=""/>
      <w:lvlJc w:val="left"/>
      <w:pPr>
        <w:tabs>
          <w:tab w:val="num" w:pos="348"/>
        </w:tabs>
        <w:ind w:left="5388" w:hanging="360"/>
      </w:pPr>
      <w:rPr>
        <w:rFonts w:ascii="Symbol" w:hAnsi="Symbol" w:cs="Symbol"/>
      </w:rPr>
    </w:lvl>
    <w:lvl w:ilvl="7">
      <w:start w:val="1"/>
      <w:numFmt w:val="bullet"/>
      <w:lvlText w:val="o"/>
      <w:lvlJc w:val="left"/>
      <w:pPr>
        <w:tabs>
          <w:tab w:val="num" w:pos="348"/>
        </w:tabs>
        <w:ind w:left="6108" w:hanging="360"/>
      </w:pPr>
      <w:rPr>
        <w:rFonts w:ascii="Courier New" w:hAnsi="Courier New" w:cs="Courier New"/>
      </w:rPr>
    </w:lvl>
    <w:lvl w:ilvl="8">
      <w:start w:val="1"/>
      <w:numFmt w:val="bullet"/>
      <w:lvlText w:val=""/>
      <w:lvlJc w:val="left"/>
      <w:pPr>
        <w:tabs>
          <w:tab w:val="num" w:pos="348"/>
        </w:tabs>
        <w:ind w:left="6828" w:hanging="360"/>
      </w:pPr>
      <w:rPr>
        <w:rFonts w:ascii="Wingdings" w:hAnsi="Wingdings" w:cs="Wingdings"/>
      </w:rPr>
    </w:lvl>
  </w:abstractNum>
  <w:abstractNum w:abstractNumId="7">
    <w:nsid w:val="00F72E58"/>
    <w:multiLevelType w:val="hybridMultilevel"/>
    <w:tmpl w:val="369A269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01287992"/>
    <w:multiLevelType w:val="hybridMultilevel"/>
    <w:tmpl w:val="9460D1A8"/>
    <w:lvl w:ilvl="0" w:tplc="93E8D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01AE27A5"/>
    <w:multiLevelType w:val="hybridMultilevel"/>
    <w:tmpl w:val="1D300D3A"/>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04044FFD"/>
    <w:multiLevelType w:val="hybridMultilevel"/>
    <w:tmpl w:val="D66455DA"/>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0455697B"/>
    <w:multiLevelType w:val="hybridMultilevel"/>
    <w:tmpl w:val="C52A8578"/>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04EE4D21"/>
    <w:multiLevelType w:val="hybridMultilevel"/>
    <w:tmpl w:val="7EF4DF9A"/>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05287AC5"/>
    <w:multiLevelType w:val="hybridMultilevel"/>
    <w:tmpl w:val="0E6CAB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5B77748"/>
    <w:multiLevelType w:val="hybridMultilevel"/>
    <w:tmpl w:val="C110395E"/>
    <w:lvl w:ilvl="0" w:tplc="70B68430">
      <w:start w:val="1"/>
      <w:numFmt w:val="bullet"/>
      <w:lvlText w:val=""/>
      <w:lvlJc w:val="left"/>
      <w:pPr>
        <w:ind w:left="720" w:hanging="360"/>
      </w:pPr>
      <w:rPr>
        <w:rFonts w:ascii="Symbol" w:hAnsi="Symbol" w:hint="default"/>
      </w:rPr>
    </w:lvl>
    <w:lvl w:ilvl="1" w:tplc="04B26438">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8963AF"/>
    <w:multiLevelType w:val="hybridMultilevel"/>
    <w:tmpl w:val="D6C28B1E"/>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06E244BB"/>
    <w:multiLevelType w:val="hybridMultilevel"/>
    <w:tmpl w:val="1770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77372DE"/>
    <w:multiLevelType w:val="hybridMultilevel"/>
    <w:tmpl w:val="EE34D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87B02A2"/>
    <w:multiLevelType w:val="hybridMultilevel"/>
    <w:tmpl w:val="9460D1A8"/>
    <w:lvl w:ilvl="0" w:tplc="93E8D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08DB773E"/>
    <w:multiLevelType w:val="hybridMultilevel"/>
    <w:tmpl w:val="C5E2F7DA"/>
    <w:lvl w:ilvl="0" w:tplc="04190019">
      <w:start w:val="1"/>
      <w:numFmt w:val="bullet"/>
      <w:lvlText w:val="o"/>
      <w:lvlJc w:val="left"/>
      <w:pPr>
        <w:ind w:left="720" w:hanging="360"/>
      </w:pPr>
      <w:rPr>
        <w:rFonts w:ascii="Courier New" w:hAnsi="Courier New" w:cs="Courier New" w:hint="default"/>
      </w:rPr>
    </w:lvl>
    <w:lvl w:ilvl="1" w:tplc="1D604D54" w:tentative="1">
      <w:start w:val="1"/>
      <w:numFmt w:val="bullet"/>
      <w:lvlText w:val="o"/>
      <w:lvlJc w:val="left"/>
      <w:pPr>
        <w:ind w:left="1440" w:hanging="360"/>
      </w:pPr>
      <w:rPr>
        <w:rFonts w:ascii="Courier New" w:hAnsi="Courier New" w:cs="Courier New" w:hint="default"/>
      </w:rPr>
    </w:lvl>
    <w:lvl w:ilvl="2" w:tplc="1592C2F8" w:tentative="1">
      <w:start w:val="1"/>
      <w:numFmt w:val="bullet"/>
      <w:lvlText w:val=""/>
      <w:lvlJc w:val="left"/>
      <w:pPr>
        <w:ind w:left="2160" w:hanging="360"/>
      </w:pPr>
      <w:rPr>
        <w:rFonts w:ascii="Wingdings" w:hAnsi="Wingdings" w:hint="default"/>
      </w:rPr>
    </w:lvl>
    <w:lvl w:ilvl="3" w:tplc="4FD03078" w:tentative="1">
      <w:start w:val="1"/>
      <w:numFmt w:val="bullet"/>
      <w:lvlText w:val=""/>
      <w:lvlJc w:val="left"/>
      <w:pPr>
        <w:ind w:left="2880" w:hanging="360"/>
      </w:pPr>
      <w:rPr>
        <w:rFonts w:ascii="Symbol" w:hAnsi="Symbol" w:hint="default"/>
      </w:rPr>
    </w:lvl>
    <w:lvl w:ilvl="4" w:tplc="E5081906" w:tentative="1">
      <w:start w:val="1"/>
      <w:numFmt w:val="bullet"/>
      <w:lvlText w:val="o"/>
      <w:lvlJc w:val="left"/>
      <w:pPr>
        <w:ind w:left="3600" w:hanging="360"/>
      </w:pPr>
      <w:rPr>
        <w:rFonts w:ascii="Courier New" w:hAnsi="Courier New" w:cs="Courier New" w:hint="default"/>
      </w:rPr>
    </w:lvl>
    <w:lvl w:ilvl="5" w:tplc="76785896" w:tentative="1">
      <w:start w:val="1"/>
      <w:numFmt w:val="bullet"/>
      <w:lvlText w:val=""/>
      <w:lvlJc w:val="left"/>
      <w:pPr>
        <w:ind w:left="4320" w:hanging="360"/>
      </w:pPr>
      <w:rPr>
        <w:rFonts w:ascii="Wingdings" w:hAnsi="Wingdings" w:hint="default"/>
      </w:rPr>
    </w:lvl>
    <w:lvl w:ilvl="6" w:tplc="D3702B18" w:tentative="1">
      <w:start w:val="1"/>
      <w:numFmt w:val="bullet"/>
      <w:lvlText w:val=""/>
      <w:lvlJc w:val="left"/>
      <w:pPr>
        <w:ind w:left="5040" w:hanging="360"/>
      </w:pPr>
      <w:rPr>
        <w:rFonts w:ascii="Symbol" w:hAnsi="Symbol" w:hint="default"/>
      </w:rPr>
    </w:lvl>
    <w:lvl w:ilvl="7" w:tplc="BAF86C7E" w:tentative="1">
      <w:start w:val="1"/>
      <w:numFmt w:val="bullet"/>
      <w:lvlText w:val="o"/>
      <w:lvlJc w:val="left"/>
      <w:pPr>
        <w:ind w:left="5760" w:hanging="360"/>
      </w:pPr>
      <w:rPr>
        <w:rFonts w:ascii="Courier New" w:hAnsi="Courier New" w:cs="Courier New" w:hint="default"/>
      </w:rPr>
    </w:lvl>
    <w:lvl w:ilvl="8" w:tplc="ACB4F8E2" w:tentative="1">
      <w:start w:val="1"/>
      <w:numFmt w:val="bullet"/>
      <w:lvlText w:val=""/>
      <w:lvlJc w:val="left"/>
      <w:pPr>
        <w:ind w:left="6480" w:hanging="360"/>
      </w:pPr>
      <w:rPr>
        <w:rFonts w:ascii="Wingdings" w:hAnsi="Wingdings" w:hint="default"/>
      </w:rPr>
    </w:lvl>
  </w:abstractNum>
  <w:abstractNum w:abstractNumId="20">
    <w:nsid w:val="0A686F7B"/>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nsid w:val="0B2D5E05"/>
    <w:multiLevelType w:val="hybridMultilevel"/>
    <w:tmpl w:val="60C86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F690B"/>
    <w:multiLevelType w:val="multilevel"/>
    <w:tmpl w:val="51268A1A"/>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nsid w:val="0F544DC7"/>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4">
    <w:nsid w:val="0FD105D2"/>
    <w:multiLevelType w:val="hybridMultilevel"/>
    <w:tmpl w:val="1578EB12"/>
    <w:lvl w:ilvl="0" w:tplc="ABD47114">
      <w:start w:val="1"/>
      <w:numFmt w:val="bullet"/>
      <w:lvlText w:val=""/>
      <w:lvlJc w:val="left"/>
      <w:pPr>
        <w:tabs>
          <w:tab w:val="num" w:pos="1021"/>
        </w:tabs>
        <w:ind w:left="102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105D60C4"/>
    <w:multiLevelType w:val="hybridMultilevel"/>
    <w:tmpl w:val="48C06D6C"/>
    <w:lvl w:ilvl="0" w:tplc="2AD23686">
      <w:start w:val="1"/>
      <w:numFmt w:val="bullet"/>
      <w:pStyle w:val="a"/>
      <w:lvlText w:val=""/>
      <w:lvlJc w:val="left"/>
      <w:pPr>
        <w:ind w:left="9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1113446B"/>
    <w:multiLevelType w:val="multilevel"/>
    <w:tmpl w:val="12BE655A"/>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7">
    <w:nsid w:val="11854BEA"/>
    <w:multiLevelType w:val="hybridMultilevel"/>
    <w:tmpl w:val="1EC49918"/>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133456E3"/>
    <w:multiLevelType w:val="hybridMultilevel"/>
    <w:tmpl w:val="10CCA596"/>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13794F9A"/>
    <w:multiLevelType w:val="hybridMultilevel"/>
    <w:tmpl w:val="296EBB5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40669BD"/>
    <w:multiLevelType w:val="hybridMultilevel"/>
    <w:tmpl w:val="14F0B0C8"/>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153242F3"/>
    <w:multiLevelType w:val="hybridMultilevel"/>
    <w:tmpl w:val="4F6AE4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5DA7A73"/>
    <w:multiLevelType w:val="hybridMultilevel"/>
    <w:tmpl w:val="D2C20304"/>
    <w:lvl w:ilvl="0" w:tplc="ABD47114">
      <w:start w:val="1"/>
      <w:numFmt w:val="bullet"/>
      <w:lvlText w:val=""/>
      <w:lvlJc w:val="left"/>
      <w:pPr>
        <w:tabs>
          <w:tab w:val="num" w:pos="1021"/>
        </w:tabs>
        <w:ind w:left="102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63F1B45"/>
    <w:multiLevelType w:val="hybridMultilevel"/>
    <w:tmpl w:val="6C78B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71C52BE"/>
    <w:multiLevelType w:val="hybridMultilevel"/>
    <w:tmpl w:val="E34ECE2C"/>
    <w:lvl w:ilvl="0" w:tplc="52FABE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178E4FB1"/>
    <w:multiLevelType w:val="hybridMultilevel"/>
    <w:tmpl w:val="F5509A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17A53DFF"/>
    <w:multiLevelType w:val="hybridMultilevel"/>
    <w:tmpl w:val="5AFA7C62"/>
    <w:lvl w:ilvl="0" w:tplc="04190019">
      <w:start w:val="1"/>
      <w:numFmt w:val="bullet"/>
      <w:lvlText w:val="o"/>
      <w:lvlJc w:val="left"/>
      <w:pPr>
        <w:ind w:left="1080" w:hanging="360"/>
      </w:pPr>
      <w:rPr>
        <w:rFonts w:ascii="Courier New" w:hAnsi="Courier New" w:cs="Courier New"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17B2382E"/>
    <w:multiLevelType w:val="hybridMultilevel"/>
    <w:tmpl w:val="F3BCF4E4"/>
    <w:lvl w:ilvl="0" w:tplc="5B32E066">
      <w:start w:val="1"/>
      <w:numFmt w:val="bullet"/>
      <w:lvlText w:val=""/>
      <w:lvlJc w:val="left"/>
      <w:pPr>
        <w:ind w:left="720" w:hanging="360"/>
      </w:pPr>
      <w:rPr>
        <w:rFonts w:ascii="Symbol" w:hAnsi="Symbol" w:hint="default"/>
      </w:rPr>
    </w:lvl>
    <w:lvl w:ilvl="1" w:tplc="2D36D64E">
      <w:start w:val="1"/>
      <w:numFmt w:val="bullet"/>
      <w:lvlText w:val="o"/>
      <w:lvlJc w:val="left"/>
      <w:pPr>
        <w:ind w:left="1440" w:hanging="360"/>
      </w:pPr>
      <w:rPr>
        <w:rFonts w:ascii="Courier New" w:hAnsi="Courier New" w:cs="Courier New" w:hint="default"/>
      </w:rPr>
    </w:lvl>
    <w:lvl w:ilvl="2" w:tplc="2A8C8AA0">
      <w:start w:val="1"/>
      <w:numFmt w:val="bullet"/>
      <w:lvlText w:val=""/>
      <w:lvlJc w:val="left"/>
      <w:pPr>
        <w:ind w:left="2160" w:hanging="360"/>
      </w:pPr>
      <w:rPr>
        <w:rFonts w:ascii="Wingdings" w:hAnsi="Wingdings" w:hint="default"/>
      </w:rPr>
    </w:lvl>
    <w:lvl w:ilvl="3" w:tplc="A07669B2">
      <w:start w:val="1"/>
      <w:numFmt w:val="bullet"/>
      <w:lvlText w:val=""/>
      <w:lvlJc w:val="left"/>
      <w:pPr>
        <w:ind w:left="2880" w:hanging="360"/>
      </w:pPr>
      <w:rPr>
        <w:rFonts w:ascii="Symbol" w:hAnsi="Symbol" w:hint="default"/>
      </w:rPr>
    </w:lvl>
    <w:lvl w:ilvl="4" w:tplc="6FB296FA">
      <w:start w:val="1"/>
      <w:numFmt w:val="bullet"/>
      <w:lvlText w:val="o"/>
      <w:lvlJc w:val="left"/>
      <w:pPr>
        <w:ind w:left="3600" w:hanging="360"/>
      </w:pPr>
      <w:rPr>
        <w:rFonts w:ascii="Courier New" w:hAnsi="Courier New" w:cs="Courier New" w:hint="default"/>
      </w:rPr>
    </w:lvl>
    <w:lvl w:ilvl="5" w:tplc="95320816">
      <w:start w:val="1"/>
      <w:numFmt w:val="bullet"/>
      <w:lvlText w:val=""/>
      <w:lvlJc w:val="left"/>
      <w:pPr>
        <w:ind w:left="4320" w:hanging="360"/>
      </w:pPr>
      <w:rPr>
        <w:rFonts w:ascii="Wingdings" w:hAnsi="Wingdings" w:hint="default"/>
      </w:rPr>
    </w:lvl>
    <w:lvl w:ilvl="6" w:tplc="8744C6BA">
      <w:start w:val="1"/>
      <w:numFmt w:val="bullet"/>
      <w:lvlText w:val=""/>
      <w:lvlJc w:val="left"/>
      <w:pPr>
        <w:ind w:left="5040" w:hanging="360"/>
      </w:pPr>
      <w:rPr>
        <w:rFonts w:ascii="Symbol" w:hAnsi="Symbol" w:hint="default"/>
      </w:rPr>
    </w:lvl>
    <w:lvl w:ilvl="7" w:tplc="609219F8">
      <w:start w:val="1"/>
      <w:numFmt w:val="bullet"/>
      <w:lvlText w:val="o"/>
      <w:lvlJc w:val="left"/>
      <w:pPr>
        <w:ind w:left="5760" w:hanging="360"/>
      </w:pPr>
      <w:rPr>
        <w:rFonts w:ascii="Courier New" w:hAnsi="Courier New" w:cs="Courier New" w:hint="default"/>
      </w:rPr>
    </w:lvl>
    <w:lvl w:ilvl="8" w:tplc="803E5718">
      <w:start w:val="1"/>
      <w:numFmt w:val="bullet"/>
      <w:lvlText w:val=""/>
      <w:lvlJc w:val="left"/>
      <w:pPr>
        <w:ind w:left="6480" w:hanging="360"/>
      </w:pPr>
      <w:rPr>
        <w:rFonts w:ascii="Wingdings" w:hAnsi="Wingdings" w:hint="default"/>
      </w:rPr>
    </w:lvl>
  </w:abstractNum>
  <w:abstractNum w:abstractNumId="38">
    <w:nsid w:val="17C34DD0"/>
    <w:multiLevelType w:val="hybridMultilevel"/>
    <w:tmpl w:val="BDDC183A"/>
    <w:lvl w:ilvl="0" w:tplc="14B253B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7F13F31"/>
    <w:multiLevelType w:val="hybridMultilevel"/>
    <w:tmpl w:val="EC040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ABE24B2"/>
    <w:multiLevelType w:val="hybridMultilevel"/>
    <w:tmpl w:val="E1D4317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C506D41"/>
    <w:multiLevelType w:val="hybridMultilevel"/>
    <w:tmpl w:val="9C6E91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DB567F2"/>
    <w:multiLevelType w:val="hybridMultilevel"/>
    <w:tmpl w:val="809C6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E392537"/>
    <w:multiLevelType w:val="hybridMultilevel"/>
    <w:tmpl w:val="B3EC0E4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1EED2CD2"/>
    <w:multiLevelType w:val="hybridMultilevel"/>
    <w:tmpl w:val="8236E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F3B5361"/>
    <w:multiLevelType w:val="hybridMultilevel"/>
    <w:tmpl w:val="10D63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F3E3951"/>
    <w:multiLevelType w:val="multilevel"/>
    <w:tmpl w:val="49E2D460"/>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7">
    <w:nsid w:val="1FA52690"/>
    <w:multiLevelType w:val="multilevel"/>
    <w:tmpl w:val="7E96B6BA"/>
    <w:lvl w:ilvl="0">
      <w:start w:val="1"/>
      <w:numFmt w:val="decimal"/>
      <w:lvlText w:val="%1."/>
      <w:lvlJc w:val="left"/>
      <w:pPr>
        <w:ind w:left="1429" w:hanging="360"/>
      </w:pPr>
    </w:lvl>
    <w:lvl w:ilvl="1">
      <w:start w:val="3"/>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nsid w:val="217947AB"/>
    <w:multiLevelType w:val="hybridMultilevel"/>
    <w:tmpl w:val="4E9E51C4"/>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nsid w:val="22204C5C"/>
    <w:multiLevelType w:val="hybridMultilevel"/>
    <w:tmpl w:val="776CE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23F1592"/>
    <w:multiLevelType w:val="hybridMultilevel"/>
    <w:tmpl w:val="45F074A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22FA79B0"/>
    <w:multiLevelType w:val="hybridMultilevel"/>
    <w:tmpl w:val="6ECAAB92"/>
    <w:lvl w:ilvl="0" w:tplc="04190001">
      <w:start w:val="1"/>
      <w:numFmt w:val="bullet"/>
      <w:lvlText w:val=""/>
      <w:lvlJc w:val="left"/>
      <w:pPr>
        <w:ind w:left="1414" w:hanging="705"/>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2">
    <w:nsid w:val="24DF4A85"/>
    <w:multiLevelType w:val="hybridMultilevel"/>
    <w:tmpl w:val="241A6172"/>
    <w:lvl w:ilvl="0" w:tplc="EED2B48E">
      <w:start w:val="1"/>
      <w:numFmt w:val="bullet"/>
      <w:lvlText w:val=""/>
      <w:lvlJc w:val="left"/>
      <w:pPr>
        <w:ind w:left="1428" w:hanging="360"/>
      </w:pPr>
      <w:rPr>
        <w:rFonts w:ascii="Symbol" w:hAnsi="Symbol" w:hint="default"/>
      </w:rPr>
    </w:lvl>
    <w:lvl w:ilvl="1" w:tplc="5B5C74E4">
      <w:start w:val="1"/>
      <w:numFmt w:val="bullet"/>
      <w:lvlText w:val="o"/>
      <w:lvlJc w:val="left"/>
      <w:pPr>
        <w:ind w:left="2148" w:hanging="360"/>
      </w:pPr>
      <w:rPr>
        <w:rFonts w:ascii="Courier New" w:hAnsi="Courier New" w:cs="Courier New" w:hint="default"/>
      </w:rPr>
    </w:lvl>
    <w:lvl w:ilvl="2" w:tplc="F1029CF8">
      <w:start w:val="1"/>
      <w:numFmt w:val="bullet"/>
      <w:lvlText w:val=""/>
      <w:lvlJc w:val="left"/>
      <w:pPr>
        <w:ind w:left="2868" w:hanging="360"/>
      </w:pPr>
      <w:rPr>
        <w:rFonts w:ascii="Wingdings" w:hAnsi="Wingdings" w:hint="default"/>
      </w:rPr>
    </w:lvl>
    <w:lvl w:ilvl="3" w:tplc="80B078AE">
      <w:start w:val="1"/>
      <w:numFmt w:val="bullet"/>
      <w:lvlText w:val=""/>
      <w:lvlJc w:val="left"/>
      <w:pPr>
        <w:ind w:left="3588" w:hanging="360"/>
      </w:pPr>
      <w:rPr>
        <w:rFonts w:ascii="Symbol" w:hAnsi="Symbol" w:hint="default"/>
      </w:rPr>
    </w:lvl>
    <w:lvl w:ilvl="4" w:tplc="472A882C">
      <w:start w:val="1"/>
      <w:numFmt w:val="bullet"/>
      <w:lvlText w:val="o"/>
      <w:lvlJc w:val="left"/>
      <w:pPr>
        <w:ind w:left="4308" w:hanging="360"/>
      </w:pPr>
      <w:rPr>
        <w:rFonts w:ascii="Courier New" w:hAnsi="Courier New" w:cs="Courier New" w:hint="default"/>
      </w:rPr>
    </w:lvl>
    <w:lvl w:ilvl="5" w:tplc="A692D73C">
      <w:start w:val="1"/>
      <w:numFmt w:val="bullet"/>
      <w:lvlText w:val=""/>
      <w:lvlJc w:val="left"/>
      <w:pPr>
        <w:ind w:left="5028" w:hanging="360"/>
      </w:pPr>
      <w:rPr>
        <w:rFonts w:ascii="Wingdings" w:hAnsi="Wingdings" w:hint="default"/>
      </w:rPr>
    </w:lvl>
    <w:lvl w:ilvl="6" w:tplc="952406C0">
      <w:start w:val="1"/>
      <w:numFmt w:val="bullet"/>
      <w:lvlText w:val=""/>
      <w:lvlJc w:val="left"/>
      <w:pPr>
        <w:ind w:left="5748" w:hanging="360"/>
      </w:pPr>
      <w:rPr>
        <w:rFonts w:ascii="Symbol" w:hAnsi="Symbol" w:hint="default"/>
      </w:rPr>
    </w:lvl>
    <w:lvl w:ilvl="7" w:tplc="77767F38">
      <w:start w:val="1"/>
      <w:numFmt w:val="bullet"/>
      <w:lvlText w:val="o"/>
      <w:lvlJc w:val="left"/>
      <w:pPr>
        <w:ind w:left="6468" w:hanging="360"/>
      </w:pPr>
      <w:rPr>
        <w:rFonts w:ascii="Courier New" w:hAnsi="Courier New" w:cs="Courier New" w:hint="default"/>
      </w:rPr>
    </w:lvl>
    <w:lvl w:ilvl="8" w:tplc="0E96D622">
      <w:start w:val="1"/>
      <w:numFmt w:val="bullet"/>
      <w:lvlText w:val=""/>
      <w:lvlJc w:val="left"/>
      <w:pPr>
        <w:ind w:left="7188" w:hanging="360"/>
      </w:pPr>
      <w:rPr>
        <w:rFonts w:ascii="Wingdings" w:hAnsi="Wingdings" w:hint="default"/>
      </w:rPr>
    </w:lvl>
  </w:abstractNum>
  <w:abstractNum w:abstractNumId="53">
    <w:nsid w:val="254A407E"/>
    <w:multiLevelType w:val="hybridMultilevel"/>
    <w:tmpl w:val="9460D1A8"/>
    <w:lvl w:ilvl="0" w:tplc="93E8D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4">
    <w:nsid w:val="27274BBC"/>
    <w:multiLevelType w:val="hybridMultilevel"/>
    <w:tmpl w:val="AB6CD2E6"/>
    <w:lvl w:ilvl="0" w:tplc="1A5EEB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A1C3034"/>
    <w:multiLevelType w:val="hybridMultilevel"/>
    <w:tmpl w:val="C95C5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A1E68D0"/>
    <w:multiLevelType w:val="multilevel"/>
    <w:tmpl w:val="A24A93A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2F005901"/>
    <w:multiLevelType w:val="multilevel"/>
    <w:tmpl w:val="66E0365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nsid w:val="33477A51"/>
    <w:multiLevelType w:val="hybridMultilevel"/>
    <w:tmpl w:val="D3363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4723C02"/>
    <w:multiLevelType w:val="multilevel"/>
    <w:tmpl w:val="BE542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34E90886"/>
    <w:multiLevelType w:val="hybridMultilevel"/>
    <w:tmpl w:val="1F741318"/>
    <w:lvl w:ilvl="0" w:tplc="DEF28D1C">
      <w:start w:val="1"/>
      <w:numFmt w:val="bullet"/>
      <w:lvlText w:val="•"/>
      <w:lvlJc w:val="left"/>
      <w:pPr>
        <w:ind w:left="720" w:hanging="360"/>
      </w:pPr>
      <w:rPr>
        <w:rFonts w:ascii="Arial" w:hAnsi="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5F2393F"/>
    <w:multiLevelType w:val="hybridMultilevel"/>
    <w:tmpl w:val="D8606938"/>
    <w:lvl w:ilvl="0" w:tplc="04190019">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60945F5"/>
    <w:multiLevelType w:val="hybridMultilevel"/>
    <w:tmpl w:val="0B72709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nsid w:val="36516F69"/>
    <w:multiLevelType w:val="hybridMultilevel"/>
    <w:tmpl w:val="09E26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6A63745"/>
    <w:multiLevelType w:val="hybridMultilevel"/>
    <w:tmpl w:val="04E87AC4"/>
    <w:lvl w:ilvl="0" w:tplc="56D0CB34">
      <w:start w:val="4"/>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38B232F3"/>
    <w:multiLevelType w:val="hybridMultilevel"/>
    <w:tmpl w:val="A7C4A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8F66456"/>
    <w:multiLevelType w:val="hybridMultilevel"/>
    <w:tmpl w:val="298AE7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A67504B"/>
    <w:multiLevelType w:val="hybridMultilevel"/>
    <w:tmpl w:val="04267C5E"/>
    <w:lvl w:ilvl="0" w:tplc="14B253B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C5C4AAA"/>
    <w:multiLevelType w:val="hybridMultilevel"/>
    <w:tmpl w:val="BF06C0B0"/>
    <w:lvl w:ilvl="0" w:tplc="6AFCAB1E">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D3B3E26"/>
    <w:multiLevelType w:val="hybridMultilevel"/>
    <w:tmpl w:val="9460D1A8"/>
    <w:lvl w:ilvl="0" w:tplc="93E8D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0">
    <w:nsid w:val="3D9116DC"/>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1">
    <w:nsid w:val="3DE112F8"/>
    <w:multiLevelType w:val="hybridMultilevel"/>
    <w:tmpl w:val="C004DFF0"/>
    <w:lvl w:ilvl="0" w:tplc="A7CA7F60">
      <w:start w:val="1"/>
      <w:numFmt w:val="bullet"/>
      <w:lvlText w:val=""/>
      <w:lvlJc w:val="left"/>
      <w:pPr>
        <w:ind w:left="720" w:hanging="360"/>
      </w:pPr>
      <w:rPr>
        <w:rFonts w:ascii="Symbol" w:hAnsi="Symbol" w:hint="default"/>
      </w:rPr>
    </w:lvl>
    <w:lvl w:ilvl="1" w:tplc="2870B0D8">
      <w:start w:val="1"/>
      <w:numFmt w:val="bullet"/>
      <w:lvlText w:val="o"/>
      <w:lvlJc w:val="left"/>
      <w:pPr>
        <w:ind w:left="1440" w:hanging="360"/>
      </w:pPr>
      <w:rPr>
        <w:rFonts w:ascii="Courier New" w:hAnsi="Courier New" w:cs="Courier New" w:hint="default"/>
      </w:rPr>
    </w:lvl>
    <w:lvl w:ilvl="2" w:tplc="D506DEB8">
      <w:start w:val="1"/>
      <w:numFmt w:val="bullet"/>
      <w:lvlText w:val=""/>
      <w:lvlJc w:val="left"/>
      <w:pPr>
        <w:ind w:left="2160" w:hanging="360"/>
      </w:pPr>
      <w:rPr>
        <w:rFonts w:ascii="Wingdings" w:hAnsi="Wingdings" w:hint="default"/>
      </w:rPr>
    </w:lvl>
    <w:lvl w:ilvl="3" w:tplc="CE8A0E88">
      <w:start w:val="1"/>
      <w:numFmt w:val="bullet"/>
      <w:lvlText w:val=""/>
      <w:lvlJc w:val="left"/>
      <w:pPr>
        <w:ind w:left="2880" w:hanging="360"/>
      </w:pPr>
      <w:rPr>
        <w:rFonts w:ascii="Symbol" w:hAnsi="Symbol" w:hint="default"/>
      </w:rPr>
    </w:lvl>
    <w:lvl w:ilvl="4" w:tplc="C5806F16">
      <w:start w:val="1"/>
      <w:numFmt w:val="bullet"/>
      <w:lvlText w:val="o"/>
      <w:lvlJc w:val="left"/>
      <w:pPr>
        <w:ind w:left="3600" w:hanging="360"/>
      </w:pPr>
      <w:rPr>
        <w:rFonts w:ascii="Courier New" w:hAnsi="Courier New" w:cs="Courier New" w:hint="default"/>
      </w:rPr>
    </w:lvl>
    <w:lvl w:ilvl="5" w:tplc="1FC4FB46">
      <w:start w:val="1"/>
      <w:numFmt w:val="bullet"/>
      <w:lvlText w:val=""/>
      <w:lvlJc w:val="left"/>
      <w:pPr>
        <w:ind w:left="4320" w:hanging="360"/>
      </w:pPr>
      <w:rPr>
        <w:rFonts w:ascii="Wingdings" w:hAnsi="Wingdings" w:hint="default"/>
      </w:rPr>
    </w:lvl>
    <w:lvl w:ilvl="6" w:tplc="39D4DDAE">
      <w:start w:val="1"/>
      <w:numFmt w:val="bullet"/>
      <w:lvlText w:val=""/>
      <w:lvlJc w:val="left"/>
      <w:pPr>
        <w:ind w:left="5040" w:hanging="360"/>
      </w:pPr>
      <w:rPr>
        <w:rFonts w:ascii="Symbol" w:hAnsi="Symbol" w:hint="default"/>
      </w:rPr>
    </w:lvl>
    <w:lvl w:ilvl="7" w:tplc="00E0E3EE">
      <w:start w:val="1"/>
      <w:numFmt w:val="bullet"/>
      <w:lvlText w:val="o"/>
      <w:lvlJc w:val="left"/>
      <w:pPr>
        <w:ind w:left="5760" w:hanging="360"/>
      </w:pPr>
      <w:rPr>
        <w:rFonts w:ascii="Courier New" w:hAnsi="Courier New" w:cs="Courier New" w:hint="default"/>
      </w:rPr>
    </w:lvl>
    <w:lvl w:ilvl="8" w:tplc="CF64A60A">
      <w:start w:val="1"/>
      <w:numFmt w:val="bullet"/>
      <w:lvlText w:val=""/>
      <w:lvlJc w:val="left"/>
      <w:pPr>
        <w:ind w:left="6480" w:hanging="360"/>
      </w:pPr>
      <w:rPr>
        <w:rFonts w:ascii="Wingdings" w:hAnsi="Wingdings" w:hint="default"/>
      </w:rPr>
    </w:lvl>
  </w:abstractNum>
  <w:abstractNum w:abstractNumId="72">
    <w:nsid w:val="3EAB6490"/>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3">
    <w:nsid w:val="3F01408C"/>
    <w:multiLevelType w:val="hybridMultilevel"/>
    <w:tmpl w:val="E02ED63A"/>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74">
    <w:nsid w:val="3F0677E4"/>
    <w:multiLevelType w:val="hybridMultilevel"/>
    <w:tmpl w:val="4ECEA044"/>
    <w:lvl w:ilvl="0" w:tplc="04190019">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5">
    <w:nsid w:val="3F4E4178"/>
    <w:multiLevelType w:val="hybridMultilevel"/>
    <w:tmpl w:val="DB0CD6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40C0366F"/>
    <w:multiLevelType w:val="multilevel"/>
    <w:tmpl w:val="5EE60C1A"/>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7">
    <w:nsid w:val="41286E25"/>
    <w:multiLevelType w:val="hybridMultilevel"/>
    <w:tmpl w:val="A8204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14007A2"/>
    <w:multiLevelType w:val="hybridMultilevel"/>
    <w:tmpl w:val="10387282"/>
    <w:lvl w:ilvl="0" w:tplc="04190001">
      <w:start w:val="1"/>
      <w:numFmt w:val="bullet"/>
      <w:lvlText w:val=""/>
      <w:lvlJc w:val="left"/>
      <w:pPr>
        <w:ind w:left="1110" w:hanging="360"/>
      </w:pPr>
      <w:rPr>
        <w:rFonts w:ascii="Symbol" w:hAnsi="Symbol" w:hint="default"/>
      </w:rPr>
    </w:lvl>
    <w:lvl w:ilvl="1" w:tplc="04190003">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79">
    <w:nsid w:val="42991DAF"/>
    <w:multiLevelType w:val="multilevel"/>
    <w:tmpl w:val="0ADC0DB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0">
    <w:nsid w:val="429D4DE3"/>
    <w:multiLevelType w:val="hybridMultilevel"/>
    <w:tmpl w:val="652A86CE"/>
    <w:lvl w:ilvl="0" w:tplc="93E8D1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1">
    <w:nsid w:val="436671F2"/>
    <w:multiLevelType w:val="hybridMultilevel"/>
    <w:tmpl w:val="589CD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440C4110"/>
    <w:multiLevelType w:val="hybridMultilevel"/>
    <w:tmpl w:val="A87AC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44692D4B"/>
    <w:multiLevelType w:val="hybridMultilevel"/>
    <w:tmpl w:val="C77EB94C"/>
    <w:lvl w:ilvl="0" w:tplc="2DB03CFC">
      <w:start w:val="1"/>
      <w:numFmt w:val="decimal"/>
      <w:lvlText w:val="%1."/>
      <w:lvlJc w:val="left"/>
      <w:pPr>
        <w:ind w:left="720" w:hanging="360"/>
      </w:pPr>
    </w:lvl>
    <w:lvl w:ilvl="1" w:tplc="16EA80E6">
      <w:start w:val="1"/>
      <w:numFmt w:val="lowerLetter"/>
      <w:lvlText w:val="%2."/>
      <w:lvlJc w:val="left"/>
      <w:pPr>
        <w:ind w:left="1440" w:hanging="360"/>
      </w:pPr>
    </w:lvl>
    <w:lvl w:ilvl="2" w:tplc="946A3D32">
      <w:start w:val="1"/>
      <w:numFmt w:val="lowerRoman"/>
      <w:lvlText w:val="%3."/>
      <w:lvlJc w:val="right"/>
      <w:pPr>
        <w:ind w:left="2160" w:hanging="180"/>
      </w:pPr>
    </w:lvl>
    <w:lvl w:ilvl="3" w:tplc="2DB6278A">
      <w:start w:val="1"/>
      <w:numFmt w:val="decimal"/>
      <w:lvlText w:val="%4."/>
      <w:lvlJc w:val="left"/>
      <w:pPr>
        <w:ind w:left="2880" w:hanging="360"/>
      </w:pPr>
    </w:lvl>
    <w:lvl w:ilvl="4" w:tplc="3A5E778E">
      <w:start w:val="1"/>
      <w:numFmt w:val="lowerLetter"/>
      <w:lvlText w:val="%5."/>
      <w:lvlJc w:val="left"/>
      <w:pPr>
        <w:ind w:left="3600" w:hanging="360"/>
      </w:pPr>
    </w:lvl>
    <w:lvl w:ilvl="5" w:tplc="0172E04E">
      <w:start w:val="1"/>
      <w:numFmt w:val="lowerRoman"/>
      <w:lvlText w:val="%6."/>
      <w:lvlJc w:val="right"/>
      <w:pPr>
        <w:ind w:left="4320" w:hanging="180"/>
      </w:pPr>
    </w:lvl>
    <w:lvl w:ilvl="6" w:tplc="9618BEFE">
      <w:start w:val="1"/>
      <w:numFmt w:val="decimal"/>
      <w:lvlText w:val="%7."/>
      <w:lvlJc w:val="left"/>
      <w:pPr>
        <w:ind w:left="5040" w:hanging="360"/>
      </w:pPr>
    </w:lvl>
    <w:lvl w:ilvl="7" w:tplc="BCDCBE0E">
      <w:start w:val="1"/>
      <w:numFmt w:val="lowerLetter"/>
      <w:lvlText w:val="%8."/>
      <w:lvlJc w:val="left"/>
      <w:pPr>
        <w:ind w:left="5760" w:hanging="360"/>
      </w:pPr>
    </w:lvl>
    <w:lvl w:ilvl="8" w:tplc="BAF86D66">
      <w:start w:val="1"/>
      <w:numFmt w:val="lowerRoman"/>
      <w:lvlText w:val="%9."/>
      <w:lvlJc w:val="right"/>
      <w:pPr>
        <w:ind w:left="6480" w:hanging="180"/>
      </w:pPr>
    </w:lvl>
  </w:abstractNum>
  <w:abstractNum w:abstractNumId="84">
    <w:nsid w:val="46A60512"/>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5">
    <w:nsid w:val="47497BE7"/>
    <w:multiLevelType w:val="hybridMultilevel"/>
    <w:tmpl w:val="53EACD94"/>
    <w:lvl w:ilvl="0" w:tplc="04190001">
      <w:start w:val="1"/>
      <w:numFmt w:val="bullet"/>
      <w:lvlText w:val=""/>
      <w:lvlJc w:val="left"/>
      <w:pPr>
        <w:ind w:left="1414" w:hanging="705"/>
      </w:pPr>
      <w:rPr>
        <w:rFonts w:ascii="Symbol" w:hAnsi="Symbol" w:hint="default"/>
      </w:rPr>
    </w:lvl>
    <w:lvl w:ilvl="1" w:tplc="C37883F2">
      <w:numFmt w:val="bullet"/>
      <w:lvlText w:val="•"/>
      <w:lvlJc w:val="left"/>
      <w:pPr>
        <w:ind w:left="2134" w:hanging="705"/>
      </w:pPr>
      <w:rPr>
        <w:rFonts w:ascii="Times New Roman" w:eastAsia="Calibri"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6">
    <w:nsid w:val="47500D16"/>
    <w:multiLevelType w:val="hybridMultilevel"/>
    <w:tmpl w:val="D312DB6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80F1C15"/>
    <w:multiLevelType w:val="multilevel"/>
    <w:tmpl w:val="32B6D122"/>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8">
    <w:nsid w:val="48A1119A"/>
    <w:multiLevelType w:val="hybridMultilevel"/>
    <w:tmpl w:val="EC341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9533624"/>
    <w:multiLevelType w:val="hybridMultilevel"/>
    <w:tmpl w:val="1F346B6A"/>
    <w:lvl w:ilvl="0" w:tplc="531490C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49BC7B6C"/>
    <w:multiLevelType w:val="hybridMultilevel"/>
    <w:tmpl w:val="0D4206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AD91D7D"/>
    <w:multiLevelType w:val="hybridMultilevel"/>
    <w:tmpl w:val="3FA288D2"/>
    <w:lvl w:ilvl="0" w:tplc="93E8D1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2">
    <w:nsid w:val="4AEF0A1E"/>
    <w:multiLevelType w:val="hybridMultilevel"/>
    <w:tmpl w:val="86C254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4C150BCE"/>
    <w:multiLevelType w:val="hybridMultilevel"/>
    <w:tmpl w:val="B57CFDE0"/>
    <w:lvl w:ilvl="0" w:tplc="234C89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4D4633B7"/>
    <w:multiLevelType w:val="hybridMultilevel"/>
    <w:tmpl w:val="4E94F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4E501A34"/>
    <w:multiLevelType w:val="hybridMultilevel"/>
    <w:tmpl w:val="96DAD232"/>
    <w:lvl w:ilvl="0" w:tplc="0419000F">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6">
    <w:nsid w:val="4EA2559D"/>
    <w:multiLevelType w:val="hybridMultilevel"/>
    <w:tmpl w:val="68DAE0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7">
    <w:nsid w:val="4EBC3E93"/>
    <w:multiLevelType w:val="multilevel"/>
    <w:tmpl w:val="F62C9F22"/>
    <w:lvl w:ilvl="0">
      <w:start w:val="1"/>
      <w:numFmt w:val="decimal"/>
      <w:lvlText w:val="%1."/>
      <w:lvlJc w:val="left"/>
      <w:pPr>
        <w:tabs>
          <w:tab w:val="num" w:pos="0"/>
        </w:tabs>
        <w:ind w:left="720" w:hanging="360"/>
      </w:pPr>
      <w:rPr>
        <w:rFonts w:ascii="Calibri" w:hAnsi="Calibri"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8">
    <w:nsid w:val="4EBD642C"/>
    <w:multiLevelType w:val="hybridMultilevel"/>
    <w:tmpl w:val="784EAAB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9">
    <w:nsid w:val="4ED33599"/>
    <w:multiLevelType w:val="multilevel"/>
    <w:tmpl w:val="F5BE2E16"/>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0">
    <w:nsid w:val="4EF30506"/>
    <w:multiLevelType w:val="multilevel"/>
    <w:tmpl w:val="E2FC6E58"/>
    <w:lvl w:ilvl="0">
      <w:start w:val="1"/>
      <w:numFmt w:val="bullet"/>
      <w:lvlText w:val=""/>
      <w:lvlJc w:val="left"/>
      <w:pPr>
        <w:ind w:left="720" w:hanging="360"/>
      </w:pPr>
      <w:rPr>
        <w:rFonts w:ascii="Symbol" w:hAnsi="Symbol" w:cs="Symbol" w:hint="default"/>
        <w:b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F011CF1"/>
    <w:multiLevelType w:val="hybridMultilevel"/>
    <w:tmpl w:val="A366148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2">
    <w:nsid w:val="4F413584"/>
    <w:multiLevelType w:val="hybridMultilevel"/>
    <w:tmpl w:val="9D82F3E8"/>
    <w:lvl w:ilvl="0" w:tplc="B65A457C">
      <w:start w:val="1"/>
      <w:numFmt w:val="bullet"/>
      <w:lvlText w:val=""/>
      <w:lvlJc w:val="left"/>
      <w:pPr>
        <w:ind w:left="1068" w:hanging="360"/>
      </w:pPr>
      <w:rPr>
        <w:rFonts w:ascii="Symbol" w:hAnsi="Symbol" w:hint="default"/>
      </w:rPr>
    </w:lvl>
    <w:lvl w:ilvl="1" w:tplc="0CF6ACBC">
      <w:start w:val="1"/>
      <w:numFmt w:val="decimal"/>
      <w:lvlText w:val="%2."/>
      <w:lvlJc w:val="left"/>
      <w:pPr>
        <w:ind w:left="1440" w:hanging="360"/>
      </w:pPr>
      <w:rPr>
        <w:rFonts w:hint="default"/>
      </w:rPr>
    </w:lvl>
    <w:lvl w:ilvl="2" w:tplc="58704C1C">
      <w:start w:val="1"/>
      <w:numFmt w:val="lowerRoman"/>
      <w:lvlText w:val="%3."/>
      <w:lvlJc w:val="right"/>
      <w:pPr>
        <w:ind w:left="2160" w:hanging="180"/>
      </w:pPr>
    </w:lvl>
    <w:lvl w:ilvl="3" w:tplc="547EBF6C">
      <w:start w:val="1"/>
      <w:numFmt w:val="decimal"/>
      <w:lvlText w:val="%4."/>
      <w:lvlJc w:val="left"/>
      <w:pPr>
        <w:ind w:left="2880" w:hanging="360"/>
      </w:pPr>
    </w:lvl>
    <w:lvl w:ilvl="4" w:tplc="21F628DC">
      <w:start w:val="1"/>
      <w:numFmt w:val="lowerLetter"/>
      <w:lvlText w:val="%5."/>
      <w:lvlJc w:val="left"/>
      <w:pPr>
        <w:ind w:left="3600" w:hanging="360"/>
      </w:pPr>
    </w:lvl>
    <w:lvl w:ilvl="5" w:tplc="082CFF88">
      <w:start w:val="1"/>
      <w:numFmt w:val="lowerRoman"/>
      <w:lvlText w:val="%6."/>
      <w:lvlJc w:val="right"/>
      <w:pPr>
        <w:ind w:left="4320" w:hanging="180"/>
      </w:pPr>
    </w:lvl>
    <w:lvl w:ilvl="6" w:tplc="AD2E6324">
      <w:start w:val="1"/>
      <w:numFmt w:val="decimal"/>
      <w:lvlText w:val="%7."/>
      <w:lvlJc w:val="left"/>
      <w:pPr>
        <w:ind w:left="5040" w:hanging="360"/>
      </w:pPr>
    </w:lvl>
    <w:lvl w:ilvl="7" w:tplc="E494B0C4">
      <w:start w:val="1"/>
      <w:numFmt w:val="lowerLetter"/>
      <w:lvlText w:val="%8."/>
      <w:lvlJc w:val="left"/>
      <w:pPr>
        <w:ind w:left="5760" w:hanging="360"/>
      </w:pPr>
    </w:lvl>
    <w:lvl w:ilvl="8" w:tplc="BAA87298">
      <w:start w:val="1"/>
      <w:numFmt w:val="lowerRoman"/>
      <w:lvlText w:val="%9."/>
      <w:lvlJc w:val="right"/>
      <w:pPr>
        <w:ind w:left="6480" w:hanging="180"/>
      </w:pPr>
    </w:lvl>
  </w:abstractNum>
  <w:abstractNum w:abstractNumId="103">
    <w:nsid w:val="502E4853"/>
    <w:multiLevelType w:val="hybridMultilevel"/>
    <w:tmpl w:val="985690D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4">
    <w:nsid w:val="51E0408F"/>
    <w:multiLevelType w:val="hybridMultilevel"/>
    <w:tmpl w:val="C5F624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53C60F6D"/>
    <w:multiLevelType w:val="hybridMultilevel"/>
    <w:tmpl w:val="9BF239FA"/>
    <w:lvl w:ilvl="0" w:tplc="8F0AE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6">
    <w:nsid w:val="55BB3E03"/>
    <w:multiLevelType w:val="hybridMultilevel"/>
    <w:tmpl w:val="610C9324"/>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7">
    <w:nsid w:val="55DF1E88"/>
    <w:multiLevelType w:val="multilevel"/>
    <w:tmpl w:val="815AD7CE"/>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8">
    <w:nsid w:val="581B54C9"/>
    <w:multiLevelType w:val="hybridMultilevel"/>
    <w:tmpl w:val="D34240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585C1AAF"/>
    <w:multiLevelType w:val="multilevel"/>
    <w:tmpl w:val="CD248544"/>
    <w:lvl w:ilvl="0">
      <w:start w:val="1"/>
      <w:numFmt w:val="decimal"/>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586E3ECF"/>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1">
    <w:nsid w:val="58C53A29"/>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2">
    <w:nsid w:val="59B70D4F"/>
    <w:multiLevelType w:val="multilevel"/>
    <w:tmpl w:val="638EB188"/>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5AB35D50"/>
    <w:multiLevelType w:val="hybridMultilevel"/>
    <w:tmpl w:val="1E9A5CB6"/>
    <w:lvl w:ilvl="0" w:tplc="26B40C38">
      <w:start w:val="1"/>
      <w:numFmt w:val="bullet"/>
      <w:lvlText w:val=""/>
      <w:lvlJc w:val="left"/>
      <w:pPr>
        <w:ind w:left="1428" w:hanging="360"/>
      </w:pPr>
      <w:rPr>
        <w:rFonts w:ascii="Symbol" w:hAnsi="Symbol" w:hint="default"/>
      </w:rPr>
    </w:lvl>
    <w:lvl w:ilvl="1" w:tplc="3B2EC85C">
      <w:start w:val="1"/>
      <w:numFmt w:val="bullet"/>
      <w:lvlText w:val="o"/>
      <w:lvlJc w:val="left"/>
      <w:pPr>
        <w:ind w:left="2148" w:hanging="360"/>
      </w:pPr>
      <w:rPr>
        <w:rFonts w:ascii="Courier New" w:hAnsi="Courier New" w:cs="Courier New" w:hint="default"/>
      </w:rPr>
    </w:lvl>
    <w:lvl w:ilvl="2" w:tplc="2F9E085C">
      <w:start w:val="1"/>
      <w:numFmt w:val="bullet"/>
      <w:lvlText w:val=""/>
      <w:lvlJc w:val="left"/>
      <w:pPr>
        <w:ind w:left="2868" w:hanging="360"/>
      </w:pPr>
      <w:rPr>
        <w:rFonts w:ascii="Wingdings" w:hAnsi="Wingdings" w:hint="default"/>
      </w:rPr>
    </w:lvl>
    <w:lvl w:ilvl="3" w:tplc="340E811E">
      <w:start w:val="1"/>
      <w:numFmt w:val="bullet"/>
      <w:lvlText w:val=""/>
      <w:lvlJc w:val="left"/>
      <w:pPr>
        <w:ind w:left="3588" w:hanging="360"/>
      </w:pPr>
      <w:rPr>
        <w:rFonts w:ascii="Symbol" w:hAnsi="Symbol" w:hint="default"/>
      </w:rPr>
    </w:lvl>
    <w:lvl w:ilvl="4" w:tplc="FC366D08">
      <w:start w:val="1"/>
      <w:numFmt w:val="bullet"/>
      <w:lvlText w:val="o"/>
      <w:lvlJc w:val="left"/>
      <w:pPr>
        <w:ind w:left="4308" w:hanging="360"/>
      </w:pPr>
      <w:rPr>
        <w:rFonts w:ascii="Courier New" w:hAnsi="Courier New" w:cs="Courier New" w:hint="default"/>
      </w:rPr>
    </w:lvl>
    <w:lvl w:ilvl="5" w:tplc="29B8DC22">
      <w:start w:val="1"/>
      <w:numFmt w:val="bullet"/>
      <w:lvlText w:val=""/>
      <w:lvlJc w:val="left"/>
      <w:pPr>
        <w:ind w:left="5028" w:hanging="360"/>
      </w:pPr>
      <w:rPr>
        <w:rFonts w:ascii="Wingdings" w:hAnsi="Wingdings" w:hint="default"/>
      </w:rPr>
    </w:lvl>
    <w:lvl w:ilvl="6" w:tplc="8E0A9A3A">
      <w:start w:val="1"/>
      <w:numFmt w:val="bullet"/>
      <w:lvlText w:val=""/>
      <w:lvlJc w:val="left"/>
      <w:pPr>
        <w:ind w:left="5748" w:hanging="360"/>
      </w:pPr>
      <w:rPr>
        <w:rFonts w:ascii="Symbol" w:hAnsi="Symbol" w:hint="default"/>
      </w:rPr>
    </w:lvl>
    <w:lvl w:ilvl="7" w:tplc="2004B7FC">
      <w:start w:val="1"/>
      <w:numFmt w:val="bullet"/>
      <w:lvlText w:val="o"/>
      <w:lvlJc w:val="left"/>
      <w:pPr>
        <w:ind w:left="6468" w:hanging="360"/>
      </w:pPr>
      <w:rPr>
        <w:rFonts w:ascii="Courier New" w:hAnsi="Courier New" w:cs="Courier New" w:hint="default"/>
      </w:rPr>
    </w:lvl>
    <w:lvl w:ilvl="8" w:tplc="D71025DE">
      <w:start w:val="1"/>
      <w:numFmt w:val="bullet"/>
      <w:lvlText w:val=""/>
      <w:lvlJc w:val="left"/>
      <w:pPr>
        <w:ind w:left="7188" w:hanging="360"/>
      </w:pPr>
      <w:rPr>
        <w:rFonts w:ascii="Wingdings" w:hAnsi="Wingdings" w:hint="default"/>
      </w:rPr>
    </w:lvl>
  </w:abstractNum>
  <w:abstractNum w:abstractNumId="114">
    <w:nsid w:val="5B6C0F47"/>
    <w:multiLevelType w:val="hybridMultilevel"/>
    <w:tmpl w:val="84369B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nsid w:val="5C754B14"/>
    <w:multiLevelType w:val="hybridMultilevel"/>
    <w:tmpl w:val="5C70A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5F7D05DD"/>
    <w:multiLevelType w:val="hybridMultilevel"/>
    <w:tmpl w:val="2FD446B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7">
    <w:nsid w:val="602776A7"/>
    <w:multiLevelType w:val="hybridMultilevel"/>
    <w:tmpl w:val="4EA80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602B1DB1"/>
    <w:multiLevelType w:val="multilevel"/>
    <w:tmpl w:val="79CADAFC"/>
    <w:lvl w:ilvl="0">
      <w:start w:val="1"/>
      <w:numFmt w:val="bullet"/>
      <w:lvlText w:val=""/>
      <w:lvlJc w:val="left"/>
      <w:pPr>
        <w:ind w:left="1068" w:hanging="360"/>
      </w:pPr>
      <w:rPr>
        <w:rFonts w:ascii="Symbol" w:hAnsi="Symbol" w:cs="Symbol" w:hint="default"/>
        <w:sz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9">
    <w:nsid w:val="625359FA"/>
    <w:multiLevelType w:val="hybridMultilevel"/>
    <w:tmpl w:val="43F80E00"/>
    <w:lvl w:ilvl="0" w:tplc="7FBA88A6">
      <w:start w:val="1"/>
      <w:numFmt w:val="bullet"/>
      <w:lvlText w:val=""/>
      <w:lvlJc w:val="left"/>
      <w:pPr>
        <w:ind w:left="720" w:hanging="360"/>
      </w:pPr>
      <w:rPr>
        <w:rFonts w:ascii="Symbol" w:hAnsi="Symbol" w:hint="default"/>
      </w:rPr>
    </w:lvl>
    <w:lvl w:ilvl="1" w:tplc="B3149F3E">
      <w:start w:val="1"/>
      <w:numFmt w:val="bullet"/>
      <w:lvlText w:val="o"/>
      <w:lvlJc w:val="left"/>
      <w:pPr>
        <w:ind w:left="1440" w:hanging="360"/>
      </w:pPr>
      <w:rPr>
        <w:rFonts w:ascii="Courier New" w:hAnsi="Courier New" w:cs="Courier New" w:hint="default"/>
      </w:rPr>
    </w:lvl>
    <w:lvl w:ilvl="2" w:tplc="7B7CB654">
      <w:start w:val="1"/>
      <w:numFmt w:val="bullet"/>
      <w:lvlText w:val=""/>
      <w:lvlJc w:val="left"/>
      <w:pPr>
        <w:ind w:left="2160" w:hanging="360"/>
      </w:pPr>
      <w:rPr>
        <w:rFonts w:ascii="Wingdings" w:hAnsi="Wingdings" w:hint="default"/>
      </w:rPr>
    </w:lvl>
    <w:lvl w:ilvl="3" w:tplc="42449486">
      <w:start w:val="1"/>
      <w:numFmt w:val="bullet"/>
      <w:lvlText w:val=""/>
      <w:lvlJc w:val="left"/>
      <w:pPr>
        <w:ind w:left="2880" w:hanging="360"/>
      </w:pPr>
      <w:rPr>
        <w:rFonts w:ascii="Symbol" w:hAnsi="Symbol" w:hint="default"/>
      </w:rPr>
    </w:lvl>
    <w:lvl w:ilvl="4" w:tplc="5C1ACD50">
      <w:start w:val="1"/>
      <w:numFmt w:val="bullet"/>
      <w:lvlText w:val="o"/>
      <w:lvlJc w:val="left"/>
      <w:pPr>
        <w:ind w:left="3600" w:hanging="360"/>
      </w:pPr>
      <w:rPr>
        <w:rFonts w:ascii="Courier New" w:hAnsi="Courier New" w:cs="Courier New" w:hint="default"/>
      </w:rPr>
    </w:lvl>
    <w:lvl w:ilvl="5" w:tplc="01EAC460">
      <w:start w:val="1"/>
      <w:numFmt w:val="bullet"/>
      <w:lvlText w:val=""/>
      <w:lvlJc w:val="left"/>
      <w:pPr>
        <w:ind w:left="4320" w:hanging="360"/>
      </w:pPr>
      <w:rPr>
        <w:rFonts w:ascii="Wingdings" w:hAnsi="Wingdings" w:hint="default"/>
      </w:rPr>
    </w:lvl>
    <w:lvl w:ilvl="6" w:tplc="357E813A">
      <w:start w:val="1"/>
      <w:numFmt w:val="bullet"/>
      <w:lvlText w:val=""/>
      <w:lvlJc w:val="left"/>
      <w:pPr>
        <w:ind w:left="5040" w:hanging="360"/>
      </w:pPr>
      <w:rPr>
        <w:rFonts w:ascii="Symbol" w:hAnsi="Symbol" w:hint="default"/>
      </w:rPr>
    </w:lvl>
    <w:lvl w:ilvl="7" w:tplc="1B362762">
      <w:start w:val="1"/>
      <w:numFmt w:val="bullet"/>
      <w:lvlText w:val="o"/>
      <w:lvlJc w:val="left"/>
      <w:pPr>
        <w:ind w:left="5760" w:hanging="360"/>
      </w:pPr>
      <w:rPr>
        <w:rFonts w:ascii="Courier New" w:hAnsi="Courier New" w:cs="Courier New" w:hint="default"/>
      </w:rPr>
    </w:lvl>
    <w:lvl w:ilvl="8" w:tplc="585C4590">
      <w:start w:val="1"/>
      <w:numFmt w:val="bullet"/>
      <w:lvlText w:val=""/>
      <w:lvlJc w:val="left"/>
      <w:pPr>
        <w:ind w:left="6480" w:hanging="360"/>
      </w:pPr>
      <w:rPr>
        <w:rFonts w:ascii="Wingdings" w:hAnsi="Wingdings" w:hint="default"/>
      </w:rPr>
    </w:lvl>
  </w:abstractNum>
  <w:abstractNum w:abstractNumId="120">
    <w:nsid w:val="636D164C"/>
    <w:multiLevelType w:val="multilevel"/>
    <w:tmpl w:val="3F92285A"/>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1">
    <w:nsid w:val="64747564"/>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2">
    <w:nsid w:val="64E91059"/>
    <w:multiLevelType w:val="hybridMultilevel"/>
    <w:tmpl w:val="9864A21C"/>
    <w:lvl w:ilvl="0" w:tplc="AFFE1112">
      <w:start w:val="1"/>
      <w:numFmt w:val="bullet"/>
      <w:lvlText w:val=""/>
      <w:lvlJc w:val="left"/>
      <w:pPr>
        <w:ind w:left="1428" w:hanging="360"/>
      </w:pPr>
      <w:rPr>
        <w:rFonts w:ascii="Symbol" w:hAnsi="Symbol" w:hint="default"/>
      </w:rPr>
    </w:lvl>
    <w:lvl w:ilvl="1" w:tplc="575CE84C">
      <w:start w:val="1"/>
      <w:numFmt w:val="bullet"/>
      <w:lvlText w:val="o"/>
      <w:lvlJc w:val="left"/>
      <w:pPr>
        <w:ind w:left="2148" w:hanging="360"/>
      </w:pPr>
      <w:rPr>
        <w:rFonts w:ascii="Courier New" w:hAnsi="Courier New" w:cs="Courier New" w:hint="default"/>
      </w:rPr>
    </w:lvl>
    <w:lvl w:ilvl="2" w:tplc="27F43E68">
      <w:start w:val="1"/>
      <w:numFmt w:val="bullet"/>
      <w:lvlText w:val=""/>
      <w:lvlJc w:val="left"/>
      <w:pPr>
        <w:ind w:left="2868" w:hanging="360"/>
      </w:pPr>
      <w:rPr>
        <w:rFonts w:ascii="Wingdings" w:hAnsi="Wingdings" w:hint="default"/>
      </w:rPr>
    </w:lvl>
    <w:lvl w:ilvl="3" w:tplc="6BEA662E">
      <w:start w:val="1"/>
      <w:numFmt w:val="bullet"/>
      <w:lvlText w:val=""/>
      <w:lvlJc w:val="left"/>
      <w:pPr>
        <w:ind w:left="3588" w:hanging="360"/>
      </w:pPr>
      <w:rPr>
        <w:rFonts w:ascii="Symbol" w:hAnsi="Symbol" w:hint="default"/>
      </w:rPr>
    </w:lvl>
    <w:lvl w:ilvl="4" w:tplc="64A80DBE">
      <w:start w:val="1"/>
      <w:numFmt w:val="bullet"/>
      <w:lvlText w:val="o"/>
      <w:lvlJc w:val="left"/>
      <w:pPr>
        <w:ind w:left="4308" w:hanging="360"/>
      </w:pPr>
      <w:rPr>
        <w:rFonts w:ascii="Courier New" w:hAnsi="Courier New" w:cs="Courier New" w:hint="default"/>
      </w:rPr>
    </w:lvl>
    <w:lvl w:ilvl="5" w:tplc="AE58F438">
      <w:start w:val="1"/>
      <w:numFmt w:val="bullet"/>
      <w:lvlText w:val=""/>
      <w:lvlJc w:val="left"/>
      <w:pPr>
        <w:ind w:left="5028" w:hanging="360"/>
      </w:pPr>
      <w:rPr>
        <w:rFonts w:ascii="Wingdings" w:hAnsi="Wingdings" w:hint="default"/>
      </w:rPr>
    </w:lvl>
    <w:lvl w:ilvl="6" w:tplc="B234EC7A">
      <w:start w:val="1"/>
      <w:numFmt w:val="bullet"/>
      <w:lvlText w:val=""/>
      <w:lvlJc w:val="left"/>
      <w:pPr>
        <w:ind w:left="5748" w:hanging="360"/>
      </w:pPr>
      <w:rPr>
        <w:rFonts w:ascii="Symbol" w:hAnsi="Symbol" w:hint="default"/>
      </w:rPr>
    </w:lvl>
    <w:lvl w:ilvl="7" w:tplc="82B25206">
      <w:start w:val="1"/>
      <w:numFmt w:val="bullet"/>
      <w:lvlText w:val="o"/>
      <w:lvlJc w:val="left"/>
      <w:pPr>
        <w:ind w:left="6468" w:hanging="360"/>
      </w:pPr>
      <w:rPr>
        <w:rFonts w:ascii="Courier New" w:hAnsi="Courier New" w:cs="Courier New" w:hint="default"/>
      </w:rPr>
    </w:lvl>
    <w:lvl w:ilvl="8" w:tplc="28082C5C">
      <w:start w:val="1"/>
      <w:numFmt w:val="bullet"/>
      <w:lvlText w:val=""/>
      <w:lvlJc w:val="left"/>
      <w:pPr>
        <w:ind w:left="7188" w:hanging="360"/>
      </w:pPr>
      <w:rPr>
        <w:rFonts w:ascii="Wingdings" w:hAnsi="Wingdings" w:hint="default"/>
      </w:rPr>
    </w:lvl>
  </w:abstractNum>
  <w:abstractNum w:abstractNumId="123">
    <w:nsid w:val="65177BDF"/>
    <w:multiLevelType w:val="hybridMultilevel"/>
    <w:tmpl w:val="F31C0280"/>
    <w:lvl w:ilvl="0" w:tplc="04190019">
      <w:start w:val="1"/>
      <w:numFmt w:val="bullet"/>
      <w:lvlText w:val="o"/>
      <w:lvlJc w:val="left"/>
      <w:pPr>
        <w:ind w:left="720" w:hanging="360"/>
      </w:pPr>
      <w:rPr>
        <w:rFonts w:ascii="Courier New" w:hAnsi="Courier New" w:cs="Courier New"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4">
    <w:nsid w:val="65582988"/>
    <w:multiLevelType w:val="hybridMultilevel"/>
    <w:tmpl w:val="DF66F51E"/>
    <w:lvl w:ilvl="0" w:tplc="74FC6A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5">
    <w:nsid w:val="65CF037B"/>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6">
    <w:nsid w:val="66604AEC"/>
    <w:multiLevelType w:val="multilevel"/>
    <w:tmpl w:val="E6167B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66FD52BA"/>
    <w:multiLevelType w:val="hybridMultilevel"/>
    <w:tmpl w:val="FFFAC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671306B1"/>
    <w:multiLevelType w:val="hybridMultilevel"/>
    <w:tmpl w:val="E6B2E90C"/>
    <w:lvl w:ilvl="0" w:tplc="ABD47114">
      <w:start w:val="1"/>
      <w:numFmt w:val="bullet"/>
      <w:lvlText w:val=""/>
      <w:lvlJc w:val="left"/>
      <w:pPr>
        <w:tabs>
          <w:tab w:val="num" w:pos="1021"/>
        </w:tabs>
        <w:ind w:left="102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9">
    <w:nsid w:val="67EA47E3"/>
    <w:multiLevelType w:val="multilevel"/>
    <w:tmpl w:val="2CDC7C2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0">
    <w:nsid w:val="67F628E0"/>
    <w:multiLevelType w:val="hybridMultilevel"/>
    <w:tmpl w:val="91AAD19C"/>
    <w:lvl w:ilvl="0" w:tplc="04190019">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688468BB"/>
    <w:multiLevelType w:val="hybridMultilevel"/>
    <w:tmpl w:val="3F5AC3C2"/>
    <w:lvl w:ilvl="0" w:tplc="9F922CDA">
      <w:start w:val="1"/>
      <w:numFmt w:val="bullet"/>
      <w:lvlText w:val=""/>
      <w:lvlJc w:val="left"/>
      <w:pPr>
        <w:ind w:left="1428" w:hanging="360"/>
      </w:pPr>
      <w:rPr>
        <w:rFonts w:ascii="Symbol" w:hAnsi="Symbol" w:hint="default"/>
      </w:rPr>
    </w:lvl>
    <w:lvl w:ilvl="1" w:tplc="F2147832">
      <w:start w:val="1"/>
      <w:numFmt w:val="bullet"/>
      <w:lvlText w:val="o"/>
      <w:lvlJc w:val="left"/>
      <w:pPr>
        <w:ind w:left="2148" w:hanging="360"/>
      </w:pPr>
      <w:rPr>
        <w:rFonts w:ascii="Courier New" w:hAnsi="Courier New" w:cs="Courier New" w:hint="default"/>
      </w:rPr>
    </w:lvl>
    <w:lvl w:ilvl="2" w:tplc="83467EFA">
      <w:start w:val="1"/>
      <w:numFmt w:val="bullet"/>
      <w:lvlText w:val=""/>
      <w:lvlJc w:val="left"/>
      <w:pPr>
        <w:ind w:left="2868" w:hanging="360"/>
      </w:pPr>
      <w:rPr>
        <w:rFonts w:ascii="Wingdings" w:hAnsi="Wingdings" w:hint="default"/>
      </w:rPr>
    </w:lvl>
    <w:lvl w:ilvl="3" w:tplc="A89E58B0">
      <w:start w:val="1"/>
      <w:numFmt w:val="bullet"/>
      <w:lvlText w:val=""/>
      <w:lvlJc w:val="left"/>
      <w:pPr>
        <w:ind w:left="3588" w:hanging="360"/>
      </w:pPr>
      <w:rPr>
        <w:rFonts w:ascii="Symbol" w:hAnsi="Symbol" w:hint="default"/>
      </w:rPr>
    </w:lvl>
    <w:lvl w:ilvl="4" w:tplc="E58CD5B2">
      <w:start w:val="1"/>
      <w:numFmt w:val="bullet"/>
      <w:lvlText w:val="o"/>
      <w:lvlJc w:val="left"/>
      <w:pPr>
        <w:ind w:left="4308" w:hanging="360"/>
      </w:pPr>
      <w:rPr>
        <w:rFonts w:ascii="Courier New" w:hAnsi="Courier New" w:cs="Courier New" w:hint="default"/>
      </w:rPr>
    </w:lvl>
    <w:lvl w:ilvl="5" w:tplc="C14038A0">
      <w:start w:val="1"/>
      <w:numFmt w:val="bullet"/>
      <w:lvlText w:val=""/>
      <w:lvlJc w:val="left"/>
      <w:pPr>
        <w:ind w:left="5028" w:hanging="360"/>
      </w:pPr>
      <w:rPr>
        <w:rFonts w:ascii="Wingdings" w:hAnsi="Wingdings" w:hint="default"/>
      </w:rPr>
    </w:lvl>
    <w:lvl w:ilvl="6" w:tplc="E1A2B50A">
      <w:start w:val="1"/>
      <w:numFmt w:val="bullet"/>
      <w:lvlText w:val=""/>
      <w:lvlJc w:val="left"/>
      <w:pPr>
        <w:ind w:left="5748" w:hanging="360"/>
      </w:pPr>
      <w:rPr>
        <w:rFonts w:ascii="Symbol" w:hAnsi="Symbol" w:hint="default"/>
      </w:rPr>
    </w:lvl>
    <w:lvl w:ilvl="7" w:tplc="BDF62C10">
      <w:start w:val="1"/>
      <w:numFmt w:val="bullet"/>
      <w:lvlText w:val="o"/>
      <w:lvlJc w:val="left"/>
      <w:pPr>
        <w:ind w:left="6468" w:hanging="360"/>
      </w:pPr>
      <w:rPr>
        <w:rFonts w:ascii="Courier New" w:hAnsi="Courier New" w:cs="Courier New" w:hint="default"/>
      </w:rPr>
    </w:lvl>
    <w:lvl w:ilvl="8" w:tplc="A7804AAE">
      <w:start w:val="1"/>
      <w:numFmt w:val="bullet"/>
      <w:lvlText w:val=""/>
      <w:lvlJc w:val="left"/>
      <w:pPr>
        <w:ind w:left="7188" w:hanging="360"/>
      </w:pPr>
      <w:rPr>
        <w:rFonts w:ascii="Wingdings" w:hAnsi="Wingdings" w:hint="default"/>
      </w:rPr>
    </w:lvl>
  </w:abstractNum>
  <w:abstractNum w:abstractNumId="132">
    <w:nsid w:val="69467160"/>
    <w:multiLevelType w:val="hybridMultilevel"/>
    <w:tmpl w:val="9ACAC5AA"/>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3">
    <w:nsid w:val="698D0AC0"/>
    <w:multiLevelType w:val="hybridMultilevel"/>
    <w:tmpl w:val="11E85E7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34">
    <w:nsid w:val="69995AA4"/>
    <w:multiLevelType w:val="hybridMultilevel"/>
    <w:tmpl w:val="34E0D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6A080F88"/>
    <w:multiLevelType w:val="hybridMultilevel"/>
    <w:tmpl w:val="32426FF2"/>
    <w:lvl w:ilvl="0" w:tplc="04190001">
      <w:start w:val="1"/>
      <w:numFmt w:val="bullet"/>
      <w:lvlText w:val=""/>
      <w:lvlJc w:val="left"/>
      <w:pPr>
        <w:ind w:left="2123" w:hanging="705"/>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6A150589"/>
    <w:multiLevelType w:val="hybridMultilevel"/>
    <w:tmpl w:val="296EBB5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6AFF0605"/>
    <w:multiLevelType w:val="hybridMultilevel"/>
    <w:tmpl w:val="9F60A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6B1C6952"/>
    <w:multiLevelType w:val="hybridMultilevel"/>
    <w:tmpl w:val="61128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6B8A6239"/>
    <w:multiLevelType w:val="hybridMultilevel"/>
    <w:tmpl w:val="C98A5186"/>
    <w:lvl w:ilvl="0" w:tplc="14B253BC">
      <w:start w:val="1"/>
      <w:numFmt w:val="decimal"/>
      <w:lvlText w:val="%1."/>
      <w:lvlJc w:val="left"/>
      <w:pPr>
        <w:ind w:left="720" w:hanging="360"/>
      </w:pPr>
    </w:lvl>
    <w:lvl w:ilvl="1" w:tplc="C9C070F0">
      <w:start w:val="1"/>
      <w:numFmt w:val="lowerLetter"/>
      <w:lvlText w:val="%2."/>
      <w:lvlJc w:val="left"/>
      <w:pPr>
        <w:ind w:left="1440" w:hanging="360"/>
      </w:pPr>
    </w:lvl>
    <w:lvl w:ilvl="2" w:tplc="426694A8">
      <w:start w:val="1"/>
      <w:numFmt w:val="lowerRoman"/>
      <w:lvlText w:val="%3."/>
      <w:lvlJc w:val="right"/>
      <w:pPr>
        <w:ind w:left="2160" w:hanging="180"/>
      </w:pPr>
    </w:lvl>
    <w:lvl w:ilvl="3" w:tplc="8056D128">
      <w:start w:val="1"/>
      <w:numFmt w:val="decimal"/>
      <w:lvlText w:val="%4."/>
      <w:lvlJc w:val="left"/>
      <w:pPr>
        <w:ind w:left="2880" w:hanging="360"/>
      </w:pPr>
    </w:lvl>
    <w:lvl w:ilvl="4" w:tplc="A37C7988">
      <w:start w:val="1"/>
      <w:numFmt w:val="lowerLetter"/>
      <w:lvlText w:val="%5."/>
      <w:lvlJc w:val="left"/>
      <w:pPr>
        <w:ind w:left="3600" w:hanging="360"/>
      </w:pPr>
    </w:lvl>
    <w:lvl w:ilvl="5" w:tplc="BF107EBA">
      <w:start w:val="1"/>
      <w:numFmt w:val="lowerRoman"/>
      <w:lvlText w:val="%6."/>
      <w:lvlJc w:val="right"/>
      <w:pPr>
        <w:ind w:left="4320" w:hanging="180"/>
      </w:pPr>
    </w:lvl>
    <w:lvl w:ilvl="6" w:tplc="2DE86E94">
      <w:start w:val="1"/>
      <w:numFmt w:val="decimal"/>
      <w:lvlText w:val="%7."/>
      <w:lvlJc w:val="left"/>
      <w:pPr>
        <w:ind w:left="5040" w:hanging="360"/>
      </w:pPr>
    </w:lvl>
    <w:lvl w:ilvl="7" w:tplc="B3F41C1E">
      <w:start w:val="1"/>
      <w:numFmt w:val="lowerLetter"/>
      <w:lvlText w:val="%8."/>
      <w:lvlJc w:val="left"/>
      <w:pPr>
        <w:ind w:left="5760" w:hanging="360"/>
      </w:pPr>
    </w:lvl>
    <w:lvl w:ilvl="8" w:tplc="EC54FF5C">
      <w:start w:val="1"/>
      <w:numFmt w:val="lowerRoman"/>
      <w:lvlText w:val="%9."/>
      <w:lvlJc w:val="right"/>
      <w:pPr>
        <w:ind w:left="6480" w:hanging="180"/>
      </w:pPr>
    </w:lvl>
  </w:abstractNum>
  <w:abstractNum w:abstractNumId="140">
    <w:nsid w:val="6C3E4540"/>
    <w:multiLevelType w:val="hybridMultilevel"/>
    <w:tmpl w:val="24C281A4"/>
    <w:lvl w:ilvl="0" w:tplc="93E8D1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1">
    <w:nsid w:val="6CF711F5"/>
    <w:multiLevelType w:val="hybridMultilevel"/>
    <w:tmpl w:val="3FB8D84A"/>
    <w:lvl w:ilvl="0" w:tplc="0E60B5AE">
      <w:start w:val="1"/>
      <w:numFmt w:val="bullet"/>
      <w:lvlText w:val=""/>
      <w:lvlJc w:val="left"/>
      <w:pPr>
        <w:ind w:left="1080" w:hanging="360"/>
      </w:pPr>
      <w:rPr>
        <w:rFonts w:ascii="Symbol" w:hAnsi="Symbol" w:hint="default"/>
      </w:rPr>
    </w:lvl>
    <w:lvl w:ilvl="1" w:tplc="7A7E9E72">
      <w:start w:val="1"/>
      <w:numFmt w:val="bullet"/>
      <w:lvlText w:val="o"/>
      <w:lvlJc w:val="left"/>
      <w:pPr>
        <w:ind w:left="1800" w:hanging="360"/>
      </w:pPr>
      <w:rPr>
        <w:rFonts w:ascii="Courier New" w:hAnsi="Courier New" w:cs="Courier New" w:hint="default"/>
      </w:rPr>
    </w:lvl>
    <w:lvl w:ilvl="2" w:tplc="FD5696C2">
      <w:start w:val="1"/>
      <w:numFmt w:val="bullet"/>
      <w:lvlText w:val=""/>
      <w:lvlJc w:val="left"/>
      <w:pPr>
        <w:ind w:left="2520" w:hanging="360"/>
      </w:pPr>
      <w:rPr>
        <w:rFonts w:ascii="Wingdings" w:hAnsi="Wingdings" w:hint="default"/>
      </w:rPr>
    </w:lvl>
    <w:lvl w:ilvl="3" w:tplc="2F44A216">
      <w:start w:val="1"/>
      <w:numFmt w:val="bullet"/>
      <w:lvlText w:val=""/>
      <w:lvlJc w:val="left"/>
      <w:pPr>
        <w:ind w:left="3240" w:hanging="360"/>
      </w:pPr>
      <w:rPr>
        <w:rFonts w:ascii="Symbol" w:hAnsi="Symbol" w:hint="default"/>
      </w:rPr>
    </w:lvl>
    <w:lvl w:ilvl="4" w:tplc="9ECA2EA2">
      <w:start w:val="1"/>
      <w:numFmt w:val="bullet"/>
      <w:lvlText w:val="o"/>
      <w:lvlJc w:val="left"/>
      <w:pPr>
        <w:ind w:left="3960" w:hanging="360"/>
      </w:pPr>
      <w:rPr>
        <w:rFonts w:ascii="Courier New" w:hAnsi="Courier New" w:cs="Courier New" w:hint="default"/>
      </w:rPr>
    </w:lvl>
    <w:lvl w:ilvl="5" w:tplc="4A60B510">
      <w:start w:val="1"/>
      <w:numFmt w:val="bullet"/>
      <w:lvlText w:val=""/>
      <w:lvlJc w:val="left"/>
      <w:pPr>
        <w:ind w:left="4680" w:hanging="360"/>
      </w:pPr>
      <w:rPr>
        <w:rFonts w:ascii="Wingdings" w:hAnsi="Wingdings" w:hint="default"/>
      </w:rPr>
    </w:lvl>
    <w:lvl w:ilvl="6" w:tplc="9826769A">
      <w:start w:val="1"/>
      <w:numFmt w:val="bullet"/>
      <w:lvlText w:val=""/>
      <w:lvlJc w:val="left"/>
      <w:pPr>
        <w:ind w:left="5400" w:hanging="360"/>
      </w:pPr>
      <w:rPr>
        <w:rFonts w:ascii="Symbol" w:hAnsi="Symbol" w:hint="default"/>
      </w:rPr>
    </w:lvl>
    <w:lvl w:ilvl="7" w:tplc="6E52C570">
      <w:start w:val="1"/>
      <w:numFmt w:val="bullet"/>
      <w:lvlText w:val="o"/>
      <w:lvlJc w:val="left"/>
      <w:pPr>
        <w:ind w:left="6120" w:hanging="360"/>
      </w:pPr>
      <w:rPr>
        <w:rFonts w:ascii="Courier New" w:hAnsi="Courier New" w:cs="Courier New" w:hint="default"/>
      </w:rPr>
    </w:lvl>
    <w:lvl w:ilvl="8" w:tplc="DC286868">
      <w:start w:val="1"/>
      <w:numFmt w:val="bullet"/>
      <w:lvlText w:val=""/>
      <w:lvlJc w:val="left"/>
      <w:pPr>
        <w:ind w:left="6840" w:hanging="360"/>
      </w:pPr>
      <w:rPr>
        <w:rFonts w:ascii="Wingdings" w:hAnsi="Wingdings" w:hint="default"/>
      </w:rPr>
    </w:lvl>
  </w:abstractNum>
  <w:abstractNum w:abstractNumId="142">
    <w:nsid w:val="6E2F5B77"/>
    <w:multiLevelType w:val="hybridMultilevel"/>
    <w:tmpl w:val="EF485116"/>
    <w:lvl w:ilvl="0" w:tplc="F458981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3">
    <w:nsid w:val="6E685C1F"/>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4">
    <w:nsid w:val="6F3D3CD7"/>
    <w:multiLevelType w:val="hybridMultilevel"/>
    <w:tmpl w:val="8FE23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701823E6"/>
    <w:multiLevelType w:val="hybridMultilevel"/>
    <w:tmpl w:val="6E6C85F2"/>
    <w:lvl w:ilvl="0" w:tplc="AD4E38F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6">
    <w:nsid w:val="706F1B80"/>
    <w:multiLevelType w:val="multilevel"/>
    <w:tmpl w:val="756A0006"/>
    <w:lvl w:ilvl="0">
      <w:start w:val="1"/>
      <w:numFmt w:val="decimal"/>
      <w:lvlText w:val="%1."/>
      <w:lvlJc w:val="left"/>
      <w:pPr>
        <w:ind w:left="2345" w:hanging="360"/>
      </w:pPr>
      <w:rPr>
        <w:rFonts w:hint="default"/>
        <w:b/>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425" w:hanging="144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147">
    <w:nsid w:val="71C5594A"/>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8">
    <w:nsid w:val="71CD2366"/>
    <w:multiLevelType w:val="hybridMultilevel"/>
    <w:tmpl w:val="649E734A"/>
    <w:lvl w:ilvl="0" w:tplc="385EF938">
      <w:start w:val="200"/>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73857C0E"/>
    <w:multiLevelType w:val="hybridMultilevel"/>
    <w:tmpl w:val="ED986C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0">
    <w:nsid w:val="745A7484"/>
    <w:multiLevelType w:val="hybridMultilevel"/>
    <w:tmpl w:val="59B87F6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755916CC"/>
    <w:multiLevelType w:val="multilevel"/>
    <w:tmpl w:val="9EBE58A8"/>
    <w:lvl w:ilvl="0">
      <w:start w:val="7"/>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2">
    <w:nsid w:val="75936845"/>
    <w:multiLevelType w:val="hybridMultilevel"/>
    <w:tmpl w:val="69E850B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75CA08C5"/>
    <w:multiLevelType w:val="hybridMultilevel"/>
    <w:tmpl w:val="35BA7E84"/>
    <w:lvl w:ilvl="0" w:tplc="ABD47114">
      <w:start w:val="1"/>
      <w:numFmt w:val="bullet"/>
      <w:lvlText w:val=""/>
      <w:lvlJc w:val="left"/>
      <w:pPr>
        <w:tabs>
          <w:tab w:val="num" w:pos="1021"/>
        </w:tabs>
        <w:ind w:left="102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4">
    <w:nsid w:val="760F7789"/>
    <w:multiLevelType w:val="hybridMultilevel"/>
    <w:tmpl w:val="E8AA549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5">
    <w:nsid w:val="76E9193A"/>
    <w:multiLevelType w:val="hybridMultilevel"/>
    <w:tmpl w:val="E392EA1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6">
    <w:nsid w:val="76ED45EA"/>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7">
    <w:nsid w:val="79295B81"/>
    <w:multiLevelType w:val="hybridMultilevel"/>
    <w:tmpl w:val="384AF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79591414"/>
    <w:multiLevelType w:val="multilevel"/>
    <w:tmpl w:val="E8DCD02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nsid w:val="7A821604"/>
    <w:multiLevelType w:val="multilevel"/>
    <w:tmpl w:val="41EA2934"/>
    <w:lvl w:ilvl="0">
      <w:start w:val="1"/>
      <w:numFmt w:val="decimal"/>
      <w:lvlText w:val="%1."/>
      <w:lvlJc w:val="left"/>
      <w:pPr>
        <w:ind w:left="720" w:hanging="360"/>
      </w:pPr>
      <w:rPr>
        <w:rFonts w:hint="default"/>
      </w:rPr>
    </w:lvl>
    <w:lvl w:ilvl="1">
      <w:start w:val="2"/>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0">
    <w:nsid w:val="7B222A82"/>
    <w:multiLevelType w:val="hybridMultilevel"/>
    <w:tmpl w:val="E9DAEA2C"/>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1">
    <w:nsid w:val="7D352FBE"/>
    <w:multiLevelType w:val="hybridMultilevel"/>
    <w:tmpl w:val="BD1EB832"/>
    <w:lvl w:ilvl="0" w:tplc="04190001">
      <w:start w:val="1"/>
      <w:numFmt w:val="bullet"/>
      <w:lvlText w:val=""/>
      <w:lvlJc w:val="left"/>
      <w:pPr>
        <w:ind w:left="705" w:hanging="705"/>
      </w:pPr>
      <w:rPr>
        <w:rFonts w:ascii="Symbol" w:hAnsi="Symbol" w:hint="default"/>
      </w:rPr>
    </w:lvl>
    <w:lvl w:ilvl="1" w:tplc="04190001">
      <w:start w:val="1"/>
      <w:numFmt w:val="bullet"/>
      <w:lvlText w:val=""/>
      <w:lvlJc w:val="left"/>
      <w:pPr>
        <w:ind w:left="1080" w:hanging="360"/>
      </w:pPr>
      <w:rPr>
        <w:rFonts w:ascii="Symbol" w:hAnsi="Symbol"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2">
    <w:nsid w:val="7DBA29FE"/>
    <w:multiLevelType w:val="hybridMultilevel"/>
    <w:tmpl w:val="CDDCE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7E500A27"/>
    <w:multiLevelType w:val="hybridMultilevel"/>
    <w:tmpl w:val="55262B30"/>
    <w:lvl w:ilvl="0" w:tplc="ABD47114">
      <w:start w:val="1"/>
      <w:numFmt w:val="bullet"/>
      <w:lvlText w:val=""/>
      <w:lvlJc w:val="left"/>
      <w:pPr>
        <w:tabs>
          <w:tab w:val="num" w:pos="1021"/>
        </w:tabs>
        <w:ind w:left="102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4">
    <w:nsid w:val="7F3D118A"/>
    <w:multiLevelType w:val="hybridMultilevel"/>
    <w:tmpl w:val="2D1AA742"/>
    <w:lvl w:ilvl="0" w:tplc="04190001">
      <w:start w:val="1"/>
      <w:numFmt w:val="bullet"/>
      <w:lvlText w:val=""/>
      <w:lvlJc w:val="left"/>
      <w:pPr>
        <w:ind w:left="2123" w:hanging="705"/>
      </w:pPr>
      <w:rPr>
        <w:rFonts w:ascii="Symbol" w:hAnsi="Symbol" w:hint="default"/>
      </w:rPr>
    </w:lvl>
    <w:lvl w:ilvl="1" w:tplc="BC0A5420">
      <w:numFmt w:val="bullet"/>
      <w:lvlText w:val="•"/>
      <w:lvlJc w:val="left"/>
      <w:pPr>
        <w:ind w:left="2494" w:hanging="705"/>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5"/>
  </w:num>
  <w:num w:numId="2">
    <w:abstractNumId w:val="161"/>
  </w:num>
  <w:num w:numId="3">
    <w:abstractNumId w:val="164"/>
  </w:num>
  <w:num w:numId="4">
    <w:abstractNumId w:val="51"/>
  </w:num>
  <w:num w:numId="5">
    <w:abstractNumId w:val="85"/>
  </w:num>
  <w:num w:numId="6">
    <w:abstractNumId w:val="154"/>
  </w:num>
  <w:num w:numId="7">
    <w:abstractNumId w:val="1"/>
  </w:num>
  <w:num w:numId="8">
    <w:abstractNumId w:val="6"/>
  </w:num>
  <w:num w:numId="9">
    <w:abstractNumId w:val="55"/>
  </w:num>
  <w:num w:numId="10">
    <w:abstractNumId w:val="13"/>
  </w:num>
  <w:num w:numId="11">
    <w:abstractNumId w:val="120"/>
  </w:num>
  <w:num w:numId="12">
    <w:abstractNumId w:val="97"/>
  </w:num>
  <w:num w:numId="13">
    <w:abstractNumId w:val="107"/>
  </w:num>
  <w:num w:numId="14">
    <w:abstractNumId w:val="95"/>
  </w:num>
  <w:num w:numId="15">
    <w:abstractNumId w:val="14"/>
  </w:num>
  <w:num w:numId="16">
    <w:abstractNumId w:val="90"/>
  </w:num>
  <w:num w:numId="17">
    <w:abstractNumId w:val="41"/>
  </w:num>
  <w:num w:numId="18">
    <w:abstractNumId w:val="61"/>
  </w:num>
  <w:num w:numId="19">
    <w:abstractNumId w:val="28"/>
  </w:num>
  <w:num w:numId="20">
    <w:abstractNumId w:val="10"/>
  </w:num>
  <w:num w:numId="21">
    <w:abstractNumId w:val="123"/>
  </w:num>
  <w:num w:numId="22">
    <w:abstractNumId w:val="43"/>
  </w:num>
  <w:num w:numId="23">
    <w:abstractNumId w:val="106"/>
  </w:num>
  <w:num w:numId="24">
    <w:abstractNumId w:val="132"/>
  </w:num>
  <w:num w:numId="25">
    <w:abstractNumId w:val="101"/>
  </w:num>
  <w:num w:numId="26">
    <w:abstractNumId w:val="48"/>
  </w:num>
  <w:num w:numId="27">
    <w:abstractNumId w:val="30"/>
  </w:num>
  <w:num w:numId="28">
    <w:abstractNumId w:val="103"/>
  </w:num>
  <w:num w:numId="29">
    <w:abstractNumId w:val="98"/>
  </w:num>
  <w:num w:numId="30">
    <w:abstractNumId w:val="27"/>
  </w:num>
  <w:num w:numId="31">
    <w:abstractNumId w:val="15"/>
  </w:num>
  <w:num w:numId="32">
    <w:abstractNumId w:val="160"/>
  </w:num>
  <w:num w:numId="33">
    <w:abstractNumId w:val="72"/>
  </w:num>
  <w:num w:numId="34">
    <w:abstractNumId w:val="70"/>
  </w:num>
  <w:num w:numId="35">
    <w:abstractNumId w:val="147"/>
  </w:num>
  <w:num w:numId="36">
    <w:abstractNumId w:val="111"/>
  </w:num>
  <w:num w:numId="37">
    <w:abstractNumId w:val="143"/>
  </w:num>
  <w:num w:numId="38">
    <w:abstractNumId w:val="156"/>
  </w:num>
  <w:num w:numId="39">
    <w:abstractNumId w:val="110"/>
  </w:num>
  <w:num w:numId="40">
    <w:abstractNumId w:val="84"/>
  </w:num>
  <w:num w:numId="41">
    <w:abstractNumId w:val="121"/>
  </w:num>
  <w:num w:numId="42">
    <w:abstractNumId w:val="20"/>
  </w:num>
  <w:num w:numId="43">
    <w:abstractNumId w:val="23"/>
  </w:num>
  <w:num w:numId="44">
    <w:abstractNumId w:val="125"/>
  </w:num>
  <w:num w:numId="45">
    <w:abstractNumId w:val="129"/>
  </w:num>
  <w:num w:numId="46">
    <w:abstractNumId w:val="74"/>
  </w:num>
  <w:num w:numId="47">
    <w:abstractNumId w:val="36"/>
  </w:num>
  <w:num w:numId="48">
    <w:abstractNumId w:val="130"/>
  </w:num>
  <w:num w:numId="49">
    <w:abstractNumId w:val="19"/>
  </w:num>
  <w:num w:numId="50">
    <w:abstractNumId w:val="9"/>
  </w:num>
  <w:num w:numId="51">
    <w:abstractNumId w:val="11"/>
  </w:num>
  <w:num w:numId="52">
    <w:abstractNumId w:val="7"/>
  </w:num>
  <w:num w:numId="53">
    <w:abstractNumId w:val="12"/>
  </w:num>
  <w:num w:numId="54">
    <w:abstractNumId w:val="89"/>
  </w:num>
  <w:num w:numId="55">
    <w:abstractNumId w:val="47"/>
  </w:num>
  <w:num w:numId="56">
    <w:abstractNumId w:val="50"/>
  </w:num>
  <w:num w:numId="57">
    <w:abstractNumId w:val="75"/>
  </w:num>
  <w:num w:numId="58">
    <w:abstractNumId w:val="60"/>
  </w:num>
  <w:num w:numId="59">
    <w:abstractNumId w:val="85"/>
  </w:num>
  <w:num w:numId="60">
    <w:abstractNumId w:val="62"/>
  </w:num>
  <w:num w:numId="61">
    <w:abstractNumId w:val="146"/>
  </w:num>
  <w:num w:numId="62">
    <w:abstractNumId w:val="39"/>
  </w:num>
  <w:num w:numId="63">
    <w:abstractNumId w:val="91"/>
  </w:num>
  <w:num w:numId="64">
    <w:abstractNumId w:val="18"/>
  </w:num>
  <w:num w:numId="65">
    <w:abstractNumId w:val="69"/>
  </w:num>
  <w:num w:numId="66">
    <w:abstractNumId w:val="8"/>
  </w:num>
  <w:num w:numId="67">
    <w:abstractNumId w:val="53"/>
  </w:num>
  <w:num w:numId="68">
    <w:abstractNumId w:val="140"/>
  </w:num>
  <w:num w:numId="69">
    <w:abstractNumId w:val="80"/>
  </w:num>
  <w:num w:numId="70">
    <w:abstractNumId w:val="127"/>
  </w:num>
  <w:num w:numId="71">
    <w:abstractNumId w:val="116"/>
  </w:num>
  <w:num w:numId="72">
    <w:abstractNumId w:val="78"/>
  </w:num>
  <w:num w:numId="73">
    <w:abstractNumId w:val="145"/>
  </w:num>
  <w:num w:numId="74">
    <w:abstractNumId w:val="157"/>
  </w:num>
  <w:num w:numId="75">
    <w:abstractNumId w:val="96"/>
  </w:num>
  <w:num w:numId="76">
    <w:abstractNumId w:val="155"/>
  </w:num>
  <w:num w:numId="77">
    <w:abstractNumId w:val="16"/>
  </w:num>
  <w:num w:numId="78">
    <w:abstractNumId w:val="138"/>
  </w:num>
  <w:num w:numId="79">
    <w:abstractNumId w:val="45"/>
  </w:num>
  <w:num w:numId="80">
    <w:abstractNumId w:val="21"/>
  </w:num>
  <w:num w:numId="81">
    <w:abstractNumId w:val="59"/>
  </w:num>
  <w:num w:numId="82">
    <w:abstractNumId w:val="56"/>
  </w:num>
  <w:num w:numId="83">
    <w:abstractNumId w:val="158"/>
  </w:num>
  <w:num w:numId="84">
    <w:abstractNumId w:val="58"/>
  </w:num>
  <w:num w:numId="85">
    <w:abstractNumId w:val="42"/>
  </w:num>
  <w:num w:numId="86">
    <w:abstractNumId w:val="33"/>
  </w:num>
  <w:num w:numId="87">
    <w:abstractNumId w:val="137"/>
  </w:num>
  <w:num w:numId="88">
    <w:abstractNumId w:val="149"/>
  </w:num>
  <w:num w:numId="89">
    <w:abstractNumId w:val="114"/>
  </w:num>
  <w:num w:numId="90">
    <w:abstractNumId w:val="142"/>
  </w:num>
  <w:num w:numId="91">
    <w:abstractNumId w:val="144"/>
  </w:num>
  <w:num w:numId="92">
    <w:abstractNumId w:val="71"/>
  </w:num>
  <w:num w:numId="93">
    <w:abstractNumId w:val="37"/>
  </w:num>
  <w:num w:numId="94">
    <w:abstractNumId w:val="102"/>
  </w:num>
  <w:num w:numId="95">
    <w:abstractNumId w:val="119"/>
  </w:num>
  <w:num w:numId="96">
    <w:abstractNumId w:val="141"/>
  </w:num>
  <w:num w:numId="97">
    <w:abstractNumId w:val="131"/>
  </w:num>
  <w:num w:numId="98">
    <w:abstractNumId w:val="52"/>
  </w:num>
  <w:num w:numId="99">
    <w:abstractNumId w:val="113"/>
  </w:num>
  <w:num w:numId="100">
    <w:abstractNumId w:val="122"/>
  </w:num>
  <w:num w:numId="101">
    <w:abstractNumId w:val="139"/>
  </w:num>
  <w:num w:numId="102">
    <w:abstractNumId w:val="105"/>
  </w:num>
  <w:num w:numId="103">
    <w:abstractNumId w:val="25"/>
  </w:num>
  <w:num w:numId="104">
    <w:abstractNumId w:val="159"/>
  </w:num>
  <w:num w:numId="105">
    <w:abstractNumId w:val="100"/>
  </w:num>
  <w:num w:numId="106">
    <w:abstractNumId w:val="118"/>
  </w:num>
  <w:num w:numId="107">
    <w:abstractNumId w:val="79"/>
  </w:num>
  <w:num w:numId="108">
    <w:abstractNumId w:val="46"/>
  </w:num>
  <w:num w:numId="109">
    <w:abstractNumId w:val="22"/>
  </w:num>
  <w:num w:numId="110">
    <w:abstractNumId w:val="87"/>
  </w:num>
  <w:num w:numId="111">
    <w:abstractNumId w:val="112"/>
  </w:num>
  <w:num w:numId="112">
    <w:abstractNumId w:val="26"/>
  </w:num>
  <w:num w:numId="113">
    <w:abstractNumId w:val="126"/>
  </w:num>
  <w:num w:numId="114">
    <w:abstractNumId w:val="151"/>
  </w:num>
  <w:num w:numId="115">
    <w:abstractNumId w:val="99"/>
  </w:num>
  <w:num w:numId="116">
    <w:abstractNumId w:val="57"/>
  </w:num>
  <w:num w:numId="117">
    <w:abstractNumId w:val="109"/>
  </w:num>
  <w:num w:numId="118">
    <w:abstractNumId w:val="64"/>
  </w:num>
  <w:num w:numId="119">
    <w:abstractNumId w:val="24"/>
  </w:num>
  <w:num w:numId="120">
    <w:abstractNumId w:val="32"/>
  </w:num>
  <w:num w:numId="121">
    <w:abstractNumId w:val="153"/>
  </w:num>
  <w:num w:numId="122">
    <w:abstractNumId w:val="128"/>
  </w:num>
  <w:num w:numId="123">
    <w:abstractNumId w:val="163"/>
  </w:num>
  <w:num w:numId="124">
    <w:abstractNumId w:val="63"/>
  </w:num>
  <w:num w:numId="125">
    <w:abstractNumId w:val="83"/>
  </w:num>
  <w:num w:numId="126">
    <w:abstractNumId w:val="136"/>
  </w:num>
  <w:num w:numId="127">
    <w:abstractNumId w:val="150"/>
  </w:num>
  <w:num w:numId="128">
    <w:abstractNumId w:val="29"/>
  </w:num>
  <w:num w:numId="129">
    <w:abstractNumId w:val="134"/>
  </w:num>
  <w:num w:numId="130">
    <w:abstractNumId w:val="31"/>
  </w:num>
  <w:num w:numId="131">
    <w:abstractNumId w:val="68"/>
  </w:num>
  <w:num w:numId="132">
    <w:abstractNumId w:val="54"/>
  </w:num>
  <w:num w:numId="133">
    <w:abstractNumId w:val="93"/>
  </w:num>
  <w:num w:numId="134">
    <w:abstractNumId w:val="82"/>
  </w:num>
  <w:num w:numId="135">
    <w:abstractNumId w:val="117"/>
  </w:num>
  <w:num w:numId="136">
    <w:abstractNumId w:val="108"/>
  </w:num>
  <w:num w:numId="137">
    <w:abstractNumId w:val="35"/>
  </w:num>
  <w:num w:numId="138">
    <w:abstractNumId w:val="73"/>
  </w:num>
  <w:num w:numId="139">
    <w:abstractNumId w:val="17"/>
  </w:num>
  <w:num w:numId="140">
    <w:abstractNumId w:val="92"/>
  </w:num>
  <w:num w:numId="141">
    <w:abstractNumId w:val="133"/>
  </w:num>
  <w:num w:numId="142">
    <w:abstractNumId w:val="104"/>
  </w:num>
  <w:num w:numId="143">
    <w:abstractNumId w:val="124"/>
  </w:num>
  <w:num w:numId="144">
    <w:abstractNumId w:val="34"/>
  </w:num>
  <w:num w:numId="145">
    <w:abstractNumId w:val="88"/>
  </w:num>
  <w:num w:numId="146">
    <w:abstractNumId w:val="76"/>
  </w:num>
  <w:num w:numId="147">
    <w:abstractNumId w:val="152"/>
  </w:num>
  <w:num w:numId="148">
    <w:abstractNumId w:val="65"/>
  </w:num>
  <w:num w:numId="149">
    <w:abstractNumId w:val="148"/>
  </w:num>
  <w:num w:numId="150">
    <w:abstractNumId w:val="81"/>
  </w:num>
  <w:num w:numId="151">
    <w:abstractNumId w:val="66"/>
  </w:num>
  <w:num w:numId="152">
    <w:abstractNumId w:val="40"/>
  </w:num>
  <w:num w:numId="153">
    <w:abstractNumId w:val="44"/>
  </w:num>
  <w:num w:numId="154">
    <w:abstractNumId w:val="115"/>
  </w:num>
  <w:num w:numId="155">
    <w:abstractNumId w:val="86"/>
  </w:num>
  <w:num w:numId="156">
    <w:abstractNumId w:val="49"/>
  </w:num>
  <w:num w:numId="157">
    <w:abstractNumId w:val="94"/>
  </w:num>
  <w:num w:numId="158">
    <w:abstractNumId w:val="162"/>
  </w:num>
  <w:num w:numId="159">
    <w:abstractNumId w:val="77"/>
  </w:num>
  <w:num w:numId="160">
    <w:abstractNumId w:val="67"/>
  </w:num>
  <w:num w:numId="161">
    <w:abstractNumId w:val="38"/>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1"/>
  <w:activeWritingStyle w:appName="MSWord" w:lang="de-DE" w:vendorID="64" w:dllVersion="0" w:nlCheck="1" w:checkStyle="0"/>
  <w:activeWritingStyle w:appName="MSWord" w:lang="en-US" w:vendorID="64" w:dllVersion="131078" w:nlCheck="1" w:checkStyle="1"/>
  <w:activeWritingStyle w:appName="MSWord" w:lang="de-DE" w:vendorID="64" w:dllVersion="131078" w:nlCheck="1" w:checkStyle="1"/>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C5E"/>
    <w:rsid w:val="000034D5"/>
    <w:rsid w:val="000035A7"/>
    <w:rsid w:val="00005BCD"/>
    <w:rsid w:val="00006CE0"/>
    <w:rsid w:val="00007579"/>
    <w:rsid w:val="00007646"/>
    <w:rsid w:val="000103FE"/>
    <w:rsid w:val="000127F2"/>
    <w:rsid w:val="0001340B"/>
    <w:rsid w:val="000143AC"/>
    <w:rsid w:val="00015570"/>
    <w:rsid w:val="0001562B"/>
    <w:rsid w:val="00015C5E"/>
    <w:rsid w:val="00020396"/>
    <w:rsid w:val="00021E5D"/>
    <w:rsid w:val="00023710"/>
    <w:rsid w:val="00023729"/>
    <w:rsid w:val="00023879"/>
    <w:rsid w:val="000241FC"/>
    <w:rsid w:val="00025396"/>
    <w:rsid w:val="000271DC"/>
    <w:rsid w:val="00031661"/>
    <w:rsid w:val="00031AAD"/>
    <w:rsid w:val="00031CDE"/>
    <w:rsid w:val="00031FED"/>
    <w:rsid w:val="00032CFB"/>
    <w:rsid w:val="00033285"/>
    <w:rsid w:val="00033293"/>
    <w:rsid w:val="00034B24"/>
    <w:rsid w:val="00035ED4"/>
    <w:rsid w:val="000368F4"/>
    <w:rsid w:val="00036C84"/>
    <w:rsid w:val="00037CBC"/>
    <w:rsid w:val="00040BEB"/>
    <w:rsid w:val="000421CE"/>
    <w:rsid w:val="0004377D"/>
    <w:rsid w:val="00043C62"/>
    <w:rsid w:val="00052F2E"/>
    <w:rsid w:val="00053A53"/>
    <w:rsid w:val="00053CF3"/>
    <w:rsid w:val="000545A5"/>
    <w:rsid w:val="00054618"/>
    <w:rsid w:val="000546DA"/>
    <w:rsid w:val="000558B2"/>
    <w:rsid w:val="0005683E"/>
    <w:rsid w:val="00060BF1"/>
    <w:rsid w:val="00061136"/>
    <w:rsid w:val="0006213C"/>
    <w:rsid w:val="000713B4"/>
    <w:rsid w:val="00071ABE"/>
    <w:rsid w:val="00071C5A"/>
    <w:rsid w:val="00077BDE"/>
    <w:rsid w:val="000822E2"/>
    <w:rsid w:val="00083A71"/>
    <w:rsid w:val="000867D2"/>
    <w:rsid w:val="000940E5"/>
    <w:rsid w:val="0009447B"/>
    <w:rsid w:val="00095250"/>
    <w:rsid w:val="00097607"/>
    <w:rsid w:val="000A0207"/>
    <w:rsid w:val="000A0A61"/>
    <w:rsid w:val="000A156C"/>
    <w:rsid w:val="000A3700"/>
    <w:rsid w:val="000A4332"/>
    <w:rsid w:val="000A69E3"/>
    <w:rsid w:val="000A6C1F"/>
    <w:rsid w:val="000B2ACE"/>
    <w:rsid w:val="000B4176"/>
    <w:rsid w:val="000B44DE"/>
    <w:rsid w:val="000B622E"/>
    <w:rsid w:val="000B7FA3"/>
    <w:rsid w:val="000C198D"/>
    <w:rsid w:val="000C2BA5"/>
    <w:rsid w:val="000C2F12"/>
    <w:rsid w:val="000C3542"/>
    <w:rsid w:val="000C3E1D"/>
    <w:rsid w:val="000C56A0"/>
    <w:rsid w:val="000D0AFB"/>
    <w:rsid w:val="000D22CF"/>
    <w:rsid w:val="000D39BF"/>
    <w:rsid w:val="000D5C56"/>
    <w:rsid w:val="000D6F3F"/>
    <w:rsid w:val="000E19A9"/>
    <w:rsid w:val="000E2F93"/>
    <w:rsid w:val="000E5468"/>
    <w:rsid w:val="000F0E6B"/>
    <w:rsid w:val="000F1774"/>
    <w:rsid w:val="000F1BC7"/>
    <w:rsid w:val="000F250A"/>
    <w:rsid w:val="000F5502"/>
    <w:rsid w:val="000F6E9C"/>
    <w:rsid w:val="00100880"/>
    <w:rsid w:val="0010200D"/>
    <w:rsid w:val="00103994"/>
    <w:rsid w:val="00104B9A"/>
    <w:rsid w:val="00110202"/>
    <w:rsid w:val="001105A2"/>
    <w:rsid w:val="001217EE"/>
    <w:rsid w:val="001255EF"/>
    <w:rsid w:val="00125D04"/>
    <w:rsid w:val="0012713C"/>
    <w:rsid w:val="00127F2C"/>
    <w:rsid w:val="0013058D"/>
    <w:rsid w:val="00130BC5"/>
    <w:rsid w:val="001317C7"/>
    <w:rsid w:val="00131E36"/>
    <w:rsid w:val="00134BF7"/>
    <w:rsid w:val="0013631D"/>
    <w:rsid w:val="001404A9"/>
    <w:rsid w:val="001404D0"/>
    <w:rsid w:val="0014089B"/>
    <w:rsid w:val="00141689"/>
    <w:rsid w:val="00141FB9"/>
    <w:rsid w:val="00146DC8"/>
    <w:rsid w:val="001476D3"/>
    <w:rsid w:val="0015429F"/>
    <w:rsid w:val="00155D8D"/>
    <w:rsid w:val="00156B40"/>
    <w:rsid w:val="0016225A"/>
    <w:rsid w:val="00162CF5"/>
    <w:rsid w:val="001631F8"/>
    <w:rsid w:val="00165A1B"/>
    <w:rsid w:val="00171667"/>
    <w:rsid w:val="00171ECD"/>
    <w:rsid w:val="0017242E"/>
    <w:rsid w:val="00173C4C"/>
    <w:rsid w:val="00177503"/>
    <w:rsid w:val="00180C5E"/>
    <w:rsid w:val="00180D0F"/>
    <w:rsid w:val="001813F9"/>
    <w:rsid w:val="00181F3F"/>
    <w:rsid w:val="001837F9"/>
    <w:rsid w:val="00185CAE"/>
    <w:rsid w:val="0018717A"/>
    <w:rsid w:val="00191CF9"/>
    <w:rsid w:val="001923C1"/>
    <w:rsid w:val="00194E63"/>
    <w:rsid w:val="00195599"/>
    <w:rsid w:val="00196228"/>
    <w:rsid w:val="001965EA"/>
    <w:rsid w:val="00197001"/>
    <w:rsid w:val="001978D9"/>
    <w:rsid w:val="001A0F52"/>
    <w:rsid w:val="001A2D94"/>
    <w:rsid w:val="001A3668"/>
    <w:rsid w:val="001A37A4"/>
    <w:rsid w:val="001A3D35"/>
    <w:rsid w:val="001A6BBB"/>
    <w:rsid w:val="001A740A"/>
    <w:rsid w:val="001A7F20"/>
    <w:rsid w:val="001B1B85"/>
    <w:rsid w:val="001B3EEC"/>
    <w:rsid w:val="001B7955"/>
    <w:rsid w:val="001C0EE0"/>
    <w:rsid w:val="001C2BAD"/>
    <w:rsid w:val="001C55E3"/>
    <w:rsid w:val="001C7270"/>
    <w:rsid w:val="001C77FA"/>
    <w:rsid w:val="001D0668"/>
    <w:rsid w:val="001D1AA5"/>
    <w:rsid w:val="001D2667"/>
    <w:rsid w:val="001D3DC1"/>
    <w:rsid w:val="001D3FB0"/>
    <w:rsid w:val="001D4417"/>
    <w:rsid w:val="001D46E1"/>
    <w:rsid w:val="001D60EA"/>
    <w:rsid w:val="001D6D45"/>
    <w:rsid w:val="001E0CB0"/>
    <w:rsid w:val="001E1461"/>
    <w:rsid w:val="001E16F8"/>
    <w:rsid w:val="001E1807"/>
    <w:rsid w:val="001E2331"/>
    <w:rsid w:val="001E61D5"/>
    <w:rsid w:val="001F2162"/>
    <w:rsid w:val="001F332B"/>
    <w:rsid w:val="001F3CDD"/>
    <w:rsid w:val="001F51BF"/>
    <w:rsid w:val="001F55D0"/>
    <w:rsid w:val="001F641D"/>
    <w:rsid w:val="00200F20"/>
    <w:rsid w:val="00202DE5"/>
    <w:rsid w:val="00210C49"/>
    <w:rsid w:val="00211136"/>
    <w:rsid w:val="002120AA"/>
    <w:rsid w:val="00213F0A"/>
    <w:rsid w:val="00215D8C"/>
    <w:rsid w:val="00221203"/>
    <w:rsid w:val="00221B7B"/>
    <w:rsid w:val="00224A3D"/>
    <w:rsid w:val="00230186"/>
    <w:rsid w:val="00230978"/>
    <w:rsid w:val="002311AE"/>
    <w:rsid w:val="002327F3"/>
    <w:rsid w:val="0023513B"/>
    <w:rsid w:val="00235423"/>
    <w:rsid w:val="00241A70"/>
    <w:rsid w:val="00241DE1"/>
    <w:rsid w:val="00245B13"/>
    <w:rsid w:val="002469E3"/>
    <w:rsid w:val="002473A8"/>
    <w:rsid w:val="0025009A"/>
    <w:rsid w:val="0025194D"/>
    <w:rsid w:val="002535B4"/>
    <w:rsid w:val="002537B5"/>
    <w:rsid w:val="00253BC3"/>
    <w:rsid w:val="00253CC2"/>
    <w:rsid w:val="00257474"/>
    <w:rsid w:val="002603E3"/>
    <w:rsid w:val="0026196A"/>
    <w:rsid w:val="002635F5"/>
    <w:rsid w:val="002668FC"/>
    <w:rsid w:val="00266EEA"/>
    <w:rsid w:val="00267DE2"/>
    <w:rsid w:val="00270347"/>
    <w:rsid w:val="0027522A"/>
    <w:rsid w:val="00277FD3"/>
    <w:rsid w:val="00285C70"/>
    <w:rsid w:val="00286688"/>
    <w:rsid w:val="00290472"/>
    <w:rsid w:val="002905FE"/>
    <w:rsid w:val="00291CC4"/>
    <w:rsid w:val="00296908"/>
    <w:rsid w:val="002A14A3"/>
    <w:rsid w:val="002A40D8"/>
    <w:rsid w:val="002A5197"/>
    <w:rsid w:val="002A5B1B"/>
    <w:rsid w:val="002B125B"/>
    <w:rsid w:val="002B3E87"/>
    <w:rsid w:val="002B59AA"/>
    <w:rsid w:val="002C2FE5"/>
    <w:rsid w:val="002C38D7"/>
    <w:rsid w:val="002C4947"/>
    <w:rsid w:val="002D1491"/>
    <w:rsid w:val="002D414E"/>
    <w:rsid w:val="002D7F46"/>
    <w:rsid w:val="002E051F"/>
    <w:rsid w:val="002E2383"/>
    <w:rsid w:val="002E33AD"/>
    <w:rsid w:val="002E36A5"/>
    <w:rsid w:val="002E3E42"/>
    <w:rsid w:val="002E47DA"/>
    <w:rsid w:val="002E6956"/>
    <w:rsid w:val="002E783F"/>
    <w:rsid w:val="002E7F7B"/>
    <w:rsid w:val="002F0646"/>
    <w:rsid w:val="002F2607"/>
    <w:rsid w:val="002F2D24"/>
    <w:rsid w:val="002F2D5C"/>
    <w:rsid w:val="002F73F1"/>
    <w:rsid w:val="0030209E"/>
    <w:rsid w:val="00305AC6"/>
    <w:rsid w:val="003119DD"/>
    <w:rsid w:val="003144D3"/>
    <w:rsid w:val="003146BB"/>
    <w:rsid w:val="00315D6A"/>
    <w:rsid w:val="00321B75"/>
    <w:rsid w:val="00331D28"/>
    <w:rsid w:val="00332A6A"/>
    <w:rsid w:val="0033457D"/>
    <w:rsid w:val="003369B4"/>
    <w:rsid w:val="00340A8E"/>
    <w:rsid w:val="00341C10"/>
    <w:rsid w:val="003446C4"/>
    <w:rsid w:val="00344A76"/>
    <w:rsid w:val="00353224"/>
    <w:rsid w:val="0035490D"/>
    <w:rsid w:val="00354AD4"/>
    <w:rsid w:val="003569D8"/>
    <w:rsid w:val="00362B53"/>
    <w:rsid w:val="00362C51"/>
    <w:rsid w:val="0036326F"/>
    <w:rsid w:val="0036656B"/>
    <w:rsid w:val="00366D20"/>
    <w:rsid w:val="003703A8"/>
    <w:rsid w:val="00371E91"/>
    <w:rsid w:val="003738E6"/>
    <w:rsid w:val="00375FCF"/>
    <w:rsid w:val="00377371"/>
    <w:rsid w:val="00380CDE"/>
    <w:rsid w:val="00382B70"/>
    <w:rsid w:val="00383556"/>
    <w:rsid w:val="00383B59"/>
    <w:rsid w:val="0038589B"/>
    <w:rsid w:val="0038759D"/>
    <w:rsid w:val="003915A1"/>
    <w:rsid w:val="00393092"/>
    <w:rsid w:val="003957AE"/>
    <w:rsid w:val="00396D2C"/>
    <w:rsid w:val="003976B1"/>
    <w:rsid w:val="003A08CA"/>
    <w:rsid w:val="003A0AC4"/>
    <w:rsid w:val="003A1E15"/>
    <w:rsid w:val="003A22C0"/>
    <w:rsid w:val="003A6BE5"/>
    <w:rsid w:val="003B0311"/>
    <w:rsid w:val="003B044F"/>
    <w:rsid w:val="003B2F2C"/>
    <w:rsid w:val="003B3952"/>
    <w:rsid w:val="003B3BEF"/>
    <w:rsid w:val="003B7A8D"/>
    <w:rsid w:val="003C1A39"/>
    <w:rsid w:val="003C331E"/>
    <w:rsid w:val="003C363B"/>
    <w:rsid w:val="003C3A69"/>
    <w:rsid w:val="003C4738"/>
    <w:rsid w:val="003C62C6"/>
    <w:rsid w:val="003C65DB"/>
    <w:rsid w:val="003C7660"/>
    <w:rsid w:val="003C7967"/>
    <w:rsid w:val="003D0430"/>
    <w:rsid w:val="003D6BFB"/>
    <w:rsid w:val="003D769C"/>
    <w:rsid w:val="003D7E72"/>
    <w:rsid w:val="003E0025"/>
    <w:rsid w:val="003E3C97"/>
    <w:rsid w:val="003E5B71"/>
    <w:rsid w:val="003F3D12"/>
    <w:rsid w:val="003F54BA"/>
    <w:rsid w:val="003F5F1F"/>
    <w:rsid w:val="003F644A"/>
    <w:rsid w:val="003F68DD"/>
    <w:rsid w:val="0040125D"/>
    <w:rsid w:val="00402AB5"/>
    <w:rsid w:val="00403D5F"/>
    <w:rsid w:val="00405B73"/>
    <w:rsid w:val="00405C5F"/>
    <w:rsid w:val="00407D81"/>
    <w:rsid w:val="00411E0C"/>
    <w:rsid w:val="004124AD"/>
    <w:rsid w:val="00412809"/>
    <w:rsid w:val="00413DF5"/>
    <w:rsid w:val="00416FB4"/>
    <w:rsid w:val="004173C8"/>
    <w:rsid w:val="004204B1"/>
    <w:rsid w:val="00422853"/>
    <w:rsid w:val="00424F28"/>
    <w:rsid w:val="00427EE3"/>
    <w:rsid w:val="00430246"/>
    <w:rsid w:val="00431160"/>
    <w:rsid w:val="004317D6"/>
    <w:rsid w:val="0043413E"/>
    <w:rsid w:val="00434DBC"/>
    <w:rsid w:val="00436DF7"/>
    <w:rsid w:val="004419C5"/>
    <w:rsid w:val="00443F79"/>
    <w:rsid w:val="00444694"/>
    <w:rsid w:val="0045054E"/>
    <w:rsid w:val="0045110A"/>
    <w:rsid w:val="004542B0"/>
    <w:rsid w:val="004555EE"/>
    <w:rsid w:val="00455673"/>
    <w:rsid w:val="00455BDD"/>
    <w:rsid w:val="004569A5"/>
    <w:rsid w:val="00457092"/>
    <w:rsid w:val="00457DBC"/>
    <w:rsid w:val="00463342"/>
    <w:rsid w:val="00467237"/>
    <w:rsid w:val="00470D59"/>
    <w:rsid w:val="00471115"/>
    <w:rsid w:val="004713CC"/>
    <w:rsid w:val="0047173E"/>
    <w:rsid w:val="00474959"/>
    <w:rsid w:val="00476626"/>
    <w:rsid w:val="00477226"/>
    <w:rsid w:val="004805A1"/>
    <w:rsid w:val="00485185"/>
    <w:rsid w:val="0048569F"/>
    <w:rsid w:val="00485E4B"/>
    <w:rsid w:val="00486AB9"/>
    <w:rsid w:val="00490828"/>
    <w:rsid w:val="004912AC"/>
    <w:rsid w:val="0049168C"/>
    <w:rsid w:val="00492620"/>
    <w:rsid w:val="00496C13"/>
    <w:rsid w:val="00496D81"/>
    <w:rsid w:val="0049759E"/>
    <w:rsid w:val="004A1BD3"/>
    <w:rsid w:val="004A2278"/>
    <w:rsid w:val="004A3CED"/>
    <w:rsid w:val="004A402B"/>
    <w:rsid w:val="004A458B"/>
    <w:rsid w:val="004A47DE"/>
    <w:rsid w:val="004A6EC9"/>
    <w:rsid w:val="004B0830"/>
    <w:rsid w:val="004B315F"/>
    <w:rsid w:val="004B3AF6"/>
    <w:rsid w:val="004B6355"/>
    <w:rsid w:val="004B6D64"/>
    <w:rsid w:val="004C0027"/>
    <w:rsid w:val="004C0C25"/>
    <w:rsid w:val="004C2B66"/>
    <w:rsid w:val="004D3BCB"/>
    <w:rsid w:val="004D7374"/>
    <w:rsid w:val="004D7759"/>
    <w:rsid w:val="004E08AC"/>
    <w:rsid w:val="004E0A27"/>
    <w:rsid w:val="004E145E"/>
    <w:rsid w:val="004E5672"/>
    <w:rsid w:val="004E5B30"/>
    <w:rsid w:val="004F07FA"/>
    <w:rsid w:val="004F0B51"/>
    <w:rsid w:val="004F3F23"/>
    <w:rsid w:val="004F4893"/>
    <w:rsid w:val="004F7213"/>
    <w:rsid w:val="004F7ADD"/>
    <w:rsid w:val="005018DF"/>
    <w:rsid w:val="00501F1E"/>
    <w:rsid w:val="00502E9C"/>
    <w:rsid w:val="00503339"/>
    <w:rsid w:val="005040C9"/>
    <w:rsid w:val="005049BE"/>
    <w:rsid w:val="0050601C"/>
    <w:rsid w:val="00506677"/>
    <w:rsid w:val="005134F6"/>
    <w:rsid w:val="005168DE"/>
    <w:rsid w:val="00517AB2"/>
    <w:rsid w:val="0052130A"/>
    <w:rsid w:val="00521D08"/>
    <w:rsid w:val="00522C8E"/>
    <w:rsid w:val="00522C92"/>
    <w:rsid w:val="00523502"/>
    <w:rsid w:val="00523DFE"/>
    <w:rsid w:val="00524749"/>
    <w:rsid w:val="005248AD"/>
    <w:rsid w:val="00524AC8"/>
    <w:rsid w:val="00525609"/>
    <w:rsid w:val="005311C7"/>
    <w:rsid w:val="00533A63"/>
    <w:rsid w:val="00534E54"/>
    <w:rsid w:val="005353F4"/>
    <w:rsid w:val="005360EC"/>
    <w:rsid w:val="00536161"/>
    <w:rsid w:val="00542414"/>
    <w:rsid w:val="00543291"/>
    <w:rsid w:val="005451CE"/>
    <w:rsid w:val="00546445"/>
    <w:rsid w:val="00546EF2"/>
    <w:rsid w:val="0055372F"/>
    <w:rsid w:val="005569B7"/>
    <w:rsid w:val="0056051E"/>
    <w:rsid w:val="00562319"/>
    <w:rsid w:val="00562AB9"/>
    <w:rsid w:val="00567410"/>
    <w:rsid w:val="00567C48"/>
    <w:rsid w:val="005746B9"/>
    <w:rsid w:val="00575248"/>
    <w:rsid w:val="005808F9"/>
    <w:rsid w:val="00580EA1"/>
    <w:rsid w:val="00582778"/>
    <w:rsid w:val="00583CFF"/>
    <w:rsid w:val="00584B0A"/>
    <w:rsid w:val="0058682B"/>
    <w:rsid w:val="00586EA7"/>
    <w:rsid w:val="00592542"/>
    <w:rsid w:val="00593735"/>
    <w:rsid w:val="00594CCD"/>
    <w:rsid w:val="005961D4"/>
    <w:rsid w:val="00596E93"/>
    <w:rsid w:val="005A572F"/>
    <w:rsid w:val="005A739F"/>
    <w:rsid w:val="005A7F3F"/>
    <w:rsid w:val="005B1401"/>
    <w:rsid w:val="005B2303"/>
    <w:rsid w:val="005B2EF9"/>
    <w:rsid w:val="005B724E"/>
    <w:rsid w:val="005B7E6E"/>
    <w:rsid w:val="005C444A"/>
    <w:rsid w:val="005C44D0"/>
    <w:rsid w:val="005C65B1"/>
    <w:rsid w:val="005D06F2"/>
    <w:rsid w:val="005D58D2"/>
    <w:rsid w:val="005D7976"/>
    <w:rsid w:val="005E274F"/>
    <w:rsid w:val="005E2A0F"/>
    <w:rsid w:val="005E3E79"/>
    <w:rsid w:val="005E71FA"/>
    <w:rsid w:val="005F1CB4"/>
    <w:rsid w:val="005F555B"/>
    <w:rsid w:val="005F5C12"/>
    <w:rsid w:val="005F78F0"/>
    <w:rsid w:val="00602324"/>
    <w:rsid w:val="006042EC"/>
    <w:rsid w:val="0060435D"/>
    <w:rsid w:val="006048E9"/>
    <w:rsid w:val="00610710"/>
    <w:rsid w:val="00610FE7"/>
    <w:rsid w:val="00616373"/>
    <w:rsid w:val="00616C15"/>
    <w:rsid w:val="006208D0"/>
    <w:rsid w:val="00622062"/>
    <w:rsid w:val="00624D3B"/>
    <w:rsid w:val="00626270"/>
    <w:rsid w:val="00626692"/>
    <w:rsid w:val="00630A41"/>
    <w:rsid w:val="006312BA"/>
    <w:rsid w:val="006315F0"/>
    <w:rsid w:val="0063182A"/>
    <w:rsid w:val="00632333"/>
    <w:rsid w:val="00635B2B"/>
    <w:rsid w:val="00636E76"/>
    <w:rsid w:val="0063787B"/>
    <w:rsid w:val="00637D26"/>
    <w:rsid w:val="00641A32"/>
    <w:rsid w:val="00643A32"/>
    <w:rsid w:val="006464BD"/>
    <w:rsid w:val="006517D7"/>
    <w:rsid w:val="00653F13"/>
    <w:rsid w:val="00655135"/>
    <w:rsid w:val="0065778E"/>
    <w:rsid w:val="00667CCC"/>
    <w:rsid w:val="006701E9"/>
    <w:rsid w:val="006714D9"/>
    <w:rsid w:val="00673067"/>
    <w:rsid w:val="00673D62"/>
    <w:rsid w:val="00675781"/>
    <w:rsid w:val="006804ED"/>
    <w:rsid w:val="00680CFC"/>
    <w:rsid w:val="00683A05"/>
    <w:rsid w:val="006844A0"/>
    <w:rsid w:val="0069059A"/>
    <w:rsid w:val="0069120F"/>
    <w:rsid w:val="00694502"/>
    <w:rsid w:val="00697269"/>
    <w:rsid w:val="0069767A"/>
    <w:rsid w:val="00697C98"/>
    <w:rsid w:val="006A0AFE"/>
    <w:rsid w:val="006A4DA9"/>
    <w:rsid w:val="006A50CD"/>
    <w:rsid w:val="006A5EE3"/>
    <w:rsid w:val="006A749A"/>
    <w:rsid w:val="006A7D19"/>
    <w:rsid w:val="006B0B30"/>
    <w:rsid w:val="006B6985"/>
    <w:rsid w:val="006B6D8A"/>
    <w:rsid w:val="006B7C02"/>
    <w:rsid w:val="006C5992"/>
    <w:rsid w:val="006C7DDE"/>
    <w:rsid w:val="006D0B51"/>
    <w:rsid w:val="006D0F6C"/>
    <w:rsid w:val="006D12E6"/>
    <w:rsid w:val="006D1871"/>
    <w:rsid w:val="006D1F76"/>
    <w:rsid w:val="006D3500"/>
    <w:rsid w:val="006D4B1B"/>
    <w:rsid w:val="006D503D"/>
    <w:rsid w:val="006E0F59"/>
    <w:rsid w:val="006E198F"/>
    <w:rsid w:val="006E390F"/>
    <w:rsid w:val="006E416B"/>
    <w:rsid w:val="006E6357"/>
    <w:rsid w:val="006E7B15"/>
    <w:rsid w:val="006F0CFC"/>
    <w:rsid w:val="006F0E70"/>
    <w:rsid w:val="006F119F"/>
    <w:rsid w:val="006F15AC"/>
    <w:rsid w:val="006F2433"/>
    <w:rsid w:val="006F2E42"/>
    <w:rsid w:val="006F39A5"/>
    <w:rsid w:val="006F47AC"/>
    <w:rsid w:val="006F480F"/>
    <w:rsid w:val="006F5457"/>
    <w:rsid w:val="00703049"/>
    <w:rsid w:val="0070331C"/>
    <w:rsid w:val="00704B70"/>
    <w:rsid w:val="00705691"/>
    <w:rsid w:val="007071BD"/>
    <w:rsid w:val="00710B40"/>
    <w:rsid w:val="00717777"/>
    <w:rsid w:val="0072089C"/>
    <w:rsid w:val="0072112C"/>
    <w:rsid w:val="00722A82"/>
    <w:rsid w:val="0072722C"/>
    <w:rsid w:val="00727909"/>
    <w:rsid w:val="007279FD"/>
    <w:rsid w:val="00727CDE"/>
    <w:rsid w:val="00732733"/>
    <w:rsid w:val="00732DEA"/>
    <w:rsid w:val="00732DFB"/>
    <w:rsid w:val="007376DA"/>
    <w:rsid w:val="007377CC"/>
    <w:rsid w:val="00741B6B"/>
    <w:rsid w:val="00743CB3"/>
    <w:rsid w:val="00745D38"/>
    <w:rsid w:val="00746015"/>
    <w:rsid w:val="0075099C"/>
    <w:rsid w:val="007509E9"/>
    <w:rsid w:val="007525B5"/>
    <w:rsid w:val="007525F3"/>
    <w:rsid w:val="00752DCD"/>
    <w:rsid w:val="00754070"/>
    <w:rsid w:val="00756E45"/>
    <w:rsid w:val="00761899"/>
    <w:rsid w:val="0076197D"/>
    <w:rsid w:val="0076263A"/>
    <w:rsid w:val="00764881"/>
    <w:rsid w:val="00764C72"/>
    <w:rsid w:val="00765C00"/>
    <w:rsid w:val="00766A45"/>
    <w:rsid w:val="00766ADD"/>
    <w:rsid w:val="00771514"/>
    <w:rsid w:val="0077245A"/>
    <w:rsid w:val="00772F97"/>
    <w:rsid w:val="00774C6C"/>
    <w:rsid w:val="0077566B"/>
    <w:rsid w:val="007809BE"/>
    <w:rsid w:val="00781B23"/>
    <w:rsid w:val="007826BB"/>
    <w:rsid w:val="007827EE"/>
    <w:rsid w:val="007839D3"/>
    <w:rsid w:val="00783FB2"/>
    <w:rsid w:val="00785610"/>
    <w:rsid w:val="00785A80"/>
    <w:rsid w:val="00786F4D"/>
    <w:rsid w:val="007873A0"/>
    <w:rsid w:val="00790844"/>
    <w:rsid w:val="00791645"/>
    <w:rsid w:val="007921DE"/>
    <w:rsid w:val="00796C2F"/>
    <w:rsid w:val="007A3969"/>
    <w:rsid w:val="007A3F11"/>
    <w:rsid w:val="007A5794"/>
    <w:rsid w:val="007A6B46"/>
    <w:rsid w:val="007B028D"/>
    <w:rsid w:val="007B175D"/>
    <w:rsid w:val="007B27AA"/>
    <w:rsid w:val="007B3900"/>
    <w:rsid w:val="007B3991"/>
    <w:rsid w:val="007B4710"/>
    <w:rsid w:val="007B54A0"/>
    <w:rsid w:val="007B5F95"/>
    <w:rsid w:val="007D4DCB"/>
    <w:rsid w:val="007D5C85"/>
    <w:rsid w:val="007D7D85"/>
    <w:rsid w:val="007E2031"/>
    <w:rsid w:val="007E4984"/>
    <w:rsid w:val="007E7259"/>
    <w:rsid w:val="007F06AA"/>
    <w:rsid w:val="007F5253"/>
    <w:rsid w:val="007F557E"/>
    <w:rsid w:val="008014A4"/>
    <w:rsid w:val="00802457"/>
    <w:rsid w:val="008030C8"/>
    <w:rsid w:val="008033EF"/>
    <w:rsid w:val="008045CA"/>
    <w:rsid w:val="00804C38"/>
    <w:rsid w:val="00805A83"/>
    <w:rsid w:val="00807232"/>
    <w:rsid w:val="00811E73"/>
    <w:rsid w:val="00812732"/>
    <w:rsid w:val="0081352B"/>
    <w:rsid w:val="00815B1A"/>
    <w:rsid w:val="00815D8E"/>
    <w:rsid w:val="0081738F"/>
    <w:rsid w:val="00820D73"/>
    <w:rsid w:val="00821AC0"/>
    <w:rsid w:val="00822E13"/>
    <w:rsid w:val="00823EAA"/>
    <w:rsid w:val="008248D1"/>
    <w:rsid w:val="00825336"/>
    <w:rsid w:val="00827957"/>
    <w:rsid w:val="008300BE"/>
    <w:rsid w:val="008302A9"/>
    <w:rsid w:val="00833D44"/>
    <w:rsid w:val="008341F4"/>
    <w:rsid w:val="00835F48"/>
    <w:rsid w:val="008372B8"/>
    <w:rsid w:val="008377DB"/>
    <w:rsid w:val="00837B52"/>
    <w:rsid w:val="008400C5"/>
    <w:rsid w:val="008412D3"/>
    <w:rsid w:val="0084190C"/>
    <w:rsid w:val="008434FF"/>
    <w:rsid w:val="00843BFA"/>
    <w:rsid w:val="008446C4"/>
    <w:rsid w:val="00844A2E"/>
    <w:rsid w:val="00844D70"/>
    <w:rsid w:val="0085349A"/>
    <w:rsid w:val="0085436B"/>
    <w:rsid w:val="0085596B"/>
    <w:rsid w:val="00856287"/>
    <w:rsid w:val="00856A79"/>
    <w:rsid w:val="00857B1A"/>
    <w:rsid w:val="008605BE"/>
    <w:rsid w:val="00863075"/>
    <w:rsid w:val="00864416"/>
    <w:rsid w:val="00864659"/>
    <w:rsid w:val="0086466D"/>
    <w:rsid w:val="00864E3C"/>
    <w:rsid w:val="008654BE"/>
    <w:rsid w:val="0086621D"/>
    <w:rsid w:val="008668BA"/>
    <w:rsid w:val="00877EFE"/>
    <w:rsid w:val="00880096"/>
    <w:rsid w:val="00880A3B"/>
    <w:rsid w:val="008816EE"/>
    <w:rsid w:val="00884A75"/>
    <w:rsid w:val="0088651D"/>
    <w:rsid w:val="00886892"/>
    <w:rsid w:val="00890289"/>
    <w:rsid w:val="00891F1E"/>
    <w:rsid w:val="008928E0"/>
    <w:rsid w:val="00895437"/>
    <w:rsid w:val="008A1F5C"/>
    <w:rsid w:val="008B2F5B"/>
    <w:rsid w:val="008B30C2"/>
    <w:rsid w:val="008B32D3"/>
    <w:rsid w:val="008B4537"/>
    <w:rsid w:val="008B5745"/>
    <w:rsid w:val="008B576F"/>
    <w:rsid w:val="008B700F"/>
    <w:rsid w:val="008B7771"/>
    <w:rsid w:val="008C5285"/>
    <w:rsid w:val="008D01E0"/>
    <w:rsid w:val="008D36F2"/>
    <w:rsid w:val="008D3B78"/>
    <w:rsid w:val="008D5521"/>
    <w:rsid w:val="008D6BCF"/>
    <w:rsid w:val="008D7541"/>
    <w:rsid w:val="008D7E7C"/>
    <w:rsid w:val="008E3216"/>
    <w:rsid w:val="008F07DF"/>
    <w:rsid w:val="008F21F8"/>
    <w:rsid w:val="008F3621"/>
    <w:rsid w:val="008F69F6"/>
    <w:rsid w:val="00901B20"/>
    <w:rsid w:val="00903F68"/>
    <w:rsid w:val="009065A2"/>
    <w:rsid w:val="009070B7"/>
    <w:rsid w:val="00907839"/>
    <w:rsid w:val="00910B7D"/>
    <w:rsid w:val="00912FAC"/>
    <w:rsid w:val="00926478"/>
    <w:rsid w:val="00926C05"/>
    <w:rsid w:val="00930C37"/>
    <w:rsid w:val="00931752"/>
    <w:rsid w:val="00935AC4"/>
    <w:rsid w:val="00935F98"/>
    <w:rsid w:val="0093772A"/>
    <w:rsid w:val="00937770"/>
    <w:rsid w:val="009377C7"/>
    <w:rsid w:val="009378CA"/>
    <w:rsid w:val="009411BD"/>
    <w:rsid w:val="00941B7E"/>
    <w:rsid w:val="009421BC"/>
    <w:rsid w:val="00942902"/>
    <w:rsid w:val="0094380E"/>
    <w:rsid w:val="00944377"/>
    <w:rsid w:val="0094530A"/>
    <w:rsid w:val="00946AD8"/>
    <w:rsid w:val="009474A4"/>
    <w:rsid w:val="00954975"/>
    <w:rsid w:val="00956350"/>
    <w:rsid w:val="00957CAB"/>
    <w:rsid w:val="00961895"/>
    <w:rsid w:val="009626EE"/>
    <w:rsid w:val="00963DE5"/>
    <w:rsid w:val="00965132"/>
    <w:rsid w:val="0096709F"/>
    <w:rsid w:val="00970CB0"/>
    <w:rsid w:val="00971877"/>
    <w:rsid w:val="00971A8A"/>
    <w:rsid w:val="009744C4"/>
    <w:rsid w:val="00974BA6"/>
    <w:rsid w:val="00975945"/>
    <w:rsid w:val="009773F3"/>
    <w:rsid w:val="00980516"/>
    <w:rsid w:val="00982422"/>
    <w:rsid w:val="00984188"/>
    <w:rsid w:val="00986267"/>
    <w:rsid w:val="009868F5"/>
    <w:rsid w:val="0098790B"/>
    <w:rsid w:val="00987A29"/>
    <w:rsid w:val="009918E5"/>
    <w:rsid w:val="00991E6D"/>
    <w:rsid w:val="00993359"/>
    <w:rsid w:val="00993B1B"/>
    <w:rsid w:val="0099679A"/>
    <w:rsid w:val="00997E7E"/>
    <w:rsid w:val="009A138D"/>
    <w:rsid w:val="009A22CE"/>
    <w:rsid w:val="009A39C9"/>
    <w:rsid w:val="009A45EF"/>
    <w:rsid w:val="009A4BCB"/>
    <w:rsid w:val="009A5168"/>
    <w:rsid w:val="009A649F"/>
    <w:rsid w:val="009B7849"/>
    <w:rsid w:val="009C0CFA"/>
    <w:rsid w:val="009C3B17"/>
    <w:rsid w:val="009D0748"/>
    <w:rsid w:val="009D1854"/>
    <w:rsid w:val="009D3148"/>
    <w:rsid w:val="009D3B20"/>
    <w:rsid w:val="009D3FBB"/>
    <w:rsid w:val="009D5CFE"/>
    <w:rsid w:val="009E07F7"/>
    <w:rsid w:val="009E099B"/>
    <w:rsid w:val="009E0A45"/>
    <w:rsid w:val="009E316D"/>
    <w:rsid w:val="009F1549"/>
    <w:rsid w:val="009F32BC"/>
    <w:rsid w:val="00A007CA"/>
    <w:rsid w:val="00A02254"/>
    <w:rsid w:val="00A0250D"/>
    <w:rsid w:val="00A045D5"/>
    <w:rsid w:val="00A0579D"/>
    <w:rsid w:val="00A057F1"/>
    <w:rsid w:val="00A05B4C"/>
    <w:rsid w:val="00A12D33"/>
    <w:rsid w:val="00A21A17"/>
    <w:rsid w:val="00A25036"/>
    <w:rsid w:val="00A25379"/>
    <w:rsid w:val="00A257D2"/>
    <w:rsid w:val="00A26662"/>
    <w:rsid w:val="00A31550"/>
    <w:rsid w:val="00A31DDA"/>
    <w:rsid w:val="00A31FF7"/>
    <w:rsid w:val="00A3558A"/>
    <w:rsid w:val="00A368EA"/>
    <w:rsid w:val="00A425E4"/>
    <w:rsid w:val="00A42AF4"/>
    <w:rsid w:val="00A442D7"/>
    <w:rsid w:val="00A473F6"/>
    <w:rsid w:val="00A47DEE"/>
    <w:rsid w:val="00A50754"/>
    <w:rsid w:val="00A53C43"/>
    <w:rsid w:val="00A5418C"/>
    <w:rsid w:val="00A56060"/>
    <w:rsid w:val="00A56CC2"/>
    <w:rsid w:val="00A5753F"/>
    <w:rsid w:val="00A619A4"/>
    <w:rsid w:val="00A619B9"/>
    <w:rsid w:val="00A625FE"/>
    <w:rsid w:val="00A62AD3"/>
    <w:rsid w:val="00A6706E"/>
    <w:rsid w:val="00A6782B"/>
    <w:rsid w:val="00A679A5"/>
    <w:rsid w:val="00A72D4F"/>
    <w:rsid w:val="00A73F31"/>
    <w:rsid w:val="00A74DD4"/>
    <w:rsid w:val="00A75A01"/>
    <w:rsid w:val="00A76839"/>
    <w:rsid w:val="00A82A45"/>
    <w:rsid w:val="00A851FE"/>
    <w:rsid w:val="00A852AC"/>
    <w:rsid w:val="00A863E9"/>
    <w:rsid w:val="00A90DB7"/>
    <w:rsid w:val="00A91EED"/>
    <w:rsid w:val="00A936BF"/>
    <w:rsid w:val="00A943DF"/>
    <w:rsid w:val="00A94684"/>
    <w:rsid w:val="00A94BEE"/>
    <w:rsid w:val="00A963F7"/>
    <w:rsid w:val="00A965D9"/>
    <w:rsid w:val="00A96FB6"/>
    <w:rsid w:val="00AA2D71"/>
    <w:rsid w:val="00AA4652"/>
    <w:rsid w:val="00AA472A"/>
    <w:rsid w:val="00AA605E"/>
    <w:rsid w:val="00AB1182"/>
    <w:rsid w:val="00AB2709"/>
    <w:rsid w:val="00AB42FB"/>
    <w:rsid w:val="00AB72AF"/>
    <w:rsid w:val="00AC286C"/>
    <w:rsid w:val="00AC2C6D"/>
    <w:rsid w:val="00AC3713"/>
    <w:rsid w:val="00AC66F5"/>
    <w:rsid w:val="00AD2477"/>
    <w:rsid w:val="00AD2A68"/>
    <w:rsid w:val="00AE0706"/>
    <w:rsid w:val="00AE2DA2"/>
    <w:rsid w:val="00AE2EE4"/>
    <w:rsid w:val="00AE4430"/>
    <w:rsid w:val="00AE4F4E"/>
    <w:rsid w:val="00AE5CC8"/>
    <w:rsid w:val="00AE6ED4"/>
    <w:rsid w:val="00AE75E7"/>
    <w:rsid w:val="00AF4F36"/>
    <w:rsid w:val="00AF6502"/>
    <w:rsid w:val="00B01CA0"/>
    <w:rsid w:val="00B01DC1"/>
    <w:rsid w:val="00B044D5"/>
    <w:rsid w:val="00B0661D"/>
    <w:rsid w:val="00B10759"/>
    <w:rsid w:val="00B11416"/>
    <w:rsid w:val="00B1183B"/>
    <w:rsid w:val="00B11FF3"/>
    <w:rsid w:val="00B12610"/>
    <w:rsid w:val="00B126E1"/>
    <w:rsid w:val="00B13C92"/>
    <w:rsid w:val="00B1461F"/>
    <w:rsid w:val="00B14721"/>
    <w:rsid w:val="00B15365"/>
    <w:rsid w:val="00B177CC"/>
    <w:rsid w:val="00B202CC"/>
    <w:rsid w:val="00B21759"/>
    <w:rsid w:val="00B21BB4"/>
    <w:rsid w:val="00B21C06"/>
    <w:rsid w:val="00B2208F"/>
    <w:rsid w:val="00B227A1"/>
    <w:rsid w:val="00B228C7"/>
    <w:rsid w:val="00B241C1"/>
    <w:rsid w:val="00B255C9"/>
    <w:rsid w:val="00B26340"/>
    <w:rsid w:val="00B2686F"/>
    <w:rsid w:val="00B269AE"/>
    <w:rsid w:val="00B26D01"/>
    <w:rsid w:val="00B272C7"/>
    <w:rsid w:val="00B33A5C"/>
    <w:rsid w:val="00B3412C"/>
    <w:rsid w:val="00B35B54"/>
    <w:rsid w:val="00B35C21"/>
    <w:rsid w:val="00B37339"/>
    <w:rsid w:val="00B424E0"/>
    <w:rsid w:val="00B459C5"/>
    <w:rsid w:val="00B45F56"/>
    <w:rsid w:val="00B46790"/>
    <w:rsid w:val="00B472C9"/>
    <w:rsid w:val="00B57384"/>
    <w:rsid w:val="00B60AA1"/>
    <w:rsid w:val="00B657E4"/>
    <w:rsid w:val="00B65FE4"/>
    <w:rsid w:val="00B66CBC"/>
    <w:rsid w:val="00B7281D"/>
    <w:rsid w:val="00B76923"/>
    <w:rsid w:val="00B76B3D"/>
    <w:rsid w:val="00B76E9B"/>
    <w:rsid w:val="00B80EE5"/>
    <w:rsid w:val="00B83110"/>
    <w:rsid w:val="00B831E7"/>
    <w:rsid w:val="00B871EF"/>
    <w:rsid w:val="00B93675"/>
    <w:rsid w:val="00B940F3"/>
    <w:rsid w:val="00B94903"/>
    <w:rsid w:val="00B97428"/>
    <w:rsid w:val="00B97938"/>
    <w:rsid w:val="00BA44DC"/>
    <w:rsid w:val="00BA6BA6"/>
    <w:rsid w:val="00BA7503"/>
    <w:rsid w:val="00BA760E"/>
    <w:rsid w:val="00BB0985"/>
    <w:rsid w:val="00BB20D6"/>
    <w:rsid w:val="00BB211A"/>
    <w:rsid w:val="00BB564D"/>
    <w:rsid w:val="00BC2FB9"/>
    <w:rsid w:val="00BC387C"/>
    <w:rsid w:val="00BC4092"/>
    <w:rsid w:val="00BC50A4"/>
    <w:rsid w:val="00BD6788"/>
    <w:rsid w:val="00BD6C13"/>
    <w:rsid w:val="00BE169C"/>
    <w:rsid w:val="00BE2B1A"/>
    <w:rsid w:val="00BE406F"/>
    <w:rsid w:val="00BE4440"/>
    <w:rsid w:val="00BE5AF8"/>
    <w:rsid w:val="00BE70BE"/>
    <w:rsid w:val="00BE78AB"/>
    <w:rsid w:val="00BF079B"/>
    <w:rsid w:val="00BF339C"/>
    <w:rsid w:val="00BF3C4A"/>
    <w:rsid w:val="00BF4D39"/>
    <w:rsid w:val="00BF4E7F"/>
    <w:rsid w:val="00BF55DF"/>
    <w:rsid w:val="00BF576C"/>
    <w:rsid w:val="00BF629F"/>
    <w:rsid w:val="00BF6D9D"/>
    <w:rsid w:val="00BF7A48"/>
    <w:rsid w:val="00C0307D"/>
    <w:rsid w:val="00C0379A"/>
    <w:rsid w:val="00C04CB9"/>
    <w:rsid w:val="00C10AFF"/>
    <w:rsid w:val="00C15E57"/>
    <w:rsid w:val="00C21ADD"/>
    <w:rsid w:val="00C2648F"/>
    <w:rsid w:val="00C2712D"/>
    <w:rsid w:val="00C30817"/>
    <w:rsid w:val="00C31067"/>
    <w:rsid w:val="00C33EF7"/>
    <w:rsid w:val="00C37E76"/>
    <w:rsid w:val="00C40A5A"/>
    <w:rsid w:val="00C42C95"/>
    <w:rsid w:val="00C43878"/>
    <w:rsid w:val="00C43A2F"/>
    <w:rsid w:val="00C46253"/>
    <w:rsid w:val="00C512DE"/>
    <w:rsid w:val="00C528FA"/>
    <w:rsid w:val="00C531AE"/>
    <w:rsid w:val="00C5711D"/>
    <w:rsid w:val="00C57432"/>
    <w:rsid w:val="00C60063"/>
    <w:rsid w:val="00C64C8B"/>
    <w:rsid w:val="00C67893"/>
    <w:rsid w:val="00C70771"/>
    <w:rsid w:val="00C719FC"/>
    <w:rsid w:val="00C7280B"/>
    <w:rsid w:val="00C740F1"/>
    <w:rsid w:val="00C77FEF"/>
    <w:rsid w:val="00C812D6"/>
    <w:rsid w:val="00C828C5"/>
    <w:rsid w:val="00C840EE"/>
    <w:rsid w:val="00C8444F"/>
    <w:rsid w:val="00C86568"/>
    <w:rsid w:val="00C90E6C"/>
    <w:rsid w:val="00C91E36"/>
    <w:rsid w:val="00C94178"/>
    <w:rsid w:val="00C94C51"/>
    <w:rsid w:val="00C96019"/>
    <w:rsid w:val="00CA00F9"/>
    <w:rsid w:val="00CA492B"/>
    <w:rsid w:val="00CA7AD8"/>
    <w:rsid w:val="00CA7FF5"/>
    <w:rsid w:val="00CB1D3A"/>
    <w:rsid w:val="00CB352F"/>
    <w:rsid w:val="00CB40A9"/>
    <w:rsid w:val="00CC4165"/>
    <w:rsid w:val="00CC5E41"/>
    <w:rsid w:val="00CD313D"/>
    <w:rsid w:val="00CD48C7"/>
    <w:rsid w:val="00CD49B5"/>
    <w:rsid w:val="00CD79F9"/>
    <w:rsid w:val="00CE04B9"/>
    <w:rsid w:val="00CE115C"/>
    <w:rsid w:val="00CE1E0E"/>
    <w:rsid w:val="00CE237B"/>
    <w:rsid w:val="00CE5173"/>
    <w:rsid w:val="00CE6C1C"/>
    <w:rsid w:val="00CE6CCF"/>
    <w:rsid w:val="00CF3917"/>
    <w:rsid w:val="00CF5B5D"/>
    <w:rsid w:val="00CF7A54"/>
    <w:rsid w:val="00CF7E67"/>
    <w:rsid w:val="00D020FA"/>
    <w:rsid w:val="00D02588"/>
    <w:rsid w:val="00D02CBC"/>
    <w:rsid w:val="00D067B4"/>
    <w:rsid w:val="00D07D1C"/>
    <w:rsid w:val="00D11718"/>
    <w:rsid w:val="00D11E8B"/>
    <w:rsid w:val="00D12D89"/>
    <w:rsid w:val="00D13A56"/>
    <w:rsid w:val="00D14A54"/>
    <w:rsid w:val="00D14F0F"/>
    <w:rsid w:val="00D15602"/>
    <w:rsid w:val="00D2027D"/>
    <w:rsid w:val="00D203F7"/>
    <w:rsid w:val="00D20B9A"/>
    <w:rsid w:val="00D20FB3"/>
    <w:rsid w:val="00D22D1F"/>
    <w:rsid w:val="00D24853"/>
    <w:rsid w:val="00D24E9F"/>
    <w:rsid w:val="00D25353"/>
    <w:rsid w:val="00D25605"/>
    <w:rsid w:val="00D25832"/>
    <w:rsid w:val="00D26A57"/>
    <w:rsid w:val="00D30947"/>
    <w:rsid w:val="00D3107A"/>
    <w:rsid w:val="00D32E0C"/>
    <w:rsid w:val="00D3350C"/>
    <w:rsid w:val="00D348BD"/>
    <w:rsid w:val="00D363F2"/>
    <w:rsid w:val="00D37606"/>
    <w:rsid w:val="00D40466"/>
    <w:rsid w:val="00D412E2"/>
    <w:rsid w:val="00D41B78"/>
    <w:rsid w:val="00D426A3"/>
    <w:rsid w:val="00D477E2"/>
    <w:rsid w:val="00D47D9A"/>
    <w:rsid w:val="00D50877"/>
    <w:rsid w:val="00D513C3"/>
    <w:rsid w:val="00D53E71"/>
    <w:rsid w:val="00D53F50"/>
    <w:rsid w:val="00D5457E"/>
    <w:rsid w:val="00D563D9"/>
    <w:rsid w:val="00D62DF3"/>
    <w:rsid w:val="00D635A4"/>
    <w:rsid w:val="00D63793"/>
    <w:rsid w:val="00D63E74"/>
    <w:rsid w:val="00D64615"/>
    <w:rsid w:val="00D66BC1"/>
    <w:rsid w:val="00D7130F"/>
    <w:rsid w:val="00D71BAA"/>
    <w:rsid w:val="00D71FBE"/>
    <w:rsid w:val="00D72838"/>
    <w:rsid w:val="00D73B3F"/>
    <w:rsid w:val="00D8030D"/>
    <w:rsid w:val="00D804D4"/>
    <w:rsid w:val="00D849D3"/>
    <w:rsid w:val="00D86564"/>
    <w:rsid w:val="00D903CB"/>
    <w:rsid w:val="00D91696"/>
    <w:rsid w:val="00D9173A"/>
    <w:rsid w:val="00D9248B"/>
    <w:rsid w:val="00D939A2"/>
    <w:rsid w:val="00D93BB8"/>
    <w:rsid w:val="00D942A1"/>
    <w:rsid w:val="00D95A58"/>
    <w:rsid w:val="00D95F2A"/>
    <w:rsid w:val="00D96AA2"/>
    <w:rsid w:val="00DA2CC9"/>
    <w:rsid w:val="00DA4CC9"/>
    <w:rsid w:val="00DA68C1"/>
    <w:rsid w:val="00DA70E3"/>
    <w:rsid w:val="00DA7861"/>
    <w:rsid w:val="00DA7AEE"/>
    <w:rsid w:val="00DB0322"/>
    <w:rsid w:val="00DB0580"/>
    <w:rsid w:val="00DB2D62"/>
    <w:rsid w:val="00DB3E30"/>
    <w:rsid w:val="00DB5891"/>
    <w:rsid w:val="00DB62D2"/>
    <w:rsid w:val="00DB7A27"/>
    <w:rsid w:val="00DC46A3"/>
    <w:rsid w:val="00DC4C25"/>
    <w:rsid w:val="00DC556E"/>
    <w:rsid w:val="00DC74A8"/>
    <w:rsid w:val="00DD4A18"/>
    <w:rsid w:val="00DD6552"/>
    <w:rsid w:val="00DD67C7"/>
    <w:rsid w:val="00DD7DDA"/>
    <w:rsid w:val="00DE0BC0"/>
    <w:rsid w:val="00DE0D23"/>
    <w:rsid w:val="00DE402D"/>
    <w:rsid w:val="00DF1752"/>
    <w:rsid w:val="00DF42EA"/>
    <w:rsid w:val="00DF4AEA"/>
    <w:rsid w:val="00DF5D7D"/>
    <w:rsid w:val="00DF6F2F"/>
    <w:rsid w:val="00E023C8"/>
    <w:rsid w:val="00E0253D"/>
    <w:rsid w:val="00E05D8E"/>
    <w:rsid w:val="00E0610F"/>
    <w:rsid w:val="00E06761"/>
    <w:rsid w:val="00E10156"/>
    <w:rsid w:val="00E13306"/>
    <w:rsid w:val="00E137CF"/>
    <w:rsid w:val="00E13B9F"/>
    <w:rsid w:val="00E1496C"/>
    <w:rsid w:val="00E2214C"/>
    <w:rsid w:val="00E23C59"/>
    <w:rsid w:val="00E23DCE"/>
    <w:rsid w:val="00E259B8"/>
    <w:rsid w:val="00E25B92"/>
    <w:rsid w:val="00E25EB4"/>
    <w:rsid w:val="00E278C4"/>
    <w:rsid w:val="00E27D31"/>
    <w:rsid w:val="00E3158E"/>
    <w:rsid w:val="00E34F40"/>
    <w:rsid w:val="00E35290"/>
    <w:rsid w:val="00E36015"/>
    <w:rsid w:val="00E36DFA"/>
    <w:rsid w:val="00E419A1"/>
    <w:rsid w:val="00E41ED7"/>
    <w:rsid w:val="00E42DB5"/>
    <w:rsid w:val="00E50AB4"/>
    <w:rsid w:val="00E51C30"/>
    <w:rsid w:val="00E51C95"/>
    <w:rsid w:val="00E54555"/>
    <w:rsid w:val="00E5500D"/>
    <w:rsid w:val="00E56A54"/>
    <w:rsid w:val="00E57976"/>
    <w:rsid w:val="00E601DC"/>
    <w:rsid w:val="00E609F3"/>
    <w:rsid w:val="00E62084"/>
    <w:rsid w:val="00E639B1"/>
    <w:rsid w:val="00E66551"/>
    <w:rsid w:val="00E66AB6"/>
    <w:rsid w:val="00E717D4"/>
    <w:rsid w:val="00E71814"/>
    <w:rsid w:val="00E71DA0"/>
    <w:rsid w:val="00E72A81"/>
    <w:rsid w:val="00E74207"/>
    <w:rsid w:val="00E743CD"/>
    <w:rsid w:val="00E768D1"/>
    <w:rsid w:val="00E778E9"/>
    <w:rsid w:val="00E77906"/>
    <w:rsid w:val="00E80729"/>
    <w:rsid w:val="00E80F67"/>
    <w:rsid w:val="00E82E25"/>
    <w:rsid w:val="00E85278"/>
    <w:rsid w:val="00E86459"/>
    <w:rsid w:val="00E873A5"/>
    <w:rsid w:val="00E901A8"/>
    <w:rsid w:val="00E92686"/>
    <w:rsid w:val="00E92FAD"/>
    <w:rsid w:val="00E93D36"/>
    <w:rsid w:val="00E94D41"/>
    <w:rsid w:val="00E9512F"/>
    <w:rsid w:val="00E97986"/>
    <w:rsid w:val="00E97E7E"/>
    <w:rsid w:val="00EA2BC1"/>
    <w:rsid w:val="00EA518C"/>
    <w:rsid w:val="00EA60BC"/>
    <w:rsid w:val="00EA6A32"/>
    <w:rsid w:val="00EA795A"/>
    <w:rsid w:val="00EB0A9E"/>
    <w:rsid w:val="00EB0D1B"/>
    <w:rsid w:val="00EB605F"/>
    <w:rsid w:val="00EB60AB"/>
    <w:rsid w:val="00EB74F1"/>
    <w:rsid w:val="00EC0B58"/>
    <w:rsid w:val="00EC199A"/>
    <w:rsid w:val="00EC44BD"/>
    <w:rsid w:val="00EC5D1A"/>
    <w:rsid w:val="00ED52B7"/>
    <w:rsid w:val="00ED6EB1"/>
    <w:rsid w:val="00EE0660"/>
    <w:rsid w:val="00EE1C7E"/>
    <w:rsid w:val="00EE2530"/>
    <w:rsid w:val="00EE3990"/>
    <w:rsid w:val="00EE3E28"/>
    <w:rsid w:val="00EE48C6"/>
    <w:rsid w:val="00EE6579"/>
    <w:rsid w:val="00EF028E"/>
    <w:rsid w:val="00EF3BA5"/>
    <w:rsid w:val="00EF4737"/>
    <w:rsid w:val="00EF54E3"/>
    <w:rsid w:val="00EF5594"/>
    <w:rsid w:val="00EF56F9"/>
    <w:rsid w:val="00F024AA"/>
    <w:rsid w:val="00F02F1B"/>
    <w:rsid w:val="00F04AA5"/>
    <w:rsid w:val="00F05094"/>
    <w:rsid w:val="00F05D88"/>
    <w:rsid w:val="00F101D8"/>
    <w:rsid w:val="00F10653"/>
    <w:rsid w:val="00F168F7"/>
    <w:rsid w:val="00F21F61"/>
    <w:rsid w:val="00F2291F"/>
    <w:rsid w:val="00F22A90"/>
    <w:rsid w:val="00F22DE2"/>
    <w:rsid w:val="00F2308C"/>
    <w:rsid w:val="00F239FE"/>
    <w:rsid w:val="00F242DD"/>
    <w:rsid w:val="00F26571"/>
    <w:rsid w:val="00F27788"/>
    <w:rsid w:val="00F278C2"/>
    <w:rsid w:val="00F352FE"/>
    <w:rsid w:val="00F362B1"/>
    <w:rsid w:val="00F4650F"/>
    <w:rsid w:val="00F46A82"/>
    <w:rsid w:val="00F47AF7"/>
    <w:rsid w:val="00F5033E"/>
    <w:rsid w:val="00F51895"/>
    <w:rsid w:val="00F53546"/>
    <w:rsid w:val="00F5372A"/>
    <w:rsid w:val="00F554AA"/>
    <w:rsid w:val="00F56B62"/>
    <w:rsid w:val="00F6392B"/>
    <w:rsid w:val="00F63E06"/>
    <w:rsid w:val="00F64A7E"/>
    <w:rsid w:val="00F64CC1"/>
    <w:rsid w:val="00F670B6"/>
    <w:rsid w:val="00F713C3"/>
    <w:rsid w:val="00F719E7"/>
    <w:rsid w:val="00F7333E"/>
    <w:rsid w:val="00F74B6B"/>
    <w:rsid w:val="00F74EB5"/>
    <w:rsid w:val="00F75CE3"/>
    <w:rsid w:val="00F76056"/>
    <w:rsid w:val="00F77EB6"/>
    <w:rsid w:val="00F80ECB"/>
    <w:rsid w:val="00F832D0"/>
    <w:rsid w:val="00F9108C"/>
    <w:rsid w:val="00F91653"/>
    <w:rsid w:val="00F92D50"/>
    <w:rsid w:val="00F93ED8"/>
    <w:rsid w:val="00F96B92"/>
    <w:rsid w:val="00F96C93"/>
    <w:rsid w:val="00FA247E"/>
    <w:rsid w:val="00FA25F5"/>
    <w:rsid w:val="00FA65DC"/>
    <w:rsid w:val="00FA6648"/>
    <w:rsid w:val="00FA69B2"/>
    <w:rsid w:val="00FB03BB"/>
    <w:rsid w:val="00FB04F3"/>
    <w:rsid w:val="00FB0C57"/>
    <w:rsid w:val="00FB327B"/>
    <w:rsid w:val="00FC0376"/>
    <w:rsid w:val="00FC10C3"/>
    <w:rsid w:val="00FC1543"/>
    <w:rsid w:val="00FC3E67"/>
    <w:rsid w:val="00FC7F2E"/>
    <w:rsid w:val="00FD15FE"/>
    <w:rsid w:val="00FD1D8B"/>
    <w:rsid w:val="00FD2995"/>
    <w:rsid w:val="00FD2FEC"/>
    <w:rsid w:val="00FE0634"/>
    <w:rsid w:val="00FE1506"/>
    <w:rsid w:val="00FE2948"/>
    <w:rsid w:val="00FE3314"/>
    <w:rsid w:val="00FE7EF6"/>
    <w:rsid w:val="00FF0C02"/>
    <w:rsid w:val="00FF0F31"/>
    <w:rsid w:val="00FF1FD9"/>
    <w:rsid w:val="00FF2D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C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76E9B"/>
    <w:pPr>
      <w:spacing w:before="120" w:after="120" w:line="360" w:lineRule="auto"/>
      <w:jc w:val="both"/>
    </w:pPr>
    <w:rPr>
      <w:rFonts w:ascii="Times New Roman" w:hAnsi="Times New Roman"/>
      <w:sz w:val="24"/>
      <w:szCs w:val="22"/>
      <w:lang w:eastAsia="en-US"/>
    </w:rPr>
  </w:style>
  <w:style w:type="paragraph" w:styleId="1">
    <w:name w:val="heading 1"/>
    <w:basedOn w:val="a0"/>
    <w:next w:val="a0"/>
    <w:link w:val="10"/>
    <w:qFormat/>
    <w:rsid w:val="008654BE"/>
    <w:pPr>
      <w:keepNext/>
      <w:keepLines/>
      <w:pageBreakBefore/>
      <w:spacing w:before="240"/>
      <w:jc w:val="center"/>
      <w:outlineLvl w:val="0"/>
    </w:pPr>
    <w:rPr>
      <w:rFonts w:eastAsia="Times New Roman"/>
      <w:b/>
      <w:sz w:val="28"/>
      <w:szCs w:val="32"/>
    </w:rPr>
  </w:style>
  <w:style w:type="paragraph" w:styleId="2">
    <w:name w:val="heading 2"/>
    <w:basedOn w:val="a0"/>
    <w:next w:val="a0"/>
    <w:link w:val="20"/>
    <w:unhideWhenUsed/>
    <w:qFormat/>
    <w:rsid w:val="00173C4C"/>
    <w:pPr>
      <w:keepNext/>
      <w:keepLines/>
      <w:spacing w:before="40"/>
      <w:outlineLvl w:val="1"/>
    </w:pPr>
    <w:rPr>
      <w:rFonts w:eastAsia="Times New Roman"/>
      <w:b/>
      <w:szCs w:val="26"/>
      <w:u w:val="single"/>
    </w:rPr>
  </w:style>
  <w:style w:type="paragraph" w:styleId="3">
    <w:name w:val="heading 3"/>
    <w:basedOn w:val="a0"/>
    <w:next w:val="a0"/>
    <w:link w:val="30"/>
    <w:unhideWhenUsed/>
    <w:qFormat/>
    <w:rsid w:val="00D563D9"/>
    <w:pPr>
      <w:keepNext/>
      <w:keepLines/>
      <w:spacing w:before="200" w:after="0"/>
      <w:outlineLvl w:val="2"/>
    </w:pPr>
    <w:rPr>
      <w:rFonts w:asciiTheme="majorHAnsi" w:eastAsiaTheme="majorEastAsia" w:hAnsiTheme="majorHAnsi" w:cstheme="majorBidi"/>
      <w:b/>
      <w:bCs/>
      <w:color w:val="5B9BD5"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5E3E79"/>
    <w:rPr>
      <w:rFonts w:ascii="Times New Roman" w:eastAsia="Times New Roman" w:hAnsi="Times New Roman"/>
      <w:b/>
      <w:sz w:val="28"/>
      <w:szCs w:val="32"/>
      <w:lang w:eastAsia="en-US"/>
    </w:rPr>
  </w:style>
  <w:style w:type="character" w:customStyle="1" w:styleId="20">
    <w:name w:val="Заголовок 2 Знак"/>
    <w:link w:val="2"/>
    <w:rsid w:val="00173C4C"/>
    <w:rPr>
      <w:rFonts w:ascii="Times New Roman" w:eastAsia="Times New Roman" w:hAnsi="Times New Roman" w:cs="Times New Roman"/>
      <w:b/>
      <w:sz w:val="24"/>
      <w:szCs w:val="26"/>
      <w:u w:val="single"/>
    </w:rPr>
  </w:style>
  <w:style w:type="character" w:customStyle="1" w:styleId="30">
    <w:name w:val="Заголовок 3 Знак"/>
    <w:basedOn w:val="a1"/>
    <w:link w:val="3"/>
    <w:rsid w:val="00D563D9"/>
    <w:rPr>
      <w:rFonts w:asciiTheme="majorHAnsi" w:eastAsiaTheme="majorEastAsia" w:hAnsiTheme="majorHAnsi" w:cstheme="majorBidi"/>
      <w:b/>
      <w:bCs/>
      <w:color w:val="5B9BD5" w:themeColor="accent1"/>
      <w:sz w:val="24"/>
      <w:szCs w:val="22"/>
      <w:lang w:eastAsia="en-US"/>
    </w:rPr>
  </w:style>
  <w:style w:type="paragraph" w:styleId="a4">
    <w:name w:val="Normal (Web)"/>
    <w:basedOn w:val="a0"/>
    <w:uiPriority w:val="99"/>
    <w:unhideWhenUsed/>
    <w:qFormat/>
    <w:rsid w:val="00B11FF3"/>
    <w:pPr>
      <w:spacing w:beforeAutospacing="1" w:afterAutospacing="1" w:line="288" w:lineRule="auto"/>
      <w:jc w:val="left"/>
    </w:pPr>
    <w:rPr>
      <w:rFonts w:eastAsia="Times New Roman"/>
      <w:szCs w:val="24"/>
      <w:lang w:eastAsia="ru-RU"/>
    </w:rPr>
  </w:style>
  <w:style w:type="character" w:styleId="a5">
    <w:name w:val="Emphasis"/>
    <w:uiPriority w:val="20"/>
    <w:qFormat/>
    <w:rsid w:val="00B11FF3"/>
    <w:rPr>
      <w:i/>
      <w:iCs/>
    </w:rPr>
  </w:style>
  <w:style w:type="paragraph" w:styleId="a6">
    <w:name w:val="List Paragraph"/>
    <w:basedOn w:val="a0"/>
    <w:link w:val="a7"/>
    <w:uiPriority w:val="34"/>
    <w:qFormat/>
    <w:rsid w:val="00AE2EE4"/>
    <w:pPr>
      <w:ind w:left="720"/>
      <w:contextualSpacing/>
    </w:pPr>
  </w:style>
  <w:style w:type="character" w:customStyle="1" w:styleId="a7">
    <w:name w:val="Абзац списка Знак"/>
    <w:link w:val="a6"/>
    <w:uiPriority w:val="34"/>
    <w:rsid w:val="00844D70"/>
    <w:rPr>
      <w:rFonts w:ascii="Times New Roman" w:hAnsi="Times New Roman"/>
      <w:sz w:val="24"/>
    </w:rPr>
  </w:style>
  <w:style w:type="paragraph" w:styleId="a8">
    <w:name w:val="header"/>
    <w:basedOn w:val="a0"/>
    <w:link w:val="a9"/>
    <w:uiPriority w:val="99"/>
    <w:unhideWhenUsed/>
    <w:rsid w:val="00383556"/>
    <w:pPr>
      <w:tabs>
        <w:tab w:val="center" w:pos="4677"/>
        <w:tab w:val="right" w:pos="9355"/>
      </w:tabs>
      <w:spacing w:line="240" w:lineRule="auto"/>
    </w:pPr>
  </w:style>
  <w:style w:type="character" w:customStyle="1" w:styleId="a9">
    <w:name w:val="Верхний колонтитул Знак"/>
    <w:link w:val="a8"/>
    <w:uiPriority w:val="99"/>
    <w:rsid w:val="00383556"/>
    <w:rPr>
      <w:rFonts w:ascii="Times New Roman" w:hAnsi="Times New Roman"/>
      <w:sz w:val="24"/>
    </w:rPr>
  </w:style>
  <w:style w:type="paragraph" w:styleId="aa">
    <w:name w:val="footer"/>
    <w:basedOn w:val="a0"/>
    <w:link w:val="ab"/>
    <w:uiPriority w:val="99"/>
    <w:unhideWhenUsed/>
    <w:rsid w:val="00383556"/>
    <w:pPr>
      <w:tabs>
        <w:tab w:val="center" w:pos="4677"/>
        <w:tab w:val="right" w:pos="9355"/>
      </w:tabs>
      <w:spacing w:line="240" w:lineRule="auto"/>
    </w:pPr>
  </w:style>
  <w:style w:type="character" w:customStyle="1" w:styleId="ab">
    <w:name w:val="Нижний колонтитул Знак"/>
    <w:link w:val="aa"/>
    <w:uiPriority w:val="99"/>
    <w:rsid w:val="00383556"/>
    <w:rPr>
      <w:rFonts w:ascii="Times New Roman" w:hAnsi="Times New Roman"/>
      <w:sz w:val="24"/>
    </w:rPr>
  </w:style>
  <w:style w:type="character" w:styleId="ac">
    <w:name w:val="Strong"/>
    <w:uiPriority w:val="22"/>
    <w:qFormat/>
    <w:rsid w:val="00C512DE"/>
    <w:rPr>
      <w:b/>
      <w:bCs/>
    </w:rPr>
  </w:style>
  <w:style w:type="table" w:customStyle="1" w:styleId="-131">
    <w:name w:val="Список-таблица 1 светлая — акцент 31"/>
    <w:basedOn w:val="a2"/>
    <w:uiPriority w:val="46"/>
    <w:rsid w:val="00562AB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ableParagraph">
    <w:name w:val="Table Paragraph"/>
    <w:basedOn w:val="a0"/>
    <w:rsid w:val="008F3621"/>
    <w:pPr>
      <w:widowControl w:val="0"/>
      <w:spacing w:before="0" w:after="0" w:line="240" w:lineRule="auto"/>
      <w:ind w:left="103"/>
      <w:jc w:val="left"/>
    </w:pPr>
    <w:rPr>
      <w:rFonts w:ascii="Calibri" w:eastAsia="Times New Roman" w:hAnsi="Calibri" w:cs="Calibri"/>
      <w:sz w:val="22"/>
      <w:lang w:val="en-US"/>
    </w:rPr>
  </w:style>
  <w:style w:type="character" w:customStyle="1" w:styleId="pop-slug-vol">
    <w:name w:val="pop-slug-vol"/>
    <w:uiPriority w:val="99"/>
    <w:qFormat/>
    <w:rsid w:val="008F3621"/>
    <w:rPr>
      <w:rFonts w:cs="Times New Roman"/>
    </w:rPr>
  </w:style>
  <w:style w:type="paragraph" w:customStyle="1" w:styleId="ad">
    <w:name w:val="Содержимое врезки"/>
    <w:basedOn w:val="a0"/>
    <w:uiPriority w:val="99"/>
    <w:qFormat/>
    <w:rsid w:val="008F3621"/>
    <w:pPr>
      <w:spacing w:before="0" w:after="0"/>
      <w:jc w:val="left"/>
    </w:pPr>
  </w:style>
  <w:style w:type="table" w:styleId="ae">
    <w:name w:val="Table Grid"/>
    <w:basedOn w:val="a2"/>
    <w:uiPriority w:val="39"/>
    <w:rsid w:val="008F3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Текст примечания Знак"/>
    <w:uiPriority w:val="99"/>
    <w:qFormat/>
    <w:rsid w:val="008F3621"/>
    <w:rPr>
      <w:rFonts w:ascii="Times New Roman" w:hAnsi="Times New Roman"/>
      <w:sz w:val="20"/>
      <w:szCs w:val="20"/>
    </w:rPr>
  </w:style>
  <w:style w:type="paragraph" w:styleId="af0">
    <w:name w:val="No Spacing"/>
    <w:uiPriority w:val="1"/>
    <w:qFormat/>
    <w:rsid w:val="008F3621"/>
    <w:pPr>
      <w:jc w:val="both"/>
    </w:pPr>
    <w:rPr>
      <w:rFonts w:ascii="Times New Roman" w:hAnsi="Times New Roman"/>
      <w:sz w:val="24"/>
      <w:szCs w:val="22"/>
      <w:lang w:eastAsia="en-US"/>
    </w:rPr>
  </w:style>
  <w:style w:type="paragraph" w:styleId="af1">
    <w:name w:val="TOC Heading"/>
    <w:basedOn w:val="1"/>
    <w:next w:val="a0"/>
    <w:uiPriority w:val="39"/>
    <w:unhideWhenUsed/>
    <w:qFormat/>
    <w:rsid w:val="008F3621"/>
    <w:pPr>
      <w:pageBreakBefore w:val="0"/>
      <w:spacing w:after="0" w:line="259" w:lineRule="auto"/>
      <w:jc w:val="left"/>
      <w:outlineLvl w:val="9"/>
    </w:pPr>
    <w:rPr>
      <w:rFonts w:ascii="Calibri Light" w:hAnsi="Calibri Light"/>
      <w:b w:val="0"/>
      <w:color w:val="2F5496"/>
      <w:sz w:val="32"/>
      <w:lang w:eastAsia="ru-RU"/>
    </w:rPr>
  </w:style>
  <w:style w:type="paragraph" w:styleId="11">
    <w:name w:val="toc 1"/>
    <w:basedOn w:val="a0"/>
    <w:next w:val="a0"/>
    <w:autoRedefine/>
    <w:uiPriority w:val="39"/>
    <w:unhideWhenUsed/>
    <w:rsid w:val="008654BE"/>
    <w:pPr>
      <w:tabs>
        <w:tab w:val="right" w:leader="dot" w:pos="9345"/>
      </w:tabs>
      <w:spacing w:after="100"/>
      <w:jc w:val="left"/>
    </w:pPr>
    <w:rPr>
      <w:bCs/>
      <w:noProof/>
    </w:rPr>
  </w:style>
  <w:style w:type="paragraph" w:styleId="21">
    <w:name w:val="toc 2"/>
    <w:basedOn w:val="a0"/>
    <w:next w:val="a0"/>
    <w:autoRedefine/>
    <w:uiPriority w:val="39"/>
    <w:unhideWhenUsed/>
    <w:rsid w:val="008654BE"/>
    <w:pPr>
      <w:tabs>
        <w:tab w:val="right" w:leader="dot" w:pos="9345"/>
      </w:tabs>
      <w:spacing w:before="0" w:after="0"/>
      <w:ind w:left="240"/>
      <w:jc w:val="left"/>
    </w:pPr>
    <w:rPr>
      <w:noProof/>
    </w:rPr>
  </w:style>
  <w:style w:type="character" w:styleId="af2">
    <w:name w:val="Hyperlink"/>
    <w:uiPriority w:val="99"/>
    <w:unhideWhenUsed/>
    <w:rsid w:val="008F3621"/>
    <w:rPr>
      <w:color w:val="0563C1"/>
      <w:u w:val="single"/>
    </w:rPr>
  </w:style>
  <w:style w:type="character" w:styleId="af3">
    <w:name w:val="annotation reference"/>
    <w:uiPriority w:val="99"/>
    <w:semiHidden/>
    <w:unhideWhenUsed/>
    <w:rsid w:val="003C363B"/>
    <w:rPr>
      <w:sz w:val="16"/>
      <w:szCs w:val="16"/>
    </w:rPr>
  </w:style>
  <w:style w:type="paragraph" w:styleId="af4">
    <w:name w:val="annotation text"/>
    <w:basedOn w:val="a0"/>
    <w:link w:val="12"/>
    <w:uiPriority w:val="99"/>
    <w:unhideWhenUsed/>
    <w:qFormat/>
    <w:rsid w:val="003C363B"/>
    <w:pPr>
      <w:spacing w:line="240" w:lineRule="auto"/>
    </w:pPr>
    <w:rPr>
      <w:sz w:val="20"/>
      <w:szCs w:val="20"/>
    </w:rPr>
  </w:style>
  <w:style w:type="character" w:customStyle="1" w:styleId="12">
    <w:name w:val="Текст примечания Знак1"/>
    <w:link w:val="af4"/>
    <w:uiPriority w:val="99"/>
    <w:rsid w:val="003C363B"/>
    <w:rPr>
      <w:rFonts w:ascii="Times New Roman" w:hAnsi="Times New Roman"/>
      <w:sz w:val="20"/>
      <w:szCs w:val="20"/>
    </w:rPr>
  </w:style>
  <w:style w:type="paragraph" w:styleId="af5">
    <w:name w:val="Balloon Text"/>
    <w:basedOn w:val="a0"/>
    <w:link w:val="af6"/>
    <w:uiPriority w:val="99"/>
    <w:semiHidden/>
    <w:unhideWhenUsed/>
    <w:rsid w:val="003C363B"/>
    <w:pPr>
      <w:spacing w:before="0" w:after="0" w:line="240" w:lineRule="auto"/>
    </w:pPr>
    <w:rPr>
      <w:rFonts w:ascii="Segoe UI" w:hAnsi="Segoe UI" w:cs="Segoe UI"/>
      <w:sz w:val="18"/>
      <w:szCs w:val="18"/>
    </w:rPr>
  </w:style>
  <w:style w:type="character" w:customStyle="1" w:styleId="af6">
    <w:name w:val="Текст выноски Знак"/>
    <w:link w:val="af5"/>
    <w:uiPriority w:val="99"/>
    <w:semiHidden/>
    <w:rsid w:val="003C363B"/>
    <w:rPr>
      <w:rFonts w:ascii="Segoe UI" w:hAnsi="Segoe UI" w:cs="Segoe UI"/>
      <w:sz w:val="18"/>
      <w:szCs w:val="18"/>
    </w:rPr>
  </w:style>
  <w:style w:type="paragraph" w:customStyle="1" w:styleId="13">
    <w:name w:val="Оглавление 1 Знак"/>
    <w:basedOn w:val="a0"/>
    <w:qFormat/>
    <w:rsid w:val="00130BC5"/>
    <w:pPr>
      <w:widowControl w:val="0"/>
      <w:spacing w:before="0" w:after="0"/>
      <w:ind w:left="709" w:hanging="283"/>
    </w:pPr>
    <w:rPr>
      <w:rFonts w:eastAsia="Times New Roman"/>
      <w:szCs w:val="24"/>
      <w:lang w:eastAsia="ru-RU"/>
    </w:rPr>
  </w:style>
  <w:style w:type="paragraph" w:styleId="af7">
    <w:name w:val="Body Text"/>
    <w:basedOn w:val="a0"/>
    <w:link w:val="af8"/>
    <w:rsid w:val="00DD67C7"/>
    <w:pPr>
      <w:spacing w:before="0" w:line="240" w:lineRule="auto"/>
      <w:ind w:firstLine="567"/>
    </w:pPr>
    <w:rPr>
      <w:rFonts w:eastAsia="Times New Roman"/>
      <w:szCs w:val="24"/>
    </w:rPr>
  </w:style>
  <w:style w:type="character" w:customStyle="1" w:styleId="af8">
    <w:name w:val="Основной текст Знак"/>
    <w:link w:val="af7"/>
    <w:rsid w:val="00DD67C7"/>
    <w:rPr>
      <w:rFonts w:ascii="Times New Roman" w:eastAsia="Times New Roman" w:hAnsi="Times New Roman" w:cs="Times New Roman"/>
      <w:sz w:val="24"/>
      <w:szCs w:val="24"/>
    </w:rPr>
  </w:style>
  <w:style w:type="paragraph" w:customStyle="1" w:styleId="31">
    <w:name w:val="Абзац списка3"/>
    <w:basedOn w:val="a0"/>
    <w:rsid w:val="008654BE"/>
    <w:pPr>
      <w:spacing w:before="0" w:after="0" w:line="240" w:lineRule="auto"/>
      <w:ind w:left="720" w:firstLine="567"/>
    </w:pPr>
    <w:rPr>
      <w:szCs w:val="24"/>
      <w:lang w:eastAsia="ru-RU"/>
    </w:rPr>
  </w:style>
  <w:style w:type="table" w:customStyle="1" w:styleId="-132">
    <w:name w:val="Список-таблица 1 светлая — акцент 32"/>
    <w:basedOn w:val="a2"/>
    <w:uiPriority w:val="46"/>
    <w:rsid w:val="006A749A"/>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f9">
    <w:name w:val="annotation subject"/>
    <w:basedOn w:val="af4"/>
    <w:next w:val="af4"/>
    <w:link w:val="afa"/>
    <w:uiPriority w:val="99"/>
    <w:semiHidden/>
    <w:unhideWhenUsed/>
    <w:rsid w:val="003C65DB"/>
    <w:rPr>
      <w:b/>
      <w:bCs/>
    </w:rPr>
  </w:style>
  <w:style w:type="character" w:customStyle="1" w:styleId="afa">
    <w:name w:val="Тема примечания Знак"/>
    <w:link w:val="af9"/>
    <w:uiPriority w:val="99"/>
    <w:semiHidden/>
    <w:rsid w:val="003C65DB"/>
    <w:rPr>
      <w:rFonts w:ascii="Times New Roman" w:hAnsi="Times New Roman"/>
      <w:b/>
      <w:bCs/>
      <w:sz w:val="20"/>
      <w:szCs w:val="20"/>
    </w:rPr>
  </w:style>
  <w:style w:type="character" w:customStyle="1" w:styleId="hl">
    <w:name w:val="hl"/>
    <w:basedOn w:val="a1"/>
    <w:rsid w:val="003C65DB"/>
  </w:style>
  <w:style w:type="paragraph" w:styleId="afb">
    <w:name w:val="Title"/>
    <w:aliases w:val="Заголовок мой"/>
    <w:basedOn w:val="a0"/>
    <w:next w:val="a0"/>
    <w:link w:val="afc"/>
    <w:qFormat/>
    <w:rsid w:val="00036C84"/>
    <w:pPr>
      <w:spacing w:before="0" w:after="0"/>
      <w:contextualSpacing/>
      <w:jc w:val="center"/>
    </w:pPr>
    <w:rPr>
      <w:rFonts w:eastAsia="Times New Roman"/>
      <w:spacing w:val="-10"/>
      <w:kern w:val="28"/>
      <w:sz w:val="28"/>
      <w:szCs w:val="56"/>
      <w:u w:val="single"/>
    </w:rPr>
  </w:style>
  <w:style w:type="character" w:customStyle="1" w:styleId="afc">
    <w:name w:val="Название Знак"/>
    <w:aliases w:val="Заголовок мой Знак"/>
    <w:link w:val="afb"/>
    <w:rsid w:val="00036C84"/>
    <w:rPr>
      <w:rFonts w:ascii="Times New Roman" w:eastAsia="Times New Roman" w:hAnsi="Times New Roman" w:cs="Times New Roman"/>
      <w:spacing w:val="-10"/>
      <w:kern w:val="28"/>
      <w:sz w:val="28"/>
      <w:szCs w:val="56"/>
      <w:u w:val="single"/>
    </w:rPr>
  </w:style>
  <w:style w:type="table" w:customStyle="1" w:styleId="14">
    <w:name w:val="Сетка таблицы1"/>
    <w:basedOn w:val="a2"/>
    <w:next w:val="ae"/>
    <w:uiPriority w:val="59"/>
    <w:rsid w:val="00C0307D"/>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0"/>
    <w:link w:val="HTML0"/>
    <w:uiPriority w:val="99"/>
    <w:semiHidden/>
    <w:unhideWhenUsed/>
    <w:rsid w:val="00A0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A045D5"/>
    <w:rPr>
      <w:rFonts w:ascii="Courier New" w:eastAsia="Times New Roman" w:hAnsi="Courier New" w:cs="Courier New"/>
      <w:sz w:val="20"/>
      <w:szCs w:val="20"/>
      <w:lang w:eastAsia="ru-RU"/>
    </w:rPr>
  </w:style>
  <w:style w:type="character" w:customStyle="1" w:styleId="mixed-citation">
    <w:name w:val="mixed-citation"/>
    <w:basedOn w:val="a1"/>
    <w:rsid w:val="00A045D5"/>
  </w:style>
  <w:style w:type="character" w:customStyle="1" w:styleId="ref-title">
    <w:name w:val="ref-title"/>
    <w:basedOn w:val="a1"/>
    <w:rsid w:val="00A045D5"/>
  </w:style>
  <w:style w:type="character" w:customStyle="1" w:styleId="ref-journal">
    <w:name w:val="ref-journal"/>
    <w:basedOn w:val="a1"/>
    <w:rsid w:val="00A045D5"/>
  </w:style>
  <w:style w:type="character" w:customStyle="1" w:styleId="ref-vol">
    <w:name w:val="ref-vol"/>
    <w:basedOn w:val="a1"/>
    <w:rsid w:val="00A045D5"/>
  </w:style>
  <w:style w:type="character" w:customStyle="1" w:styleId="ref-iss">
    <w:name w:val="ref-iss"/>
    <w:basedOn w:val="a1"/>
    <w:rsid w:val="00A045D5"/>
  </w:style>
  <w:style w:type="character" w:customStyle="1" w:styleId="nowrap">
    <w:name w:val="nowrap"/>
    <w:basedOn w:val="a1"/>
    <w:rsid w:val="00A045D5"/>
  </w:style>
  <w:style w:type="character" w:styleId="afd">
    <w:name w:val="Placeholder Text"/>
    <w:uiPriority w:val="99"/>
    <w:semiHidden/>
    <w:rsid w:val="00804C38"/>
    <w:rPr>
      <w:color w:val="808080"/>
    </w:rPr>
  </w:style>
  <w:style w:type="paragraph" w:customStyle="1" w:styleId="afe">
    <w:name w:val="Памятки"/>
    <w:basedOn w:val="a0"/>
    <w:link w:val="aff"/>
    <w:uiPriority w:val="99"/>
    <w:rsid w:val="000B4176"/>
    <w:pPr>
      <w:spacing w:before="0" w:after="0"/>
      <w:ind w:firstLine="709"/>
    </w:pPr>
    <w:rPr>
      <w:rFonts w:eastAsia="Times New Roman"/>
      <w:i/>
      <w:color w:val="FF0000"/>
      <w:sz w:val="18"/>
      <w:szCs w:val="24"/>
    </w:rPr>
  </w:style>
  <w:style w:type="character" w:customStyle="1" w:styleId="aff">
    <w:name w:val="Памятки Знак"/>
    <w:link w:val="afe"/>
    <w:uiPriority w:val="99"/>
    <w:locked/>
    <w:rsid w:val="000B4176"/>
    <w:rPr>
      <w:rFonts w:ascii="Times New Roman" w:eastAsia="Times New Roman" w:hAnsi="Times New Roman" w:cs="Times New Roman"/>
      <w:i/>
      <w:color w:val="FF0000"/>
      <w:sz w:val="18"/>
      <w:szCs w:val="24"/>
    </w:rPr>
  </w:style>
  <w:style w:type="paragraph" w:customStyle="1" w:styleId="Default">
    <w:name w:val="Default"/>
    <w:rsid w:val="00E92FAD"/>
    <w:pPr>
      <w:autoSpaceDE w:val="0"/>
      <w:autoSpaceDN w:val="0"/>
      <w:adjustRightInd w:val="0"/>
    </w:pPr>
    <w:rPr>
      <w:rFonts w:ascii="Times New Roman" w:hAnsi="Times New Roman"/>
      <w:color w:val="000000"/>
      <w:sz w:val="24"/>
      <w:szCs w:val="24"/>
      <w:lang w:eastAsia="en-US"/>
    </w:rPr>
  </w:style>
  <w:style w:type="character" w:customStyle="1" w:styleId="aff0">
    <w:name w:val="Обычный (веб) Знак"/>
    <w:uiPriority w:val="99"/>
    <w:rsid w:val="00305AC6"/>
    <w:rPr>
      <w:rFonts w:ascii="Times New Roman" w:eastAsia="Times New Roman" w:hAnsi="Times New Roman"/>
      <w:sz w:val="24"/>
      <w:szCs w:val="24"/>
    </w:rPr>
  </w:style>
  <w:style w:type="paragraph" w:styleId="aff1">
    <w:name w:val="Revision"/>
    <w:hidden/>
    <w:uiPriority w:val="99"/>
    <w:semiHidden/>
    <w:rsid w:val="00305AC6"/>
    <w:rPr>
      <w:rFonts w:ascii="Times New Roman" w:hAnsi="Times New Roman"/>
      <w:sz w:val="24"/>
      <w:szCs w:val="22"/>
      <w:lang w:eastAsia="en-US"/>
    </w:rPr>
  </w:style>
  <w:style w:type="paragraph" w:customStyle="1" w:styleId="aff2">
    <w:basedOn w:val="a0"/>
    <w:next w:val="a4"/>
    <w:uiPriority w:val="99"/>
    <w:unhideWhenUsed/>
    <w:qFormat/>
    <w:rsid w:val="008654BE"/>
    <w:pPr>
      <w:spacing w:beforeAutospacing="1" w:afterAutospacing="1" w:line="288" w:lineRule="auto"/>
      <w:jc w:val="left"/>
    </w:pPr>
    <w:rPr>
      <w:rFonts w:eastAsia="Times New Roman"/>
      <w:szCs w:val="24"/>
      <w:lang w:eastAsia="ru-RU"/>
    </w:rPr>
  </w:style>
  <w:style w:type="character" w:customStyle="1" w:styleId="15">
    <w:name w:val="Абзац списка Знак1"/>
    <w:basedOn w:val="a1"/>
    <w:uiPriority w:val="34"/>
    <w:rsid w:val="00476626"/>
    <w:rPr>
      <w:rFonts w:ascii="Times New Roman" w:hAnsi="Times New Roman"/>
      <w:sz w:val="24"/>
    </w:rPr>
  </w:style>
  <w:style w:type="paragraph" w:customStyle="1" w:styleId="Normal1">
    <w:name w:val="Normal 1"/>
    <w:uiPriority w:val="99"/>
    <w:rsid w:val="00EF54E3"/>
    <w:pPr>
      <w:shd w:val="clear" w:color="auto" w:fill="FFFFFF"/>
      <w:tabs>
        <w:tab w:val="left" w:pos="394"/>
      </w:tabs>
      <w:spacing w:before="5"/>
      <w:ind w:left="10" w:hanging="10"/>
    </w:pPr>
    <w:rPr>
      <w:rFonts w:ascii="Times New Roman" w:eastAsia="Arial Unicode MS" w:hAnsi="Times New Roman" w:cs="Arial Unicode MS"/>
      <w:color w:val="000000"/>
      <w:spacing w:val="4"/>
      <w:sz w:val="24"/>
      <w:szCs w:val="24"/>
      <w:u w:color="000000"/>
    </w:rPr>
  </w:style>
  <w:style w:type="paragraph" w:customStyle="1" w:styleId="Literature">
    <w:name w:val="Literature"/>
    <w:uiPriority w:val="99"/>
    <w:rsid w:val="00EF54E3"/>
    <w:pPr>
      <w:shd w:val="clear" w:color="auto" w:fill="FFFFFF"/>
      <w:tabs>
        <w:tab w:val="left" w:pos="1068"/>
      </w:tabs>
      <w:spacing w:before="5"/>
      <w:ind w:left="720" w:hanging="360"/>
    </w:pPr>
    <w:rPr>
      <w:rFonts w:ascii="Times New Roman" w:eastAsia="Arial Unicode MS" w:hAnsi="Times New Roman" w:cs="Arial Unicode MS"/>
      <w:color w:val="000000"/>
      <w:spacing w:val="-1"/>
      <w:sz w:val="24"/>
      <w:szCs w:val="24"/>
      <w:u w:color="000000"/>
    </w:rPr>
  </w:style>
  <w:style w:type="paragraph" w:customStyle="1" w:styleId="Numlist">
    <w:name w:val="Num_list"/>
    <w:basedOn w:val="a0"/>
    <w:qFormat/>
    <w:rsid w:val="00EF54E3"/>
    <w:pPr>
      <w:overflowPunct w:val="0"/>
      <w:autoSpaceDE w:val="0"/>
      <w:autoSpaceDN w:val="0"/>
      <w:adjustRightInd w:val="0"/>
      <w:spacing w:before="0" w:after="0" w:line="240" w:lineRule="auto"/>
      <w:ind w:firstLine="708"/>
      <w:jc w:val="left"/>
      <w:textAlignment w:val="baseline"/>
    </w:pPr>
    <w:rPr>
      <w:rFonts w:eastAsia="Times New Roman"/>
      <w:szCs w:val="24"/>
      <w:lang w:eastAsia="ru-RU"/>
    </w:rPr>
  </w:style>
  <w:style w:type="paragraph" w:customStyle="1" w:styleId="msonormalmrcssattr">
    <w:name w:val="msonormal_mr_css_attr"/>
    <w:basedOn w:val="a0"/>
    <w:rsid w:val="003E0025"/>
    <w:pPr>
      <w:spacing w:before="100" w:beforeAutospacing="1" w:after="100" w:afterAutospacing="1" w:line="240" w:lineRule="auto"/>
      <w:jc w:val="left"/>
    </w:pPr>
    <w:rPr>
      <w:rFonts w:eastAsia="Times New Roman"/>
      <w:szCs w:val="24"/>
      <w:lang w:eastAsia="ru-RU"/>
    </w:rPr>
  </w:style>
  <w:style w:type="paragraph" w:customStyle="1" w:styleId="Number1">
    <w:name w:val="Number1"/>
    <w:basedOn w:val="a0"/>
    <w:uiPriority w:val="99"/>
    <w:rsid w:val="003E0025"/>
    <w:pPr>
      <w:shd w:val="clear" w:color="auto" w:fill="FFFFFF"/>
      <w:tabs>
        <w:tab w:val="left" w:pos="394"/>
      </w:tabs>
      <w:overflowPunct w:val="0"/>
      <w:autoSpaceDE w:val="0"/>
      <w:autoSpaceDN w:val="0"/>
      <w:adjustRightInd w:val="0"/>
      <w:spacing w:before="5" w:after="0" w:line="240" w:lineRule="auto"/>
      <w:ind w:left="284" w:hanging="284"/>
      <w:jc w:val="left"/>
      <w:textAlignment w:val="baseline"/>
    </w:pPr>
    <w:rPr>
      <w:rFonts w:eastAsia="ＭＳ 明朝 (Основной т・"/>
      <w:color w:val="000000"/>
      <w:spacing w:val="-1"/>
      <w:szCs w:val="20"/>
      <w:lang w:eastAsia="ru-RU"/>
    </w:rPr>
  </w:style>
  <w:style w:type="paragraph" w:customStyle="1" w:styleId="table-name">
    <w:name w:val="table-name"/>
    <w:basedOn w:val="a0"/>
    <w:rsid w:val="003E0025"/>
    <w:pPr>
      <w:shd w:val="clear" w:color="auto" w:fill="FFFFFF"/>
      <w:tabs>
        <w:tab w:val="left" w:pos="394"/>
      </w:tabs>
      <w:overflowPunct w:val="0"/>
      <w:autoSpaceDE w:val="0"/>
      <w:autoSpaceDN w:val="0"/>
      <w:adjustRightInd w:val="0"/>
      <w:spacing w:before="60" w:after="0" w:line="240" w:lineRule="auto"/>
      <w:ind w:left="10" w:firstLine="284"/>
      <w:jc w:val="left"/>
      <w:textAlignment w:val="baseline"/>
    </w:pPr>
    <w:rPr>
      <w:rFonts w:eastAsia="ＭＳ 明朝 (Основной т・"/>
      <w:color w:val="000000"/>
      <w:spacing w:val="-5"/>
      <w:szCs w:val="20"/>
      <w:lang w:val="en-US" w:eastAsia="ru-RU"/>
    </w:rPr>
  </w:style>
  <w:style w:type="paragraph" w:customStyle="1" w:styleId="table-head-left">
    <w:name w:val="table-head-left"/>
    <w:basedOn w:val="a0"/>
    <w:rsid w:val="003E0025"/>
    <w:pPr>
      <w:shd w:val="clear" w:color="auto" w:fill="FFFFFF"/>
      <w:tabs>
        <w:tab w:val="left" w:pos="394"/>
      </w:tabs>
      <w:overflowPunct w:val="0"/>
      <w:autoSpaceDE w:val="0"/>
      <w:autoSpaceDN w:val="0"/>
      <w:adjustRightInd w:val="0"/>
      <w:spacing w:before="40" w:after="40" w:line="240" w:lineRule="auto"/>
      <w:ind w:left="57" w:hanging="57"/>
      <w:textAlignment w:val="baseline"/>
    </w:pPr>
    <w:rPr>
      <w:rFonts w:eastAsia="ＭＳ 明朝 (Основной т・"/>
      <w:color w:val="000000"/>
      <w:spacing w:val="-5"/>
      <w:sz w:val="17"/>
      <w:szCs w:val="20"/>
      <w:lang w:eastAsia="ru-RU"/>
    </w:rPr>
  </w:style>
  <w:style w:type="paragraph" w:customStyle="1" w:styleId="table-text-0">
    <w:name w:val="table-text-0"/>
    <w:basedOn w:val="a0"/>
    <w:rsid w:val="003E0025"/>
    <w:pPr>
      <w:shd w:val="clear" w:color="auto" w:fill="FFFFFF"/>
      <w:tabs>
        <w:tab w:val="left" w:pos="394"/>
      </w:tabs>
      <w:overflowPunct w:val="0"/>
      <w:autoSpaceDE w:val="0"/>
      <w:autoSpaceDN w:val="0"/>
      <w:adjustRightInd w:val="0"/>
      <w:spacing w:before="40" w:after="40" w:line="240" w:lineRule="auto"/>
      <w:ind w:left="10" w:hanging="10"/>
      <w:jc w:val="left"/>
      <w:textAlignment w:val="baseline"/>
    </w:pPr>
    <w:rPr>
      <w:rFonts w:eastAsia="ＭＳ 明朝 (Основной т・"/>
      <w:color w:val="000000"/>
      <w:spacing w:val="-5"/>
      <w:sz w:val="17"/>
      <w:szCs w:val="20"/>
      <w:lang w:eastAsia="ru-RU"/>
    </w:rPr>
  </w:style>
  <w:style w:type="paragraph" w:customStyle="1" w:styleId="Autor">
    <w:name w:val="Autor"/>
    <w:basedOn w:val="a0"/>
    <w:qFormat/>
    <w:rsid w:val="003E0025"/>
    <w:pPr>
      <w:widowControl w:val="0"/>
      <w:shd w:val="clear" w:color="auto" w:fill="FFFFFF"/>
      <w:overflowPunct w:val="0"/>
      <w:autoSpaceDE w:val="0"/>
      <w:autoSpaceDN w:val="0"/>
      <w:adjustRightInd w:val="0"/>
      <w:spacing w:after="0" w:line="240" w:lineRule="atLeast"/>
      <w:jc w:val="left"/>
      <w:textAlignment w:val="baseline"/>
    </w:pPr>
    <w:rPr>
      <w:i/>
      <w:iCs/>
      <w:sz w:val="22"/>
      <w:lang w:val="en-US" w:eastAsia="ru-RU"/>
    </w:rPr>
  </w:style>
  <w:style w:type="paragraph" w:customStyle="1" w:styleId="aff3">
    <w:name w:val="Литература"/>
    <w:basedOn w:val="a0"/>
    <w:qFormat/>
    <w:rsid w:val="003E0025"/>
    <w:pPr>
      <w:suppressAutoHyphens/>
      <w:spacing w:before="0" w:line="240" w:lineRule="auto"/>
      <w:jc w:val="left"/>
    </w:pPr>
    <w:rPr>
      <w:i/>
      <w:kern w:val="1"/>
      <w:szCs w:val="24"/>
      <w:lang w:val="en-US"/>
    </w:rPr>
  </w:style>
  <w:style w:type="character" w:customStyle="1" w:styleId="cit">
    <w:name w:val="cit"/>
    <w:basedOn w:val="a1"/>
    <w:rsid w:val="003E0025"/>
  </w:style>
  <w:style w:type="character" w:customStyle="1" w:styleId="al-author-delim">
    <w:name w:val="al-author-delim"/>
    <w:basedOn w:val="a1"/>
    <w:rsid w:val="003E0025"/>
  </w:style>
  <w:style w:type="character" w:customStyle="1" w:styleId="apple-converted-space">
    <w:name w:val="apple-converted-space"/>
    <w:uiPriority w:val="99"/>
    <w:rsid w:val="00266EEA"/>
  </w:style>
  <w:style w:type="paragraph" w:customStyle="1" w:styleId="a">
    <w:name w:val="рек"/>
    <w:basedOn w:val="a6"/>
    <w:link w:val="aff4"/>
    <w:qFormat/>
    <w:rsid w:val="00266EEA"/>
    <w:pPr>
      <w:numPr>
        <w:numId w:val="103"/>
      </w:numPr>
      <w:tabs>
        <w:tab w:val="left" w:pos="1134"/>
      </w:tabs>
      <w:spacing w:before="240" w:after="0"/>
      <w:ind w:left="709" w:hanging="425"/>
      <w:contextualSpacing w:val="0"/>
    </w:pPr>
    <w:rPr>
      <w:rFonts w:eastAsiaTheme="minorHAnsi"/>
      <w:szCs w:val="24"/>
    </w:rPr>
  </w:style>
  <w:style w:type="character" w:customStyle="1" w:styleId="aff4">
    <w:name w:val="рек Знак"/>
    <w:basedOn w:val="a7"/>
    <w:link w:val="a"/>
    <w:rsid w:val="00266EEA"/>
    <w:rPr>
      <w:rFonts w:ascii="Times New Roman" w:eastAsiaTheme="minorHAnsi" w:hAnsi="Times New Roman"/>
      <w:sz w:val="24"/>
      <w:szCs w:val="24"/>
      <w:lang w:eastAsia="en-US"/>
    </w:rPr>
  </w:style>
  <w:style w:type="character" w:customStyle="1" w:styleId="-">
    <w:name w:val="Интернет-ссылка"/>
    <w:uiPriority w:val="99"/>
    <w:unhideWhenUsed/>
    <w:rsid w:val="00D563D9"/>
    <w:rPr>
      <w:color w:val="0000FF"/>
      <w:u w:val="single"/>
    </w:rPr>
  </w:style>
  <w:style w:type="paragraph" w:customStyle="1" w:styleId="msolistparagraphmrcssattr">
    <w:name w:val="msolistparagraph_mr_css_attr"/>
    <w:basedOn w:val="a0"/>
    <w:qFormat/>
    <w:rsid w:val="00D563D9"/>
    <w:pPr>
      <w:overflowPunct w:val="0"/>
      <w:spacing w:before="280" w:after="280" w:line="240" w:lineRule="auto"/>
      <w:jc w:val="left"/>
    </w:pPr>
    <w:rPr>
      <w:rFonts w:eastAsia="Times New Roman"/>
      <w:szCs w:val="24"/>
      <w:lang w:eastAsia="ru-RU"/>
    </w:rPr>
  </w:style>
  <w:style w:type="table" w:customStyle="1" w:styleId="16">
    <w:name w:val="Сетка таблицы светлая1"/>
    <w:basedOn w:val="a2"/>
    <w:uiPriority w:val="40"/>
    <w:rsid w:val="00D563D9"/>
    <w:rPr>
      <w:rFonts w:asciiTheme="minorHAnsi" w:eastAsiaTheme="minorHAnsi" w:hAnsiTheme="minorHAnsi" w:cstheme="minorBidi"/>
      <w:szCs w:val="22"/>
      <w:lang w:eastAsia="en-US"/>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character" w:customStyle="1" w:styleId="pagelast">
    <w:name w:val="pagelast"/>
    <w:uiPriority w:val="99"/>
    <w:rsid w:val="004569A5"/>
    <w:rPr>
      <w:rFonts w:cs="Times New Roman"/>
    </w:rPr>
  </w:style>
  <w:style w:type="paragraph" w:customStyle="1" w:styleId="FitzBullet">
    <w:name w:val="FitzBullet"/>
    <w:basedOn w:val="a0"/>
    <w:rsid w:val="004569A5"/>
    <w:pPr>
      <w:shd w:val="clear" w:color="auto" w:fill="FFFFFF"/>
      <w:tabs>
        <w:tab w:val="left" w:pos="144"/>
      </w:tabs>
      <w:autoSpaceDE w:val="0"/>
      <w:autoSpaceDN w:val="0"/>
      <w:adjustRightInd w:val="0"/>
      <w:spacing w:before="60" w:after="60" w:line="240" w:lineRule="auto"/>
      <w:ind w:left="283" w:hanging="283"/>
      <w:jc w:val="left"/>
    </w:pPr>
    <w:rPr>
      <w:rFonts w:eastAsia="Times New Roman"/>
      <w:color w:val="000000"/>
      <w:sz w:val="22"/>
      <w:lang w:val="en-GB" w:eastAsia="ru-RU"/>
    </w:rPr>
  </w:style>
  <w:style w:type="paragraph" w:customStyle="1" w:styleId="Table-head-italic">
    <w:name w:val="Table-head-italic"/>
    <w:basedOn w:val="a0"/>
    <w:rsid w:val="004569A5"/>
    <w:pPr>
      <w:widowControl w:val="0"/>
      <w:shd w:val="clear" w:color="auto" w:fill="FFFFFF"/>
      <w:autoSpaceDE w:val="0"/>
      <w:autoSpaceDN w:val="0"/>
      <w:adjustRightInd w:val="0"/>
      <w:spacing w:before="0" w:after="0" w:line="240" w:lineRule="auto"/>
      <w:jc w:val="left"/>
    </w:pPr>
    <w:rPr>
      <w:rFonts w:eastAsia="Times New Roman"/>
      <w:i/>
      <w:iCs/>
      <w:sz w:val="18"/>
      <w:szCs w:val="18"/>
      <w:lang w:val="en-US" w:eastAsia="ru-RU"/>
    </w:rPr>
  </w:style>
  <w:style w:type="paragraph" w:customStyle="1" w:styleId="FitzFootnote">
    <w:name w:val="FitzFootnote"/>
    <w:basedOn w:val="a0"/>
    <w:rsid w:val="004569A5"/>
    <w:pPr>
      <w:shd w:val="clear" w:color="auto" w:fill="FFFFFF"/>
      <w:autoSpaceDE w:val="0"/>
      <w:autoSpaceDN w:val="0"/>
      <w:adjustRightInd w:val="0"/>
      <w:spacing w:before="60" w:after="60" w:line="240" w:lineRule="auto"/>
      <w:jc w:val="left"/>
    </w:pPr>
    <w:rPr>
      <w:rFonts w:eastAsia="Times New Roman"/>
      <w:color w:val="000000"/>
      <w:sz w:val="18"/>
      <w:szCs w:val="18"/>
      <w:lang w:val="en-US" w:eastAsia="ru-RU"/>
    </w:rPr>
  </w:style>
  <w:style w:type="paragraph" w:customStyle="1" w:styleId="table-text-1">
    <w:name w:val="table-text-1"/>
    <w:basedOn w:val="a0"/>
    <w:rsid w:val="004569A5"/>
    <w:pPr>
      <w:overflowPunct w:val="0"/>
      <w:autoSpaceDE w:val="0"/>
      <w:autoSpaceDN w:val="0"/>
      <w:adjustRightInd w:val="0"/>
      <w:spacing w:before="40" w:after="40" w:line="240" w:lineRule="auto"/>
      <w:ind w:left="340" w:hanging="170"/>
      <w:jc w:val="left"/>
      <w:textAlignment w:val="baseline"/>
    </w:pPr>
    <w:rPr>
      <w:rFonts w:eastAsia="Times New Roman"/>
      <w:color w:val="000000"/>
      <w:sz w:val="17"/>
      <w:szCs w:val="20"/>
      <w:lang w:eastAsia="ru-RU"/>
    </w:rPr>
  </w:style>
  <w:style w:type="paragraph" w:customStyle="1" w:styleId="formula">
    <w:name w:val="formula"/>
    <w:basedOn w:val="a0"/>
    <w:rsid w:val="004569A5"/>
    <w:pPr>
      <w:shd w:val="clear" w:color="auto" w:fill="FFFFFF"/>
      <w:tabs>
        <w:tab w:val="left" w:pos="394"/>
      </w:tabs>
      <w:overflowPunct w:val="0"/>
      <w:autoSpaceDE w:val="0"/>
      <w:autoSpaceDN w:val="0"/>
      <w:adjustRightInd w:val="0"/>
      <w:spacing w:before="60" w:after="60" w:line="240" w:lineRule="auto"/>
      <w:ind w:firstLine="227"/>
      <w:jc w:val="left"/>
      <w:textAlignment w:val="baseline"/>
    </w:pPr>
    <w:rPr>
      <w:rFonts w:eastAsia="Times New Roman"/>
      <w:sz w:val="20"/>
      <w:szCs w:val="20"/>
      <w:lang w:eastAsia="ru-RU"/>
    </w:rPr>
  </w:style>
  <w:style w:type="table" w:customStyle="1" w:styleId="22">
    <w:name w:val="Сетка таблицы2"/>
    <w:basedOn w:val="a2"/>
    <w:next w:val="ae"/>
    <w:uiPriority w:val="39"/>
    <w:rsid w:val="00B424E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76E9B"/>
    <w:pPr>
      <w:spacing w:before="120" w:after="120" w:line="360" w:lineRule="auto"/>
      <w:jc w:val="both"/>
    </w:pPr>
    <w:rPr>
      <w:rFonts w:ascii="Times New Roman" w:hAnsi="Times New Roman"/>
      <w:sz w:val="24"/>
      <w:szCs w:val="22"/>
      <w:lang w:eastAsia="en-US"/>
    </w:rPr>
  </w:style>
  <w:style w:type="paragraph" w:styleId="1">
    <w:name w:val="heading 1"/>
    <w:basedOn w:val="a0"/>
    <w:next w:val="a0"/>
    <w:link w:val="10"/>
    <w:qFormat/>
    <w:rsid w:val="008654BE"/>
    <w:pPr>
      <w:keepNext/>
      <w:keepLines/>
      <w:pageBreakBefore/>
      <w:spacing w:before="240"/>
      <w:jc w:val="center"/>
      <w:outlineLvl w:val="0"/>
    </w:pPr>
    <w:rPr>
      <w:rFonts w:eastAsia="Times New Roman"/>
      <w:b/>
      <w:sz w:val="28"/>
      <w:szCs w:val="32"/>
    </w:rPr>
  </w:style>
  <w:style w:type="paragraph" w:styleId="2">
    <w:name w:val="heading 2"/>
    <w:basedOn w:val="a0"/>
    <w:next w:val="a0"/>
    <w:link w:val="20"/>
    <w:unhideWhenUsed/>
    <w:qFormat/>
    <w:rsid w:val="00173C4C"/>
    <w:pPr>
      <w:keepNext/>
      <w:keepLines/>
      <w:spacing w:before="40"/>
      <w:outlineLvl w:val="1"/>
    </w:pPr>
    <w:rPr>
      <w:rFonts w:eastAsia="Times New Roman"/>
      <w:b/>
      <w:szCs w:val="26"/>
      <w:u w:val="single"/>
    </w:rPr>
  </w:style>
  <w:style w:type="paragraph" w:styleId="3">
    <w:name w:val="heading 3"/>
    <w:basedOn w:val="a0"/>
    <w:next w:val="a0"/>
    <w:link w:val="30"/>
    <w:unhideWhenUsed/>
    <w:qFormat/>
    <w:rsid w:val="00D563D9"/>
    <w:pPr>
      <w:keepNext/>
      <w:keepLines/>
      <w:spacing w:before="200" w:after="0"/>
      <w:outlineLvl w:val="2"/>
    </w:pPr>
    <w:rPr>
      <w:rFonts w:asciiTheme="majorHAnsi" w:eastAsiaTheme="majorEastAsia" w:hAnsiTheme="majorHAnsi" w:cstheme="majorBidi"/>
      <w:b/>
      <w:bCs/>
      <w:color w:val="5B9BD5"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5E3E79"/>
    <w:rPr>
      <w:rFonts w:ascii="Times New Roman" w:eastAsia="Times New Roman" w:hAnsi="Times New Roman"/>
      <w:b/>
      <w:sz w:val="28"/>
      <w:szCs w:val="32"/>
      <w:lang w:eastAsia="en-US"/>
    </w:rPr>
  </w:style>
  <w:style w:type="character" w:customStyle="1" w:styleId="20">
    <w:name w:val="Заголовок 2 Знак"/>
    <w:link w:val="2"/>
    <w:rsid w:val="00173C4C"/>
    <w:rPr>
      <w:rFonts w:ascii="Times New Roman" w:eastAsia="Times New Roman" w:hAnsi="Times New Roman" w:cs="Times New Roman"/>
      <w:b/>
      <w:sz w:val="24"/>
      <w:szCs w:val="26"/>
      <w:u w:val="single"/>
    </w:rPr>
  </w:style>
  <w:style w:type="character" w:customStyle="1" w:styleId="30">
    <w:name w:val="Заголовок 3 Знак"/>
    <w:basedOn w:val="a1"/>
    <w:link w:val="3"/>
    <w:rsid w:val="00D563D9"/>
    <w:rPr>
      <w:rFonts w:asciiTheme="majorHAnsi" w:eastAsiaTheme="majorEastAsia" w:hAnsiTheme="majorHAnsi" w:cstheme="majorBidi"/>
      <w:b/>
      <w:bCs/>
      <w:color w:val="5B9BD5" w:themeColor="accent1"/>
      <w:sz w:val="24"/>
      <w:szCs w:val="22"/>
      <w:lang w:eastAsia="en-US"/>
    </w:rPr>
  </w:style>
  <w:style w:type="paragraph" w:styleId="a4">
    <w:name w:val="Normal (Web)"/>
    <w:basedOn w:val="a0"/>
    <w:uiPriority w:val="99"/>
    <w:unhideWhenUsed/>
    <w:qFormat/>
    <w:rsid w:val="00B11FF3"/>
    <w:pPr>
      <w:spacing w:beforeAutospacing="1" w:afterAutospacing="1" w:line="288" w:lineRule="auto"/>
      <w:jc w:val="left"/>
    </w:pPr>
    <w:rPr>
      <w:rFonts w:eastAsia="Times New Roman"/>
      <w:szCs w:val="24"/>
      <w:lang w:eastAsia="ru-RU"/>
    </w:rPr>
  </w:style>
  <w:style w:type="character" w:styleId="a5">
    <w:name w:val="Emphasis"/>
    <w:uiPriority w:val="20"/>
    <w:qFormat/>
    <w:rsid w:val="00B11FF3"/>
    <w:rPr>
      <w:i/>
      <w:iCs/>
    </w:rPr>
  </w:style>
  <w:style w:type="paragraph" w:styleId="a6">
    <w:name w:val="List Paragraph"/>
    <w:basedOn w:val="a0"/>
    <w:link w:val="a7"/>
    <w:uiPriority w:val="34"/>
    <w:qFormat/>
    <w:rsid w:val="00AE2EE4"/>
    <w:pPr>
      <w:ind w:left="720"/>
      <w:contextualSpacing/>
    </w:pPr>
  </w:style>
  <w:style w:type="character" w:customStyle="1" w:styleId="a7">
    <w:name w:val="Абзац списка Знак"/>
    <w:link w:val="a6"/>
    <w:uiPriority w:val="34"/>
    <w:rsid w:val="00844D70"/>
    <w:rPr>
      <w:rFonts w:ascii="Times New Roman" w:hAnsi="Times New Roman"/>
      <w:sz w:val="24"/>
    </w:rPr>
  </w:style>
  <w:style w:type="paragraph" w:styleId="a8">
    <w:name w:val="header"/>
    <w:basedOn w:val="a0"/>
    <w:link w:val="a9"/>
    <w:uiPriority w:val="99"/>
    <w:unhideWhenUsed/>
    <w:rsid w:val="00383556"/>
    <w:pPr>
      <w:tabs>
        <w:tab w:val="center" w:pos="4677"/>
        <w:tab w:val="right" w:pos="9355"/>
      </w:tabs>
      <w:spacing w:line="240" w:lineRule="auto"/>
    </w:pPr>
  </w:style>
  <w:style w:type="character" w:customStyle="1" w:styleId="a9">
    <w:name w:val="Верхний колонтитул Знак"/>
    <w:link w:val="a8"/>
    <w:uiPriority w:val="99"/>
    <w:rsid w:val="00383556"/>
    <w:rPr>
      <w:rFonts w:ascii="Times New Roman" w:hAnsi="Times New Roman"/>
      <w:sz w:val="24"/>
    </w:rPr>
  </w:style>
  <w:style w:type="paragraph" w:styleId="aa">
    <w:name w:val="footer"/>
    <w:basedOn w:val="a0"/>
    <w:link w:val="ab"/>
    <w:uiPriority w:val="99"/>
    <w:unhideWhenUsed/>
    <w:rsid w:val="00383556"/>
    <w:pPr>
      <w:tabs>
        <w:tab w:val="center" w:pos="4677"/>
        <w:tab w:val="right" w:pos="9355"/>
      </w:tabs>
      <w:spacing w:line="240" w:lineRule="auto"/>
    </w:pPr>
  </w:style>
  <w:style w:type="character" w:customStyle="1" w:styleId="ab">
    <w:name w:val="Нижний колонтитул Знак"/>
    <w:link w:val="aa"/>
    <w:uiPriority w:val="99"/>
    <w:rsid w:val="00383556"/>
    <w:rPr>
      <w:rFonts w:ascii="Times New Roman" w:hAnsi="Times New Roman"/>
      <w:sz w:val="24"/>
    </w:rPr>
  </w:style>
  <w:style w:type="character" w:styleId="ac">
    <w:name w:val="Strong"/>
    <w:uiPriority w:val="22"/>
    <w:qFormat/>
    <w:rsid w:val="00C512DE"/>
    <w:rPr>
      <w:b/>
      <w:bCs/>
    </w:rPr>
  </w:style>
  <w:style w:type="table" w:customStyle="1" w:styleId="-131">
    <w:name w:val="Список-таблица 1 светлая — акцент 31"/>
    <w:basedOn w:val="a2"/>
    <w:uiPriority w:val="46"/>
    <w:rsid w:val="00562AB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ableParagraph">
    <w:name w:val="Table Paragraph"/>
    <w:basedOn w:val="a0"/>
    <w:rsid w:val="008F3621"/>
    <w:pPr>
      <w:widowControl w:val="0"/>
      <w:spacing w:before="0" w:after="0" w:line="240" w:lineRule="auto"/>
      <w:ind w:left="103"/>
      <w:jc w:val="left"/>
    </w:pPr>
    <w:rPr>
      <w:rFonts w:ascii="Calibri" w:eastAsia="Times New Roman" w:hAnsi="Calibri" w:cs="Calibri"/>
      <w:sz w:val="22"/>
      <w:lang w:val="en-US"/>
    </w:rPr>
  </w:style>
  <w:style w:type="character" w:customStyle="1" w:styleId="pop-slug-vol">
    <w:name w:val="pop-slug-vol"/>
    <w:uiPriority w:val="99"/>
    <w:qFormat/>
    <w:rsid w:val="008F3621"/>
    <w:rPr>
      <w:rFonts w:cs="Times New Roman"/>
    </w:rPr>
  </w:style>
  <w:style w:type="paragraph" w:customStyle="1" w:styleId="ad">
    <w:name w:val="Содержимое врезки"/>
    <w:basedOn w:val="a0"/>
    <w:uiPriority w:val="99"/>
    <w:qFormat/>
    <w:rsid w:val="008F3621"/>
    <w:pPr>
      <w:spacing w:before="0" w:after="0"/>
      <w:jc w:val="left"/>
    </w:pPr>
  </w:style>
  <w:style w:type="table" w:styleId="ae">
    <w:name w:val="Table Grid"/>
    <w:basedOn w:val="a2"/>
    <w:uiPriority w:val="39"/>
    <w:rsid w:val="008F3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Текст примечания Знак"/>
    <w:uiPriority w:val="99"/>
    <w:qFormat/>
    <w:rsid w:val="008F3621"/>
    <w:rPr>
      <w:rFonts w:ascii="Times New Roman" w:hAnsi="Times New Roman"/>
      <w:sz w:val="20"/>
      <w:szCs w:val="20"/>
    </w:rPr>
  </w:style>
  <w:style w:type="paragraph" w:styleId="af0">
    <w:name w:val="No Spacing"/>
    <w:uiPriority w:val="1"/>
    <w:qFormat/>
    <w:rsid w:val="008F3621"/>
    <w:pPr>
      <w:jc w:val="both"/>
    </w:pPr>
    <w:rPr>
      <w:rFonts w:ascii="Times New Roman" w:hAnsi="Times New Roman"/>
      <w:sz w:val="24"/>
      <w:szCs w:val="22"/>
      <w:lang w:eastAsia="en-US"/>
    </w:rPr>
  </w:style>
  <w:style w:type="paragraph" w:styleId="af1">
    <w:name w:val="TOC Heading"/>
    <w:basedOn w:val="1"/>
    <w:next w:val="a0"/>
    <w:uiPriority w:val="39"/>
    <w:unhideWhenUsed/>
    <w:qFormat/>
    <w:rsid w:val="008F3621"/>
    <w:pPr>
      <w:pageBreakBefore w:val="0"/>
      <w:spacing w:after="0" w:line="259" w:lineRule="auto"/>
      <w:jc w:val="left"/>
      <w:outlineLvl w:val="9"/>
    </w:pPr>
    <w:rPr>
      <w:rFonts w:ascii="Calibri Light" w:hAnsi="Calibri Light"/>
      <w:b w:val="0"/>
      <w:color w:val="2F5496"/>
      <w:sz w:val="32"/>
      <w:lang w:eastAsia="ru-RU"/>
    </w:rPr>
  </w:style>
  <w:style w:type="paragraph" w:styleId="11">
    <w:name w:val="toc 1"/>
    <w:basedOn w:val="a0"/>
    <w:next w:val="a0"/>
    <w:autoRedefine/>
    <w:uiPriority w:val="39"/>
    <w:unhideWhenUsed/>
    <w:rsid w:val="008654BE"/>
    <w:pPr>
      <w:tabs>
        <w:tab w:val="right" w:leader="dot" w:pos="9345"/>
      </w:tabs>
      <w:spacing w:after="100"/>
      <w:jc w:val="left"/>
    </w:pPr>
    <w:rPr>
      <w:bCs/>
      <w:noProof/>
    </w:rPr>
  </w:style>
  <w:style w:type="paragraph" w:styleId="21">
    <w:name w:val="toc 2"/>
    <w:basedOn w:val="a0"/>
    <w:next w:val="a0"/>
    <w:autoRedefine/>
    <w:uiPriority w:val="39"/>
    <w:unhideWhenUsed/>
    <w:rsid w:val="008654BE"/>
    <w:pPr>
      <w:tabs>
        <w:tab w:val="right" w:leader="dot" w:pos="9345"/>
      </w:tabs>
      <w:spacing w:before="0" w:after="0"/>
      <w:ind w:left="240"/>
      <w:jc w:val="left"/>
    </w:pPr>
    <w:rPr>
      <w:noProof/>
    </w:rPr>
  </w:style>
  <w:style w:type="character" w:styleId="af2">
    <w:name w:val="Hyperlink"/>
    <w:uiPriority w:val="99"/>
    <w:unhideWhenUsed/>
    <w:rsid w:val="008F3621"/>
    <w:rPr>
      <w:color w:val="0563C1"/>
      <w:u w:val="single"/>
    </w:rPr>
  </w:style>
  <w:style w:type="character" w:styleId="af3">
    <w:name w:val="annotation reference"/>
    <w:uiPriority w:val="99"/>
    <w:semiHidden/>
    <w:unhideWhenUsed/>
    <w:rsid w:val="003C363B"/>
    <w:rPr>
      <w:sz w:val="16"/>
      <w:szCs w:val="16"/>
    </w:rPr>
  </w:style>
  <w:style w:type="paragraph" w:styleId="af4">
    <w:name w:val="annotation text"/>
    <w:basedOn w:val="a0"/>
    <w:link w:val="12"/>
    <w:uiPriority w:val="99"/>
    <w:unhideWhenUsed/>
    <w:qFormat/>
    <w:rsid w:val="003C363B"/>
    <w:pPr>
      <w:spacing w:line="240" w:lineRule="auto"/>
    </w:pPr>
    <w:rPr>
      <w:sz w:val="20"/>
      <w:szCs w:val="20"/>
    </w:rPr>
  </w:style>
  <w:style w:type="character" w:customStyle="1" w:styleId="12">
    <w:name w:val="Текст примечания Знак1"/>
    <w:link w:val="af4"/>
    <w:uiPriority w:val="99"/>
    <w:rsid w:val="003C363B"/>
    <w:rPr>
      <w:rFonts w:ascii="Times New Roman" w:hAnsi="Times New Roman"/>
      <w:sz w:val="20"/>
      <w:szCs w:val="20"/>
    </w:rPr>
  </w:style>
  <w:style w:type="paragraph" w:styleId="af5">
    <w:name w:val="Balloon Text"/>
    <w:basedOn w:val="a0"/>
    <w:link w:val="af6"/>
    <w:uiPriority w:val="99"/>
    <w:semiHidden/>
    <w:unhideWhenUsed/>
    <w:rsid w:val="003C363B"/>
    <w:pPr>
      <w:spacing w:before="0" w:after="0" w:line="240" w:lineRule="auto"/>
    </w:pPr>
    <w:rPr>
      <w:rFonts w:ascii="Segoe UI" w:hAnsi="Segoe UI" w:cs="Segoe UI"/>
      <w:sz w:val="18"/>
      <w:szCs w:val="18"/>
    </w:rPr>
  </w:style>
  <w:style w:type="character" w:customStyle="1" w:styleId="af6">
    <w:name w:val="Текст выноски Знак"/>
    <w:link w:val="af5"/>
    <w:uiPriority w:val="99"/>
    <w:semiHidden/>
    <w:rsid w:val="003C363B"/>
    <w:rPr>
      <w:rFonts w:ascii="Segoe UI" w:hAnsi="Segoe UI" w:cs="Segoe UI"/>
      <w:sz w:val="18"/>
      <w:szCs w:val="18"/>
    </w:rPr>
  </w:style>
  <w:style w:type="paragraph" w:customStyle="1" w:styleId="13">
    <w:name w:val="Оглавление 1 Знак"/>
    <w:basedOn w:val="a0"/>
    <w:qFormat/>
    <w:rsid w:val="00130BC5"/>
    <w:pPr>
      <w:widowControl w:val="0"/>
      <w:spacing w:before="0" w:after="0"/>
      <w:ind w:left="709" w:hanging="283"/>
    </w:pPr>
    <w:rPr>
      <w:rFonts w:eastAsia="Times New Roman"/>
      <w:szCs w:val="24"/>
      <w:lang w:eastAsia="ru-RU"/>
    </w:rPr>
  </w:style>
  <w:style w:type="paragraph" w:styleId="af7">
    <w:name w:val="Body Text"/>
    <w:basedOn w:val="a0"/>
    <w:link w:val="af8"/>
    <w:rsid w:val="00DD67C7"/>
    <w:pPr>
      <w:spacing w:before="0" w:line="240" w:lineRule="auto"/>
      <w:ind w:firstLine="567"/>
    </w:pPr>
    <w:rPr>
      <w:rFonts w:eastAsia="Times New Roman"/>
      <w:szCs w:val="24"/>
    </w:rPr>
  </w:style>
  <w:style w:type="character" w:customStyle="1" w:styleId="af8">
    <w:name w:val="Основной текст Знак"/>
    <w:link w:val="af7"/>
    <w:rsid w:val="00DD67C7"/>
    <w:rPr>
      <w:rFonts w:ascii="Times New Roman" w:eastAsia="Times New Roman" w:hAnsi="Times New Roman" w:cs="Times New Roman"/>
      <w:sz w:val="24"/>
      <w:szCs w:val="24"/>
    </w:rPr>
  </w:style>
  <w:style w:type="paragraph" w:customStyle="1" w:styleId="31">
    <w:name w:val="Абзац списка3"/>
    <w:basedOn w:val="a0"/>
    <w:rsid w:val="008654BE"/>
    <w:pPr>
      <w:spacing w:before="0" w:after="0" w:line="240" w:lineRule="auto"/>
      <w:ind w:left="720" w:firstLine="567"/>
    </w:pPr>
    <w:rPr>
      <w:szCs w:val="24"/>
      <w:lang w:eastAsia="ru-RU"/>
    </w:rPr>
  </w:style>
  <w:style w:type="table" w:customStyle="1" w:styleId="-132">
    <w:name w:val="Список-таблица 1 светлая — акцент 32"/>
    <w:basedOn w:val="a2"/>
    <w:uiPriority w:val="46"/>
    <w:rsid w:val="006A749A"/>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f9">
    <w:name w:val="annotation subject"/>
    <w:basedOn w:val="af4"/>
    <w:next w:val="af4"/>
    <w:link w:val="afa"/>
    <w:uiPriority w:val="99"/>
    <w:semiHidden/>
    <w:unhideWhenUsed/>
    <w:rsid w:val="003C65DB"/>
    <w:rPr>
      <w:b/>
      <w:bCs/>
    </w:rPr>
  </w:style>
  <w:style w:type="character" w:customStyle="1" w:styleId="afa">
    <w:name w:val="Тема примечания Знак"/>
    <w:link w:val="af9"/>
    <w:uiPriority w:val="99"/>
    <w:semiHidden/>
    <w:rsid w:val="003C65DB"/>
    <w:rPr>
      <w:rFonts w:ascii="Times New Roman" w:hAnsi="Times New Roman"/>
      <w:b/>
      <w:bCs/>
      <w:sz w:val="20"/>
      <w:szCs w:val="20"/>
    </w:rPr>
  </w:style>
  <w:style w:type="character" w:customStyle="1" w:styleId="hl">
    <w:name w:val="hl"/>
    <w:basedOn w:val="a1"/>
    <w:rsid w:val="003C65DB"/>
  </w:style>
  <w:style w:type="paragraph" w:styleId="afb">
    <w:name w:val="Title"/>
    <w:aliases w:val="Заголовок мой"/>
    <w:basedOn w:val="a0"/>
    <w:next w:val="a0"/>
    <w:link w:val="afc"/>
    <w:qFormat/>
    <w:rsid w:val="00036C84"/>
    <w:pPr>
      <w:spacing w:before="0" w:after="0"/>
      <w:contextualSpacing/>
      <w:jc w:val="center"/>
    </w:pPr>
    <w:rPr>
      <w:rFonts w:eastAsia="Times New Roman"/>
      <w:spacing w:val="-10"/>
      <w:kern w:val="28"/>
      <w:sz w:val="28"/>
      <w:szCs w:val="56"/>
      <w:u w:val="single"/>
    </w:rPr>
  </w:style>
  <w:style w:type="character" w:customStyle="1" w:styleId="afc">
    <w:name w:val="Название Знак"/>
    <w:aliases w:val="Заголовок мой Знак"/>
    <w:link w:val="afb"/>
    <w:rsid w:val="00036C84"/>
    <w:rPr>
      <w:rFonts w:ascii="Times New Roman" w:eastAsia="Times New Roman" w:hAnsi="Times New Roman" w:cs="Times New Roman"/>
      <w:spacing w:val="-10"/>
      <w:kern w:val="28"/>
      <w:sz w:val="28"/>
      <w:szCs w:val="56"/>
      <w:u w:val="single"/>
    </w:rPr>
  </w:style>
  <w:style w:type="table" w:customStyle="1" w:styleId="14">
    <w:name w:val="Сетка таблицы1"/>
    <w:basedOn w:val="a2"/>
    <w:next w:val="ae"/>
    <w:uiPriority w:val="59"/>
    <w:rsid w:val="00C0307D"/>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0"/>
    <w:link w:val="HTML0"/>
    <w:uiPriority w:val="99"/>
    <w:semiHidden/>
    <w:unhideWhenUsed/>
    <w:rsid w:val="00A0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A045D5"/>
    <w:rPr>
      <w:rFonts w:ascii="Courier New" w:eastAsia="Times New Roman" w:hAnsi="Courier New" w:cs="Courier New"/>
      <w:sz w:val="20"/>
      <w:szCs w:val="20"/>
      <w:lang w:eastAsia="ru-RU"/>
    </w:rPr>
  </w:style>
  <w:style w:type="character" w:customStyle="1" w:styleId="mixed-citation">
    <w:name w:val="mixed-citation"/>
    <w:basedOn w:val="a1"/>
    <w:rsid w:val="00A045D5"/>
  </w:style>
  <w:style w:type="character" w:customStyle="1" w:styleId="ref-title">
    <w:name w:val="ref-title"/>
    <w:basedOn w:val="a1"/>
    <w:rsid w:val="00A045D5"/>
  </w:style>
  <w:style w:type="character" w:customStyle="1" w:styleId="ref-journal">
    <w:name w:val="ref-journal"/>
    <w:basedOn w:val="a1"/>
    <w:rsid w:val="00A045D5"/>
  </w:style>
  <w:style w:type="character" w:customStyle="1" w:styleId="ref-vol">
    <w:name w:val="ref-vol"/>
    <w:basedOn w:val="a1"/>
    <w:rsid w:val="00A045D5"/>
  </w:style>
  <w:style w:type="character" w:customStyle="1" w:styleId="ref-iss">
    <w:name w:val="ref-iss"/>
    <w:basedOn w:val="a1"/>
    <w:rsid w:val="00A045D5"/>
  </w:style>
  <w:style w:type="character" w:customStyle="1" w:styleId="nowrap">
    <w:name w:val="nowrap"/>
    <w:basedOn w:val="a1"/>
    <w:rsid w:val="00A045D5"/>
  </w:style>
  <w:style w:type="character" w:styleId="afd">
    <w:name w:val="Placeholder Text"/>
    <w:uiPriority w:val="99"/>
    <w:semiHidden/>
    <w:rsid w:val="00804C38"/>
    <w:rPr>
      <w:color w:val="808080"/>
    </w:rPr>
  </w:style>
  <w:style w:type="paragraph" w:customStyle="1" w:styleId="afe">
    <w:name w:val="Памятки"/>
    <w:basedOn w:val="a0"/>
    <w:link w:val="aff"/>
    <w:uiPriority w:val="99"/>
    <w:rsid w:val="000B4176"/>
    <w:pPr>
      <w:spacing w:before="0" w:after="0"/>
      <w:ind w:firstLine="709"/>
    </w:pPr>
    <w:rPr>
      <w:rFonts w:eastAsia="Times New Roman"/>
      <w:i/>
      <w:color w:val="FF0000"/>
      <w:sz w:val="18"/>
      <w:szCs w:val="24"/>
    </w:rPr>
  </w:style>
  <w:style w:type="character" w:customStyle="1" w:styleId="aff">
    <w:name w:val="Памятки Знак"/>
    <w:link w:val="afe"/>
    <w:uiPriority w:val="99"/>
    <w:locked/>
    <w:rsid w:val="000B4176"/>
    <w:rPr>
      <w:rFonts w:ascii="Times New Roman" w:eastAsia="Times New Roman" w:hAnsi="Times New Roman" w:cs="Times New Roman"/>
      <w:i/>
      <w:color w:val="FF0000"/>
      <w:sz w:val="18"/>
      <w:szCs w:val="24"/>
    </w:rPr>
  </w:style>
  <w:style w:type="paragraph" w:customStyle="1" w:styleId="Default">
    <w:name w:val="Default"/>
    <w:rsid w:val="00E92FAD"/>
    <w:pPr>
      <w:autoSpaceDE w:val="0"/>
      <w:autoSpaceDN w:val="0"/>
      <w:adjustRightInd w:val="0"/>
    </w:pPr>
    <w:rPr>
      <w:rFonts w:ascii="Times New Roman" w:hAnsi="Times New Roman"/>
      <w:color w:val="000000"/>
      <w:sz w:val="24"/>
      <w:szCs w:val="24"/>
      <w:lang w:eastAsia="en-US"/>
    </w:rPr>
  </w:style>
  <w:style w:type="character" w:customStyle="1" w:styleId="aff0">
    <w:name w:val="Обычный (веб) Знак"/>
    <w:uiPriority w:val="99"/>
    <w:rsid w:val="00305AC6"/>
    <w:rPr>
      <w:rFonts w:ascii="Times New Roman" w:eastAsia="Times New Roman" w:hAnsi="Times New Roman"/>
      <w:sz w:val="24"/>
      <w:szCs w:val="24"/>
    </w:rPr>
  </w:style>
  <w:style w:type="paragraph" w:styleId="aff1">
    <w:name w:val="Revision"/>
    <w:hidden/>
    <w:uiPriority w:val="99"/>
    <w:semiHidden/>
    <w:rsid w:val="00305AC6"/>
    <w:rPr>
      <w:rFonts w:ascii="Times New Roman" w:hAnsi="Times New Roman"/>
      <w:sz w:val="24"/>
      <w:szCs w:val="22"/>
      <w:lang w:eastAsia="en-US"/>
    </w:rPr>
  </w:style>
  <w:style w:type="paragraph" w:customStyle="1" w:styleId="aff2">
    <w:basedOn w:val="a0"/>
    <w:next w:val="a4"/>
    <w:uiPriority w:val="99"/>
    <w:unhideWhenUsed/>
    <w:qFormat/>
    <w:rsid w:val="008654BE"/>
    <w:pPr>
      <w:spacing w:beforeAutospacing="1" w:afterAutospacing="1" w:line="288" w:lineRule="auto"/>
      <w:jc w:val="left"/>
    </w:pPr>
    <w:rPr>
      <w:rFonts w:eastAsia="Times New Roman"/>
      <w:szCs w:val="24"/>
      <w:lang w:eastAsia="ru-RU"/>
    </w:rPr>
  </w:style>
  <w:style w:type="character" w:customStyle="1" w:styleId="15">
    <w:name w:val="Абзац списка Знак1"/>
    <w:basedOn w:val="a1"/>
    <w:uiPriority w:val="34"/>
    <w:rsid w:val="00476626"/>
    <w:rPr>
      <w:rFonts w:ascii="Times New Roman" w:hAnsi="Times New Roman"/>
      <w:sz w:val="24"/>
    </w:rPr>
  </w:style>
  <w:style w:type="paragraph" w:customStyle="1" w:styleId="Normal1">
    <w:name w:val="Normal 1"/>
    <w:uiPriority w:val="99"/>
    <w:rsid w:val="00EF54E3"/>
    <w:pPr>
      <w:shd w:val="clear" w:color="auto" w:fill="FFFFFF"/>
      <w:tabs>
        <w:tab w:val="left" w:pos="394"/>
      </w:tabs>
      <w:spacing w:before="5"/>
      <w:ind w:left="10" w:hanging="10"/>
    </w:pPr>
    <w:rPr>
      <w:rFonts w:ascii="Times New Roman" w:eastAsia="Arial Unicode MS" w:hAnsi="Times New Roman" w:cs="Arial Unicode MS"/>
      <w:color w:val="000000"/>
      <w:spacing w:val="4"/>
      <w:sz w:val="24"/>
      <w:szCs w:val="24"/>
      <w:u w:color="000000"/>
    </w:rPr>
  </w:style>
  <w:style w:type="paragraph" w:customStyle="1" w:styleId="Literature">
    <w:name w:val="Literature"/>
    <w:uiPriority w:val="99"/>
    <w:rsid w:val="00EF54E3"/>
    <w:pPr>
      <w:shd w:val="clear" w:color="auto" w:fill="FFFFFF"/>
      <w:tabs>
        <w:tab w:val="left" w:pos="1068"/>
      </w:tabs>
      <w:spacing w:before="5"/>
      <w:ind w:left="720" w:hanging="360"/>
    </w:pPr>
    <w:rPr>
      <w:rFonts w:ascii="Times New Roman" w:eastAsia="Arial Unicode MS" w:hAnsi="Times New Roman" w:cs="Arial Unicode MS"/>
      <w:color w:val="000000"/>
      <w:spacing w:val="-1"/>
      <w:sz w:val="24"/>
      <w:szCs w:val="24"/>
      <w:u w:color="000000"/>
    </w:rPr>
  </w:style>
  <w:style w:type="paragraph" w:customStyle="1" w:styleId="Numlist">
    <w:name w:val="Num_list"/>
    <w:basedOn w:val="a0"/>
    <w:qFormat/>
    <w:rsid w:val="00EF54E3"/>
    <w:pPr>
      <w:overflowPunct w:val="0"/>
      <w:autoSpaceDE w:val="0"/>
      <w:autoSpaceDN w:val="0"/>
      <w:adjustRightInd w:val="0"/>
      <w:spacing w:before="0" w:after="0" w:line="240" w:lineRule="auto"/>
      <w:ind w:firstLine="708"/>
      <w:jc w:val="left"/>
      <w:textAlignment w:val="baseline"/>
    </w:pPr>
    <w:rPr>
      <w:rFonts w:eastAsia="Times New Roman"/>
      <w:szCs w:val="24"/>
      <w:lang w:eastAsia="ru-RU"/>
    </w:rPr>
  </w:style>
  <w:style w:type="paragraph" w:customStyle="1" w:styleId="msonormalmrcssattr">
    <w:name w:val="msonormal_mr_css_attr"/>
    <w:basedOn w:val="a0"/>
    <w:rsid w:val="003E0025"/>
    <w:pPr>
      <w:spacing w:before="100" w:beforeAutospacing="1" w:after="100" w:afterAutospacing="1" w:line="240" w:lineRule="auto"/>
      <w:jc w:val="left"/>
    </w:pPr>
    <w:rPr>
      <w:rFonts w:eastAsia="Times New Roman"/>
      <w:szCs w:val="24"/>
      <w:lang w:eastAsia="ru-RU"/>
    </w:rPr>
  </w:style>
  <w:style w:type="paragraph" w:customStyle="1" w:styleId="Number1">
    <w:name w:val="Number1"/>
    <w:basedOn w:val="a0"/>
    <w:uiPriority w:val="99"/>
    <w:rsid w:val="003E0025"/>
    <w:pPr>
      <w:shd w:val="clear" w:color="auto" w:fill="FFFFFF"/>
      <w:tabs>
        <w:tab w:val="left" w:pos="394"/>
      </w:tabs>
      <w:overflowPunct w:val="0"/>
      <w:autoSpaceDE w:val="0"/>
      <w:autoSpaceDN w:val="0"/>
      <w:adjustRightInd w:val="0"/>
      <w:spacing w:before="5" w:after="0" w:line="240" w:lineRule="auto"/>
      <w:ind w:left="284" w:hanging="284"/>
      <w:jc w:val="left"/>
      <w:textAlignment w:val="baseline"/>
    </w:pPr>
    <w:rPr>
      <w:rFonts w:eastAsia="ＭＳ 明朝 (Основной т・"/>
      <w:color w:val="000000"/>
      <w:spacing w:val="-1"/>
      <w:szCs w:val="20"/>
      <w:lang w:eastAsia="ru-RU"/>
    </w:rPr>
  </w:style>
  <w:style w:type="paragraph" w:customStyle="1" w:styleId="table-name">
    <w:name w:val="table-name"/>
    <w:basedOn w:val="a0"/>
    <w:rsid w:val="003E0025"/>
    <w:pPr>
      <w:shd w:val="clear" w:color="auto" w:fill="FFFFFF"/>
      <w:tabs>
        <w:tab w:val="left" w:pos="394"/>
      </w:tabs>
      <w:overflowPunct w:val="0"/>
      <w:autoSpaceDE w:val="0"/>
      <w:autoSpaceDN w:val="0"/>
      <w:adjustRightInd w:val="0"/>
      <w:spacing w:before="60" w:after="0" w:line="240" w:lineRule="auto"/>
      <w:ind w:left="10" w:firstLine="284"/>
      <w:jc w:val="left"/>
      <w:textAlignment w:val="baseline"/>
    </w:pPr>
    <w:rPr>
      <w:rFonts w:eastAsia="ＭＳ 明朝 (Основной т・"/>
      <w:color w:val="000000"/>
      <w:spacing w:val="-5"/>
      <w:szCs w:val="20"/>
      <w:lang w:val="en-US" w:eastAsia="ru-RU"/>
    </w:rPr>
  </w:style>
  <w:style w:type="paragraph" w:customStyle="1" w:styleId="table-head-left">
    <w:name w:val="table-head-left"/>
    <w:basedOn w:val="a0"/>
    <w:rsid w:val="003E0025"/>
    <w:pPr>
      <w:shd w:val="clear" w:color="auto" w:fill="FFFFFF"/>
      <w:tabs>
        <w:tab w:val="left" w:pos="394"/>
      </w:tabs>
      <w:overflowPunct w:val="0"/>
      <w:autoSpaceDE w:val="0"/>
      <w:autoSpaceDN w:val="0"/>
      <w:adjustRightInd w:val="0"/>
      <w:spacing w:before="40" w:after="40" w:line="240" w:lineRule="auto"/>
      <w:ind w:left="57" w:hanging="57"/>
      <w:textAlignment w:val="baseline"/>
    </w:pPr>
    <w:rPr>
      <w:rFonts w:eastAsia="ＭＳ 明朝 (Основной т・"/>
      <w:color w:val="000000"/>
      <w:spacing w:val="-5"/>
      <w:sz w:val="17"/>
      <w:szCs w:val="20"/>
      <w:lang w:eastAsia="ru-RU"/>
    </w:rPr>
  </w:style>
  <w:style w:type="paragraph" w:customStyle="1" w:styleId="table-text-0">
    <w:name w:val="table-text-0"/>
    <w:basedOn w:val="a0"/>
    <w:rsid w:val="003E0025"/>
    <w:pPr>
      <w:shd w:val="clear" w:color="auto" w:fill="FFFFFF"/>
      <w:tabs>
        <w:tab w:val="left" w:pos="394"/>
      </w:tabs>
      <w:overflowPunct w:val="0"/>
      <w:autoSpaceDE w:val="0"/>
      <w:autoSpaceDN w:val="0"/>
      <w:adjustRightInd w:val="0"/>
      <w:spacing w:before="40" w:after="40" w:line="240" w:lineRule="auto"/>
      <w:ind w:left="10" w:hanging="10"/>
      <w:jc w:val="left"/>
      <w:textAlignment w:val="baseline"/>
    </w:pPr>
    <w:rPr>
      <w:rFonts w:eastAsia="ＭＳ 明朝 (Основной т・"/>
      <w:color w:val="000000"/>
      <w:spacing w:val="-5"/>
      <w:sz w:val="17"/>
      <w:szCs w:val="20"/>
      <w:lang w:eastAsia="ru-RU"/>
    </w:rPr>
  </w:style>
  <w:style w:type="paragraph" w:customStyle="1" w:styleId="Autor">
    <w:name w:val="Autor"/>
    <w:basedOn w:val="a0"/>
    <w:qFormat/>
    <w:rsid w:val="003E0025"/>
    <w:pPr>
      <w:widowControl w:val="0"/>
      <w:shd w:val="clear" w:color="auto" w:fill="FFFFFF"/>
      <w:overflowPunct w:val="0"/>
      <w:autoSpaceDE w:val="0"/>
      <w:autoSpaceDN w:val="0"/>
      <w:adjustRightInd w:val="0"/>
      <w:spacing w:after="0" w:line="240" w:lineRule="atLeast"/>
      <w:jc w:val="left"/>
      <w:textAlignment w:val="baseline"/>
    </w:pPr>
    <w:rPr>
      <w:i/>
      <w:iCs/>
      <w:sz w:val="22"/>
      <w:lang w:val="en-US" w:eastAsia="ru-RU"/>
    </w:rPr>
  </w:style>
  <w:style w:type="paragraph" w:customStyle="1" w:styleId="aff3">
    <w:name w:val="Литература"/>
    <w:basedOn w:val="a0"/>
    <w:qFormat/>
    <w:rsid w:val="003E0025"/>
    <w:pPr>
      <w:suppressAutoHyphens/>
      <w:spacing w:before="0" w:line="240" w:lineRule="auto"/>
      <w:jc w:val="left"/>
    </w:pPr>
    <w:rPr>
      <w:i/>
      <w:kern w:val="1"/>
      <w:szCs w:val="24"/>
      <w:lang w:val="en-US"/>
    </w:rPr>
  </w:style>
  <w:style w:type="character" w:customStyle="1" w:styleId="cit">
    <w:name w:val="cit"/>
    <w:basedOn w:val="a1"/>
    <w:rsid w:val="003E0025"/>
  </w:style>
  <w:style w:type="character" w:customStyle="1" w:styleId="al-author-delim">
    <w:name w:val="al-author-delim"/>
    <w:basedOn w:val="a1"/>
    <w:rsid w:val="003E0025"/>
  </w:style>
  <w:style w:type="character" w:customStyle="1" w:styleId="apple-converted-space">
    <w:name w:val="apple-converted-space"/>
    <w:uiPriority w:val="99"/>
    <w:rsid w:val="00266EEA"/>
  </w:style>
  <w:style w:type="paragraph" w:customStyle="1" w:styleId="a">
    <w:name w:val="рек"/>
    <w:basedOn w:val="a6"/>
    <w:link w:val="aff4"/>
    <w:qFormat/>
    <w:rsid w:val="00266EEA"/>
    <w:pPr>
      <w:numPr>
        <w:numId w:val="103"/>
      </w:numPr>
      <w:tabs>
        <w:tab w:val="left" w:pos="1134"/>
      </w:tabs>
      <w:spacing w:before="240" w:after="0"/>
      <w:ind w:left="709" w:hanging="425"/>
      <w:contextualSpacing w:val="0"/>
    </w:pPr>
    <w:rPr>
      <w:rFonts w:eastAsiaTheme="minorHAnsi"/>
      <w:szCs w:val="24"/>
    </w:rPr>
  </w:style>
  <w:style w:type="character" w:customStyle="1" w:styleId="aff4">
    <w:name w:val="рек Знак"/>
    <w:basedOn w:val="a7"/>
    <w:link w:val="a"/>
    <w:rsid w:val="00266EEA"/>
    <w:rPr>
      <w:rFonts w:ascii="Times New Roman" w:eastAsiaTheme="minorHAnsi" w:hAnsi="Times New Roman"/>
      <w:sz w:val="24"/>
      <w:szCs w:val="24"/>
      <w:lang w:eastAsia="en-US"/>
    </w:rPr>
  </w:style>
  <w:style w:type="character" w:customStyle="1" w:styleId="-">
    <w:name w:val="Интернет-ссылка"/>
    <w:uiPriority w:val="99"/>
    <w:unhideWhenUsed/>
    <w:rsid w:val="00D563D9"/>
    <w:rPr>
      <w:color w:val="0000FF"/>
      <w:u w:val="single"/>
    </w:rPr>
  </w:style>
  <w:style w:type="paragraph" w:customStyle="1" w:styleId="msolistparagraphmrcssattr">
    <w:name w:val="msolistparagraph_mr_css_attr"/>
    <w:basedOn w:val="a0"/>
    <w:qFormat/>
    <w:rsid w:val="00D563D9"/>
    <w:pPr>
      <w:overflowPunct w:val="0"/>
      <w:spacing w:before="280" w:after="280" w:line="240" w:lineRule="auto"/>
      <w:jc w:val="left"/>
    </w:pPr>
    <w:rPr>
      <w:rFonts w:eastAsia="Times New Roman"/>
      <w:szCs w:val="24"/>
      <w:lang w:eastAsia="ru-RU"/>
    </w:rPr>
  </w:style>
  <w:style w:type="table" w:customStyle="1" w:styleId="16">
    <w:name w:val="Сетка таблицы светлая1"/>
    <w:basedOn w:val="a2"/>
    <w:uiPriority w:val="40"/>
    <w:rsid w:val="00D563D9"/>
    <w:rPr>
      <w:rFonts w:asciiTheme="minorHAnsi" w:eastAsiaTheme="minorHAnsi" w:hAnsiTheme="minorHAnsi" w:cstheme="minorBidi"/>
      <w:szCs w:val="22"/>
      <w:lang w:eastAsia="en-US"/>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character" w:customStyle="1" w:styleId="pagelast">
    <w:name w:val="pagelast"/>
    <w:uiPriority w:val="99"/>
    <w:rsid w:val="004569A5"/>
    <w:rPr>
      <w:rFonts w:cs="Times New Roman"/>
    </w:rPr>
  </w:style>
  <w:style w:type="paragraph" w:customStyle="1" w:styleId="FitzBullet">
    <w:name w:val="FitzBullet"/>
    <w:basedOn w:val="a0"/>
    <w:rsid w:val="004569A5"/>
    <w:pPr>
      <w:shd w:val="clear" w:color="auto" w:fill="FFFFFF"/>
      <w:tabs>
        <w:tab w:val="left" w:pos="144"/>
      </w:tabs>
      <w:autoSpaceDE w:val="0"/>
      <w:autoSpaceDN w:val="0"/>
      <w:adjustRightInd w:val="0"/>
      <w:spacing w:before="60" w:after="60" w:line="240" w:lineRule="auto"/>
      <w:ind w:left="283" w:hanging="283"/>
      <w:jc w:val="left"/>
    </w:pPr>
    <w:rPr>
      <w:rFonts w:eastAsia="Times New Roman"/>
      <w:color w:val="000000"/>
      <w:sz w:val="22"/>
      <w:lang w:val="en-GB" w:eastAsia="ru-RU"/>
    </w:rPr>
  </w:style>
  <w:style w:type="paragraph" w:customStyle="1" w:styleId="Table-head-italic">
    <w:name w:val="Table-head-italic"/>
    <w:basedOn w:val="a0"/>
    <w:rsid w:val="004569A5"/>
    <w:pPr>
      <w:widowControl w:val="0"/>
      <w:shd w:val="clear" w:color="auto" w:fill="FFFFFF"/>
      <w:autoSpaceDE w:val="0"/>
      <w:autoSpaceDN w:val="0"/>
      <w:adjustRightInd w:val="0"/>
      <w:spacing w:before="0" w:after="0" w:line="240" w:lineRule="auto"/>
      <w:jc w:val="left"/>
    </w:pPr>
    <w:rPr>
      <w:rFonts w:eastAsia="Times New Roman"/>
      <w:i/>
      <w:iCs/>
      <w:sz w:val="18"/>
      <w:szCs w:val="18"/>
      <w:lang w:val="en-US" w:eastAsia="ru-RU"/>
    </w:rPr>
  </w:style>
  <w:style w:type="paragraph" w:customStyle="1" w:styleId="FitzFootnote">
    <w:name w:val="FitzFootnote"/>
    <w:basedOn w:val="a0"/>
    <w:rsid w:val="004569A5"/>
    <w:pPr>
      <w:shd w:val="clear" w:color="auto" w:fill="FFFFFF"/>
      <w:autoSpaceDE w:val="0"/>
      <w:autoSpaceDN w:val="0"/>
      <w:adjustRightInd w:val="0"/>
      <w:spacing w:before="60" w:after="60" w:line="240" w:lineRule="auto"/>
      <w:jc w:val="left"/>
    </w:pPr>
    <w:rPr>
      <w:rFonts w:eastAsia="Times New Roman"/>
      <w:color w:val="000000"/>
      <w:sz w:val="18"/>
      <w:szCs w:val="18"/>
      <w:lang w:val="en-US" w:eastAsia="ru-RU"/>
    </w:rPr>
  </w:style>
  <w:style w:type="paragraph" w:customStyle="1" w:styleId="table-text-1">
    <w:name w:val="table-text-1"/>
    <w:basedOn w:val="a0"/>
    <w:rsid w:val="004569A5"/>
    <w:pPr>
      <w:overflowPunct w:val="0"/>
      <w:autoSpaceDE w:val="0"/>
      <w:autoSpaceDN w:val="0"/>
      <w:adjustRightInd w:val="0"/>
      <w:spacing w:before="40" w:after="40" w:line="240" w:lineRule="auto"/>
      <w:ind w:left="340" w:hanging="170"/>
      <w:jc w:val="left"/>
      <w:textAlignment w:val="baseline"/>
    </w:pPr>
    <w:rPr>
      <w:rFonts w:eastAsia="Times New Roman"/>
      <w:color w:val="000000"/>
      <w:sz w:val="17"/>
      <w:szCs w:val="20"/>
      <w:lang w:eastAsia="ru-RU"/>
    </w:rPr>
  </w:style>
  <w:style w:type="paragraph" w:customStyle="1" w:styleId="formula">
    <w:name w:val="formula"/>
    <w:basedOn w:val="a0"/>
    <w:rsid w:val="004569A5"/>
    <w:pPr>
      <w:shd w:val="clear" w:color="auto" w:fill="FFFFFF"/>
      <w:tabs>
        <w:tab w:val="left" w:pos="394"/>
      </w:tabs>
      <w:overflowPunct w:val="0"/>
      <w:autoSpaceDE w:val="0"/>
      <w:autoSpaceDN w:val="0"/>
      <w:adjustRightInd w:val="0"/>
      <w:spacing w:before="60" w:after="60" w:line="240" w:lineRule="auto"/>
      <w:ind w:firstLine="227"/>
      <w:jc w:val="left"/>
      <w:textAlignment w:val="baseline"/>
    </w:pPr>
    <w:rPr>
      <w:rFonts w:eastAsia="Times New Roman"/>
      <w:sz w:val="20"/>
      <w:szCs w:val="20"/>
      <w:lang w:eastAsia="ru-RU"/>
    </w:rPr>
  </w:style>
  <w:style w:type="table" w:customStyle="1" w:styleId="22">
    <w:name w:val="Сетка таблицы2"/>
    <w:basedOn w:val="a2"/>
    <w:next w:val="ae"/>
    <w:uiPriority w:val="39"/>
    <w:rsid w:val="00B424E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8370">
      <w:bodyDiv w:val="1"/>
      <w:marLeft w:val="0"/>
      <w:marRight w:val="0"/>
      <w:marTop w:val="0"/>
      <w:marBottom w:val="0"/>
      <w:divBdr>
        <w:top w:val="none" w:sz="0" w:space="0" w:color="auto"/>
        <w:left w:val="none" w:sz="0" w:space="0" w:color="auto"/>
        <w:bottom w:val="none" w:sz="0" w:space="0" w:color="auto"/>
        <w:right w:val="none" w:sz="0" w:space="0" w:color="auto"/>
      </w:divBdr>
    </w:div>
    <w:div w:id="647242820">
      <w:bodyDiv w:val="1"/>
      <w:marLeft w:val="0"/>
      <w:marRight w:val="0"/>
      <w:marTop w:val="0"/>
      <w:marBottom w:val="0"/>
      <w:divBdr>
        <w:top w:val="none" w:sz="0" w:space="0" w:color="auto"/>
        <w:left w:val="none" w:sz="0" w:space="0" w:color="auto"/>
        <w:bottom w:val="none" w:sz="0" w:space="0" w:color="auto"/>
        <w:right w:val="none" w:sz="0" w:space="0" w:color="auto"/>
      </w:divBdr>
      <w:divsChild>
        <w:div w:id="843472833">
          <w:marLeft w:val="0"/>
          <w:marRight w:val="0"/>
          <w:marTop w:val="166"/>
          <w:marBottom w:val="166"/>
          <w:divBdr>
            <w:top w:val="none" w:sz="0" w:space="0" w:color="auto"/>
            <w:left w:val="none" w:sz="0" w:space="0" w:color="auto"/>
            <w:bottom w:val="none" w:sz="0" w:space="0" w:color="auto"/>
            <w:right w:val="none" w:sz="0" w:space="0" w:color="auto"/>
          </w:divBdr>
        </w:div>
        <w:div w:id="1387072270">
          <w:marLeft w:val="0"/>
          <w:marRight w:val="0"/>
          <w:marTop w:val="166"/>
          <w:marBottom w:val="166"/>
          <w:divBdr>
            <w:top w:val="none" w:sz="0" w:space="0" w:color="auto"/>
            <w:left w:val="none" w:sz="0" w:space="0" w:color="auto"/>
            <w:bottom w:val="none" w:sz="0" w:space="0" w:color="auto"/>
            <w:right w:val="none" w:sz="0" w:space="0" w:color="auto"/>
          </w:divBdr>
        </w:div>
        <w:div w:id="2051420866">
          <w:marLeft w:val="0"/>
          <w:marRight w:val="0"/>
          <w:marTop w:val="166"/>
          <w:marBottom w:val="166"/>
          <w:divBdr>
            <w:top w:val="none" w:sz="0" w:space="0" w:color="auto"/>
            <w:left w:val="none" w:sz="0" w:space="0" w:color="auto"/>
            <w:bottom w:val="none" w:sz="0" w:space="0" w:color="auto"/>
            <w:right w:val="none" w:sz="0" w:space="0" w:color="auto"/>
          </w:divBdr>
        </w:div>
      </w:divsChild>
    </w:div>
    <w:div w:id="897282567">
      <w:bodyDiv w:val="1"/>
      <w:marLeft w:val="0"/>
      <w:marRight w:val="0"/>
      <w:marTop w:val="0"/>
      <w:marBottom w:val="0"/>
      <w:divBdr>
        <w:top w:val="none" w:sz="0" w:space="0" w:color="auto"/>
        <w:left w:val="none" w:sz="0" w:space="0" w:color="auto"/>
        <w:bottom w:val="none" w:sz="0" w:space="0" w:color="auto"/>
        <w:right w:val="none" w:sz="0" w:space="0" w:color="auto"/>
      </w:divBdr>
    </w:div>
    <w:div w:id="934747476">
      <w:bodyDiv w:val="1"/>
      <w:marLeft w:val="0"/>
      <w:marRight w:val="0"/>
      <w:marTop w:val="0"/>
      <w:marBottom w:val="0"/>
      <w:divBdr>
        <w:top w:val="none" w:sz="0" w:space="0" w:color="auto"/>
        <w:left w:val="none" w:sz="0" w:space="0" w:color="auto"/>
        <w:bottom w:val="none" w:sz="0" w:space="0" w:color="auto"/>
        <w:right w:val="none" w:sz="0" w:space="0" w:color="auto"/>
      </w:divBdr>
    </w:div>
    <w:div w:id="1218856603">
      <w:bodyDiv w:val="1"/>
      <w:marLeft w:val="0"/>
      <w:marRight w:val="0"/>
      <w:marTop w:val="0"/>
      <w:marBottom w:val="0"/>
      <w:divBdr>
        <w:top w:val="none" w:sz="0" w:space="0" w:color="auto"/>
        <w:left w:val="none" w:sz="0" w:space="0" w:color="auto"/>
        <w:bottom w:val="none" w:sz="0" w:space="0" w:color="auto"/>
        <w:right w:val="none" w:sz="0" w:space="0" w:color="auto"/>
      </w:divBdr>
    </w:div>
    <w:div w:id="1284773624">
      <w:bodyDiv w:val="1"/>
      <w:marLeft w:val="0"/>
      <w:marRight w:val="0"/>
      <w:marTop w:val="0"/>
      <w:marBottom w:val="0"/>
      <w:divBdr>
        <w:top w:val="none" w:sz="0" w:space="0" w:color="auto"/>
        <w:left w:val="none" w:sz="0" w:space="0" w:color="auto"/>
        <w:bottom w:val="none" w:sz="0" w:space="0" w:color="auto"/>
        <w:right w:val="none" w:sz="0" w:space="0" w:color="auto"/>
      </w:divBdr>
    </w:div>
    <w:div w:id="1308779241">
      <w:bodyDiv w:val="1"/>
      <w:marLeft w:val="0"/>
      <w:marRight w:val="0"/>
      <w:marTop w:val="0"/>
      <w:marBottom w:val="0"/>
      <w:divBdr>
        <w:top w:val="none" w:sz="0" w:space="0" w:color="auto"/>
        <w:left w:val="none" w:sz="0" w:space="0" w:color="auto"/>
        <w:bottom w:val="none" w:sz="0" w:space="0" w:color="auto"/>
        <w:right w:val="none" w:sz="0" w:space="0" w:color="auto"/>
      </w:divBdr>
    </w:div>
    <w:div w:id="1378623634">
      <w:bodyDiv w:val="1"/>
      <w:marLeft w:val="0"/>
      <w:marRight w:val="0"/>
      <w:marTop w:val="0"/>
      <w:marBottom w:val="0"/>
      <w:divBdr>
        <w:top w:val="none" w:sz="0" w:space="0" w:color="auto"/>
        <w:left w:val="none" w:sz="0" w:space="0" w:color="auto"/>
        <w:bottom w:val="none" w:sz="0" w:space="0" w:color="auto"/>
        <w:right w:val="none" w:sz="0" w:space="0" w:color="auto"/>
      </w:divBdr>
      <w:divsChild>
        <w:div w:id="1776631731">
          <w:marLeft w:val="0"/>
          <w:marRight w:val="0"/>
          <w:marTop w:val="0"/>
          <w:marBottom w:val="0"/>
          <w:divBdr>
            <w:top w:val="none" w:sz="0" w:space="0" w:color="auto"/>
            <w:left w:val="none" w:sz="0" w:space="0" w:color="auto"/>
            <w:bottom w:val="none" w:sz="0" w:space="0" w:color="auto"/>
            <w:right w:val="none" w:sz="0" w:space="0" w:color="auto"/>
          </w:divBdr>
          <w:divsChild>
            <w:div w:id="1088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40847">
      <w:bodyDiv w:val="1"/>
      <w:marLeft w:val="0"/>
      <w:marRight w:val="0"/>
      <w:marTop w:val="0"/>
      <w:marBottom w:val="0"/>
      <w:divBdr>
        <w:top w:val="none" w:sz="0" w:space="0" w:color="auto"/>
        <w:left w:val="none" w:sz="0" w:space="0" w:color="auto"/>
        <w:bottom w:val="none" w:sz="0" w:space="0" w:color="auto"/>
        <w:right w:val="none" w:sz="0" w:space="0" w:color="auto"/>
      </w:divBdr>
    </w:div>
    <w:div w:id="1486823937">
      <w:bodyDiv w:val="1"/>
      <w:marLeft w:val="0"/>
      <w:marRight w:val="0"/>
      <w:marTop w:val="0"/>
      <w:marBottom w:val="0"/>
      <w:divBdr>
        <w:top w:val="none" w:sz="0" w:space="0" w:color="auto"/>
        <w:left w:val="none" w:sz="0" w:space="0" w:color="auto"/>
        <w:bottom w:val="none" w:sz="0" w:space="0" w:color="auto"/>
        <w:right w:val="none" w:sz="0" w:space="0" w:color="auto"/>
      </w:divBdr>
    </w:div>
    <w:div w:id="1495796382">
      <w:bodyDiv w:val="1"/>
      <w:marLeft w:val="0"/>
      <w:marRight w:val="0"/>
      <w:marTop w:val="0"/>
      <w:marBottom w:val="0"/>
      <w:divBdr>
        <w:top w:val="none" w:sz="0" w:space="0" w:color="auto"/>
        <w:left w:val="none" w:sz="0" w:space="0" w:color="auto"/>
        <w:bottom w:val="none" w:sz="0" w:space="0" w:color="auto"/>
        <w:right w:val="none" w:sz="0" w:space="0" w:color="auto"/>
      </w:divBdr>
    </w:div>
    <w:div w:id="1593322237">
      <w:bodyDiv w:val="1"/>
      <w:marLeft w:val="0"/>
      <w:marRight w:val="0"/>
      <w:marTop w:val="0"/>
      <w:marBottom w:val="0"/>
      <w:divBdr>
        <w:top w:val="none" w:sz="0" w:space="0" w:color="auto"/>
        <w:left w:val="none" w:sz="0" w:space="0" w:color="auto"/>
        <w:bottom w:val="none" w:sz="0" w:space="0" w:color="auto"/>
        <w:right w:val="none" w:sz="0" w:space="0" w:color="auto"/>
      </w:divBdr>
    </w:div>
    <w:div w:id="1604726047">
      <w:bodyDiv w:val="1"/>
      <w:marLeft w:val="0"/>
      <w:marRight w:val="0"/>
      <w:marTop w:val="0"/>
      <w:marBottom w:val="0"/>
      <w:divBdr>
        <w:top w:val="none" w:sz="0" w:space="0" w:color="auto"/>
        <w:left w:val="none" w:sz="0" w:space="0" w:color="auto"/>
        <w:bottom w:val="none" w:sz="0" w:space="0" w:color="auto"/>
        <w:right w:val="none" w:sz="0" w:space="0" w:color="auto"/>
      </w:divBdr>
      <w:divsChild>
        <w:div w:id="792940773">
          <w:marLeft w:val="0"/>
          <w:marRight w:val="0"/>
          <w:marTop w:val="300"/>
          <w:marBottom w:val="0"/>
          <w:divBdr>
            <w:top w:val="none" w:sz="0" w:space="0" w:color="auto"/>
            <w:left w:val="none" w:sz="0" w:space="0" w:color="auto"/>
            <w:bottom w:val="none" w:sz="0" w:space="0" w:color="auto"/>
            <w:right w:val="none" w:sz="0" w:space="0" w:color="auto"/>
          </w:divBdr>
        </w:div>
        <w:div w:id="1934195880">
          <w:marLeft w:val="471"/>
          <w:marRight w:val="0"/>
          <w:marTop w:val="300"/>
          <w:marBottom w:val="0"/>
          <w:divBdr>
            <w:top w:val="none" w:sz="0" w:space="0" w:color="auto"/>
            <w:left w:val="none" w:sz="0" w:space="0" w:color="auto"/>
            <w:bottom w:val="none" w:sz="0" w:space="0" w:color="auto"/>
            <w:right w:val="none" w:sz="0" w:space="0" w:color="auto"/>
          </w:divBdr>
        </w:div>
      </w:divsChild>
    </w:div>
    <w:div w:id="1640645208">
      <w:bodyDiv w:val="1"/>
      <w:marLeft w:val="0"/>
      <w:marRight w:val="0"/>
      <w:marTop w:val="0"/>
      <w:marBottom w:val="0"/>
      <w:divBdr>
        <w:top w:val="none" w:sz="0" w:space="0" w:color="auto"/>
        <w:left w:val="none" w:sz="0" w:space="0" w:color="auto"/>
        <w:bottom w:val="none" w:sz="0" w:space="0" w:color="auto"/>
        <w:right w:val="none" w:sz="0" w:space="0" w:color="auto"/>
      </w:divBdr>
    </w:div>
    <w:div w:id="1807815232">
      <w:bodyDiv w:val="1"/>
      <w:marLeft w:val="0"/>
      <w:marRight w:val="0"/>
      <w:marTop w:val="0"/>
      <w:marBottom w:val="0"/>
      <w:divBdr>
        <w:top w:val="none" w:sz="0" w:space="0" w:color="auto"/>
        <w:left w:val="none" w:sz="0" w:space="0" w:color="auto"/>
        <w:bottom w:val="none" w:sz="0" w:space="0" w:color="auto"/>
        <w:right w:val="none" w:sz="0" w:space="0" w:color="auto"/>
      </w:divBdr>
    </w:div>
    <w:div w:id="1911307303">
      <w:bodyDiv w:val="1"/>
      <w:marLeft w:val="0"/>
      <w:marRight w:val="0"/>
      <w:marTop w:val="0"/>
      <w:marBottom w:val="0"/>
      <w:divBdr>
        <w:top w:val="none" w:sz="0" w:space="0" w:color="auto"/>
        <w:left w:val="none" w:sz="0" w:space="0" w:color="auto"/>
        <w:bottom w:val="none" w:sz="0" w:space="0" w:color="auto"/>
        <w:right w:val="none" w:sz="0" w:space="0" w:color="auto"/>
      </w:divBdr>
    </w:div>
    <w:div w:id="1968319497">
      <w:bodyDiv w:val="1"/>
      <w:marLeft w:val="0"/>
      <w:marRight w:val="0"/>
      <w:marTop w:val="0"/>
      <w:marBottom w:val="0"/>
      <w:divBdr>
        <w:top w:val="none" w:sz="0" w:space="0" w:color="auto"/>
        <w:left w:val="none" w:sz="0" w:space="0" w:color="auto"/>
        <w:bottom w:val="none" w:sz="0" w:space="0" w:color="auto"/>
        <w:right w:val="none" w:sz="0" w:space="0" w:color="auto"/>
      </w:divBdr>
    </w:div>
    <w:div w:id="214407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9EF8-DA16-4A00-A99A-E6626207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222</Pages>
  <Words>164041</Words>
  <Characters>935034</Characters>
  <Application>Microsoft Office Word</Application>
  <DocSecurity>0</DocSecurity>
  <Lines>7791</Lines>
  <Paragraphs>2193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1096882</CharactersWithSpaces>
  <SharedDoc>false</SharedDoc>
  <HLinks>
    <vt:vector size="390" baseType="variant">
      <vt:variant>
        <vt:i4>6684697</vt:i4>
      </vt:variant>
      <vt:variant>
        <vt:i4>584</vt:i4>
      </vt:variant>
      <vt:variant>
        <vt:i4>0</vt:i4>
      </vt:variant>
      <vt:variant>
        <vt:i4>5</vt:i4>
      </vt:variant>
      <vt:variant>
        <vt:lpwstr>https://www.ncbi.nlm.nih.gov/pubmed/?term=Tormey%20DC%5BAuthor%5D&amp;cauthor=true&amp;cauthor_uid=7165009</vt:lpwstr>
      </vt:variant>
      <vt:variant>
        <vt:lpwstr/>
      </vt:variant>
      <vt:variant>
        <vt:i4>7602196</vt:i4>
      </vt:variant>
      <vt:variant>
        <vt:i4>581</vt:i4>
      </vt:variant>
      <vt:variant>
        <vt:i4>0</vt:i4>
      </vt:variant>
      <vt:variant>
        <vt:i4>5</vt:i4>
      </vt:variant>
      <vt:variant>
        <vt:lpwstr>https://www.ncbi.nlm.nih.gov/pubmed/?term=Creech%20RH%5BAuthor%5D&amp;cauthor=true&amp;cauthor_uid=7165009</vt:lpwstr>
      </vt:variant>
      <vt:variant>
        <vt:lpwstr/>
      </vt:variant>
      <vt:variant>
        <vt:i4>8323149</vt:i4>
      </vt:variant>
      <vt:variant>
        <vt:i4>578</vt:i4>
      </vt:variant>
      <vt:variant>
        <vt:i4>0</vt:i4>
      </vt:variant>
      <vt:variant>
        <vt:i4>5</vt:i4>
      </vt:variant>
      <vt:variant>
        <vt:lpwstr>https://www.ncbi.nlm.nih.gov/pubmed/?term=Gregory%20WM%5BAuthor%5D&amp;cauthor=true&amp;cauthor_uid=27935580</vt:lpwstr>
      </vt:variant>
      <vt:variant>
        <vt:lpwstr/>
      </vt:variant>
      <vt:variant>
        <vt:i4>7536665</vt:i4>
      </vt:variant>
      <vt:variant>
        <vt:i4>575</vt:i4>
      </vt:variant>
      <vt:variant>
        <vt:i4>0</vt:i4>
      </vt:variant>
      <vt:variant>
        <vt:i4>5</vt:i4>
      </vt:variant>
      <vt:variant>
        <vt:lpwstr>https://www.ncbi.nlm.nih.gov/pubmed/?term=Cairns%20DA%5BAuthor%5D&amp;cauthor=true&amp;cauthor_uid=27935580</vt:lpwstr>
      </vt:variant>
      <vt:variant>
        <vt:lpwstr/>
      </vt:variant>
      <vt:variant>
        <vt:i4>983137</vt:i4>
      </vt:variant>
      <vt:variant>
        <vt:i4>572</vt:i4>
      </vt:variant>
      <vt:variant>
        <vt:i4>0</vt:i4>
      </vt:variant>
      <vt:variant>
        <vt:i4>5</vt:i4>
      </vt:variant>
      <vt:variant>
        <vt:lpwstr>https://www.ncbi.nlm.nih.gov/pubmed/?term=Anderson%20KC%5BAuthor%5D&amp;cauthor=true&amp;cauthor_uid=27511158</vt:lpwstr>
      </vt:variant>
      <vt:variant>
        <vt:lpwstr/>
      </vt:variant>
      <vt:variant>
        <vt:i4>4325415</vt:i4>
      </vt:variant>
      <vt:variant>
        <vt:i4>569</vt:i4>
      </vt:variant>
      <vt:variant>
        <vt:i4>0</vt:i4>
      </vt:variant>
      <vt:variant>
        <vt:i4>5</vt:i4>
      </vt:variant>
      <vt:variant>
        <vt:lpwstr>https://www.ncbi.nlm.nih.gov/pubmed/?term=Paiva%20B%5BAuthor%5D&amp;cauthor=true&amp;cauthor_uid=27511158</vt:lpwstr>
      </vt:variant>
      <vt:variant>
        <vt:lpwstr/>
      </vt:variant>
      <vt:variant>
        <vt:i4>5177380</vt:i4>
      </vt:variant>
      <vt:variant>
        <vt:i4>566</vt:i4>
      </vt:variant>
      <vt:variant>
        <vt:i4>0</vt:i4>
      </vt:variant>
      <vt:variant>
        <vt:i4>5</vt:i4>
      </vt:variant>
      <vt:variant>
        <vt:lpwstr>https://www.ncbi.nlm.nih.gov/pubmed/?term=Durie%20B%5BAuthor%5D&amp;cauthor=true&amp;cauthor_uid=21292775</vt:lpwstr>
      </vt:variant>
      <vt:variant>
        <vt:lpwstr/>
      </vt:variant>
      <vt:variant>
        <vt:i4>7536643</vt:i4>
      </vt:variant>
      <vt:variant>
        <vt:i4>563</vt:i4>
      </vt:variant>
      <vt:variant>
        <vt:i4>0</vt:i4>
      </vt:variant>
      <vt:variant>
        <vt:i4>5</vt:i4>
      </vt:variant>
      <vt:variant>
        <vt:lpwstr>https://www.ncbi.nlm.nih.gov/pubmed/?term=Harousseau%20JL%5BAuthor%5D&amp;cauthor=true&amp;cauthor_uid=21292775</vt:lpwstr>
      </vt:variant>
      <vt:variant>
        <vt:lpwstr/>
      </vt:variant>
      <vt:variant>
        <vt:i4>6553604</vt:i4>
      </vt:variant>
      <vt:variant>
        <vt:i4>560</vt:i4>
      </vt:variant>
      <vt:variant>
        <vt:i4>0</vt:i4>
      </vt:variant>
      <vt:variant>
        <vt:i4>5</vt:i4>
      </vt:variant>
      <vt:variant>
        <vt:lpwstr>https://www.ncbi.nlm.nih.gov/pubmed/?term=Miguel%20JS%5BAuthor%5D&amp;cauthor=true&amp;cauthor_uid=16855634</vt:lpwstr>
      </vt:variant>
      <vt:variant>
        <vt:lpwstr/>
      </vt:variant>
      <vt:variant>
        <vt:i4>7929865</vt:i4>
      </vt:variant>
      <vt:variant>
        <vt:i4>557</vt:i4>
      </vt:variant>
      <vt:variant>
        <vt:i4>0</vt:i4>
      </vt:variant>
      <vt:variant>
        <vt:i4>5</vt:i4>
      </vt:variant>
      <vt:variant>
        <vt:lpwstr>https://www.ncbi.nlm.nih.gov/pubmed/?term=Harousseau%20JL%5BAuthor%5D&amp;cauthor=true&amp;cauthor_uid=16855634</vt:lpwstr>
      </vt:variant>
      <vt:variant>
        <vt:lpwstr/>
      </vt:variant>
      <vt:variant>
        <vt:i4>3866637</vt:i4>
      </vt:variant>
      <vt:variant>
        <vt:i4>554</vt:i4>
      </vt:variant>
      <vt:variant>
        <vt:i4>0</vt:i4>
      </vt:variant>
      <vt:variant>
        <vt:i4>5</vt:i4>
      </vt:variant>
      <vt:variant>
        <vt:lpwstr>https://www.ncbi.nlm.nih.gov/pubmed/?term=Paul%20M%5BAuthor%5D&amp;cauthor=true&amp;cauthor_uid=19330654</vt:lpwstr>
      </vt:variant>
      <vt:variant>
        <vt:lpwstr/>
      </vt:variant>
      <vt:variant>
        <vt:i4>3801179</vt:i4>
      </vt:variant>
      <vt:variant>
        <vt:i4>551</vt:i4>
      </vt:variant>
      <vt:variant>
        <vt:i4>0</vt:i4>
      </vt:variant>
      <vt:variant>
        <vt:i4>5</vt:i4>
      </vt:variant>
      <vt:variant>
        <vt:lpwstr>https://www.ncbi.nlm.nih.gov/pubmed/?term=Gafter-Gvili%20A%5BAuthor%5D&amp;cauthor=true&amp;cauthor_uid=19330654</vt:lpwstr>
      </vt:variant>
      <vt:variant>
        <vt:lpwstr/>
      </vt:variant>
      <vt:variant>
        <vt:i4>5505067</vt:i4>
      </vt:variant>
      <vt:variant>
        <vt:i4>548</vt:i4>
      </vt:variant>
      <vt:variant>
        <vt:i4>0</vt:i4>
      </vt:variant>
      <vt:variant>
        <vt:i4>5</vt:i4>
      </vt:variant>
      <vt:variant>
        <vt:lpwstr>https://www.ncbi.nlm.nih.gov/pubmed/?term=Ghaly%20M%5BAuthor%5D&amp;cauthor=true&amp;cauthor_uid=31334121</vt:lpwstr>
      </vt:variant>
      <vt:variant>
        <vt:lpwstr/>
      </vt:variant>
      <vt:variant>
        <vt:i4>6094901</vt:i4>
      </vt:variant>
      <vt:variant>
        <vt:i4>545</vt:i4>
      </vt:variant>
      <vt:variant>
        <vt:i4>0</vt:i4>
      </vt:variant>
      <vt:variant>
        <vt:i4>5</vt:i4>
      </vt:variant>
      <vt:variant>
        <vt:lpwstr>https://www.ncbi.nlm.nih.gov/pubmed/?term=Meshrekey%20R%5BAuthor%5D&amp;cauthor=true&amp;cauthor_uid=31334121</vt:lpwstr>
      </vt:variant>
      <vt:variant>
        <vt:lpwstr/>
      </vt:variant>
      <vt:variant>
        <vt:i4>5963821</vt:i4>
      </vt:variant>
      <vt:variant>
        <vt:i4>542</vt:i4>
      </vt:variant>
      <vt:variant>
        <vt:i4>0</vt:i4>
      </vt:variant>
      <vt:variant>
        <vt:i4>5</vt:i4>
      </vt:variant>
      <vt:variant>
        <vt:lpwstr>https://www.ncbi.nlm.nih.gov/pubmed/?term=Gilbo%20P%5BAuthor%5D&amp;cauthor=true&amp;cauthor_uid=31334121</vt:lpwstr>
      </vt:variant>
      <vt:variant>
        <vt:lpwstr/>
      </vt:variant>
      <vt:variant>
        <vt:i4>1114215</vt:i4>
      </vt:variant>
      <vt:variant>
        <vt:i4>539</vt:i4>
      </vt:variant>
      <vt:variant>
        <vt:i4>0</vt:i4>
      </vt:variant>
      <vt:variant>
        <vt:i4>5</vt:i4>
      </vt:variant>
      <vt:variant>
        <vt:lpwstr>https://www.ncbi.nlm.nih.gov/pubmed/?term=Goda%20JS%5BAuthor%5D&amp;cauthor=true&amp;cauthor_uid=29976492</vt:lpwstr>
      </vt:variant>
      <vt:variant>
        <vt:lpwstr/>
      </vt:variant>
      <vt:variant>
        <vt:i4>983158</vt:i4>
      </vt:variant>
      <vt:variant>
        <vt:i4>536</vt:i4>
      </vt:variant>
      <vt:variant>
        <vt:i4>0</vt:i4>
      </vt:variant>
      <vt:variant>
        <vt:i4>5</vt:i4>
      </vt:variant>
      <vt:variant>
        <vt:lpwstr>https://www.ncbi.nlm.nih.gov/pubmed/?term=Campbell%20BA%5BAuthor%5D&amp;cauthor=true&amp;cauthor_uid=29976492</vt:lpwstr>
      </vt:variant>
      <vt:variant>
        <vt:lpwstr/>
      </vt:variant>
      <vt:variant>
        <vt:i4>2752543</vt:i4>
      </vt:variant>
      <vt:variant>
        <vt:i4>533</vt:i4>
      </vt:variant>
      <vt:variant>
        <vt:i4>0</vt:i4>
      </vt:variant>
      <vt:variant>
        <vt:i4>5</vt:i4>
      </vt:variant>
      <vt:variant>
        <vt:lpwstr>https://www.ncbi.nlm.nih.gov/pubmed/?term=Wang%20Y%5BAuthor%5D&amp;cauthor=true&amp;cauthor_uid=29805768</vt:lpwstr>
      </vt:variant>
      <vt:variant>
        <vt:lpwstr/>
      </vt:variant>
      <vt:variant>
        <vt:i4>3211344</vt:i4>
      </vt:variant>
      <vt:variant>
        <vt:i4>530</vt:i4>
      </vt:variant>
      <vt:variant>
        <vt:i4>0</vt:i4>
      </vt:variant>
      <vt:variant>
        <vt:i4>5</vt:i4>
      </vt:variant>
      <vt:variant>
        <vt:lpwstr>https://www.ncbi.nlm.nih.gov/pubmed/?term=Bishnoi%20R%5BAuthor%5D&amp;cauthor=true&amp;cauthor_uid=29805768</vt:lpwstr>
      </vt:variant>
      <vt:variant>
        <vt:lpwstr/>
      </vt:variant>
      <vt:variant>
        <vt:i4>7798805</vt:i4>
      </vt:variant>
      <vt:variant>
        <vt:i4>527</vt:i4>
      </vt:variant>
      <vt:variant>
        <vt:i4>0</vt:i4>
      </vt:variant>
      <vt:variant>
        <vt:i4>5</vt:i4>
      </vt:variant>
      <vt:variant>
        <vt:lpwstr>https://www.ncbi.nlm.nih.gov/pubmed/?term=Usmani%20SZ%5BAuthor%5D&amp;cauthor=true&amp;cauthor_uid=26778538</vt:lpwstr>
      </vt:variant>
      <vt:variant>
        <vt:lpwstr/>
      </vt:variant>
      <vt:variant>
        <vt:i4>196649</vt:i4>
      </vt:variant>
      <vt:variant>
        <vt:i4>524</vt:i4>
      </vt:variant>
      <vt:variant>
        <vt:i4>0</vt:i4>
      </vt:variant>
      <vt:variant>
        <vt:i4>5</vt:i4>
      </vt:variant>
      <vt:variant>
        <vt:lpwstr>https://www.ncbi.nlm.nih.gov/pubmed/?term=Weiss%20BM%5BAuthor%5D&amp;cauthor=true&amp;cauthor_uid=26778538</vt:lpwstr>
      </vt:variant>
      <vt:variant>
        <vt:lpwstr/>
      </vt:variant>
      <vt:variant>
        <vt:i4>5701744</vt:i4>
      </vt:variant>
      <vt:variant>
        <vt:i4>521</vt:i4>
      </vt:variant>
      <vt:variant>
        <vt:i4>0</vt:i4>
      </vt:variant>
      <vt:variant>
        <vt:i4>5</vt:i4>
      </vt:variant>
      <vt:variant>
        <vt:lpwstr>https://www.ncbi.nlm.nih.gov/pubmed/?term=Moreau%20P%5BAuthor%5D&amp;cauthor=true&amp;cauthor_uid=24007748</vt:lpwstr>
      </vt:variant>
      <vt:variant>
        <vt:lpwstr/>
      </vt:variant>
      <vt:variant>
        <vt:i4>4784245</vt:i4>
      </vt:variant>
      <vt:variant>
        <vt:i4>518</vt:i4>
      </vt:variant>
      <vt:variant>
        <vt:i4>0</vt:i4>
      </vt:variant>
      <vt:variant>
        <vt:i4>5</vt:i4>
      </vt:variant>
      <vt:variant>
        <vt:lpwstr>https://www.ncbi.nlm.nih.gov/pubmed/?term=Weisel%20K%5BAuthor%5D&amp;cauthor=true&amp;cauthor_uid=24007748</vt:lpwstr>
      </vt:variant>
      <vt:variant>
        <vt:lpwstr/>
      </vt:variant>
      <vt:variant>
        <vt:i4>1835067</vt:i4>
      </vt:variant>
      <vt:variant>
        <vt:i4>248</vt:i4>
      </vt:variant>
      <vt:variant>
        <vt:i4>0</vt:i4>
      </vt:variant>
      <vt:variant>
        <vt:i4>5</vt:i4>
      </vt:variant>
      <vt:variant>
        <vt:lpwstr/>
      </vt:variant>
      <vt:variant>
        <vt:lpwstr>_Toc24362188</vt:lpwstr>
      </vt:variant>
      <vt:variant>
        <vt:i4>1245243</vt:i4>
      </vt:variant>
      <vt:variant>
        <vt:i4>242</vt:i4>
      </vt:variant>
      <vt:variant>
        <vt:i4>0</vt:i4>
      </vt:variant>
      <vt:variant>
        <vt:i4>5</vt:i4>
      </vt:variant>
      <vt:variant>
        <vt:lpwstr/>
      </vt:variant>
      <vt:variant>
        <vt:lpwstr>_Toc24362187</vt:lpwstr>
      </vt:variant>
      <vt:variant>
        <vt:i4>1179707</vt:i4>
      </vt:variant>
      <vt:variant>
        <vt:i4>236</vt:i4>
      </vt:variant>
      <vt:variant>
        <vt:i4>0</vt:i4>
      </vt:variant>
      <vt:variant>
        <vt:i4>5</vt:i4>
      </vt:variant>
      <vt:variant>
        <vt:lpwstr/>
      </vt:variant>
      <vt:variant>
        <vt:lpwstr>_Toc24362186</vt:lpwstr>
      </vt:variant>
      <vt:variant>
        <vt:i4>1114171</vt:i4>
      </vt:variant>
      <vt:variant>
        <vt:i4>230</vt:i4>
      </vt:variant>
      <vt:variant>
        <vt:i4>0</vt:i4>
      </vt:variant>
      <vt:variant>
        <vt:i4>5</vt:i4>
      </vt:variant>
      <vt:variant>
        <vt:lpwstr/>
      </vt:variant>
      <vt:variant>
        <vt:lpwstr>_Toc24362185</vt:lpwstr>
      </vt:variant>
      <vt:variant>
        <vt:i4>1048635</vt:i4>
      </vt:variant>
      <vt:variant>
        <vt:i4>224</vt:i4>
      </vt:variant>
      <vt:variant>
        <vt:i4>0</vt:i4>
      </vt:variant>
      <vt:variant>
        <vt:i4>5</vt:i4>
      </vt:variant>
      <vt:variant>
        <vt:lpwstr/>
      </vt:variant>
      <vt:variant>
        <vt:lpwstr>_Toc24362184</vt:lpwstr>
      </vt:variant>
      <vt:variant>
        <vt:i4>1507387</vt:i4>
      </vt:variant>
      <vt:variant>
        <vt:i4>218</vt:i4>
      </vt:variant>
      <vt:variant>
        <vt:i4>0</vt:i4>
      </vt:variant>
      <vt:variant>
        <vt:i4>5</vt:i4>
      </vt:variant>
      <vt:variant>
        <vt:lpwstr/>
      </vt:variant>
      <vt:variant>
        <vt:lpwstr>_Toc24362183</vt:lpwstr>
      </vt:variant>
      <vt:variant>
        <vt:i4>1441851</vt:i4>
      </vt:variant>
      <vt:variant>
        <vt:i4>212</vt:i4>
      </vt:variant>
      <vt:variant>
        <vt:i4>0</vt:i4>
      </vt:variant>
      <vt:variant>
        <vt:i4>5</vt:i4>
      </vt:variant>
      <vt:variant>
        <vt:lpwstr/>
      </vt:variant>
      <vt:variant>
        <vt:lpwstr>_Toc24362182</vt:lpwstr>
      </vt:variant>
      <vt:variant>
        <vt:i4>1376315</vt:i4>
      </vt:variant>
      <vt:variant>
        <vt:i4>206</vt:i4>
      </vt:variant>
      <vt:variant>
        <vt:i4>0</vt:i4>
      </vt:variant>
      <vt:variant>
        <vt:i4>5</vt:i4>
      </vt:variant>
      <vt:variant>
        <vt:lpwstr/>
      </vt:variant>
      <vt:variant>
        <vt:lpwstr>_Toc24362181</vt:lpwstr>
      </vt:variant>
      <vt:variant>
        <vt:i4>1310779</vt:i4>
      </vt:variant>
      <vt:variant>
        <vt:i4>200</vt:i4>
      </vt:variant>
      <vt:variant>
        <vt:i4>0</vt:i4>
      </vt:variant>
      <vt:variant>
        <vt:i4>5</vt:i4>
      </vt:variant>
      <vt:variant>
        <vt:lpwstr/>
      </vt:variant>
      <vt:variant>
        <vt:lpwstr>_Toc24362180</vt:lpwstr>
      </vt:variant>
      <vt:variant>
        <vt:i4>1900596</vt:i4>
      </vt:variant>
      <vt:variant>
        <vt:i4>194</vt:i4>
      </vt:variant>
      <vt:variant>
        <vt:i4>0</vt:i4>
      </vt:variant>
      <vt:variant>
        <vt:i4>5</vt:i4>
      </vt:variant>
      <vt:variant>
        <vt:lpwstr/>
      </vt:variant>
      <vt:variant>
        <vt:lpwstr>_Toc24362179</vt:lpwstr>
      </vt:variant>
      <vt:variant>
        <vt:i4>1835060</vt:i4>
      </vt:variant>
      <vt:variant>
        <vt:i4>188</vt:i4>
      </vt:variant>
      <vt:variant>
        <vt:i4>0</vt:i4>
      </vt:variant>
      <vt:variant>
        <vt:i4>5</vt:i4>
      </vt:variant>
      <vt:variant>
        <vt:lpwstr/>
      </vt:variant>
      <vt:variant>
        <vt:lpwstr>_Toc24362178</vt:lpwstr>
      </vt:variant>
      <vt:variant>
        <vt:i4>1245236</vt:i4>
      </vt:variant>
      <vt:variant>
        <vt:i4>182</vt:i4>
      </vt:variant>
      <vt:variant>
        <vt:i4>0</vt:i4>
      </vt:variant>
      <vt:variant>
        <vt:i4>5</vt:i4>
      </vt:variant>
      <vt:variant>
        <vt:lpwstr/>
      </vt:variant>
      <vt:variant>
        <vt:lpwstr>_Toc24362177</vt:lpwstr>
      </vt:variant>
      <vt:variant>
        <vt:i4>1179700</vt:i4>
      </vt:variant>
      <vt:variant>
        <vt:i4>176</vt:i4>
      </vt:variant>
      <vt:variant>
        <vt:i4>0</vt:i4>
      </vt:variant>
      <vt:variant>
        <vt:i4>5</vt:i4>
      </vt:variant>
      <vt:variant>
        <vt:lpwstr/>
      </vt:variant>
      <vt:variant>
        <vt:lpwstr>_Toc24362176</vt:lpwstr>
      </vt:variant>
      <vt:variant>
        <vt:i4>1114164</vt:i4>
      </vt:variant>
      <vt:variant>
        <vt:i4>170</vt:i4>
      </vt:variant>
      <vt:variant>
        <vt:i4>0</vt:i4>
      </vt:variant>
      <vt:variant>
        <vt:i4>5</vt:i4>
      </vt:variant>
      <vt:variant>
        <vt:lpwstr/>
      </vt:variant>
      <vt:variant>
        <vt:lpwstr>_Toc24362175</vt:lpwstr>
      </vt:variant>
      <vt:variant>
        <vt:i4>1048628</vt:i4>
      </vt:variant>
      <vt:variant>
        <vt:i4>164</vt:i4>
      </vt:variant>
      <vt:variant>
        <vt:i4>0</vt:i4>
      </vt:variant>
      <vt:variant>
        <vt:i4>5</vt:i4>
      </vt:variant>
      <vt:variant>
        <vt:lpwstr/>
      </vt:variant>
      <vt:variant>
        <vt:lpwstr>_Toc24362174</vt:lpwstr>
      </vt:variant>
      <vt:variant>
        <vt:i4>1507380</vt:i4>
      </vt:variant>
      <vt:variant>
        <vt:i4>158</vt:i4>
      </vt:variant>
      <vt:variant>
        <vt:i4>0</vt:i4>
      </vt:variant>
      <vt:variant>
        <vt:i4>5</vt:i4>
      </vt:variant>
      <vt:variant>
        <vt:lpwstr/>
      </vt:variant>
      <vt:variant>
        <vt:lpwstr>_Toc24362173</vt:lpwstr>
      </vt:variant>
      <vt:variant>
        <vt:i4>1441844</vt:i4>
      </vt:variant>
      <vt:variant>
        <vt:i4>152</vt:i4>
      </vt:variant>
      <vt:variant>
        <vt:i4>0</vt:i4>
      </vt:variant>
      <vt:variant>
        <vt:i4>5</vt:i4>
      </vt:variant>
      <vt:variant>
        <vt:lpwstr/>
      </vt:variant>
      <vt:variant>
        <vt:lpwstr>_Toc24362172</vt:lpwstr>
      </vt:variant>
      <vt:variant>
        <vt:i4>1376308</vt:i4>
      </vt:variant>
      <vt:variant>
        <vt:i4>146</vt:i4>
      </vt:variant>
      <vt:variant>
        <vt:i4>0</vt:i4>
      </vt:variant>
      <vt:variant>
        <vt:i4>5</vt:i4>
      </vt:variant>
      <vt:variant>
        <vt:lpwstr/>
      </vt:variant>
      <vt:variant>
        <vt:lpwstr>_Toc24362171</vt:lpwstr>
      </vt:variant>
      <vt:variant>
        <vt:i4>1310772</vt:i4>
      </vt:variant>
      <vt:variant>
        <vt:i4>140</vt:i4>
      </vt:variant>
      <vt:variant>
        <vt:i4>0</vt:i4>
      </vt:variant>
      <vt:variant>
        <vt:i4>5</vt:i4>
      </vt:variant>
      <vt:variant>
        <vt:lpwstr/>
      </vt:variant>
      <vt:variant>
        <vt:lpwstr>_Toc24362170</vt:lpwstr>
      </vt:variant>
      <vt:variant>
        <vt:i4>1900597</vt:i4>
      </vt:variant>
      <vt:variant>
        <vt:i4>134</vt:i4>
      </vt:variant>
      <vt:variant>
        <vt:i4>0</vt:i4>
      </vt:variant>
      <vt:variant>
        <vt:i4>5</vt:i4>
      </vt:variant>
      <vt:variant>
        <vt:lpwstr/>
      </vt:variant>
      <vt:variant>
        <vt:lpwstr>_Toc24362169</vt:lpwstr>
      </vt:variant>
      <vt:variant>
        <vt:i4>1835061</vt:i4>
      </vt:variant>
      <vt:variant>
        <vt:i4>128</vt:i4>
      </vt:variant>
      <vt:variant>
        <vt:i4>0</vt:i4>
      </vt:variant>
      <vt:variant>
        <vt:i4>5</vt:i4>
      </vt:variant>
      <vt:variant>
        <vt:lpwstr/>
      </vt:variant>
      <vt:variant>
        <vt:lpwstr>_Toc24362168</vt:lpwstr>
      </vt:variant>
      <vt:variant>
        <vt:i4>1245237</vt:i4>
      </vt:variant>
      <vt:variant>
        <vt:i4>122</vt:i4>
      </vt:variant>
      <vt:variant>
        <vt:i4>0</vt:i4>
      </vt:variant>
      <vt:variant>
        <vt:i4>5</vt:i4>
      </vt:variant>
      <vt:variant>
        <vt:lpwstr/>
      </vt:variant>
      <vt:variant>
        <vt:lpwstr>_Toc24362167</vt:lpwstr>
      </vt:variant>
      <vt:variant>
        <vt:i4>1179701</vt:i4>
      </vt:variant>
      <vt:variant>
        <vt:i4>116</vt:i4>
      </vt:variant>
      <vt:variant>
        <vt:i4>0</vt:i4>
      </vt:variant>
      <vt:variant>
        <vt:i4>5</vt:i4>
      </vt:variant>
      <vt:variant>
        <vt:lpwstr/>
      </vt:variant>
      <vt:variant>
        <vt:lpwstr>_Toc24362166</vt:lpwstr>
      </vt:variant>
      <vt:variant>
        <vt:i4>1114165</vt:i4>
      </vt:variant>
      <vt:variant>
        <vt:i4>110</vt:i4>
      </vt:variant>
      <vt:variant>
        <vt:i4>0</vt:i4>
      </vt:variant>
      <vt:variant>
        <vt:i4>5</vt:i4>
      </vt:variant>
      <vt:variant>
        <vt:lpwstr/>
      </vt:variant>
      <vt:variant>
        <vt:lpwstr>_Toc24362165</vt:lpwstr>
      </vt:variant>
      <vt:variant>
        <vt:i4>1048629</vt:i4>
      </vt:variant>
      <vt:variant>
        <vt:i4>104</vt:i4>
      </vt:variant>
      <vt:variant>
        <vt:i4>0</vt:i4>
      </vt:variant>
      <vt:variant>
        <vt:i4>5</vt:i4>
      </vt:variant>
      <vt:variant>
        <vt:lpwstr/>
      </vt:variant>
      <vt:variant>
        <vt:lpwstr>_Toc24362164</vt:lpwstr>
      </vt:variant>
      <vt:variant>
        <vt:i4>1507381</vt:i4>
      </vt:variant>
      <vt:variant>
        <vt:i4>98</vt:i4>
      </vt:variant>
      <vt:variant>
        <vt:i4>0</vt:i4>
      </vt:variant>
      <vt:variant>
        <vt:i4>5</vt:i4>
      </vt:variant>
      <vt:variant>
        <vt:lpwstr/>
      </vt:variant>
      <vt:variant>
        <vt:lpwstr>_Toc24362163</vt:lpwstr>
      </vt:variant>
      <vt:variant>
        <vt:i4>1441845</vt:i4>
      </vt:variant>
      <vt:variant>
        <vt:i4>92</vt:i4>
      </vt:variant>
      <vt:variant>
        <vt:i4>0</vt:i4>
      </vt:variant>
      <vt:variant>
        <vt:i4>5</vt:i4>
      </vt:variant>
      <vt:variant>
        <vt:lpwstr/>
      </vt:variant>
      <vt:variant>
        <vt:lpwstr>_Toc24362162</vt:lpwstr>
      </vt:variant>
      <vt:variant>
        <vt:i4>1376309</vt:i4>
      </vt:variant>
      <vt:variant>
        <vt:i4>86</vt:i4>
      </vt:variant>
      <vt:variant>
        <vt:i4>0</vt:i4>
      </vt:variant>
      <vt:variant>
        <vt:i4>5</vt:i4>
      </vt:variant>
      <vt:variant>
        <vt:lpwstr/>
      </vt:variant>
      <vt:variant>
        <vt:lpwstr>_Toc24362161</vt:lpwstr>
      </vt:variant>
      <vt:variant>
        <vt:i4>1310773</vt:i4>
      </vt:variant>
      <vt:variant>
        <vt:i4>80</vt:i4>
      </vt:variant>
      <vt:variant>
        <vt:i4>0</vt:i4>
      </vt:variant>
      <vt:variant>
        <vt:i4>5</vt:i4>
      </vt:variant>
      <vt:variant>
        <vt:lpwstr/>
      </vt:variant>
      <vt:variant>
        <vt:lpwstr>_Toc24362160</vt:lpwstr>
      </vt:variant>
      <vt:variant>
        <vt:i4>1900598</vt:i4>
      </vt:variant>
      <vt:variant>
        <vt:i4>74</vt:i4>
      </vt:variant>
      <vt:variant>
        <vt:i4>0</vt:i4>
      </vt:variant>
      <vt:variant>
        <vt:i4>5</vt:i4>
      </vt:variant>
      <vt:variant>
        <vt:lpwstr/>
      </vt:variant>
      <vt:variant>
        <vt:lpwstr>_Toc24362159</vt:lpwstr>
      </vt:variant>
      <vt:variant>
        <vt:i4>1835062</vt:i4>
      </vt:variant>
      <vt:variant>
        <vt:i4>68</vt:i4>
      </vt:variant>
      <vt:variant>
        <vt:i4>0</vt:i4>
      </vt:variant>
      <vt:variant>
        <vt:i4>5</vt:i4>
      </vt:variant>
      <vt:variant>
        <vt:lpwstr/>
      </vt:variant>
      <vt:variant>
        <vt:lpwstr>_Toc24362158</vt:lpwstr>
      </vt:variant>
      <vt:variant>
        <vt:i4>1245238</vt:i4>
      </vt:variant>
      <vt:variant>
        <vt:i4>62</vt:i4>
      </vt:variant>
      <vt:variant>
        <vt:i4>0</vt:i4>
      </vt:variant>
      <vt:variant>
        <vt:i4>5</vt:i4>
      </vt:variant>
      <vt:variant>
        <vt:lpwstr/>
      </vt:variant>
      <vt:variant>
        <vt:lpwstr>_Toc24362157</vt:lpwstr>
      </vt:variant>
      <vt:variant>
        <vt:i4>1179702</vt:i4>
      </vt:variant>
      <vt:variant>
        <vt:i4>56</vt:i4>
      </vt:variant>
      <vt:variant>
        <vt:i4>0</vt:i4>
      </vt:variant>
      <vt:variant>
        <vt:i4>5</vt:i4>
      </vt:variant>
      <vt:variant>
        <vt:lpwstr/>
      </vt:variant>
      <vt:variant>
        <vt:lpwstr>_Toc24362156</vt:lpwstr>
      </vt:variant>
      <vt:variant>
        <vt:i4>1114166</vt:i4>
      </vt:variant>
      <vt:variant>
        <vt:i4>50</vt:i4>
      </vt:variant>
      <vt:variant>
        <vt:i4>0</vt:i4>
      </vt:variant>
      <vt:variant>
        <vt:i4>5</vt:i4>
      </vt:variant>
      <vt:variant>
        <vt:lpwstr/>
      </vt:variant>
      <vt:variant>
        <vt:lpwstr>_Toc24362155</vt:lpwstr>
      </vt:variant>
      <vt:variant>
        <vt:i4>1048630</vt:i4>
      </vt:variant>
      <vt:variant>
        <vt:i4>44</vt:i4>
      </vt:variant>
      <vt:variant>
        <vt:i4>0</vt:i4>
      </vt:variant>
      <vt:variant>
        <vt:i4>5</vt:i4>
      </vt:variant>
      <vt:variant>
        <vt:lpwstr/>
      </vt:variant>
      <vt:variant>
        <vt:lpwstr>_Toc24362154</vt:lpwstr>
      </vt:variant>
      <vt:variant>
        <vt:i4>1507382</vt:i4>
      </vt:variant>
      <vt:variant>
        <vt:i4>38</vt:i4>
      </vt:variant>
      <vt:variant>
        <vt:i4>0</vt:i4>
      </vt:variant>
      <vt:variant>
        <vt:i4>5</vt:i4>
      </vt:variant>
      <vt:variant>
        <vt:lpwstr/>
      </vt:variant>
      <vt:variant>
        <vt:lpwstr>_Toc24362153</vt:lpwstr>
      </vt:variant>
      <vt:variant>
        <vt:i4>1441846</vt:i4>
      </vt:variant>
      <vt:variant>
        <vt:i4>32</vt:i4>
      </vt:variant>
      <vt:variant>
        <vt:i4>0</vt:i4>
      </vt:variant>
      <vt:variant>
        <vt:i4>5</vt:i4>
      </vt:variant>
      <vt:variant>
        <vt:lpwstr/>
      </vt:variant>
      <vt:variant>
        <vt:lpwstr>_Toc24362152</vt:lpwstr>
      </vt:variant>
      <vt:variant>
        <vt:i4>1376310</vt:i4>
      </vt:variant>
      <vt:variant>
        <vt:i4>26</vt:i4>
      </vt:variant>
      <vt:variant>
        <vt:i4>0</vt:i4>
      </vt:variant>
      <vt:variant>
        <vt:i4>5</vt:i4>
      </vt:variant>
      <vt:variant>
        <vt:lpwstr/>
      </vt:variant>
      <vt:variant>
        <vt:lpwstr>_Toc24362151</vt:lpwstr>
      </vt:variant>
      <vt:variant>
        <vt:i4>1310774</vt:i4>
      </vt:variant>
      <vt:variant>
        <vt:i4>20</vt:i4>
      </vt:variant>
      <vt:variant>
        <vt:i4>0</vt:i4>
      </vt:variant>
      <vt:variant>
        <vt:i4>5</vt:i4>
      </vt:variant>
      <vt:variant>
        <vt:lpwstr/>
      </vt:variant>
      <vt:variant>
        <vt:lpwstr>_Toc24362150</vt:lpwstr>
      </vt:variant>
      <vt:variant>
        <vt:i4>1900599</vt:i4>
      </vt:variant>
      <vt:variant>
        <vt:i4>14</vt:i4>
      </vt:variant>
      <vt:variant>
        <vt:i4>0</vt:i4>
      </vt:variant>
      <vt:variant>
        <vt:i4>5</vt:i4>
      </vt:variant>
      <vt:variant>
        <vt:lpwstr/>
      </vt:variant>
      <vt:variant>
        <vt:lpwstr>_Toc24362149</vt:lpwstr>
      </vt:variant>
      <vt:variant>
        <vt:i4>1835063</vt:i4>
      </vt:variant>
      <vt:variant>
        <vt:i4>8</vt:i4>
      </vt:variant>
      <vt:variant>
        <vt:i4>0</vt:i4>
      </vt:variant>
      <vt:variant>
        <vt:i4>5</vt:i4>
      </vt:variant>
      <vt:variant>
        <vt:lpwstr/>
      </vt:variant>
      <vt:variant>
        <vt:lpwstr>_Toc24362148</vt:lpwstr>
      </vt:variant>
      <vt:variant>
        <vt:i4>1245239</vt:i4>
      </vt:variant>
      <vt:variant>
        <vt:i4>2</vt:i4>
      </vt:variant>
      <vt:variant>
        <vt:i4>0</vt:i4>
      </vt:variant>
      <vt:variant>
        <vt:i4>5</vt:i4>
      </vt:variant>
      <vt:variant>
        <vt:lpwstr/>
      </vt:variant>
      <vt:variant>
        <vt:lpwstr>_Toc24362147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alradi</cp:lastModifiedBy>
  <cp:revision>3</cp:revision>
  <cp:lastPrinted>2020-02-17T09:44:00Z</cp:lastPrinted>
  <dcterms:created xsi:type="dcterms:W3CDTF">2020-10-13T13:44:00Z</dcterms:created>
  <dcterms:modified xsi:type="dcterms:W3CDTF">2020-10-14T11:59:00Z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http://www.zotero.org/styles/gost-r-7-0-5-2008-numeric</vt:lpwstr>
  </property>
  <property fmtid="{D5CDD505-2E9C-101B-9397-08002B2CF9AE}" pid="21" name="Mendeley Recent Style Name 9_1">
    <vt:lpwstr>Russian GOST R 7.0.5-2008 (numeric)</vt:lpwstr>
  </property>
  <property fmtid="{D5CDD505-2E9C-101B-9397-08002B2CF9AE}" pid="22" name="Mendeley Document_1">
    <vt:lpwstr>True</vt:lpwstr>
  </property>
  <property fmtid="{D5CDD505-2E9C-101B-9397-08002B2CF9AE}" pid="23" name="Mendeley Unique User Id_1">
    <vt:lpwstr>9427ae35-49d5-3393-a5e5-e34ad258e234</vt:lpwstr>
  </property>
  <property fmtid="{D5CDD505-2E9C-101B-9397-08002B2CF9AE}" pid="24" name="Mendeley Citation Style_1">
    <vt:lpwstr>http://www.zotero.org/styles/gost-r-7-0-5-2008-numeric</vt:lpwstr>
  </property>
</Properties>
</file>