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E59C2" w:rsidRDefault="00B43B37" w:rsidP="00EE59C2">
      <w:pPr>
        <w:pStyle w:val="aff8"/>
      </w:pPr>
      <w:r>
        <w:rPr>
          <w:noProof/>
          <w:lang w:eastAsia="ru-RU"/>
        </w:rPr>
        <mc:AlternateContent>
          <mc:Choice Requires="wps">
            <w:drawing>
              <wp:anchor distT="0" distB="0" distL="114300" distR="114300" simplePos="0" relativeHeight="251658240" behindDoc="1" locked="0" layoutInCell="1" allowOverlap="1" wp14:anchorId="6DE74119">
                <wp:simplePos x="0" y="0"/>
                <wp:positionH relativeFrom="column">
                  <wp:posOffset>-822960</wp:posOffset>
                </wp:positionH>
                <wp:positionV relativeFrom="paragraph">
                  <wp:posOffset>-491490</wp:posOffset>
                </wp:positionV>
                <wp:extent cx="7000875" cy="84486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844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4A5" w:rsidRPr="004A5932" w:rsidRDefault="003524A5" w:rsidP="004A593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74119" id="Rectangle 3" o:spid="_x0000_s1026"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" stroked="f">
                <v:path arrowok="t"/>
                <v:textbox>
                  <w:txbxContent>
                    <w:p w14:paraId="6DE7412B" w14:textId="77777777" w:rsidR="003524A5" w:rsidRPr="004A5932" w:rsidRDefault="003524A5" w:rsidP="004A5932"/>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089F8815">
                <wp:simplePos x="0" y="0"/>
                <wp:positionH relativeFrom="page">
                  <wp:posOffset>-35560</wp:posOffset>
                </wp:positionH>
                <wp:positionV relativeFrom="paragraph">
                  <wp:posOffset>-1113790</wp:posOffset>
                </wp:positionV>
                <wp:extent cx="7601585" cy="1102106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w="254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C4EC0" id="Прямоугольник 3" o:spid="_x0000_s1026" style="position:absolute;margin-left:-2.8pt;margin-top:-87.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" fillcolor="#0b595d" stroked="f" strokeweight="2pt">
                <v:fill opacity="6682f"/>
                <w10:wrap anchorx="page"/>
              </v:rect>
            </w:pict>
          </mc:Fallback>
        </mc:AlternateContent>
      </w:r>
    </w:p>
    <w:p w:rsidR="00EE59C2" w:rsidRDefault="00EE59C2" w:rsidP="00EE59C2">
      <w:pPr>
        <w:pStyle w:val="aff8"/>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F95275" w:rsidTr="00F95275">
        <w:tc>
          <w:tcPr>
            <w:tcW w:w="9525" w:type="dxa"/>
            <w:gridSpan w:val="2"/>
          </w:tcPr>
          <w:p w:rsidR="00172112" w:rsidRPr="00F95275" w:rsidRDefault="00172112" w:rsidP="009119D3">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6E41C5" w:rsidRDefault="006E41C5" w:rsidP="009119D3">
            <w:pPr>
              <w:tabs>
                <w:tab w:val="left" w:pos="6135"/>
              </w:tabs>
              <w:rPr>
                <w:b/>
                <w:szCs w:val="24"/>
              </w:rPr>
            </w:pPr>
            <w:r w:rsidRPr="00FA77D4">
              <w:rPr>
                <w:b/>
                <w:color w:val="000000"/>
                <w:sz w:val="48"/>
                <w:szCs w:val="48"/>
              </w:rPr>
              <w:t>Синдром Сезари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4"/>
              <w:spacing w:line="276" w:lineRule="auto"/>
              <w:ind w:firstLine="0"/>
              <w:jc w:val="right"/>
              <w:rPr>
                <w:sz w:val="24"/>
                <w:szCs w:val="28"/>
              </w:rPr>
            </w:pPr>
          </w:p>
        </w:tc>
        <w:tc>
          <w:tcPr>
            <w:tcW w:w="5839" w:type="dxa"/>
          </w:tcPr>
          <w:p w:rsidR="00221384" w:rsidRPr="00F95275" w:rsidRDefault="006E41C5" w:rsidP="00F95275">
            <w:pPr>
              <w:tabs>
                <w:tab w:val="left" w:pos="6135"/>
              </w:tabs>
              <w:spacing w:line="276" w:lineRule="auto"/>
              <w:ind w:firstLine="0"/>
              <w:jc w:val="left"/>
              <w:rPr>
                <w:szCs w:val="28"/>
              </w:rPr>
            </w:pPr>
            <w:r>
              <w:rPr>
                <w:rStyle w:val="pop-slug-vol"/>
                <w:b/>
                <w:szCs w:val="24"/>
              </w:rPr>
              <w:t>С84.1</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p>
        </w:tc>
        <w:tc>
          <w:tcPr>
            <w:tcW w:w="5839" w:type="dxa"/>
          </w:tcPr>
          <w:p w:rsidR="00221384" w:rsidRPr="00F95275" w:rsidRDefault="006E41C5" w:rsidP="00F95275">
            <w:pPr>
              <w:tabs>
                <w:tab w:val="left" w:pos="6135"/>
              </w:tabs>
              <w:spacing w:line="276" w:lineRule="auto"/>
              <w:ind w:firstLine="0"/>
              <w:jc w:val="left"/>
              <w:rPr>
                <w:color w:val="808080"/>
                <w:szCs w:val="28"/>
              </w:rPr>
            </w:pPr>
            <w:r w:rsidRPr="0014471F">
              <w:rPr>
                <w:color w:val="808080"/>
                <w:szCs w:val="24"/>
              </w:rPr>
              <w:t>Взрослые и дети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221384" w:rsidP="00F95275">
            <w:pPr>
              <w:tabs>
                <w:tab w:val="left" w:pos="6135"/>
              </w:tabs>
              <w:spacing w:line="276" w:lineRule="auto"/>
              <w:ind w:firstLine="0"/>
              <w:jc w:val="left"/>
              <w:rPr>
                <w:b/>
              </w:rPr>
            </w:pP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p>
        </w:tc>
      </w:tr>
      <w:tr w:rsidR="00172112" w:rsidRPr="00F95275" w:rsidTr="00F95275">
        <w:trPr>
          <w:trHeight w:val="4170"/>
        </w:trPr>
        <w:tc>
          <w:tcPr>
            <w:tcW w:w="9525" w:type="dxa"/>
            <w:gridSpan w:val="2"/>
          </w:tcPr>
          <w:p w:rsidR="006E41C5" w:rsidRPr="00837E16" w:rsidRDefault="006E41C5" w:rsidP="006E41C5">
            <w:pPr>
              <w:pStyle w:val="aff8"/>
              <w:numPr>
                <w:ilvl w:val="0"/>
                <w:numId w:val="2"/>
              </w:numPr>
              <w:rPr>
                <w:b/>
                <w:szCs w:val="24"/>
              </w:rPr>
            </w:pPr>
            <w:r w:rsidRPr="002D4E29">
              <w:rPr>
                <w:szCs w:val="24"/>
              </w:rPr>
              <w:t xml:space="preserve">Общероссийская общественная организация «Российское общество </w:t>
            </w:r>
            <w:r w:rsidRPr="00B778C2">
              <w:rPr>
                <w:szCs w:val="24"/>
              </w:rPr>
              <w:t>дерматовенерологов и косметологов»</w:t>
            </w:r>
          </w:p>
          <w:p w:rsidR="00172112" w:rsidRPr="00F95275" w:rsidRDefault="006E41C5" w:rsidP="006E41C5">
            <w:pPr>
              <w:pStyle w:val="aff8"/>
              <w:numPr>
                <w:ilvl w:val="0"/>
                <w:numId w:val="2"/>
              </w:numPr>
              <w:rPr>
                <w:b/>
                <w:sz w:val="28"/>
              </w:rPr>
            </w:pPr>
            <w:r w:rsidRPr="003F309D">
              <w:rPr>
                <w:szCs w:val="24"/>
              </w:rPr>
              <w:t>Региональная общественная организация «Общество онкогематологов»</w:t>
            </w:r>
          </w:p>
          <w:p w:rsidR="00174593" w:rsidRPr="00F95275" w:rsidRDefault="00174593" w:rsidP="006E41C5">
            <w:pPr>
              <w:pStyle w:val="aff8"/>
              <w:rPr>
                <w:b/>
                <w:sz w:val="28"/>
              </w:rPr>
            </w:pPr>
          </w:p>
          <w:p w:rsidR="00174593" w:rsidRPr="00F95275" w:rsidRDefault="00174593" w:rsidP="00F95275">
            <w:pPr>
              <w:pStyle w:val="aff8"/>
              <w:rPr>
                <w:b/>
                <w:sz w:val="28"/>
              </w:rPr>
            </w:pPr>
          </w:p>
          <w:p w:rsidR="00CC5156" w:rsidRPr="00F95275" w:rsidRDefault="00CC5156" w:rsidP="00F95275">
            <w:pPr>
              <w:pStyle w:val="aff8"/>
              <w:ind w:firstLine="0"/>
              <w:rPr>
                <w:b/>
                <w:sz w:val="28"/>
              </w:rPr>
            </w:pPr>
          </w:p>
        </w:tc>
      </w:tr>
    </w:tbl>
    <w:p w:rsidR="00094ED6" w:rsidRDefault="00094ED6" w:rsidP="00172112">
      <w:pPr>
        <w:pStyle w:val="aff"/>
        <w:jc w:val="center"/>
        <w:rPr>
          <w:b w:val="0"/>
          <w:szCs w:val="22"/>
          <w:u w:val="none"/>
        </w:rPr>
      </w:pPr>
      <w:bookmarkStart w:id="1" w:name="_Toc492379891"/>
    </w:p>
    <w:p w:rsidR="00094ED6" w:rsidRDefault="00094ED6">
      <w:pPr>
        <w:spacing w:line="240" w:lineRule="auto"/>
        <w:ind w:firstLine="0"/>
        <w:jc w:val="left"/>
      </w:pPr>
      <w:r>
        <w:rPr>
          <w:b/>
        </w:rPr>
        <w:br w:type="page"/>
      </w:r>
    </w:p>
    <w:p w:rsidR="00172112" w:rsidRDefault="00172112" w:rsidP="00172112">
      <w:pPr>
        <w:pStyle w:val="aff"/>
        <w:jc w:val="center"/>
        <w:rPr>
          <w:sz w:val="28"/>
          <w:u w:val="none"/>
        </w:rPr>
      </w:pPr>
      <w:bookmarkStart w:id="2" w:name="_Toc34301071"/>
      <w:bookmarkStart w:id="3" w:name="_Toc67302894"/>
      <w:r w:rsidRPr="00172112">
        <w:rPr>
          <w:sz w:val="28"/>
          <w:u w:val="none"/>
        </w:rPr>
        <w:lastRenderedPageBreak/>
        <w:t>Оглавление</w:t>
      </w:r>
      <w:bookmarkEnd w:id="1"/>
      <w:bookmarkEnd w:id="2"/>
      <w:bookmarkEnd w:id="3"/>
    </w:p>
    <w:p w:rsidR="003524A5" w:rsidRDefault="0036257D">
      <w:pPr>
        <w:pStyle w:val="1a"/>
        <w:rPr>
          <w:rFonts w:asciiTheme="minorHAnsi" w:eastAsiaTheme="minorEastAsia" w:hAnsiTheme="minorHAnsi" w:cstheme="minorBidi"/>
          <w:noProof/>
          <w:szCs w:val="24"/>
          <w:lang w:eastAsia="ru-RU"/>
        </w:rPr>
      </w:pPr>
      <w:r w:rsidRPr="00877EF5">
        <w:rPr>
          <w:szCs w:val="24"/>
        </w:rPr>
        <w:fldChar w:fldCharType="begin"/>
      </w:r>
      <w:r w:rsidR="00172112" w:rsidRPr="00877EF5">
        <w:rPr>
          <w:szCs w:val="24"/>
        </w:rPr>
        <w:instrText xml:space="preserve"> TOC \o "1-3" \h \z \u </w:instrText>
      </w:r>
      <w:r w:rsidRPr="00877EF5">
        <w:rPr>
          <w:szCs w:val="24"/>
        </w:rPr>
        <w:fldChar w:fldCharType="separate"/>
      </w:r>
      <w:hyperlink w:anchor="_Toc67302894" w:history="1">
        <w:r w:rsidR="003524A5" w:rsidRPr="003657A9">
          <w:rPr>
            <w:rStyle w:val="affd"/>
            <w:noProof/>
          </w:rPr>
          <w:t>Оглавление</w:t>
        </w:r>
        <w:r w:rsidR="003524A5">
          <w:rPr>
            <w:noProof/>
            <w:webHidden/>
          </w:rPr>
          <w:tab/>
        </w:r>
        <w:r w:rsidR="003524A5">
          <w:rPr>
            <w:noProof/>
            <w:webHidden/>
          </w:rPr>
          <w:fldChar w:fldCharType="begin"/>
        </w:r>
        <w:r w:rsidR="003524A5">
          <w:rPr>
            <w:noProof/>
            <w:webHidden/>
          </w:rPr>
          <w:instrText xml:space="preserve"> PAGEREF _Toc67302894 \h </w:instrText>
        </w:r>
        <w:r w:rsidR="003524A5">
          <w:rPr>
            <w:noProof/>
            <w:webHidden/>
          </w:rPr>
        </w:r>
        <w:r w:rsidR="003524A5">
          <w:rPr>
            <w:noProof/>
            <w:webHidden/>
          </w:rPr>
          <w:fldChar w:fldCharType="separate"/>
        </w:r>
        <w:r w:rsidR="003524A5">
          <w:rPr>
            <w:noProof/>
            <w:webHidden/>
          </w:rPr>
          <w:t>2</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895" w:history="1">
        <w:r w:rsidR="003524A5" w:rsidRPr="003657A9">
          <w:rPr>
            <w:rStyle w:val="affd"/>
            <w:noProof/>
          </w:rPr>
          <w:t>Список сокращений</w:t>
        </w:r>
        <w:r w:rsidR="003524A5">
          <w:rPr>
            <w:noProof/>
            <w:webHidden/>
          </w:rPr>
          <w:tab/>
        </w:r>
        <w:r w:rsidR="003524A5">
          <w:rPr>
            <w:noProof/>
            <w:webHidden/>
          </w:rPr>
          <w:fldChar w:fldCharType="begin"/>
        </w:r>
        <w:r w:rsidR="003524A5">
          <w:rPr>
            <w:noProof/>
            <w:webHidden/>
          </w:rPr>
          <w:instrText xml:space="preserve"> PAGEREF _Toc67302895 \h </w:instrText>
        </w:r>
        <w:r w:rsidR="003524A5">
          <w:rPr>
            <w:noProof/>
            <w:webHidden/>
          </w:rPr>
        </w:r>
        <w:r w:rsidR="003524A5">
          <w:rPr>
            <w:noProof/>
            <w:webHidden/>
          </w:rPr>
          <w:fldChar w:fldCharType="separate"/>
        </w:r>
        <w:r w:rsidR="003524A5">
          <w:rPr>
            <w:noProof/>
            <w:webHidden/>
          </w:rPr>
          <w:t>5</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896" w:history="1">
        <w:r w:rsidR="003524A5" w:rsidRPr="003657A9">
          <w:rPr>
            <w:rStyle w:val="affd"/>
            <w:noProof/>
          </w:rPr>
          <w:t>Термины и определения</w:t>
        </w:r>
        <w:r w:rsidR="003524A5">
          <w:rPr>
            <w:noProof/>
            <w:webHidden/>
          </w:rPr>
          <w:tab/>
        </w:r>
        <w:r w:rsidR="003524A5">
          <w:rPr>
            <w:noProof/>
            <w:webHidden/>
          </w:rPr>
          <w:fldChar w:fldCharType="begin"/>
        </w:r>
        <w:r w:rsidR="003524A5">
          <w:rPr>
            <w:noProof/>
            <w:webHidden/>
          </w:rPr>
          <w:instrText xml:space="preserve"> PAGEREF _Toc67302896 \h </w:instrText>
        </w:r>
        <w:r w:rsidR="003524A5">
          <w:rPr>
            <w:noProof/>
            <w:webHidden/>
          </w:rPr>
        </w:r>
        <w:r w:rsidR="003524A5">
          <w:rPr>
            <w:noProof/>
            <w:webHidden/>
          </w:rPr>
          <w:fldChar w:fldCharType="separate"/>
        </w:r>
        <w:r w:rsidR="003524A5">
          <w:rPr>
            <w:noProof/>
            <w:webHidden/>
          </w:rPr>
          <w:t>6</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897" w:history="1">
        <w:r w:rsidR="003524A5" w:rsidRPr="003657A9">
          <w:rPr>
            <w:rStyle w:val="affd"/>
            <w:noProof/>
          </w:rPr>
          <w:t>1. Краткая информация по заболеванию или состоянию (группе заболеваний или состояний)</w:t>
        </w:r>
        <w:r w:rsidR="003524A5">
          <w:rPr>
            <w:noProof/>
            <w:webHidden/>
          </w:rPr>
          <w:tab/>
        </w:r>
        <w:r w:rsidR="003524A5">
          <w:rPr>
            <w:noProof/>
            <w:webHidden/>
          </w:rPr>
          <w:fldChar w:fldCharType="begin"/>
        </w:r>
        <w:r w:rsidR="003524A5">
          <w:rPr>
            <w:noProof/>
            <w:webHidden/>
          </w:rPr>
          <w:instrText xml:space="preserve"> PAGEREF _Toc67302897 \h </w:instrText>
        </w:r>
        <w:r w:rsidR="003524A5">
          <w:rPr>
            <w:noProof/>
            <w:webHidden/>
          </w:rPr>
        </w:r>
        <w:r w:rsidR="003524A5">
          <w:rPr>
            <w:noProof/>
            <w:webHidden/>
          </w:rPr>
          <w:fldChar w:fldCharType="separate"/>
        </w:r>
        <w:r w:rsidR="003524A5">
          <w:rPr>
            <w:noProof/>
            <w:webHidden/>
          </w:rPr>
          <w:t>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898" w:history="1">
        <w:r w:rsidR="003524A5" w:rsidRPr="003657A9">
          <w:rPr>
            <w:rStyle w:val="affd"/>
            <w:noProof/>
          </w:rPr>
          <w:t xml:space="preserve">1.1 Определение </w:t>
        </w:r>
        <w:r w:rsidR="003524A5" w:rsidRPr="003657A9">
          <w:rPr>
            <w:rStyle w:val="affd"/>
            <w:noProof/>
            <w:shd w:val="clear" w:color="auto" w:fill="FFFFFF"/>
          </w:rPr>
          <w:t>заболевания или состояния (группы заболеваний или состояний)</w:t>
        </w:r>
        <w:r w:rsidR="003524A5">
          <w:rPr>
            <w:noProof/>
            <w:webHidden/>
          </w:rPr>
          <w:tab/>
        </w:r>
        <w:r w:rsidR="003524A5">
          <w:rPr>
            <w:noProof/>
            <w:webHidden/>
          </w:rPr>
          <w:fldChar w:fldCharType="begin"/>
        </w:r>
        <w:r w:rsidR="003524A5">
          <w:rPr>
            <w:noProof/>
            <w:webHidden/>
          </w:rPr>
          <w:instrText xml:space="preserve"> PAGEREF _Toc67302898 \h </w:instrText>
        </w:r>
        <w:r w:rsidR="003524A5">
          <w:rPr>
            <w:noProof/>
            <w:webHidden/>
          </w:rPr>
        </w:r>
        <w:r w:rsidR="003524A5">
          <w:rPr>
            <w:noProof/>
            <w:webHidden/>
          </w:rPr>
          <w:fldChar w:fldCharType="separate"/>
        </w:r>
        <w:r w:rsidR="003524A5">
          <w:rPr>
            <w:noProof/>
            <w:webHidden/>
          </w:rPr>
          <w:t>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899" w:history="1">
        <w:r w:rsidR="003524A5" w:rsidRPr="003657A9">
          <w:rPr>
            <w:rStyle w:val="affd"/>
            <w:noProof/>
          </w:rPr>
          <w:t xml:space="preserve">1.2 Этиология и патогенез </w:t>
        </w:r>
        <w:r w:rsidR="003524A5" w:rsidRPr="003657A9">
          <w:rPr>
            <w:rStyle w:val="affd"/>
            <w:noProof/>
            <w:shd w:val="clear" w:color="auto" w:fill="FFFFFF"/>
          </w:rPr>
          <w:t>заболевания или состояния (группы заболеваний или состояний)</w:t>
        </w:r>
        <w:r w:rsidR="003524A5">
          <w:rPr>
            <w:noProof/>
            <w:webHidden/>
          </w:rPr>
          <w:tab/>
        </w:r>
        <w:r w:rsidR="003524A5">
          <w:rPr>
            <w:noProof/>
            <w:webHidden/>
          </w:rPr>
          <w:fldChar w:fldCharType="begin"/>
        </w:r>
        <w:r w:rsidR="003524A5">
          <w:rPr>
            <w:noProof/>
            <w:webHidden/>
          </w:rPr>
          <w:instrText xml:space="preserve"> PAGEREF _Toc67302899 \h </w:instrText>
        </w:r>
        <w:r w:rsidR="003524A5">
          <w:rPr>
            <w:noProof/>
            <w:webHidden/>
          </w:rPr>
        </w:r>
        <w:r w:rsidR="003524A5">
          <w:rPr>
            <w:noProof/>
            <w:webHidden/>
          </w:rPr>
          <w:fldChar w:fldCharType="separate"/>
        </w:r>
        <w:r w:rsidR="003524A5">
          <w:rPr>
            <w:noProof/>
            <w:webHidden/>
          </w:rPr>
          <w:t>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0" w:history="1">
        <w:r w:rsidR="003524A5" w:rsidRPr="003657A9">
          <w:rPr>
            <w:rStyle w:val="affd"/>
            <w:noProof/>
          </w:rPr>
          <w:t xml:space="preserve">1.3 Эпидемиология </w:t>
        </w:r>
        <w:r w:rsidR="003524A5" w:rsidRPr="003657A9">
          <w:rPr>
            <w:rStyle w:val="affd"/>
            <w:noProof/>
            <w:shd w:val="clear" w:color="auto" w:fill="FFFFFF"/>
          </w:rPr>
          <w:t>заболевания или состояния (группы заболеваний или состояний)</w:t>
        </w:r>
        <w:r w:rsidR="003524A5">
          <w:rPr>
            <w:noProof/>
            <w:webHidden/>
          </w:rPr>
          <w:tab/>
        </w:r>
        <w:r w:rsidR="003524A5">
          <w:rPr>
            <w:noProof/>
            <w:webHidden/>
          </w:rPr>
          <w:fldChar w:fldCharType="begin"/>
        </w:r>
        <w:r w:rsidR="003524A5">
          <w:rPr>
            <w:noProof/>
            <w:webHidden/>
          </w:rPr>
          <w:instrText xml:space="preserve"> PAGEREF _Toc67302900 \h </w:instrText>
        </w:r>
        <w:r w:rsidR="003524A5">
          <w:rPr>
            <w:noProof/>
            <w:webHidden/>
          </w:rPr>
        </w:r>
        <w:r w:rsidR="003524A5">
          <w:rPr>
            <w:noProof/>
            <w:webHidden/>
          </w:rPr>
          <w:fldChar w:fldCharType="separate"/>
        </w:r>
        <w:r w:rsidR="003524A5">
          <w:rPr>
            <w:noProof/>
            <w:webHidden/>
          </w:rPr>
          <w:t>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1" w:history="1">
        <w:r w:rsidR="003524A5" w:rsidRPr="003657A9">
          <w:rPr>
            <w:rStyle w:val="affd"/>
            <w:noProof/>
          </w:rPr>
          <w:t xml:space="preserve">1.4 </w:t>
        </w:r>
        <w:r w:rsidR="003524A5" w:rsidRPr="003657A9">
          <w:rPr>
            <w:rStyle w:val="affd"/>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524A5">
          <w:rPr>
            <w:noProof/>
            <w:webHidden/>
          </w:rPr>
          <w:tab/>
        </w:r>
        <w:r w:rsidR="003524A5">
          <w:rPr>
            <w:noProof/>
            <w:webHidden/>
          </w:rPr>
          <w:fldChar w:fldCharType="begin"/>
        </w:r>
        <w:r w:rsidR="003524A5">
          <w:rPr>
            <w:noProof/>
            <w:webHidden/>
          </w:rPr>
          <w:instrText xml:space="preserve"> PAGEREF _Toc67302901 \h </w:instrText>
        </w:r>
        <w:r w:rsidR="003524A5">
          <w:rPr>
            <w:noProof/>
            <w:webHidden/>
          </w:rPr>
        </w:r>
        <w:r w:rsidR="003524A5">
          <w:rPr>
            <w:noProof/>
            <w:webHidden/>
          </w:rPr>
          <w:fldChar w:fldCharType="separate"/>
        </w:r>
        <w:r w:rsidR="003524A5">
          <w:rPr>
            <w:noProof/>
            <w:webHidden/>
          </w:rPr>
          <w:t>8</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2" w:history="1">
        <w:r w:rsidR="003524A5" w:rsidRPr="003657A9">
          <w:rPr>
            <w:rStyle w:val="affd"/>
            <w:noProof/>
          </w:rPr>
          <w:t xml:space="preserve">1.5 Классификация </w:t>
        </w:r>
        <w:r w:rsidR="003524A5" w:rsidRPr="003657A9">
          <w:rPr>
            <w:rStyle w:val="affd"/>
            <w:noProof/>
            <w:shd w:val="clear" w:color="auto" w:fill="FFFFFF"/>
          </w:rPr>
          <w:t>заболевания или состояния (группы заболеваний или состояний)</w:t>
        </w:r>
        <w:r w:rsidR="003524A5">
          <w:rPr>
            <w:noProof/>
            <w:webHidden/>
          </w:rPr>
          <w:tab/>
        </w:r>
        <w:r w:rsidR="003524A5">
          <w:rPr>
            <w:noProof/>
            <w:webHidden/>
          </w:rPr>
          <w:fldChar w:fldCharType="begin"/>
        </w:r>
        <w:r w:rsidR="003524A5">
          <w:rPr>
            <w:noProof/>
            <w:webHidden/>
          </w:rPr>
          <w:instrText xml:space="preserve"> PAGEREF _Toc67302902 \h </w:instrText>
        </w:r>
        <w:r w:rsidR="003524A5">
          <w:rPr>
            <w:noProof/>
            <w:webHidden/>
          </w:rPr>
        </w:r>
        <w:r w:rsidR="003524A5">
          <w:rPr>
            <w:noProof/>
            <w:webHidden/>
          </w:rPr>
          <w:fldChar w:fldCharType="separate"/>
        </w:r>
        <w:r w:rsidR="003524A5">
          <w:rPr>
            <w:noProof/>
            <w:webHidden/>
          </w:rPr>
          <w:t>8</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3" w:history="1">
        <w:r w:rsidR="003524A5" w:rsidRPr="003657A9">
          <w:rPr>
            <w:rStyle w:val="affd"/>
            <w:noProof/>
          </w:rPr>
          <w:t xml:space="preserve">1.6 Клиническая картина </w:t>
        </w:r>
        <w:r w:rsidR="003524A5" w:rsidRPr="003657A9">
          <w:rPr>
            <w:rStyle w:val="affd"/>
            <w:noProof/>
            <w:shd w:val="clear" w:color="auto" w:fill="FFFFFF"/>
          </w:rPr>
          <w:t>заболевания или состояния (группы заболеваний или состояний)</w:t>
        </w:r>
        <w:r w:rsidR="003524A5">
          <w:rPr>
            <w:noProof/>
            <w:webHidden/>
          </w:rPr>
          <w:tab/>
        </w:r>
        <w:r w:rsidR="003524A5">
          <w:rPr>
            <w:noProof/>
            <w:webHidden/>
          </w:rPr>
          <w:fldChar w:fldCharType="begin"/>
        </w:r>
        <w:r w:rsidR="003524A5">
          <w:rPr>
            <w:noProof/>
            <w:webHidden/>
          </w:rPr>
          <w:instrText xml:space="preserve"> PAGEREF _Toc67302903 \h </w:instrText>
        </w:r>
        <w:r w:rsidR="003524A5">
          <w:rPr>
            <w:noProof/>
            <w:webHidden/>
          </w:rPr>
        </w:r>
        <w:r w:rsidR="003524A5">
          <w:rPr>
            <w:noProof/>
            <w:webHidden/>
          </w:rPr>
          <w:fldChar w:fldCharType="separate"/>
        </w:r>
        <w:r w:rsidR="003524A5">
          <w:rPr>
            <w:noProof/>
            <w:webHidden/>
          </w:rPr>
          <w:t>8</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04" w:history="1">
        <w:r w:rsidR="003524A5" w:rsidRPr="003657A9">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524A5">
          <w:rPr>
            <w:noProof/>
            <w:webHidden/>
          </w:rPr>
          <w:tab/>
        </w:r>
        <w:r w:rsidR="003524A5">
          <w:rPr>
            <w:noProof/>
            <w:webHidden/>
          </w:rPr>
          <w:fldChar w:fldCharType="begin"/>
        </w:r>
        <w:r w:rsidR="003524A5">
          <w:rPr>
            <w:noProof/>
            <w:webHidden/>
          </w:rPr>
          <w:instrText xml:space="preserve"> PAGEREF _Toc67302904 \h </w:instrText>
        </w:r>
        <w:r w:rsidR="003524A5">
          <w:rPr>
            <w:noProof/>
            <w:webHidden/>
          </w:rPr>
        </w:r>
        <w:r w:rsidR="003524A5">
          <w:rPr>
            <w:noProof/>
            <w:webHidden/>
          </w:rPr>
          <w:fldChar w:fldCharType="separate"/>
        </w:r>
        <w:r w:rsidR="003524A5">
          <w:rPr>
            <w:noProof/>
            <w:webHidden/>
          </w:rPr>
          <w:t>8</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5" w:history="1">
        <w:r w:rsidR="003524A5" w:rsidRPr="003657A9">
          <w:rPr>
            <w:rStyle w:val="affd"/>
            <w:noProof/>
          </w:rPr>
          <w:t>2.1 Жалобы и анамнез</w:t>
        </w:r>
        <w:r w:rsidR="003524A5">
          <w:rPr>
            <w:noProof/>
            <w:webHidden/>
          </w:rPr>
          <w:tab/>
        </w:r>
        <w:r w:rsidR="003524A5">
          <w:rPr>
            <w:noProof/>
            <w:webHidden/>
          </w:rPr>
          <w:fldChar w:fldCharType="begin"/>
        </w:r>
        <w:r w:rsidR="003524A5">
          <w:rPr>
            <w:noProof/>
            <w:webHidden/>
          </w:rPr>
          <w:instrText xml:space="preserve"> PAGEREF _Toc67302905 \h </w:instrText>
        </w:r>
        <w:r w:rsidR="003524A5">
          <w:rPr>
            <w:noProof/>
            <w:webHidden/>
          </w:rPr>
        </w:r>
        <w:r w:rsidR="003524A5">
          <w:rPr>
            <w:noProof/>
            <w:webHidden/>
          </w:rPr>
          <w:fldChar w:fldCharType="separate"/>
        </w:r>
        <w:r w:rsidR="003524A5">
          <w:rPr>
            <w:noProof/>
            <w:webHidden/>
          </w:rPr>
          <w:t>9</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6" w:history="1">
        <w:r w:rsidR="003524A5" w:rsidRPr="003657A9">
          <w:rPr>
            <w:rStyle w:val="affd"/>
            <w:noProof/>
          </w:rPr>
          <w:t>2.2 Физикальное обследование</w:t>
        </w:r>
        <w:r w:rsidR="003524A5">
          <w:rPr>
            <w:noProof/>
            <w:webHidden/>
          </w:rPr>
          <w:tab/>
        </w:r>
        <w:r w:rsidR="003524A5">
          <w:rPr>
            <w:noProof/>
            <w:webHidden/>
          </w:rPr>
          <w:fldChar w:fldCharType="begin"/>
        </w:r>
        <w:r w:rsidR="003524A5">
          <w:rPr>
            <w:noProof/>
            <w:webHidden/>
          </w:rPr>
          <w:instrText xml:space="preserve"> PAGEREF _Toc67302906 \h </w:instrText>
        </w:r>
        <w:r w:rsidR="003524A5">
          <w:rPr>
            <w:noProof/>
            <w:webHidden/>
          </w:rPr>
        </w:r>
        <w:r w:rsidR="003524A5">
          <w:rPr>
            <w:noProof/>
            <w:webHidden/>
          </w:rPr>
          <w:fldChar w:fldCharType="separate"/>
        </w:r>
        <w:r w:rsidR="003524A5">
          <w:rPr>
            <w:noProof/>
            <w:webHidden/>
          </w:rPr>
          <w:t>9</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7" w:history="1">
        <w:r w:rsidR="003524A5" w:rsidRPr="003657A9">
          <w:rPr>
            <w:rStyle w:val="affd"/>
            <w:noProof/>
          </w:rPr>
          <w:t>2.3 Лабораторные диагностические исследования</w:t>
        </w:r>
        <w:r w:rsidR="003524A5">
          <w:rPr>
            <w:noProof/>
            <w:webHidden/>
          </w:rPr>
          <w:tab/>
        </w:r>
        <w:r w:rsidR="003524A5">
          <w:rPr>
            <w:noProof/>
            <w:webHidden/>
          </w:rPr>
          <w:fldChar w:fldCharType="begin"/>
        </w:r>
        <w:r w:rsidR="003524A5">
          <w:rPr>
            <w:noProof/>
            <w:webHidden/>
          </w:rPr>
          <w:instrText xml:space="preserve"> PAGEREF _Toc67302907 \h </w:instrText>
        </w:r>
        <w:r w:rsidR="003524A5">
          <w:rPr>
            <w:noProof/>
            <w:webHidden/>
          </w:rPr>
        </w:r>
        <w:r w:rsidR="003524A5">
          <w:rPr>
            <w:noProof/>
            <w:webHidden/>
          </w:rPr>
          <w:fldChar w:fldCharType="separate"/>
        </w:r>
        <w:r w:rsidR="003524A5">
          <w:rPr>
            <w:noProof/>
            <w:webHidden/>
          </w:rPr>
          <w:t>9</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8" w:history="1">
        <w:r w:rsidR="003524A5" w:rsidRPr="003657A9">
          <w:rPr>
            <w:rStyle w:val="affd"/>
            <w:noProof/>
          </w:rPr>
          <w:t>2.4 Инструментальные диагностические исследования</w:t>
        </w:r>
        <w:r w:rsidR="003524A5">
          <w:rPr>
            <w:noProof/>
            <w:webHidden/>
          </w:rPr>
          <w:tab/>
        </w:r>
        <w:r w:rsidR="003524A5">
          <w:rPr>
            <w:noProof/>
            <w:webHidden/>
          </w:rPr>
          <w:fldChar w:fldCharType="begin"/>
        </w:r>
        <w:r w:rsidR="003524A5">
          <w:rPr>
            <w:noProof/>
            <w:webHidden/>
          </w:rPr>
          <w:instrText xml:space="preserve"> PAGEREF _Toc67302908 \h </w:instrText>
        </w:r>
        <w:r w:rsidR="003524A5">
          <w:rPr>
            <w:noProof/>
            <w:webHidden/>
          </w:rPr>
        </w:r>
        <w:r w:rsidR="003524A5">
          <w:rPr>
            <w:noProof/>
            <w:webHidden/>
          </w:rPr>
          <w:fldChar w:fldCharType="separate"/>
        </w:r>
        <w:r w:rsidR="003524A5">
          <w:rPr>
            <w:noProof/>
            <w:webHidden/>
          </w:rPr>
          <w:t>15</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09" w:history="1">
        <w:r w:rsidR="003524A5" w:rsidRPr="003657A9">
          <w:rPr>
            <w:rStyle w:val="affd"/>
            <w:noProof/>
          </w:rPr>
          <w:t>2.5 Иные диагностические исследования</w:t>
        </w:r>
        <w:r w:rsidR="003524A5">
          <w:rPr>
            <w:noProof/>
            <w:webHidden/>
          </w:rPr>
          <w:tab/>
        </w:r>
        <w:r w:rsidR="003524A5">
          <w:rPr>
            <w:noProof/>
            <w:webHidden/>
          </w:rPr>
          <w:fldChar w:fldCharType="begin"/>
        </w:r>
        <w:r w:rsidR="003524A5">
          <w:rPr>
            <w:noProof/>
            <w:webHidden/>
          </w:rPr>
          <w:instrText xml:space="preserve"> PAGEREF _Toc67302909 \h </w:instrText>
        </w:r>
        <w:r w:rsidR="003524A5">
          <w:rPr>
            <w:noProof/>
            <w:webHidden/>
          </w:rPr>
        </w:r>
        <w:r w:rsidR="003524A5">
          <w:rPr>
            <w:noProof/>
            <w:webHidden/>
          </w:rPr>
          <w:fldChar w:fldCharType="separate"/>
        </w:r>
        <w:r w:rsidR="003524A5">
          <w:rPr>
            <w:noProof/>
            <w:webHidden/>
          </w:rPr>
          <w:t>16</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10" w:history="1">
        <w:r w:rsidR="003524A5" w:rsidRPr="003657A9">
          <w:rPr>
            <w:rStyle w:val="affd"/>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524A5">
          <w:rPr>
            <w:noProof/>
            <w:webHidden/>
          </w:rPr>
          <w:tab/>
        </w:r>
        <w:r w:rsidR="003524A5">
          <w:rPr>
            <w:noProof/>
            <w:webHidden/>
          </w:rPr>
          <w:fldChar w:fldCharType="begin"/>
        </w:r>
        <w:r w:rsidR="003524A5">
          <w:rPr>
            <w:noProof/>
            <w:webHidden/>
          </w:rPr>
          <w:instrText xml:space="preserve"> PAGEREF _Toc67302910 \h </w:instrText>
        </w:r>
        <w:r w:rsidR="003524A5">
          <w:rPr>
            <w:noProof/>
            <w:webHidden/>
          </w:rPr>
        </w:r>
        <w:r w:rsidR="003524A5">
          <w:rPr>
            <w:noProof/>
            <w:webHidden/>
          </w:rPr>
          <w:fldChar w:fldCharType="separate"/>
        </w:r>
        <w:r w:rsidR="003524A5">
          <w:rPr>
            <w:noProof/>
            <w:webHidden/>
          </w:rPr>
          <w:t>17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11" w:history="1">
        <w:r w:rsidR="003524A5" w:rsidRPr="003657A9">
          <w:rPr>
            <w:rStyle w:val="affd"/>
            <w:rFonts w:eastAsia="Times New Roman"/>
            <w:noProof/>
          </w:rPr>
          <w:t>3.1 Консервативное лечение</w:t>
        </w:r>
        <w:r w:rsidR="003524A5">
          <w:rPr>
            <w:noProof/>
            <w:webHidden/>
          </w:rPr>
          <w:tab/>
        </w:r>
        <w:r w:rsidR="003524A5">
          <w:rPr>
            <w:noProof/>
            <w:webHidden/>
          </w:rPr>
          <w:fldChar w:fldCharType="begin"/>
        </w:r>
        <w:r w:rsidR="003524A5">
          <w:rPr>
            <w:noProof/>
            <w:webHidden/>
          </w:rPr>
          <w:instrText xml:space="preserve"> PAGEREF _Toc67302911 \h </w:instrText>
        </w:r>
        <w:r w:rsidR="003524A5">
          <w:rPr>
            <w:noProof/>
            <w:webHidden/>
          </w:rPr>
        </w:r>
        <w:r w:rsidR="003524A5">
          <w:rPr>
            <w:noProof/>
            <w:webHidden/>
          </w:rPr>
          <w:fldChar w:fldCharType="separate"/>
        </w:r>
        <w:r w:rsidR="003524A5">
          <w:rPr>
            <w:noProof/>
            <w:webHidden/>
          </w:rPr>
          <w:t>18</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12" w:history="1">
        <w:r w:rsidR="003524A5" w:rsidRPr="003657A9">
          <w:rPr>
            <w:rStyle w:val="affd"/>
            <w:rFonts w:eastAsia="Times New Roman"/>
            <w:noProof/>
          </w:rPr>
          <w:t>3.2 Хирургическое лечение</w:t>
        </w:r>
        <w:r w:rsidR="003524A5">
          <w:rPr>
            <w:noProof/>
            <w:webHidden/>
          </w:rPr>
          <w:tab/>
        </w:r>
        <w:r w:rsidR="003524A5">
          <w:rPr>
            <w:noProof/>
            <w:webHidden/>
          </w:rPr>
          <w:fldChar w:fldCharType="begin"/>
        </w:r>
        <w:r w:rsidR="003524A5">
          <w:rPr>
            <w:noProof/>
            <w:webHidden/>
          </w:rPr>
          <w:instrText xml:space="preserve"> PAGEREF _Toc67302912 \h </w:instrText>
        </w:r>
        <w:r w:rsidR="003524A5">
          <w:rPr>
            <w:noProof/>
            <w:webHidden/>
          </w:rPr>
        </w:r>
        <w:r w:rsidR="003524A5">
          <w:rPr>
            <w:noProof/>
            <w:webHidden/>
          </w:rPr>
          <w:fldChar w:fldCharType="separate"/>
        </w:r>
        <w:r w:rsidR="003524A5">
          <w:rPr>
            <w:noProof/>
            <w:webHidden/>
          </w:rPr>
          <w:t>24</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13" w:history="1">
        <w:r w:rsidR="003524A5" w:rsidRPr="003657A9">
          <w:rPr>
            <w:rStyle w:val="affd"/>
            <w:noProof/>
          </w:rPr>
          <w:t>3.3 Иное лечение</w:t>
        </w:r>
        <w:r w:rsidR="003524A5">
          <w:rPr>
            <w:noProof/>
            <w:webHidden/>
          </w:rPr>
          <w:tab/>
        </w:r>
        <w:r w:rsidR="003524A5">
          <w:rPr>
            <w:noProof/>
            <w:webHidden/>
          </w:rPr>
          <w:fldChar w:fldCharType="begin"/>
        </w:r>
        <w:r w:rsidR="003524A5">
          <w:rPr>
            <w:noProof/>
            <w:webHidden/>
          </w:rPr>
          <w:instrText xml:space="preserve"> PAGEREF _Toc67302913 \h </w:instrText>
        </w:r>
        <w:r w:rsidR="003524A5">
          <w:rPr>
            <w:noProof/>
            <w:webHidden/>
          </w:rPr>
        </w:r>
        <w:r w:rsidR="003524A5">
          <w:rPr>
            <w:noProof/>
            <w:webHidden/>
          </w:rPr>
          <w:fldChar w:fldCharType="separate"/>
        </w:r>
        <w:r w:rsidR="003524A5">
          <w:rPr>
            <w:noProof/>
            <w:webHidden/>
          </w:rPr>
          <w:t>24</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14" w:history="1">
        <w:r w:rsidR="003524A5" w:rsidRPr="003657A9">
          <w:rPr>
            <w:rStyle w:val="affd"/>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3524A5">
          <w:rPr>
            <w:noProof/>
            <w:webHidden/>
          </w:rPr>
          <w:tab/>
        </w:r>
        <w:r w:rsidR="003524A5">
          <w:rPr>
            <w:noProof/>
            <w:webHidden/>
          </w:rPr>
          <w:fldChar w:fldCharType="begin"/>
        </w:r>
        <w:r w:rsidR="003524A5">
          <w:rPr>
            <w:noProof/>
            <w:webHidden/>
          </w:rPr>
          <w:instrText xml:space="preserve"> PAGEREF _Toc67302914 \h </w:instrText>
        </w:r>
        <w:r w:rsidR="003524A5">
          <w:rPr>
            <w:noProof/>
            <w:webHidden/>
          </w:rPr>
        </w:r>
        <w:r w:rsidR="003524A5">
          <w:rPr>
            <w:noProof/>
            <w:webHidden/>
          </w:rPr>
          <w:fldChar w:fldCharType="separate"/>
        </w:r>
        <w:r w:rsidR="003524A5">
          <w:rPr>
            <w:noProof/>
            <w:webHidden/>
          </w:rPr>
          <w:t>25</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15" w:history="1">
        <w:r w:rsidR="003524A5" w:rsidRPr="003657A9">
          <w:rPr>
            <w:rStyle w:val="affd"/>
            <w:noProof/>
          </w:rPr>
          <w:t>5. Профилактика и диспансерное наблюдение, медицинские показания и противопоказания к применению методов профилактики</w:t>
        </w:r>
        <w:r w:rsidR="003524A5">
          <w:rPr>
            <w:noProof/>
            <w:webHidden/>
          </w:rPr>
          <w:tab/>
        </w:r>
        <w:r w:rsidR="003524A5">
          <w:rPr>
            <w:noProof/>
            <w:webHidden/>
          </w:rPr>
          <w:fldChar w:fldCharType="begin"/>
        </w:r>
        <w:r w:rsidR="003524A5">
          <w:rPr>
            <w:noProof/>
            <w:webHidden/>
          </w:rPr>
          <w:instrText xml:space="preserve"> PAGEREF _Toc67302915 \h </w:instrText>
        </w:r>
        <w:r w:rsidR="003524A5">
          <w:rPr>
            <w:noProof/>
            <w:webHidden/>
          </w:rPr>
        </w:r>
        <w:r w:rsidR="003524A5">
          <w:rPr>
            <w:noProof/>
            <w:webHidden/>
          </w:rPr>
          <w:fldChar w:fldCharType="separate"/>
        </w:r>
        <w:r w:rsidR="003524A5">
          <w:rPr>
            <w:noProof/>
            <w:webHidden/>
          </w:rPr>
          <w:t>25</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16" w:history="1">
        <w:r w:rsidR="003524A5" w:rsidRPr="003657A9">
          <w:rPr>
            <w:rStyle w:val="affd"/>
            <w:noProof/>
          </w:rPr>
          <w:t>6. Организация оказания медицинской помощи</w:t>
        </w:r>
        <w:r w:rsidR="003524A5">
          <w:rPr>
            <w:noProof/>
            <w:webHidden/>
          </w:rPr>
          <w:tab/>
        </w:r>
        <w:r w:rsidR="003524A5">
          <w:rPr>
            <w:noProof/>
            <w:webHidden/>
          </w:rPr>
          <w:fldChar w:fldCharType="begin"/>
        </w:r>
        <w:r w:rsidR="003524A5">
          <w:rPr>
            <w:noProof/>
            <w:webHidden/>
          </w:rPr>
          <w:instrText xml:space="preserve"> PAGEREF _Toc67302916 \h </w:instrText>
        </w:r>
        <w:r w:rsidR="003524A5">
          <w:rPr>
            <w:noProof/>
            <w:webHidden/>
          </w:rPr>
        </w:r>
        <w:r w:rsidR="003524A5">
          <w:rPr>
            <w:noProof/>
            <w:webHidden/>
          </w:rPr>
          <w:fldChar w:fldCharType="separate"/>
        </w:r>
        <w:r w:rsidR="003524A5">
          <w:rPr>
            <w:noProof/>
            <w:webHidden/>
          </w:rPr>
          <w:t>26</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17" w:history="1">
        <w:r w:rsidR="003524A5" w:rsidRPr="003657A9">
          <w:rPr>
            <w:rStyle w:val="affd"/>
            <w:noProof/>
          </w:rPr>
          <w:t>7. Дополнительная информация (в том числе факторы, влияющие на исход заболевания или состояния)</w:t>
        </w:r>
        <w:r w:rsidR="003524A5">
          <w:rPr>
            <w:noProof/>
            <w:webHidden/>
          </w:rPr>
          <w:tab/>
        </w:r>
        <w:r w:rsidR="003524A5">
          <w:rPr>
            <w:noProof/>
            <w:webHidden/>
          </w:rPr>
          <w:fldChar w:fldCharType="begin"/>
        </w:r>
        <w:r w:rsidR="003524A5">
          <w:rPr>
            <w:noProof/>
            <w:webHidden/>
          </w:rPr>
          <w:instrText xml:space="preserve"> PAGEREF _Toc67302917 \h </w:instrText>
        </w:r>
        <w:r w:rsidR="003524A5">
          <w:rPr>
            <w:noProof/>
            <w:webHidden/>
          </w:rPr>
        </w:r>
        <w:r w:rsidR="003524A5">
          <w:rPr>
            <w:noProof/>
            <w:webHidden/>
          </w:rPr>
          <w:fldChar w:fldCharType="separate"/>
        </w:r>
        <w:r w:rsidR="003524A5">
          <w:rPr>
            <w:noProof/>
            <w:webHidden/>
          </w:rPr>
          <w:t>27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18" w:history="1">
        <w:r w:rsidR="003524A5" w:rsidRPr="003657A9">
          <w:rPr>
            <w:rStyle w:val="affd"/>
            <w:noProof/>
          </w:rPr>
          <w:t>7.1 Диагностика и лечение бактериальных инфекционных осложнений</w:t>
        </w:r>
        <w:r w:rsidR="003524A5">
          <w:rPr>
            <w:noProof/>
            <w:webHidden/>
          </w:rPr>
          <w:tab/>
        </w:r>
        <w:r w:rsidR="003524A5">
          <w:rPr>
            <w:noProof/>
            <w:webHidden/>
          </w:rPr>
          <w:fldChar w:fldCharType="begin"/>
        </w:r>
        <w:r w:rsidR="003524A5">
          <w:rPr>
            <w:noProof/>
            <w:webHidden/>
          </w:rPr>
          <w:instrText xml:space="preserve"> PAGEREF _Toc67302918 \h </w:instrText>
        </w:r>
        <w:r w:rsidR="003524A5">
          <w:rPr>
            <w:noProof/>
            <w:webHidden/>
          </w:rPr>
        </w:r>
        <w:r w:rsidR="003524A5">
          <w:rPr>
            <w:noProof/>
            <w:webHidden/>
          </w:rPr>
          <w:fldChar w:fldCharType="separate"/>
        </w:r>
        <w:r w:rsidR="003524A5">
          <w:rPr>
            <w:noProof/>
            <w:webHidden/>
          </w:rPr>
          <w:t>27</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19" w:history="1">
        <w:r w:rsidR="003524A5" w:rsidRPr="003657A9">
          <w:rPr>
            <w:rStyle w:val="affd"/>
            <w:noProof/>
          </w:rPr>
          <w:t>7.2 Вирусные инфекции у пациентов с гематологическими заболеваниями</w:t>
        </w:r>
        <w:r w:rsidR="003524A5">
          <w:rPr>
            <w:noProof/>
            <w:webHidden/>
          </w:rPr>
          <w:tab/>
        </w:r>
        <w:r w:rsidR="003524A5">
          <w:rPr>
            <w:noProof/>
            <w:webHidden/>
          </w:rPr>
          <w:fldChar w:fldCharType="begin"/>
        </w:r>
        <w:r w:rsidR="003524A5">
          <w:rPr>
            <w:noProof/>
            <w:webHidden/>
          </w:rPr>
          <w:instrText xml:space="preserve"> PAGEREF _Toc67302919 \h </w:instrText>
        </w:r>
        <w:r w:rsidR="003524A5">
          <w:rPr>
            <w:noProof/>
            <w:webHidden/>
          </w:rPr>
        </w:r>
        <w:r w:rsidR="003524A5">
          <w:rPr>
            <w:noProof/>
            <w:webHidden/>
          </w:rPr>
          <w:fldChar w:fldCharType="separate"/>
        </w:r>
        <w:r w:rsidR="003524A5">
          <w:rPr>
            <w:noProof/>
            <w:webHidden/>
          </w:rPr>
          <w:t>49</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20" w:history="1">
        <w:r w:rsidR="003524A5" w:rsidRPr="003657A9">
          <w:rPr>
            <w:rStyle w:val="affd"/>
            <w:noProof/>
          </w:rPr>
          <w:t>7.3 Диагностика и лечение инфекций, вызванных грибами</w:t>
        </w:r>
        <w:r w:rsidR="003524A5">
          <w:rPr>
            <w:noProof/>
            <w:webHidden/>
          </w:rPr>
          <w:tab/>
        </w:r>
        <w:r w:rsidR="003524A5">
          <w:rPr>
            <w:noProof/>
            <w:webHidden/>
          </w:rPr>
          <w:fldChar w:fldCharType="begin"/>
        </w:r>
        <w:r w:rsidR="003524A5">
          <w:rPr>
            <w:noProof/>
            <w:webHidden/>
          </w:rPr>
          <w:instrText xml:space="preserve"> PAGEREF _Toc67302920 \h </w:instrText>
        </w:r>
        <w:r w:rsidR="003524A5">
          <w:rPr>
            <w:noProof/>
            <w:webHidden/>
          </w:rPr>
        </w:r>
        <w:r w:rsidR="003524A5">
          <w:rPr>
            <w:noProof/>
            <w:webHidden/>
          </w:rPr>
          <w:fldChar w:fldCharType="separate"/>
        </w:r>
        <w:r w:rsidR="003524A5">
          <w:rPr>
            <w:noProof/>
            <w:webHidden/>
          </w:rPr>
          <w:t>53</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21" w:history="1">
        <w:r w:rsidR="003524A5" w:rsidRPr="003657A9">
          <w:rPr>
            <w:rStyle w:val="affd"/>
            <w:noProof/>
          </w:rPr>
          <w:t xml:space="preserve">7.4 </w:t>
        </w:r>
        <w:r w:rsidR="003524A5" w:rsidRPr="003657A9">
          <w:rPr>
            <w:rStyle w:val="affd"/>
            <w:bCs/>
            <w:noProof/>
          </w:rPr>
          <w:t>Профилактика инфекционных осложнений у пациентов с гематологическими заболеваниями</w:t>
        </w:r>
        <w:r w:rsidR="003524A5">
          <w:rPr>
            <w:noProof/>
            <w:webHidden/>
          </w:rPr>
          <w:tab/>
        </w:r>
        <w:r w:rsidR="003524A5">
          <w:rPr>
            <w:noProof/>
            <w:webHidden/>
          </w:rPr>
          <w:fldChar w:fldCharType="begin"/>
        </w:r>
        <w:r w:rsidR="003524A5">
          <w:rPr>
            <w:noProof/>
            <w:webHidden/>
          </w:rPr>
          <w:instrText xml:space="preserve"> PAGEREF _Toc67302921 \h </w:instrText>
        </w:r>
        <w:r w:rsidR="003524A5">
          <w:rPr>
            <w:noProof/>
            <w:webHidden/>
          </w:rPr>
        </w:r>
        <w:r w:rsidR="003524A5">
          <w:rPr>
            <w:noProof/>
            <w:webHidden/>
          </w:rPr>
          <w:fldChar w:fldCharType="separate"/>
        </w:r>
        <w:r w:rsidR="003524A5">
          <w:rPr>
            <w:noProof/>
            <w:webHidden/>
          </w:rPr>
          <w:t>79</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22" w:history="1">
        <w:r w:rsidR="003524A5" w:rsidRPr="003657A9">
          <w:rPr>
            <w:rStyle w:val="affd"/>
            <w:noProof/>
          </w:rPr>
          <w:t>7.5 Профилактика, диагностика и лечение тромботических осложнений</w:t>
        </w:r>
        <w:r w:rsidR="003524A5">
          <w:rPr>
            <w:noProof/>
            <w:webHidden/>
          </w:rPr>
          <w:tab/>
        </w:r>
        <w:r w:rsidR="003524A5">
          <w:rPr>
            <w:noProof/>
            <w:webHidden/>
          </w:rPr>
          <w:fldChar w:fldCharType="begin"/>
        </w:r>
        <w:r w:rsidR="003524A5">
          <w:rPr>
            <w:noProof/>
            <w:webHidden/>
          </w:rPr>
          <w:instrText xml:space="preserve"> PAGEREF _Toc67302922 \h </w:instrText>
        </w:r>
        <w:r w:rsidR="003524A5">
          <w:rPr>
            <w:noProof/>
            <w:webHidden/>
          </w:rPr>
        </w:r>
        <w:r w:rsidR="003524A5">
          <w:rPr>
            <w:noProof/>
            <w:webHidden/>
          </w:rPr>
          <w:fldChar w:fldCharType="separate"/>
        </w:r>
        <w:r w:rsidR="003524A5">
          <w:rPr>
            <w:noProof/>
            <w:webHidden/>
          </w:rPr>
          <w:t>85</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23" w:history="1">
        <w:r w:rsidR="003524A5" w:rsidRPr="003657A9">
          <w:rPr>
            <w:rStyle w:val="affd"/>
            <w:noProof/>
          </w:rPr>
          <w:t>7.6 Диагностика и лечение неврологических проявлений при гематологических заболеваниях</w:t>
        </w:r>
        <w:r w:rsidR="003524A5">
          <w:rPr>
            <w:noProof/>
            <w:webHidden/>
          </w:rPr>
          <w:tab/>
        </w:r>
        <w:r w:rsidR="003524A5">
          <w:rPr>
            <w:noProof/>
            <w:webHidden/>
          </w:rPr>
          <w:fldChar w:fldCharType="begin"/>
        </w:r>
        <w:r w:rsidR="003524A5">
          <w:rPr>
            <w:noProof/>
            <w:webHidden/>
          </w:rPr>
          <w:instrText xml:space="preserve"> PAGEREF _Toc67302923 \h </w:instrText>
        </w:r>
        <w:r w:rsidR="003524A5">
          <w:rPr>
            <w:noProof/>
            <w:webHidden/>
          </w:rPr>
        </w:r>
        <w:r w:rsidR="003524A5">
          <w:rPr>
            <w:noProof/>
            <w:webHidden/>
          </w:rPr>
          <w:fldChar w:fldCharType="separate"/>
        </w:r>
        <w:r w:rsidR="003524A5">
          <w:rPr>
            <w:noProof/>
            <w:webHidden/>
          </w:rPr>
          <w:t>99</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24" w:history="1">
        <w:r w:rsidR="003524A5" w:rsidRPr="003657A9">
          <w:rPr>
            <w:rStyle w:val="affd"/>
            <w:noProof/>
          </w:rPr>
          <w:t>7.7 Кардиологическое обследование и лечение пациентов с гематологическими заболеваниями</w:t>
        </w:r>
        <w:r w:rsidR="003524A5">
          <w:rPr>
            <w:noProof/>
            <w:webHidden/>
          </w:rPr>
          <w:tab/>
        </w:r>
        <w:r w:rsidR="003524A5">
          <w:rPr>
            <w:noProof/>
            <w:webHidden/>
          </w:rPr>
          <w:fldChar w:fldCharType="begin"/>
        </w:r>
        <w:r w:rsidR="003524A5">
          <w:rPr>
            <w:noProof/>
            <w:webHidden/>
          </w:rPr>
          <w:instrText xml:space="preserve"> PAGEREF _Toc67302924 \h </w:instrText>
        </w:r>
        <w:r w:rsidR="003524A5">
          <w:rPr>
            <w:noProof/>
            <w:webHidden/>
          </w:rPr>
        </w:r>
        <w:r w:rsidR="003524A5">
          <w:rPr>
            <w:noProof/>
            <w:webHidden/>
          </w:rPr>
          <w:fldChar w:fldCharType="separate"/>
        </w:r>
        <w:r w:rsidR="003524A5">
          <w:rPr>
            <w:noProof/>
            <w:webHidden/>
          </w:rPr>
          <w:t>113</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25" w:history="1">
        <w:r w:rsidR="003524A5" w:rsidRPr="003657A9">
          <w:rPr>
            <w:rStyle w:val="affd"/>
            <w:noProof/>
          </w:rPr>
          <w:t>Критерии оценки качества медицинской помощи</w:t>
        </w:r>
        <w:r w:rsidR="003524A5">
          <w:rPr>
            <w:noProof/>
            <w:webHidden/>
          </w:rPr>
          <w:tab/>
        </w:r>
        <w:r w:rsidR="003524A5">
          <w:rPr>
            <w:noProof/>
            <w:webHidden/>
          </w:rPr>
          <w:fldChar w:fldCharType="begin"/>
        </w:r>
        <w:r w:rsidR="003524A5">
          <w:rPr>
            <w:noProof/>
            <w:webHidden/>
          </w:rPr>
          <w:instrText xml:space="preserve"> PAGEREF _Toc67302925 \h </w:instrText>
        </w:r>
        <w:r w:rsidR="003524A5">
          <w:rPr>
            <w:noProof/>
            <w:webHidden/>
          </w:rPr>
        </w:r>
        <w:r w:rsidR="003524A5">
          <w:rPr>
            <w:noProof/>
            <w:webHidden/>
          </w:rPr>
          <w:fldChar w:fldCharType="separate"/>
        </w:r>
        <w:r w:rsidR="003524A5">
          <w:rPr>
            <w:noProof/>
            <w:webHidden/>
          </w:rPr>
          <w:t>125</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26" w:history="1">
        <w:r w:rsidR="003524A5" w:rsidRPr="003657A9">
          <w:rPr>
            <w:rStyle w:val="affd"/>
            <w:noProof/>
          </w:rPr>
          <w:t>Список литературы</w:t>
        </w:r>
        <w:r w:rsidR="003524A5">
          <w:rPr>
            <w:noProof/>
            <w:webHidden/>
          </w:rPr>
          <w:tab/>
        </w:r>
        <w:r w:rsidR="003524A5">
          <w:rPr>
            <w:noProof/>
            <w:webHidden/>
          </w:rPr>
          <w:fldChar w:fldCharType="begin"/>
        </w:r>
        <w:r w:rsidR="003524A5">
          <w:rPr>
            <w:noProof/>
            <w:webHidden/>
          </w:rPr>
          <w:instrText xml:space="preserve"> PAGEREF _Toc67302926 \h </w:instrText>
        </w:r>
        <w:r w:rsidR="003524A5">
          <w:rPr>
            <w:noProof/>
            <w:webHidden/>
          </w:rPr>
        </w:r>
        <w:r w:rsidR="003524A5">
          <w:rPr>
            <w:noProof/>
            <w:webHidden/>
          </w:rPr>
          <w:fldChar w:fldCharType="separate"/>
        </w:r>
        <w:r w:rsidR="003524A5">
          <w:rPr>
            <w:noProof/>
            <w:webHidden/>
          </w:rPr>
          <w:t>126</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27" w:history="1">
        <w:r w:rsidR="003524A5" w:rsidRPr="003657A9">
          <w:rPr>
            <w:rStyle w:val="affd"/>
            <w:noProof/>
          </w:rPr>
          <w:t>Приложение А1. Состав рабочей группы по разработке и пересмотру клинических рекомендаций</w:t>
        </w:r>
        <w:r w:rsidR="003524A5">
          <w:rPr>
            <w:noProof/>
            <w:webHidden/>
          </w:rPr>
          <w:tab/>
        </w:r>
        <w:r w:rsidR="003524A5">
          <w:rPr>
            <w:noProof/>
            <w:webHidden/>
          </w:rPr>
          <w:fldChar w:fldCharType="begin"/>
        </w:r>
        <w:r w:rsidR="003524A5">
          <w:rPr>
            <w:noProof/>
            <w:webHidden/>
          </w:rPr>
          <w:instrText xml:space="preserve"> PAGEREF _Toc67302927 \h </w:instrText>
        </w:r>
        <w:r w:rsidR="003524A5">
          <w:rPr>
            <w:noProof/>
            <w:webHidden/>
          </w:rPr>
        </w:r>
        <w:r w:rsidR="003524A5">
          <w:rPr>
            <w:noProof/>
            <w:webHidden/>
          </w:rPr>
          <w:fldChar w:fldCharType="separate"/>
        </w:r>
        <w:r w:rsidR="003524A5">
          <w:rPr>
            <w:noProof/>
            <w:webHidden/>
          </w:rPr>
          <w:t>134</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28" w:history="1">
        <w:r w:rsidR="003524A5" w:rsidRPr="003657A9">
          <w:rPr>
            <w:rStyle w:val="affd"/>
            <w:noProof/>
          </w:rPr>
          <w:t>Приложение А2. Методология разработки клинических рекомендаций</w:t>
        </w:r>
        <w:r w:rsidR="003524A5">
          <w:rPr>
            <w:noProof/>
            <w:webHidden/>
          </w:rPr>
          <w:tab/>
        </w:r>
        <w:r w:rsidR="003524A5">
          <w:rPr>
            <w:noProof/>
            <w:webHidden/>
          </w:rPr>
          <w:fldChar w:fldCharType="begin"/>
        </w:r>
        <w:r w:rsidR="003524A5">
          <w:rPr>
            <w:noProof/>
            <w:webHidden/>
          </w:rPr>
          <w:instrText xml:space="preserve"> PAGEREF _Toc67302928 \h </w:instrText>
        </w:r>
        <w:r w:rsidR="003524A5">
          <w:rPr>
            <w:noProof/>
            <w:webHidden/>
          </w:rPr>
        </w:r>
        <w:r w:rsidR="003524A5">
          <w:rPr>
            <w:noProof/>
            <w:webHidden/>
          </w:rPr>
          <w:fldChar w:fldCharType="separate"/>
        </w:r>
        <w:r w:rsidR="003524A5">
          <w:rPr>
            <w:noProof/>
            <w:webHidden/>
          </w:rPr>
          <w:t>138</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29" w:history="1">
        <w:r w:rsidR="003524A5" w:rsidRPr="003657A9">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3524A5">
          <w:rPr>
            <w:noProof/>
            <w:webHidden/>
          </w:rPr>
          <w:tab/>
        </w:r>
        <w:r w:rsidR="003524A5">
          <w:rPr>
            <w:noProof/>
            <w:webHidden/>
          </w:rPr>
          <w:fldChar w:fldCharType="begin"/>
        </w:r>
        <w:r w:rsidR="003524A5">
          <w:rPr>
            <w:noProof/>
            <w:webHidden/>
          </w:rPr>
          <w:instrText xml:space="preserve"> PAGEREF _Toc67302929 \h </w:instrText>
        </w:r>
        <w:r w:rsidR="003524A5">
          <w:rPr>
            <w:noProof/>
            <w:webHidden/>
          </w:rPr>
        </w:r>
        <w:r w:rsidR="003524A5">
          <w:rPr>
            <w:noProof/>
            <w:webHidden/>
          </w:rPr>
          <w:fldChar w:fldCharType="separate"/>
        </w:r>
        <w:r w:rsidR="003524A5">
          <w:rPr>
            <w:noProof/>
            <w:webHidden/>
          </w:rPr>
          <w:t>140</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30" w:history="1">
        <w:r w:rsidR="003524A5" w:rsidRPr="003657A9">
          <w:rPr>
            <w:rStyle w:val="affd"/>
            <w:noProof/>
          </w:rPr>
          <w:t xml:space="preserve">Приложение А3.1 </w:t>
        </w:r>
        <w:r w:rsidR="003524A5" w:rsidRPr="003657A9">
          <w:rPr>
            <w:rStyle w:val="affd"/>
            <w:rFonts w:eastAsia="Arial Unicode MS"/>
            <w:noProof/>
          </w:rPr>
          <w:t>Протоколы выполнения аспирационного и биопсийного исследования костного мозга</w:t>
        </w:r>
        <w:r w:rsidR="003524A5">
          <w:rPr>
            <w:noProof/>
            <w:webHidden/>
          </w:rPr>
          <w:tab/>
        </w:r>
        <w:r w:rsidR="003524A5">
          <w:rPr>
            <w:noProof/>
            <w:webHidden/>
          </w:rPr>
          <w:fldChar w:fldCharType="begin"/>
        </w:r>
        <w:r w:rsidR="003524A5">
          <w:rPr>
            <w:noProof/>
            <w:webHidden/>
          </w:rPr>
          <w:instrText xml:space="preserve"> PAGEREF _Toc67302930 \h </w:instrText>
        </w:r>
        <w:r w:rsidR="003524A5">
          <w:rPr>
            <w:noProof/>
            <w:webHidden/>
          </w:rPr>
        </w:r>
        <w:r w:rsidR="003524A5">
          <w:rPr>
            <w:noProof/>
            <w:webHidden/>
          </w:rPr>
          <w:fldChar w:fldCharType="separate"/>
        </w:r>
        <w:r w:rsidR="003524A5">
          <w:rPr>
            <w:noProof/>
            <w:webHidden/>
          </w:rPr>
          <w:t>140</w:t>
        </w:r>
        <w:r w:rsidR="003524A5">
          <w:rPr>
            <w:noProof/>
            <w:webHidden/>
          </w:rPr>
          <w:fldChar w:fldCharType="end"/>
        </w:r>
      </w:hyperlink>
    </w:p>
    <w:p w:rsidR="003524A5" w:rsidRDefault="00977074">
      <w:pPr>
        <w:pStyle w:val="21"/>
        <w:rPr>
          <w:rFonts w:asciiTheme="minorHAnsi" w:eastAsiaTheme="minorEastAsia" w:hAnsiTheme="minorHAnsi" w:cstheme="minorBidi"/>
          <w:noProof/>
          <w:sz w:val="24"/>
          <w:szCs w:val="24"/>
          <w:lang w:eastAsia="ru-RU"/>
        </w:rPr>
      </w:pPr>
      <w:hyperlink w:anchor="_Toc67302931" w:history="1">
        <w:r w:rsidR="003524A5" w:rsidRPr="003657A9">
          <w:rPr>
            <w:rStyle w:val="affd"/>
            <w:noProof/>
          </w:rPr>
          <w:t>Приложение А3.2 Проведение трансплантации аллогенных гемопоэтических стволовых клеток</w:t>
        </w:r>
        <w:r w:rsidR="003524A5">
          <w:rPr>
            <w:noProof/>
            <w:webHidden/>
          </w:rPr>
          <w:tab/>
        </w:r>
        <w:r w:rsidR="003524A5">
          <w:rPr>
            <w:noProof/>
            <w:webHidden/>
          </w:rPr>
          <w:fldChar w:fldCharType="begin"/>
        </w:r>
        <w:r w:rsidR="003524A5">
          <w:rPr>
            <w:noProof/>
            <w:webHidden/>
          </w:rPr>
          <w:instrText xml:space="preserve"> PAGEREF _Toc67302931 \h </w:instrText>
        </w:r>
        <w:r w:rsidR="003524A5">
          <w:rPr>
            <w:noProof/>
            <w:webHidden/>
          </w:rPr>
        </w:r>
        <w:r w:rsidR="003524A5">
          <w:rPr>
            <w:noProof/>
            <w:webHidden/>
          </w:rPr>
          <w:fldChar w:fldCharType="separate"/>
        </w:r>
        <w:r w:rsidR="003524A5">
          <w:rPr>
            <w:noProof/>
            <w:webHidden/>
          </w:rPr>
          <w:t>150</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32" w:history="1">
        <w:r w:rsidR="003524A5" w:rsidRPr="003657A9">
          <w:rPr>
            <w:rStyle w:val="affd"/>
            <w:noProof/>
          </w:rPr>
          <w:t>Приложение Б. Алгоритмы действий врача</w:t>
        </w:r>
        <w:r w:rsidR="003524A5">
          <w:rPr>
            <w:noProof/>
            <w:webHidden/>
          </w:rPr>
          <w:tab/>
        </w:r>
        <w:r w:rsidR="003524A5">
          <w:rPr>
            <w:noProof/>
            <w:webHidden/>
          </w:rPr>
          <w:fldChar w:fldCharType="begin"/>
        </w:r>
        <w:r w:rsidR="003524A5">
          <w:rPr>
            <w:noProof/>
            <w:webHidden/>
          </w:rPr>
          <w:instrText xml:space="preserve"> PAGEREF _Toc67302932 \h </w:instrText>
        </w:r>
        <w:r w:rsidR="003524A5">
          <w:rPr>
            <w:noProof/>
            <w:webHidden/>
          </w:rPr>
        </w:r>
        <w:r w:rsidR="003524A5">
          <w:rPr>
            <w:noProof/>
            <w:webHidden/>
          </w:rPr>
          <w:fldChar w:fldCharType="separate"/>
        </w:r>
        <w:r w:rsidR="003524A5">
          <w:rPr>
            <w:noProof/>
            <w:webHidden/>
          </w:rPr>
          <w:t>271</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33" w:history="1">
        <w:r w:rsidR="003524A5" w:rsidRPr="003657A9">
          <w:rPr>
            <w:rStyle w:val="affd"/>
            <w:noProof/>
          </w:rPr>
          <w:t>Приложение В. Информация для пациента</w:t>
        </w:r>
        <w:r w:rsidR="003524A5">
          <w:rPr>
            <w:noProof/>
            <w:webHidden/>
          </w:rPr>
          <w:tab/>
        </w:r>
        <w:r w:rsidR="003524A5">
          <w:rPr>
            <w:noProof/>
            <w:webHidden/>
          </w:rPr>
          <w:fldChar w:fldCharType="begin"/>
        </w:r>
        <w:r w:rsidR="003524A5">
          <w:rPr>
            <w:noProof/>
            <w:webHidden/>
          </w:rPr>
          <w:instrText xml:space="preserve"> PAGEREF _Toc67302933 \h </w:instrText>
        </w:r>
        <w:r w:rsidR="003524A5">
          <w:rPr>
            <w:noProof/>
            <w:webHidden/>
          </w:rPr>
        </w:r>
        <w:r w:rsidR="003524A5">
          <w:rPr>
            <w:noProof/>
            <w:webHidden/>
          </w:rPr>
          <w:fldChar w:fldCharType="separate"/>
        </w:r>
        <w:r w:rsidR="003524A5">
          <w:rPr>
            <w:noProof/>
            <w:webHidden/>
          </w:rPr>
          <w:t>273</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34" w:history="1">
        <w:r w:rsidR="003524A5" w:rsidRPr="003657A9">
          <w:rPr>
            <w:rStyle w:val="affd"/>
            <w:noProof/>
          </w:rPr>
          <w:t xml:space="preserve">Приложение Г1. </w:t>
        </w:r>
        <w:r w:rsidR="003524A5" w:rsidRPr="003657A9">
          <w:rPr>
            <w:rStyle w:val="affd"/>
            <w:rFonts w:eastAsia="Times New Roman" w:cs="Calibri"/>
            <w:noProof/>
            <w:lang w:eastAsia="ru-RU"/>
          </w:rPr>
          <w:t xml:space="preserve">Стадирование грибовидного микоза/синдрома Сезари согласно рекомендациям </w:t>
        </w:r>
        <w:r w:rsidR="003524A5" w:rsidRPr="003657A9">
          <w:rPr>
            <w:rStyle w:val="affd"/>
            <w:rFonts w:eastAsia="Times New Roman" w:cs="Calibri"/>
            <w:noProof/>
            <w:lang w:val="en-US" w:eastAsia="ru-RU"/>
          </w:rPr>
          <w:t>ISLE</w:t>
        </w:r>
        <w:r w:rsidR="003524A5" w:rsidRPr="003657A9">
          <w:rPr>
            <w:rStyle w:val="affd"/>
            <w:rFonts w:eastAsia="Times New Roman" w:cs="Calibri"/>
            <w:noProof/>
            <w:lang w:eastAsia="ru-RU"/>
          </w:rPr>
          <w:t>-</w:t>
        </w:r>
        <w:r w:rsidR="003524A5" w:rsidRPr="003657A9">
          <w:rPr>
            <w:rStyle w:val="affd"/>
            <w:rFonts w:eastAsia="Times New Roman" w:cs="Calibri"/>
            <w:noProof/>
            <w:lang w:val="en-US" w:eastAsia="ru-RU"/>
          </w:rPr>
          <w:t>EORTC</w:t>
        </w:r>
        <w:r w:rsidR="003524A5">
          <w:rPr>
            <w:noProof/>
            <w:webHidden/>
          </w:rPr>
          <w:tab/>
        </w:r>
        <w:r w:rsidR="003524A5">
          <w:rPr>
            <w:noProof/>
            <w:webHidden/>
          </w:rPr>
          <w:fldChar w:fldCharType="begin"/>
        </w:r>
        <w:r w:rsidR="003524A5">
          <w:rPr>
            <w:noProof/>
            <w:webHidden/>
          </w:rPr>
          <w:instrText xml:space="preserve"> PAGEREF _Toc67302934 \h </w:instrText>
        </w:r>
        <w:r w:rsidR="003524A5">
          <w:rPr>
            <w:noProof/>
            <w:webHidden/>
          </w:rPr>
        </w:r>
        <w:r w:rsidR="003524A5">
          <w:rPr>
            <w:noProof/>
            <w:webHidden/>
          </w:rPr>
          <w:fldChar w:fldCharType="separate"/>
        </w:r>
        <w:r w:rsidR="003524A5">
          <w:rPr>
            <w:noProof/>
            <w:webHidden/>
          </w:rPr>
          <w:t>274</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35" w:history="1">
        <w:r w:rsidR="003524A5" w:rsidRPr="003657A9">
          <w:rPr>
            <w:rStyle w:val="affd"/>
            <w:noProof/>
          </w:rPr>
          <w:t>Приложение Г2. Расчет трансплантационного риска по шкале EBMT</w:t>
        </w:r>
        <w:r w:rsidR="003524A5">
          <w:rPr>
            <w:noProof/>
            <w:webHidden/>
          </w:rPr>
          <w:tab/>
        </w:r>
        <w:r w:rsidR="003524A5">
          <w:rPr>
            <w:noProof/>
            <w:webHidden/>
          </w:rPr>
          <w:fldChar w:fldCharType="begin"/>
        </w:r>
        <w:r w:rsidR="003524A5">
          <w:rPr>
            <w:noProof/>
            <w:webHidden/>
          </w:rPr>
          <w:instrText xml:space="preserve"> PAGEREF _Toc67302935 \h </w:instrText>
        </w:r>
        <w:r w:rsidR="003524A5">
          <w:rPr>
            <w:noProof/>
            <w:webHidden/>
          </w:rPr>
        </w:r>
        <w:r w:rsidR="003524A5">
          <w:rPr>
            <w:noProof/>
            <w:webHidden/>
          </w:rPr>
          <w:fldChar w:fldCharType="separate"/>
        </w:r>
        <w:r w:rsidR="003524A5">
          <w:rPr>
            <w:noProof/>
            <w:webHidden/>
          </w:rPr>
          <w:t>275</w:t>
        </w:r>
        <w:r w:rsidR="003524A5">
          <w:rPr>
            <w:noProof/>
            <w:webHidden/>
          </w:rPr>
          <w:fldChar w:fldCharType="end"/>
        </w:r>
      </w:hyperlink>
    </w:p>
    <w:p w:rsidR="003524A5" w:rsidRDefault="00977074">
      <w:pPr>
        <w:pStyle w:val="1a"/>
        <w:rPr>
          <w:rFonts w:asciiTheme="minorHAnsi" w:eastAsiaTheme="minorEastAsia" w:hAnsiTheme="minorHAnsi" w:cstheme="minorBidi"/>
          <w:noProof/>
          <w:szCs w:val="24"/>
          <w:lang w:eastAsia="ru-RU"/>
        </w:rPr>
      </w:pPr>
      <w:hyperlink w:anchor="_Toc67302936" w:history="1">
        <w:r w:rsidR="003524A5" w:rsidRPr="003657A9">
          <w:rPr>
            <w:rStyle w:val="affd"/>
            <w:noProof/>
          </w:rPr>
          <w:t>Приложение Г3. Расчет трансплантационного риска по шкале HCT-CI</w:t>
        </w:r>
        <w:r w:rsidR="003524A5">
          <w:rPr>
            <w:noProof/>
            <w:webHidden/>
          </w:rPr>
          <w:tab/>
        </w:r>
        <w:r w:rsidR="003524A5">
          <w:rPr>
            <w:noProof/>
            <w:webHidden/>
          </w:rPr>
          <w:fldChar w:fldCharType="begin"/>
        </w:r>
        <w:r w:rsidR="003524A5">
          <w:rPr>
            <w:noProof/>
            <w:webHidden/>
          </w:rPr>
          <w:instrText xml:space="preserve"> PAGEREF _Toc67302936 \h </w:instrText>
        </w:r>
        <w:r w:rsidR="003524A5">
          <w:rPr>
            <w:noProof/>
            <w:webHidden/>
          </w:rPr>
        </w:r>
        <w:r w:rsidR="003524A5">
          <w:rPr>
            <w:noProof/>
            <w:webHidden/>
          </w:rPr>
          <w:fldChar w:fldCharType="separate"/>
        </w:r>
        <w:r w:rsidR="003524A5">
          <w:rPr>
            <w:noProof/>
            <w:webHidden/>
          </w:rPr>
          <w:t>276</w:t>
        </w:r>
        <w:r w:rsidR="003524A5">
          <w:rPr>
            <w:noProof/>
            <w:webHidden/>
          </w:rPr>
          <w:fldChar w:fldCharType="end"/>
        </w:r>
      </w:hyperlink>
    </w:p>
    <w:p w:rsidR="00172112" w:rsidRDefault="0036257D" w:rsidP="00A86E5F">
      <w:r w:rsidRPr="00877EF5">
        <w:rPr>
          <w:b/>
          <w:bCs/>
          <w:szCs w:val="24"/>
        </w:rPr>
        <w:fldChar w:fldCharType="end"/>
      </w:r>
    </w:p>
    <w:p w:rsidR="00172112" w:rsidRDefault="00172112" w:rsidP="00172112"/>
    <w:p w:rsidR="00172112" w:rsidRDefault="00172112" w:rsidP="00D01F66">
      <w:pPr>
        <w:pStyle w:val="affa"/>
        <w:rPr>
          <w:sz w:val="28"/>
        </w:rPr>
      </w:pPr>
      <w:r>
        <w:br w:type="page"/>
      </w:r>
    </w:p>
    <w:p w:rsidR="000414F6" w:rsidRDefault="00CB71DA" w:rsidP="00C4630C">
      <w:pPr>
        <w:pStyle w:val="afff2"/>
      </w:pPr>
      <w:bookmarkStart w:id="4" w:name="__RefHeading___doc_abbreviation"/>
      <w:bookmarkStart w:id="5" w:name="_Toc34301072"/>
      <w:bookmarkStart w:id="6" w:name="_Toc67302895"/>
      <w:r>
        <w:lastRenderedPageBreak/>
        <w:t>Список сокращений</w:t>
      </w:r>
      <w:bookmarkEnd w:id="4"/>
      <w:bookmarkEnd w:id="5"/>
      <w:bookmarkEnd w:id="6"/>
    </w:p>
    <w:p w:rsidR="006E41C5" w:rsidRPr="008B253D" w:rsidRDefault="006E41C5" w:rsidP="006E41C5">
      <w:pPr>
        <w:ind w:left="357"/>
        <w:divId w:val="1653948401"/>
        <w:rPr>
          <w:szCs w:val="24"/>
        </w:rPr>
      </w:pPr>
      <w:r w:rsidRPr="008B253D">
        <w:rPr>
          <w:szCs w:val="24"/>
        </w:rPr>
        <w:t>ПУВА – псорален+ультрафиолетовое облучение спектра А</w:t>
      </w:r>
    </w:p>
    <w:p w:rsidR="003F054F" w:rsidRPr="008B253D" w:rsidRDefault="003F054F" w:rsidP="006E41C5">
      <w:pPr>
        <w:ind w:left="357"/>
        <w:divId w:val="1653948401"/>
        <w:rPr>
          <w:szCs w:val="24"/>
        </w:rPr>
      </w:pPr>
      <w:r>
        <w:rPr>
          <w:szCs w:val="24"/>
        </w:rPr>
        <w:t xml:space="preserve">РФП </w:t>
      </w:r>
      <w:r w:rsidRPr="007B5DF2">
        <w:rPr>
          <w:szCs w:val="24"/>
        </w:rPr>
        <w:t>–</w:t>
      </w:r>
      <w:r>
        <w:rPr>
          <w:szCs w:val="24"/>
        </w:rPr>
        <w:t xml:space="preserve"> радиофармпрепарат</w:t>
      </w:r>
    </w:p>
    <w:p w:rsidR="006E41C5" w:rsidRPr="008B253D" w:rsidRDefault="006E41C5" w:rsidP="006E41C5">
      <w:pPr>
        <w:ind w:left="357"/>
        <w:divId w:val="1653948401"/>
        <w:rPr>
          <w:szCs w:val="24"/>
        </w:rPr>
      </w:pPr>
      <w:r w:rsidRPr="007B5DF2">
        <w:rPr>
          <w:szCs w:val="24"/>
        </w:rPr>
        <w:t>ТОК – тотальное облучение кожи</w:t>
      </w:r>
    </w:p>
    <w:p w:rsidR="006E41C5" w:rsidRDefault="006E41C5" w:rsidP="006E41C5">
      <w:pPr>
        <w:ind w:left="357"/>
        <w:divId w:val="1653948401"/>
        <w:rPr>
          <w:szCs w:val="24"/>
        </w:rPr>
      </w:pPr>
      <w:r w:rsidRPr="008B253D">
        <w:rPr>
          <w:szCs w:val="24"/>
        </w:rPr>
        <w:t>ТКР – Т-клеточный рецептор</w:t>
      </w:r>
    </w:p>
    <w:p w:rsidR="006E41C5" w:rsidRPr="008B253D" w:rsidRDefault="006E41C5" w:rsidP="006E41C5">
      <w:pPr>
        <w:ind w:left="357"/>
        <w:divId w:val="1653948401"/>
        <w:rPr>
          <w:szCs w:val="24"/>
        </w:rPr>
      </w:pPr>
      <w:r w:rsidRPr="008B253D">
        <w:rPr>
          <w:szCs w:val="24"/>
        </w:rPr>
        <w:t>Э-КТКЛ – эритродермическая кожная Т-клеточная лимфома</w:t>
      </w:r>
    </w:p>
    <w:p w:rsidR="008A24EB" w:rsidRDefault="008A24EB" w:rsidP="006E41C5">
      <w:pPr>
        <w:pStyle w:val="afff0"/>
        <w:divId w:val="1653948401"/>
      </w:pPr>
    </w:p>
    <w:p w:rsidR="000414F6" w:rsidRDefault="00CB71DA" w:rsidP="003524A5">
      <w:pPr>
        <w:pStyle w:val="afff2"/>
      </w:pPr>
      <w:r>
        <w:br w:type="page"/>
      </w:r>
      <w:bookmarkStart w:id="7" w:name="__RefHeading___doc_terms"/>
      <w:bookmarkStart w:id="8" w:name="_Toc34301073"/>
      <w:bookmarkStart w:id="9" w:name="_Toc67302896"/>
      <w:r>
        <w:lastRenderedPageBreak/>
        <w:t>Термины и определения</w:t>
      </w:r>
      <w:bookmarkEnd w:id="7"/>
      <w:bookmarkEnd w:id="8"/>
      <w:bookmarkEnd w:id="9"/>
    </w:p>
    <w:p w:rsidR="001D40F8" w:rsidRPr="0021676E" w:rsidRDefault="006E41C5" w:rsidP="0021676E">
      <w:r w:rsidRPr="00511563">
        <w:t>Синдром Сезари</w:t>
      </w:r>
      <w:r w:rsidR="00FA7D06">
        <w:t xml:space="preserve"> </w:t>
      </w:r>
      <w:r>
        <w:t xml:space="preserve">– </w:t>
      </w:r>
      <w:r w:rsidRPr="00511563">
        <w:t>Т-клеточн</w:t>
      </w:r>
      <w:r>
        <w:t>ая</w:t>
      </w:r>
      <w:r w:rsidRPr="00511563">
        <w:t xml:space="preserve"> лимфом</w:t>
      </w:r>
      <w:r>
        <w:t>а</w:t>
      </w:r>
      <w:r w:rsidRPr="00511563">
        <w:t xml:space="preserve"> кожи, характеризующ</w:t>
      </w:r>
      <w:r>
        <w:t>ая</w:t>
      </w:r>
      <w:r w:rsidRPr="00511563">
        <w:t>ся эритродермией, генерализованной лимфаденопатией и наличием в крови циркулирующих злокачественных Т-лимфоцитов (клеток Сезари).</w:t>
      </w:r>
    </w:p>
    <w:p w:rsidR="001D40F8" w:rsidRPr="001D40F8" w:rsidRDefault="001D40F8" w:rsidP="00924161">
      <w:pPr>
        <w:rPr>
          <w:szCs w:val="24"/>
        </w:rPr>
      </w:pPr>
    </w:p>
    <w:p w:rsidR="00275A41" w:rsidRDefault="00CB71DA" w:rsidP="00924161">
      <w:pPr>
        <w:pStyle w:val="afd"/>
        <w:spacing w:beforeAutospacing="0" w:afterAutospacing="0" w:line="360" w:lineRule="auto"/>
        <w:divId w:val="576134796"/>
      </w:pPr>
      <w:r>
        <w:t>                                   </w:t>
      </w:r>
    </w:p>
    <w:p w:rsidR="00B8195D" w:rsidRDefault="00CB71DA" w:rsidP="00F81854">
      <w:pPr>
        <w:pStyle w:val="afff2"/>
      </w:pPr>
      <w:r>
        <w:br w:type="page"/>
      </w:r>
      <w:bookmarkStart w:id="10" w:name="__RefHeading___doc_1"/>
    </w:p>
    <w:p w:rsidR="000414F6" w:rsidRDefault="00CB71DA" w:rsidP="00C4630C">
      <w:pPr>
        <w:pStyle w:val="afff2"/>
      </w:pPr>
      <w:bookmarkStart w:id="11" w:name="_Toc34301074"/>
      <w:bookmarkStart w:id="12" w:name="_Toc67302897"/>
      <w:r>
        <w:lastRenderedPageBreak/>
        <w:t>1. Краткая информация</w:t>
      </w:r>
      <w:bookmarkEnd w:id="10"/>
      <w:r w:rsidR="00384B6A">
        <w:t xml:space="preserve"> по заболеванию или состоянию (группе заболеваний или состояний)</w:t>
      </w:r>
      <w:bookmarkEnd w:id="11"/>
      <w:bookmarkEnd w:id="12"/>
    </w:p>
    <w:p w:rsidR="00B46390" w:rsidRPr="00311757" w:rsidRDefault="00B46390" w:rsidP="0021676E">
      <w:pPr>
        <w:pStyle w:val="2"/>
      </w:pPr>
      <w:bookmarkStart w:id="13" w:name="_Toc469402330"/>
      <w:bookmarkStart w:id="14" w:name="_Toc468273527"/>
      <w:bookmarkStart w:id="15" w:name="_Toc468273445"/>
      <w:bookmarkStart w:id="16" w:name="_Toc34301075"/>
      <w:bookmarkStart w:id="17" w:name="_Toc67302898"/>
      <w:bookmarkStart w:id="18" w:name="__RefHeading___doc_2"/>
      <w:bookmarkEnd w:id="13"/>
      <w:bookmarkEnd w:id="14"/>
      <w:bookmarkEnd w:id="15"/>
      <w:r w:rsidRPr="00B46390">
        <w:t xml:space="preserve">1.1 </w:t>
      </w:r>
      <w:r w:rsidRPr="00311757">
        <w:t>Определение</w:t>
      </w:r>
      <w:r w:rsidR="002D1A94">
        <w:t xml:space="preserve"> </w:t>
      </w:r>
      <w:r w:rsidR="00311757" w:rsidRPr="00311757">
        <w:rPr>
          <w:color w:val="333333"/>
          <w:shd w:val="clear" w:color="auto" w:fill="FFFFFF"/>
        </w:rPr>
        <w:t>заболевания или состояния (группы заболеваний или состояний)</w:t>
      </w:r>
      <w:bookmarkEnd w:id="16"/>
      <w:bookmarkEnd w:id="17"/>
    </w:p>
    <w:p w:rsidR="00EE59C2" w:rsidRPr="00B104EF" w:rsidRDefault="006E41C5" w:rsidP="0021676E">
      <w:pPr>
        <w:pStyle w:val="1f1"/>
      </w:pPr>
      <w:r w:rsidRPr="00511563">
        <w:t xml:space="preserve">Синдром Сезари (СС) представляет собой Т-клеточную лимфому кожи, характеризующуюся эритродермией, генерализованной лимфаденопатией </w:t>
      </w:r>
      <w:r w:rsidRPr="00B032D2">
        <w:t>и наличием в крови циркулирующих злокачественных Т-лимфоцитов (клеток Сезари).</w:t>
      </w:r>
    </w:p>
    <w:p w:rsidR="00B46390" w:rsidRPr="00311757" w:rsidRDefault="00B46390" w:rsidP="00172112">
      <w:pPr>
        <w:pStyle w:val="2"/>
      </w:pPr>
      <w:bookmarkStart w:id="19" w:name="_Toc34301076"/>
      <w:bookmarkStart w:id="20" w:name="_Toc67302899"/>
      <w:r w:rsidRPr="00B46390">
        <w:t xml:space="preserve">1.2 </w:t>
      </w:r>
      <w:r w:rsidRPr="00311757">
        <w:t>Этиология и патогенез</w:t>
      </w:r>
      <w:r w:rsidR="009119D3">
        <w:t xml:space="preserve"> </w:t>
      </w:r>
      <w:r w:rsidR="00311757" w:rsidRPr="00311757">
        <w:rPr>
          <w:color w:val="333333"/>
          <w:shd w:val="clear" w:color="auto" w:fill="FFFFFF"/>
        </w:rPr>
        <w:t>заболевания или состояния (группы заболеваний или состояний)</w:t>
      </w:r>
      <w:bookmarkEnd w:id="19"/>
      <w:bookmarkEnd w:id="20"/>
    </w:p>
    <w:p w:rsidR="006E41C5" w:rsidRPr="00EC7CF1" w:rsidRDefault="006E41C5" w:rsidP="0021676E">
      <w:pPr>
        <w:pStyle w:val="1f1"/>
        <w:rPr>
          <w:rFonts w:eastAsia="TimesLTStd-Roman" w:cs="TimesLTStd-Roman"/>
          <w:color w:val="000000"/>
        </w:rPr>
      </w:pPr>
      <w:r>
        <w:rPr>
          <w:rFonts w:eastAsia="TimesLTStd-Roman" w:cs="TimesLTStd-Roman"/>
          <w:color w:val="000000"/>
        </w:rPr>
        <w:t>Причины развития</w:t>
      </w:r>
      <w:r w:rsidRPr="006E41C5">
        <w:rPr>
          <w:rFonts w:eastAsia="TimesLTStd-Roman" w:cs="TimesLTStd-Roman"/>
          <w:color w:val="000000"/>
        </w:rPr>
        <w:t xml:space="preserve"> синдрома Сезари неизвестн</w:t>
      </w:r>
      <w:r>
        <w:rPr>
          <w:rFonts w:eastAsia="TimesLTStd-Roman" w:cs="TimesLTStd-Roman"/>
          <w:color w:val="000000"/>
        </w:rPr>
        <w:t>ы</w:t>
      </w:r>
      <w:r w:rsidRPr="006E41C5">
        <w:rPr>
          <w:rFonts w:eastAsia="TimesLTStd-Roman" w:cs="TimesLTStd-Roman"/>
          <w:color w:val="000000"/>
        </w:rPr>
        <w:t xml:space="preserve">. </w:t>
      </w:r>
      <w:r w:rsidR="00F36233">
        <w:rPr>
          <w:rFonts w:eastAsia="TimesLTStd-Roman" w:cs="TimesLTStd-Roman"/>
          <w:color w:val="000000"/>
        </w:rPr>
        <w:t xml:space="preserve">Иммунофенотипирование показало, что пролиферирующими злокачественными лимфоцитами, проникающими в кожу, при синдроме Сезари являются зрелые Т-лимфоциты центральной памяти, экспрессирующие </w:t>
      </w:r>
      <w:r w:rsidR="00F36233" w:rsidRPr="006E41C5">
        <w:rPr>
          <w:rFonts w:eastAsia="TimesLTStd-Roman" w:cs="TimesLTStd-Roman"/>
          <w:color w:val="000000"/>
          <w:lang w:val="en-US"/>
        </w:rPr>
        <w:t>CD</w:t>
      </w:r>
      <w:r w:rsidR="00F36233" w:rsidRPr="006E41C5">
        <w:rPr>
          <w:rFonts w:eastAsia="TimesLTStd-Roman" w:cs="TimesLTStd-Roman"/>
          <w:color w:val="000000"/>
        </w:rPr>
        <w:t xml:space="preserve">3, </w:t>
      </w:r>
      <w:r w:rsidR="00F36233" w:rsidRPr="006E41C5">
        <w:rPr>
          <w:rFonts w:eastAsia="TimesLTStd-Roman" w:cs="TimesLTStd-Roman"/>
          <w:color w:val="000000"/>
          <w:lang w:val="en-US"/>
        </w:rPr>
        <w:t>CD</w:t>
      </w:r>
      <w:r w:rsidR="00F36233" w:rsidRPr="006E41C5">
        <w:rPr>
          <w:rFonts w:eastAsia="TimesLTStd-Roman" w:cs="TimesLTStd-Roman"/>
          <w:color w:val="000000"/>
        </w:rPr>
        <w:t xml:space="preserve">4, </w:t>
      </w:r>
      <w:r w:rsidR="00F36233" w:rsidRPr="006E41C5">
        <w:rPr>
          <w:rFonts w:eastAsia="TimesLTStd-Roman" w:cs="TimesLTStd-Roman"/>
          <w:color w:val="000000"/>
          <w:lang w:val="en-US"/>
        </w:rPr>
        <w:t>CD</w:t>
      </w:r>
      <w:r w:rsidR="00F36233" w:rsidRPr="006E41C5">
        <w:rPr>
          <w:rFonts w:eastAsia="TimesLTStd-Roman" w:cs="TimesLTStd-Roman"/>
          <w:color w:val="000000"/>
        </w:rPr>
        <w:t>45</w:t>
      </w:r>
      <w:r w:rsidR="00F36233" w:rsidRPr="006E41C5">
        <w:rPr>
          <w:rFonts w:eastAsia="TimesLTStd-Roman" w:cs="TimesLTStd-Roman"/>
          <w:color w:val="000000"/>
          <w:lang w:val="en-US"/>
        </w:rPr>
        <w:t>RO</w:t>
      </w:r>
      <w:r w:rsidR="00F36233" w:rsidRPr="006E41C5">
        <w:rPr>
          <w:rFonts w:eastAsia="TimesLTStd-Roman" w:cs="TimesLTStd-Roman"/>
          <w:color w:val="000000"/>
        </w:rPr>
        <w:t xml:space="preserve"> и </w:t>
      </w:r>
      <w:r w:rsidR="00F36233" w:rsidRPr="006E41C5">
        <w:rPr>
          <w:rFonts w:eastAsia="TimesLTStd-Roman" w:cs="TimesLTStd-Roman"/>
          <w:color w:val="000000"/>
          <w:lang w:val="en-US"/>
        </w:rPr>
        <w:t>CCR</w:t>
      </w:r>
      <w:r w:rsidR="00F36233" w:rsidRPr="006E41C5">
        <w:rPr>
          <w:rFonts w:eastAsia="TimesLTStd-Roman" w:cs="TimesLTStd-Roman"/>
          <w:color w:val="000000"/>
        </w:rPr>
        <w:t xml:space="preserve">4 </w:t>
      </w:r>
      <w:r w:rsidR="00F36233" w:rsidRPr="00F36233">
        <w:rPr>
          <w:rFonts w:eastAsia="TimesLTStd-Roman" w:cs="TimesLTStd-Roman"/>
          <w:color w:val="000000"/>
        </w:rPr>
        <w:t>(</w:t>
      </w:r>
      <w:r w:rsidR="00F36233">
        <w:rPr>
          <w:rFonts w:eastAsia="TimesLTStd-Roman" w:cs="TimesLTStd-Roman"/>
          <w:color w:val="000000"/>
        </w:rPr>
        <w:t xml:space="preserve">маркеры </w:t>
      </w:r>
      <w:r w:rsidR="00F36233" w:rsidRPr="006E41C5">
        <w:rPr>
          <w:rFonts w:eastAsia="TimesLTStd-Roman" w:cs="TimesLTStd-Roman"/>
          <w:color w:val="000000"/>
        </w:rPr>
        <w:t>зрелых Т-лимфоцитов памяти</w:t>
      </w:r>
      <w:r w:rsidR="00F36233">
        <w:rPr>
          <w:rFonts w:eastAsia="TimesLTStd-Roman" w:cs="TimesLTStd-Roman"/>
          <w:color w:val="000000"/>
        </w:rPr>
        <w:t>)</w:t>
      </w:r>
      <w:r w:rsidR="00C833B7">
        <w:rPr>
          <w:rFonts w:eastAsia="TimesLTStd-Roman" w:cs="TimesLTStd-Roman"/>
          <w:color w:val="000000"/>
        </w:rPr>
        <w:t>, а также</w:t>
      </w:r>
      <w:r w:rsidR="009119D3">
        <w:rPr>
          <w:rFonts w:eastAsia="TimesLTStd-Roman" w:cs="TimesLTStd-Roman"/>
          <w:color w:val="000000"/>
        </w:rPr>
        <w:t xml:space="preserve"> </w:t>
      </w:r>
      <w:r w:rsidR="00F36233" w:rsidRPr="006E41C5">
        <w:rPr>
          <w:rFonts w:eastAsia="TimesLTStd-Roman" w:cs="TimesLTStd-Roman"/>
          <w:color w:val="000000"/>
          <w:lang w:val="en-US"/>
        </w:rPr>
        <w:t>CCR</w:t>
      </w:r>
      <w:r w:rsidR="00F36233" w:rsidRPr="006E41C5">
        <w:rPr>
          <w:rFonts w:eastAsia="TimesLTStd-Roman" w:cs="TimesLTStd-Roman"/>
          <w:color w:val="000000"/>
        </w:rPr>
        <w:t xml:space="preserve">7, </w:t>
      </w:r>
      <w:r w:rsidR="00F36233" w:rsidRPr="006E41C5">
        <w:rPr>
          <w:rFonts w:eastAsia="TimesLTStd-Roman" w:cs="TimesLTStd-Roman"/>
          <w:color w:val="000000"/>
          <w:lang w:val="en-US"/>
        </w:rPr>
        <w:t>L</w:t>
      </w:r>
      <w:r w:rsidR="00F36233" w:rsidRPr="006E41C5">
        <w:rPr>
          <w:rFonts w:eastAsia="TimesLTStd-Roman" w:cs="TimesLTStd-Roman"/>
          <w:color w:val="000000"/>
        </w:rPr>
        <w:t xml:space="preserve">-селектин и </w:t>
      </w:r>
      <w:r w:rsidR="00F36233" w:rsidRPr="006E41C5">
        <w:rPr>
          <w:rFonts w:eastAsia="TimesLTStd-Roman" w:cs="TimesLTStd-Roman"/>
          <w:color w:val="000000"/>
          <w:lang w:val="en-US"/>
        </w:rPr>
        <w:t>CD</w:t>
      </w:r>
      <w:r w:rsidR="00F36233" w:rsidRPr="006E41C5">
        <w:rPr>
          <w:rFonts w:eastAsia="TimesLTStd-Roman" w:cs="TimesLTStd-Roman"/>
          <w:color w:val="000000"/>
        </w:rPr>
        <w:t xml:space="preserve">27 </w:t>
      </w:r>
      <w:r w:rsidR="00C833B7">
        <w:rPr>
          <w:rFonts w:eastAsia="TimesLTStd-Roman" w:cs="TimesLTStd-Roman"/>
          <w:color w:val="000000"/>
        </w:rPr>
        <w:t>(</w:t>
      </w:r>
      <w:r w:rsidR="002B1F70">
        <w:rPr>
          <w:rFonts w:eastAsia="TimesLTStd-Roman" w:cs="TimesLTStd-Roman"/>
          <w:color w:val="000000"/>
        </w:rPr>
        <w:t>маркеры</w:t>
      </w:r>
      <w:r w:rsidR="00F36233" w:rsidRPr="006E41C5">
        <w:rPr>
          <w:rFonts w:eastAsia="TimesLTStd-Roman" w:cs="TimesLTStd-Roman"/>
          <w:color w:val="000000"/>
        </w:rPr>
        <w:t xml:space="preserve"> Т-лимфоцитов центральной памяти</w:t>
      </w:r>
      <w:r w:rsidR="00C833B7">
        <w:rPr>
          <w:rFonts w:eastAsia="TimesLTStd-Roman" w:cs="TimesLTStd-Roman"/>
          <w:color w:val="000000"/>
        </w:rPr>
        <w:t>)</w:t>
      </w:r>
      <w:r w:rsidR="00340C63">
        <w:rPr>
          <w:rFonts w:eastAsia="TimesLTStd-Roman" w:cs="TimesLTStd-Roman"/>
          <w:color w:val="000000"/>
        </w:rPr>
        <w:t xml:space="preserve"> </w:t>
      </w:r>
      <w:r w:rsidR="00340C63">
        <w:rPr>
          <w:rFonts w:eastAsia="TimesLTStd-Roman" w:cs="TimesLTStd-Roman"/>
          <w:color w:val="000000"/>
        </w:rPr>
        <w:fldChar w:fldCharType="begin" w:fldLock="1"/>
      </w:r>
      <w:r w:rsidR="009C365A">
        <w:rPr>
          <w:rFonts w:eastAsia="TimesLTStd-Roman" w:cs="TimesLTStd-Roman"/>
          <w:color w:val="000000"/>
        </w:rPr>
        <w:instrText>ADDIN CSL_CITATION {"citationItems":[{"id":"ITEM-1","itemData":{"DOI":"10.1182/blood.v88.4.1383.bloodjournal8841383","ISSN":"00064971","PMID":"8695857","abstract":"Sezary syndrome (SS) is a leukemic variant of low-grade cutaneous T- cell lymphomas (CTCLs). The clonal T cells in this lymphoproliferative disorder are poorly characterized. Using antibodies against the variable region of the T-cell receptor (TCR Vα/β), we identified four predominant T- cell clones (two Vβ 8+ clones, one Vβ 5.1+, and one Vα 2(a)+) in peripheral blood mononuclear cells (PBMC) of SS patients. Their phenotype was CD3+, CD4+, CD5+, CD45RO+. Clonal T cells were purified, and cytokine transcription and secretion was analyzed by reverse transcriptase-polymerase chain reaction (RT-PCR) followed by hybridization with biotinylated probes and enzyme-linked immunosorbent assays (ELISAs). The interleukin-10 (IL-10) PCR product was cloned and sequenced and found to be identical to the published cDNA sequence. The presence of accessory factor-1 (AF-1, or interferon-γ [IFN-γ] receptor β-chain) encoding mRNA was assessed by RT- PCR and immunostaining using serum of rabbits immunized with the extracellular domain of a recombinant human AF-1 protein followed by APAAP staining. Clonal T cells transcribe and secrete mainly T-helper 2 cytokines (IL-10, -5, and -13). mRNA from purified SS clones but not mRNA from SS total PBMC was positive for AF-1 in an agarose gel and/or after hybridization. AF- 1 transcription was associated with membrane-bound immunoreactivity for AF-1 in SS clones. SS-derived T-cell clones display T-helper 2 cytokines. This weakens cell-mediated immunosurveillance, and explains the clinical and immunologic abnormalities in SS patients. The T-helper 2 cytokine spectrum of all clones investigated is associated with overexpression of AF-1. This suggests that AF-1 is a potential marker for these clones (and eventually other T-helper 2 lymphocytes) and might represent a target for treatment of the disease.","author":[{"dropping-particle":"","family":"Dummer","given":"Reinhard","non-dropping-particle":"","parse-names":false,"suffix":""},{"dropping-particle":"","family":"Heald","given":"Peter W.","non-dropping-particle":"","parse-names":false,"suffix":""},{"dropping-particle":"","family":"Nestle","given":"Frank O.","non-dropping-particle":"","parse-names":false,"suffix":""},{"dropping-particle":"","family":"Ludwig","given":"Elisabeth","non-dropping-particle":"","parse-names":false,"suffix":""},{"dropping-particle":"","family":"Laine","given":"Elisabeth","non-dropping-particle":"","parse-names":false,"suffix":""},{"dropping-particle":"","family":"Hemmi","given":"Silvio","non-dropping-particle":"","parse-names":false,"suffix":""},{"dropping-particle":"","family":"Burg","given":"Günter","non-dropping-particle":"","parse-names":false,"suffix":""}],"container-title":"Blood","id":"ITEM-1","issue":"4","issued":{"date-parts":[["1996","8","15"]]},"page":"1383-1389","publisher":"American Society of Hematology","title":"Sezary syndrome T-cell clones display T-helper 2 cytokines and express the accessory factor-1 (interferon-γ receptor β-chain)","type":"article-journal","volume":"88"},"uris":["http://www.mendeley.com/documents/?uuid=866d7e43-3737-336c-a2f0-03114b391539"]},{"id":"ITEM-2","itemData":{"DOI":"10.1182/blood-2009-11-251926","ISSN":"00064971","PMID":"20484084","abstract":"Cutaneous T-cell lymphoma (CTCL) encompasses leukemic variants (L-CTCL) such as Sézary syndrome (SS) and primarily cutaneous variants such as mycosis fungoides (MF). To clarify the relationship between these clinically disparate presentations, we studied the phenotype of T cells from L-CTCL and MF. Clonal malignant T cells from the blood of L-CTCL patients universally coexpressed the lymph node homing molecules CCR7 and L-selectin as well as the differentiation marker CD27, a phenotype consistent with central memory T cells. CCR4 was also universally expressed at high levels, and there was variable expression of other skin addressins (CCR6, CCR10, and CLA). In contrast, T cells isolated from MF skin lesions lacked CCR7/L-selectin and CD27 but strongly expressed CCR4 and CLA, a phenotype suggestive of skin resident effector memory T cells. Our results suggest that SS is a malignancy of central memory T cells and MF is a malignancy of skin resident effector memory T cells. © 2010 by The American Society of Hematology.","author":[{"dropping-particle":"","family":"Campbell","given":"James J.","non-dropping-particle":"","parse-names":false,"suffix":""},{"dropping-particle":"","family":"Clark","given":"Rachael A.","non-dropping-particle":"","parse-names":false,"suffix":""},{"dropping-particle":"","family":"Watanabe","given":"Rei","non-dropping-particle":"","parse-names":false,"suffix":""},{"dropping-particle":"","family":"Kupper","given":"Thomas S.","non-dropping-particle":"","parse-names":false,"suffix":""}],"container-title":"Blood","id":"ITEM-2","issue":"5","issued":{"date-parts":[["2010","8","5"]]},"page":"767-771","publisher":"Blood","title":"Sézary syndrome and mycosis fungoides arise from distinct T-cell subsets: A biologic rationale for their distinct clinical behaviors","type":"article-journal","volume":"116"},"uris":["http://www.mendeley.com/documents/?uuid=6c0c23a0-8f38-3ba9-8d7c-631de4d2ff9a"]}],"mendeley":{"formattedCitation":"[1,2]","plainTextFormattedCitation":"[1,2]","previouslyFormattedCitation":"[1,2]"},"properties":{"noteIndex":0},"schema":"https://github.com/citation-style-language/schema/raw/master/csl-citation.json"}</w:instrText>
      </w:r>
      <w:r w:rsidR="00340C63">
        <w:rPr>
          <w:rFonts w:eastAsia="TimesLTStd-Roman" w:cs="TimesLTStd-Roman"/>
          <w:color w:val="000000"/>
        </w:rPr>
        <w:fldChar w:fldCharType="separate"/>
      </w:r>
      <w:r w:rsidR="00772659" w:rsidRPr="00772659">
        <w:rPr>
          <w:rFonts w:eastAsia="TimesLTStd-Roman" w:cs="TimesLTStd-Roman"/>
          <w:noProof/>
          <w:color w:val="000000"/>
        </w:rPr>
        <w:t>[1,2]</w:t>
      </w:r>
      <w:r w:rsidR="00340C63">
        <w:rPr>
          <w:rFonts w:eastAsia="TimesLTStd-Roman" w:cs="TimesLTStd-Roman"/>
          <w:color w:val="000000"/>
        </w:rPr>
        <w:fldChar w:fldCharType="end"/>
      </w:r>
      <w:r w:rsidR="00F36233" w:rsidRPr="006E41C5">
        <w:rPr>
          <w:rFonts w:eastAsia="TimesLTStd-Roman" w:cs="TimesLTStd-Roman"/>
          <w:color w:val="000000"/>
        </w:rPr>
        <w:t xml:space="preserve">. </w:t>
      </w:r>
      <w:r>
        <w:rPr>
          <w:rFonts w:eastAsia="TimesLTStd-Roman" w:cs="TimesLTStd-Roman"/>
          <w:color w:val="000000"/>
        </w:rPr>
        <w:t xml:space="preserve">Активацию пролиферации Т-лимфоцитов, приводящую к развитию этого заболевании и его прогрессированию, связывают с мутациями </w:t>
      </w:r>
      <w:r w:rsidRPr="006E41C5">
        <w:rPr>
          <w:rFonts w:eastAsia="TimesLTStd-Roman" w:cs="TimesLTStd-Roman"/>
          <w:color w:val="000000"/>
        </w:rPr>
        <w:t>и/или хромосомны</w:t>
      </w:r>
      <w:r>
        <w:rPr>
          <w:rFonts w:eastAsia="TimesLTStd-Roman" w:cs="TimesLTStd-Roman"/>
          <w:color w:val="000000"/>
        </w:rPr>
        <w:t>ми</w:t>
      </w:r>
      <w:r w:rsidRPr="006E41C5">
        <w:rPr>
          <w:rFonts w:eastAsia="TimesLTStd-Roman" w:cs="TimesLTStd-Roman"/>
          <w:color w:val="000000"/>
        </w:rPr>
        <w:t xml:space="preserve"> изменения</w:t>
      </w:r>
      <w:r>
        <w:rPr>
          <w:rFonts w:eastAsia="TimesLTStd-Roman" w:cs="TimesLTStd-Roman"/>
          <w:color w:val="000000"/>
        </w:rPr>
        <w:t>ми</w:t>
      </w:r>
      <w:r w:rsidRPr="006E41C5">
        <w:rPr>
          <w:rFonts w:eastAsia="TimesLTStd-Roman" w:cs="TimesLTStd-Roman"/>
          <w:color w:val="000000"/>
        </w:rPr>
        <w:t xml:space="preserve"> в генах, которые контролируют </w:t>
      </w:r>
      <w:r w:rsidR="002B1F70">
        <w:rPr>
          <w:rFonts w:eastAsia="TimesLTStd-Roman" w:cs="TimesLTStd-Roman"/>
          <w:color w:val="000000"/>
        </w:rPr>
        <w:t xml:space="preserve">активность </w:t>
      </w:r>
      <w:r w:rsidRPr="006E41C5">
        <w:rPr>
          <w:rFonts w:eastAsia="TimesLTStd-Roman" w:cs="TimesLTStd-Roman"/>
          <w:color w:val="000000"/>
        </w:rPr>
        <w:t>супрессор</w:t>
      </w:r>
      <w:r w:rsidR="002B1F70">
        <w:rPr>
          <w:rFonts w:eastAsia="TimesLTStd-Roman" w:cs="TimesLTStd-Roman"/>
          <w:color w:val="000000"/>
        </w:rPr>
        <w:t>ов</w:t>
      </w:r>
      <w:r w:rsidRPr="006E41C5">
        <w:rPr>
          <w:rFonts w:eastAsia="TimesLTStd-Roman" w:cs="TimesLTStd-Roman"/>
          <w:color w:val="000000"/>
        </w:rPr>
        <w:t xml:space="preserve"> опухолевого роста, эпигенетически</w:t>
      </w:r>
      <w:r w:rsidR="002B1F70">
        <w:rPr>
          <w:rFonts w:eastAsia="TimesLTStd-Roman" w:cs="TimesLTStd-Roman"/>
          <w:color w:val="000000"/>
        </w:rPr>
        <w:t xml:space="preserve">х </w:t>
      </w:r>
      <w:r w:rsidRPr="006E41C5">
        <w:rPr>
          <w:rFonts w:eastAsia="TimesLTStd-Roman" w:cs="TimesLTStd-Roman"/>
          <w:color w:val="000000"/>
        </w:rPr>
        <w:t>регулятор</w:t>
      </w:r>
      <w:r w:rsidR="002B1F70">
        <w:rPr>
          <w:rFonts w:eastAsia="TimesLTStd-Roman" w:cs="TimesLTStd-Roman"/>
          <w:color w:val="000000"/>
        </w:rPr>
        <w:t>ов, сигнальных путей</w:t>
      </w:r>
      <w:r w:rsidRPr="006E41C5">
        <w:rPr>
          <w:rFonts w:eastAsia="TimesLTStd-Roman" w:cs="TimesLTStd-Roman"/>
          <w:color w:val="000000"/>
        </w:rPr>
        <w:t xml:space="preserve"> Т-лимфоцитов, </w:t>
      </w:r>
      <w:r w:rsidR="002B1F70">
        <w:rPr>
          <w:rFonts w:eastAsia="TimesLTStd-Roman" w:cs="TimesLTStd-Roman"/>
          <w:color w:val="000000"/>
        </w:rPr>
        <w:t xml:space="preserve">а также </w:t>
      </w:r>
      <w:r w:rsidRPr="006E41C5">
        <w:rPr>
          <w:rFonts w:eastAsia="TimesLTStd-Roman" w:cs="TimesLTStd-Roman"/>
          <w:color w:val="000000"/>
        </w:rPr>
        <w:t>дифференцировку</w:t>
      </w:r>
      <w:r w:rsidR="002B1F70">
        <w:rPr>
          <w:rFonts w:eastAsia="TimesLTStd-Roman" w:cs="TimesLTStd-Roman"/>
          <w:color w:val="000000"/>
        </w:rPr>
        <w:t>,</w:t>
      </w:r>
      <w:r w:rsidR="002D1A94">
        <w:rPr>
          <w:rFonts w:eastAsia="TimesLTStd-Roman" w:cs="TimesLTStd-Roman"/>
          <w:color w:val="000000"/>
        </w:rPr>
        <w:t xml:space="preserve"> </w:t>
      </w:r>
      <w:r w:rsidR="002B1F70" w:rsidRPr="006E41C5">
        <w:rPr>
          <w:rFonts w:eastAsia="TimesLTStd-Roman" w:cs="TimesLTStd-Roman"/>
          <w:color w:val="000000"/>
        </w:rPr>
        <w:t>выживание и</w:t>
      </w:r>
      <w:r w:rsidR="009119D3">
        <w:rPr>
          <w:rFonts w:eastAsia="TimesLTStd-Roman" w:cs="TimesLTStd-Roman"/>
          <w:color w:val="000000"/>
        </w:rPr>
        <w:t xml:space="preserve"> </w:t>
      </w:r>
      <w:r w:rsidR="002B1F70">
        <w:rPr>
          <w:rFonts w:eastAsia="TimesLTStd-Roman" w:cs="TimesLTStd-Roman"/>
          <w:color w:val="000000"/>
        </w:rPr>
        <w:t>миграцию</w:t>
      </w:r>
      <w:r w:rsidRPr="006E41C5">
        <w:rPr>
          <w:rFonts w:eastAsia="TimesLTStd-Roman" w:cs="TimesLTStd-Roman"/>
          <w:color w:val="000000"/>
        </w:rPr>
        <w:t xml:space="preserve"> Т-лимфоцитов в кож</w:t>
      </w:r>
      <w:r>
        <w:rPr>
          <w:rFonts w:eastAsia="TimesLTStd-Roman" w:cs="TimesLTStd-Roman"/>
          <w:color w:val="000000"/>
        </w:rPr>
        <w:t>у</w:t>
      </w:r>
      <w:r w:rsidR="009C365A">
        <w:rPr>
          <w:rFonts w:eastAsia="TimesLTStd-Roman" w:cs="TimesLTStd-Roman"/>
          <w:color w:val="000000"/>
        </w:rPr>
        <w:t xml:space="preserve"> </w:t>
      </w:r>
      <w:r w:rsidR="009C365A">
        <w:rPr>
          <w:rFonts w:eastAsia="TimesLTStd-Roman" w:cs="TimesLTStd-Roman"/>
          <w:color w:val="000000"/>
        </w:rPr>
        <w:fldChar w:fldCharType="begin" w:fldLock="1"/>
      </w:r>
      <w:r w:rsidR="00306062">
        <w:rPr>
          <w:rFonts w:eastAsia="TimesLTStd-Roman" w:cs="TimesLTStd-Roman"/>
          <w:color w:val="000000"/>
        </w:rPr>
        <w:instrText>ADDIN CSL_CITATION {"citationItems":[{"id":"ITEM-1","itemData":{"DOI":"10.1038/ng.3442","ISSN":"15461718","PMID":"26551667","abstract":"Sézary syndrome is a leukemic and aggressive form of cutaneous T cell lymphoma (CTCL) resulting from the malignant transformation of skin-homing central memory CD4+ T cells. Here we performed whole-exome sequencing of tumor-normal sample pairs from 25 patients with Sézary syndrome and 17 patients with other CTCLs. These analyses identified a distinctive pattern of somatic copy number alterations in Sézary syndrome, including highly prevalent chromosomal deletions involving the TP53, RB1, PTEN, DNMT3A and CDKN1B tumor suppressors. Mutation analysis identified a broad spectrum of somatic mutations in key genes involved in epigenetic regulation (TET2, CREBBP, KMT2D (MLL2), KMT2C (MLL3), BRD9, SMARCA4 and CHD3) and signaling, including MAPK1, BRAF, CARD11 and PRKG1 mutations driving increased MAPK, NF-κB and NFAT activity upon T cell receptor stimulation. Collectively, our findings provide new insights into the genetics of Sézary syndrome and CTCL and support the development of personalized therapies targeting key oncogenically activated signaling pathways for the treatment of these diseases.","author":[{"dropping-particle":"","family":"Silva Almeida","given":"Ana Carolina","non-dropping-particle":"Da","parse-names":false,"suffix":""},{"dropping-particle":"","family":"Abate","given":"Francesco","non-dropping-particle":"","parse-names":false,"suffix":""},{"dropping-particle":"","family":"Khiabanian","given":"Hossein","non-dropping-particle":"","parse-names":false,"suffix":""},{"dropping-particle":"","family":"Martinez-Escala","given":"Estela","non-dropping-particle":"","parse-names":false,"suffix":""},{"dropping-particle":"","family":"Guitart","given":"Joan","non-dropping-particle":"","parse-names":false,"suffix":""},{"dropping-particle":"","family":"Tensen","given":"Cornelis P.","non-dropping-particle":"","parse-names":false,"suffix":""},{"dropping-particle":"","family":"Vermeer","given":"Maarten H.","non-dropping-particle":"","parse-names":false,"suffix":""},{"dropping-particle":"","family":"Rabadan","given":"Raul","non-dropping-particle":"","parse-names":false,"suffix":""},{"dropping-particle":"","family":"Ferrando","given":"Adolfo","non-dropping-particle":"","parse-names":false,"suffix":""},{"dropping-particle":"","family":"Palomero","given":"Teresa","non-dropping-particle":"","parse-names":false,"suffix":""}],"container-title":"Nature Genetics","id":"ITEM-1","issue":"12","issued":{"date-parts":[["2015","12","1"]]},"page":"1465-1470","publisher":"Nature Publishing Group","title":"The mutational landscape of cutaneous T cell lymphoma and Sézary syndrome","type":"article-journal","volume":"47"},"uris":["http://www.mendeley.com/documents/?uuid=3b969259-db8c-3941-be34-9f28bc897d4a"]},{"id":"ITEM-2","itemData":{"DOI":"10.1038/ng.3444","ISSN":"15461718","PMID":"26551670","abstract":"Sézary syndrome is a rare leukemic form of cutaneous T cell lymphoma characterized by generalized redness, scaling, itching and increased numbers of circulating atypical T lymphocytes. It is rarely curable, with poor prognosis. Here we present a multiplatform genomic analysis of 37 patients with Sézary syndrome that implicates dysregulation of cell cycle checkpoint and T cell signaling. Frequent somatic alterations were identified in TP53, CARD11, CCR4, PLCG1, CDKN2A, ARID1A, RPS6KA1 and ZEB1. Activating CCR4 and CARD11 mutations were detected in nearly one-third of patients. ZEB1, encoding a transcription repressor essential for T cell differentiation, was deleted in over one-half of patients. IL32 and IL2RG were overexpressed in nearly all cases. Our results demonstrate profound disruption of key signaling pathways in Sézary syndrome and suggest potential targets for new therapies.","author":[{"dropping-particle":"","family":"Wang","given":"Linghua","non-dropping-particle":"","parse-names":false,"suffix":""},{"dropping-particle":"","family":"Ni","given":"Xiao","non-dropping-particle":"","parse-names":false,"suffix":""},{"dropping-particle":"","family":"Covington","given":"Kyle R.","non-dropping-particle":"","parse-names":false,"suffix":""},{"dropping-particle":"","family":"Yang","given":"Betty Y.","non-dropping-particle":"","parse-names":false,"suffix":""},{"dropping-particle":"","family":"Shiu","given":"Jessica","non-dropping-particle":"","parse-names":false,"suffix":""},{"dropping-particle":"","family":"Zhang","given":"Xiang","non-dropping-particle":"","parse-names":false,"suffix":""},{"dropping-particle":"","family":"Xi","given":"Liu","non-dropping-particle":"","parse-names":false,"suffix":""},{"dropping-particle":"","family":"Meng","given":"Qingchang","non-dropping-particle":"","parse-names":false,"suffix":""},{"dropping-particle":"","family":"Langridge","given":"Timothy","non-dropping-particle":"","parse-names":false,"suffix":""},{"dropping-particle":"","family":"Drummond","given":"Jennifer","non-dropping-particle":"","parse-names":false,"suffix":""},{"dropping-particle":"","family":"Donehower","given":"Lawrence A.","non-dropping-particle":"","parse-names":false,"suffix":""},{"dropping-particle":"","family":"Doddapaneni","given":"Harshavardhan","non-dropping-particle":"","parse-names":false,"suffix":""},{"dropping-particle":"","family":"Muzny","given":"Donna M.","non-dropping-particle":"","parse-names":false,"suffix":""},{"dropping-particle":"","family":"Gibbs","given":"Richard A.","non-dropping-particle":"","parse-names":false,"suffix":""},{"dropping-particle":"","family":"Wheeler","given":"David A.","non-dropping-particle":"","parse-names":false,"suffix":""},{"dropping-particle":"","family":"Duvic","given":"Madeleine","non-dropping-particle":"","parse-names":false,"suffix":""}],"container-title":"Nature Genetics","id":"ITEM-2","issue":"12","issued":{"date-parts":[["2015","12","1"]]},"page":"1426-1434","publisher":"Nature Publishing Group","title":"Genomic profiling of Sézary syndrome identifies alterations of key T cell signaling and differentiation genes","type":"article-journal","volume":"47"},"uris":["http://www.mendeley.com/documents/?uuid=ac746466-26c0-3692-967d-6383b656dbdb"]},{"id":"ITEM-3","itemData":{"DOI":"10.1038/ng.3370","ISSN":"15461718","PMID":"26258847","abstract":"Mycosis fungoides and Sézary syndrome comprise the majority of cutaneous T cell lymphomas (CTCLs), disorders notable for their clinical heterogeneity that can present in skin or peripheral blood. Effective treatment options for CTCL are limited, and the genetic basis of these T cell lymphomas remains incompletely characterized1. Here we report recurrent point mutations and genomic gains of TNFRSF1B, encoding the tumor necrosis factor receptor TNFR2, in 18% of patients with mycosis fungoides and Sézary syndrome. Expression of the recurrent TNFR2 Thr377Ile mutant in T cells leads to enhanced non-canonical NF-κB signaling that is sensitive to the proteasome inhibitor bortezomib. Using an integrative genomic approach, we additionally discovered a recurrent CTLA4-CD28 fusion, as well as mutations in downstream signaling mediators of these receptors.","author":[{"dropping-particle":"","family":"Ungewickell","given":"Alexander","non-dropping-particle":"","parse-names":false,"suffix":""},{"dropping-particle":"","family":"Bhaduri","given":"Aparna","non-dropping-particle":"","parse-names":false,"suffix":""},{"dropping-particle":"","family":"Rios","given":"Eon","non-dropping-particle":"","parse-names":false,"suffix":""},{"dropping-particle":"","family":"Reuter","given":"Jason","non-dropping-particle":"","parse-names":false,"suffix":""},{"dropping-particle":"","family":"Lee","given":"Carolyn S.","non-dropping-particle":"","parse-names":false,"suffix":""},{"dropping-particle":"","family":"Mah","given":"Angela","non-dropping-particle":"","parse-names":false,"suffix":""},{"dropping-particle":"","family":"Zehnder","given":"Ashley","non-dropping-particle":"","parse-names":false,"suffix":""},{"dropping-particle":"","family":"Ohgami","given":"Robert","non-dropping-particle":"","parse-names":false,"suffix":""},{"dropping-particle":"","family":"Kulkarni","given":"Shashikant","non-dropping-particle":"","parse-names":false,"suffix":""},{"dropping-particle":"","family":"Armstrong","given":"Randall","non-dropping-particle":"","parse-names":false,"suffix":""},{"dropping-particle":"","family":"Weng","given":"Wen Kai","non-dropping-particle":"","parse-names":false,"suffix":""},{"dropping-particle":"","family":"Gratzinger","given":"Dita","non-dropping-particle":"","parse-names":false,"suffix":""},{"dropping-particle":"","family":"Tavallaee","given":"Mahkam","non-dropping-particle":"","parse-names":false,"suffix":""},{"dropping-particle":"","family":"Rook","given":"Alain","non-dropping-particle":"","parse-names":false,"suffix":""},{"dropping-particle":"","family":"Snyder","given":"Michael","non-dropping-particle":"","parse-names":false,"suffix":""},{"dropping-particle":"","family":"Kim","given":"Youn","non-dropping-particle":"","parse-names":false,"suffix":""},{"dropping-particle":"","family":"Khavari","given":"Paul A.","non-dropping-particle":"","parse-names":false,"suffix":""}],"container-title":"Nature Genetics","id":"ITEM-3","issue":"9","issued":{"date-parts":[["2015","8","27"]]},"page":"1056-1060","publisher":"Nature Publishing Group","title":"Genomic analysis of mycosis fungoides and Sézary syndrome identifies recurrent alterations in TNFR2","type":"article-journal","volume":"47"},"uris":["http://www.mendeley.com/documents/?uuid=9b7ef8d9-7681-3e0c-bcf2-8da537fb2f69"]}],"mendeley":{"formattedCitation":"[3–5]","plainTextFormattedCitation":"[3–5]","previouslyFormattedCitation":"[3–5]"},"properties":{"noteIndex":0},"schema":"https://github.com/citation-style-language/schema/raw/master/csl-citation.json"}</w:instrText>
      </w:r>
      <w:r w:rsidR="009C365A">
        <w:rPr>
          <w:rFonts w:eastAsia="TimesLTStd-Roman" w:cs="TimesLTStd-Roman"/>
          <w:color w:val="000000"/>
        </w:rPr>
        <w:fldChar w:fldCharType="separate"/>
      </w:r>
      <w:r w:rsidR="002439E7" w:rsidRPr="002439E7">
        <w:rPr>
          <w:rFonts w:eastAsia="TimesLTStd-Roman" w:cs="TimesLTStd-Roman"/>
          <w:noProof/>
          <w:color w:val="000000"/>
        </w:rPr>
        <w:t>[3–5]</w:t>
      </w:r>
      <w:r w:rsidR="009C365A">
        <w:rPr>
          <w:rFonts w:eastAsia="TimesLTStd-Roman" w:cs="TimesLTStd-Roman"/>
          <w:color w:val="000000"/>
        </w:rPr>
        <w:fldChar w:fldCharType="end"/>
      </w:r>
      <w:r w:rsidRPr="00EC7CF1">
        <w:rPr>
          <w:rFonts w:eastAsia="TimesLTStd-Roman" w:cs="TimesLTStd-Roman"/>
          <w:color w:val="000000"/>
        </w:rPr>
        <w:t xml:space="preserve">. </w:t>
      </w:r>
    </w:p>
    <w:p w:rsidR="00E0145A" w:rsidRDefault="006E41C5" w:rsidP="0021676E">
      <w:pPr>
        <w:pStyle w:val="1f1"/>
      </w:pPr>
      <w:r w:rsidRPr="006E41C5">
        <w:rPr>
          <w:rFonts w:eastAsia="TimesLTStd-Roman" w:cs="TimesLTStd-Roman"/>
          <w:color w:val="000000"/>
        </w:rPr>
        <w:t xml:space="preserve">Злокачественная популяция Т-лимфоцитов </w:t>
      </w:r>
      <w:r w:rsidR="00DD0BA9">
        <w:rPr>
          <w:rFonts w:eastAsia="TimesLTStd-Roman" w:cs="TimesLTStd-Roman"/>
          <w:color w:val="000000"/>
        </w:rPr>
        <w:t>вырабатывает интерлейкин-(ИЛ)-4</w:t>
      </w:r>
      <w:r w:rsidRPr="006E41C5">
        <w:rPr>
          <w:rFonts w:eastAsia="TimesLTStd-Roman" w:cs="TimesLTStd-Roman"/>
          <w:color w:val="000000"/>
        </w:rPr>
        <w:t xml:space="preserve"> и ИЛ-10, </w:t>
      </w:r>
      <w:r w:rsidR="00C833B7">
        <w:rPr>
          <w:rFonts w:eastAsia="TimesLTStd-Roman" w:cs="TimesLTStd-Roman"/>
          <w:color w:val="000000"/>
        </w:rPr>
        <w:t xml:space="preserve">что </w:t>
      </w:r>
      <w:r w:rsidRPr="006E41C5">
        <w:rPr>
          <w:rFonts w:eastAsia="TimesLTStd-Roman" w:cs="TimesLTStd-Roman"/>
          <w:color w:val="000000"/>
        </w:rPr>
        <w:t>соответств</w:t>
      </w:r>
      <w:r w:rsidR="00C833B7">
        <w:rPr>
          <w:rFonts w:eastAsia="TimesLTStd-Roman" w:cs="TimesLTStd-Roman"/>
          <w:color w:val="000000"/>
        </w:rPr>
        <w:t>ует</w:t>
      </w:r>
      <w:r w:rsidRPr="006E41C5">
        <w:rPr>
          <w:rFonts w:eastAsia="TimesLTStd-Roman" w:cs="TimesLTStd-Roman"/>
          <w:color w:val="000000"/>
        </w:rPr>
        <w:t xml:space="preserve"> профилю Т-хелперов 2-го типа (</w:t>
      </w:r>
      <w:r w:rsidRPr="006E41C5">
        <w:rPr>
          <w:rFonts w:eastAsia="TimesLTStd-Roman" w:cs="TimesLTStd-Roman"/>
          <w:color w:val="000000"/>
          <w:lang w:val="en-US"/>
        </w:rPr>
        <w:t>Th</w:t>
      </w:r>
      <w:r w:rsidRPr="006E41C5">
        <w:rPr>
          <w:rFonts w:eastAsia="TimesLTStd-Roman" w:cs="TimesLTStd-Roman"/>
          <w:color w:val="000000"/>
        </w:rPr>
        <w:t xml:space="preserve">2), </w:t>
      </w:r>
      <w:r w:rsidR="00C833B7">
        <w:rPr>
          <w:rFonts w:eastAsia="TimesLTStd-Roman" w:cs="TimesLTStd-Roman"/>
          <w:color w:val="000000"/>
        </w:rPr>
        <w:t>и экспресирует</w:t>
      </w:r>
      <w:r w:rsidR="002D1A94">
        <w:rPr>
          <w:rFonts w:eastAsia="TimesLTStd-Roman" w:cs="TimesLTStd-Roman"/>
          <w:color w:val="000000"/>
        </w:rPr>
        <w:t xml:space="preserve"> </w:t>
      </w:r>
      <w:r w:rsidR="00C833B7">
        <w:rPr>
          <w:rFonts w:eastAsia="TimesLTStd-Roman" w:cs="TimesLTStd-Roman"/>
          <w:color w:val="000000"/>
        </w:rPr>
        <w:t xml:space="preserve">маркер </w:t>
      </w:r>
      <w:r w:rsidRPr="006E41C5">
        <w:rPr>
          <w:rFonts w:eastAsia="TimesLTStd-Roman" w:cs="TimesLTStd-Roman"/>
          <w:color w:val="000000"/>
          <w:lang w:val="en-US"/>
        </w:rPr>
        <w:t>CD</w:t>
      </w:r>
      <w:r w:rsidRPr="006E41C5">
        <w:rPr>
          <w:rFonts w:eastAsia="TimesLTStd-Roman" w:cs="TimesLTStd-Roman"/>
          <w:color w:val="000000"/>
        </w:rPr>
        <w:t xml:space="preserve">25 и белок </w:t>
      </w:r>
      <w:r w:rsidRPr="006E41C5">
        <w:rPr>
          <w:rFonts w:eastAsia="TimesLTStd-Roman" w:cs="TimesLTStd-Roman"/>
          <w:color w:val="000000"/>
          <w:lang w:val="en-US"/>
        </w:rPr>
        <w:t>Fox</w:t>
      </w:r>
      <w:r w:rsidRPr="006E41C5">
        <w:rPr>
          <w:rFonts w:eastAsia="TimesLTStd-Roman" w:cs="TimesLTStd-Roman"/>
          <w:color w:val="000000"/>
        </w:rPr>
        <w:t>-</w:t>
      </w:r>
      <w:r w:rsidRPr="006E41C5">
        <w:rPr>
          <w:rFonts w:eastAsia="TimesLTStd-Roman" w:cs="TimesLTStd-Roman"/>
          <w:color w:val="000000"/>
          <w:lang w:val="en-US"/>
        </w:rPr>
        <w:t>P</w:t>
      </w:r>
      <w:r w:rsidRPr="006E41C5">
        <w:rPr>
          <w:rFonts w:eastAsia="TimesLTStd-Roman" w:cs="TimesLTStd-Roman"/>
          <w:color w:val="000000"/>
        </w:rPr>
        <w:t>3 (</w:t>
      </w:r>
      <w:r w:rsidRPr="006E41C5">
        <w:rPr>
          <w:rFonts w:eastAsia="TimesLTStd-Roman" w:cs="TimesLTStd-Roman"/>
          <w:color w:val="000000"/>
          <w:lang w:val="en-US"/>
        </w:rPr>
        <w:t>forkhead</w:t>
      </w:r>
      <w:r w:rsidR="002D1A94">
        <w:rPr>
          <w:rFonts w:eastAsia="TimesLTStd-Roman" w:cs="TimesLTStd-Roman"/>
          <w:color w:val="000000"/>
        </w:rPr>
        <w:t xml:space="preserve"> </w:t>
      </w:r>
      <w:r w:rsidRPr="006E41C5">
        <w:rPr>
          <w:rFonts w:eastAsia="TimesLTStd-Roman" w:cs="TimesLTStd-Roman"/>
          <w:color w:val="000000"/>
          <w:lang w:val="en-US"/>
        </w:rPr>
        <w:t>box</w:t>
      </w:r>
      <w:r w:rsidR="002D1A94">
        <w:rPr>
          <w:rFonts w:eastAsia="TimesLTStd-Roman" w:cs="TimesLTStd-Roman"/>
          <w:color w:val="000000"/>
        </w:rPr>
        <w:t xml:space="preserve"> </w:t>
      </w:r>
      <w:r w:rsidRPr="006E41C5">
        <w:rPr>
          <w:rFonts w:eastAsia="TimesLTStd-Roman" w:cs="TimesLTStd-Roman"/>
          <w:color w:val="000000"/>
          <w:lang w:val="en-US"/>
        </w:rPr>
        <w:t>protein</w:t>
      </w:r>
      <w:r w:rsidRPr="006E41C5">
        <w:rPr>
          <w:rFonts w:eastAsia="TimesLTStd-Roman" w:cs="TimesLTStd-Roman"/>
          <w:color w:val="000000"/>
        </w:rPr>
        <w:t xml:space="preserve"> 3), </w:t>
      </w:r>
      <w:r w:rsidR="00C833B7">
        <w:rPr>
          <w:rFonts w:eastAsia="TimesLTStd-Roman" w:cs="TimesLTStd-Roman"/>
          <w:color w:val="000000"/>
        </w:rPr>
        <w:t xml:space="preserve">что </w:t>
      </w:r>
      <w:r w:rsidRPr="006E41C5">
        <w:rPr>
          <w:rFonts w:eastAsia="TimesLTStd-Roman" w:cs="TimesLTStd-Roman"/>
          <w:color w:val="000000"/>
        </w:rPr>
        <w:t>соответству</w:t>
      </w:r>
      <w:r w:rsidR="00C833B7">
        <w:rPr>
          <w:rFonts w:eastAsia="TimesLTStd-Roman" w:cs="TimesLTStd-Roman"/>
          <w:color w:val="000000"/>
        </w:rPr>
        <w:t>ет</w:t>
      </w:r>
      <w:r w:rsidRPr="006E41C5">
        <w:rPr>
          <w:rFonts w:eastAsia="TimesLTStd-Roman" w:cs="TimesLTStd-Roman"/>
          <w:color w:val="000000"/>
        </w:rPr>
        <w:t xml:space="preserve"> профилю Т-регуляторных лимфоцитов (Т-супрессор</w:t>
      </w:r>
      <w:r w:rsidR="00C833B7">
        <w:rPr>
          <w:rFonts w:eastAsia="TimesLTStd-Roman" w:cs="TimesLTStd-Roman"/>
          <w:color w:val="000000"/>
        </w:rPr>
        <w:t>ов</w:t>
      </w:r>
      <w:r w:rsidRPr="006E41C5">
        <w:rPr>
          <w:rFonts w:eastAsia="TimesLTStd-Roman" w:cs="TimesLTStd-Roman"/>
          <w:color w:val="000000"/>
        </w:rPr>
        <w:t>)</w:t>
      </w:r>
      <w:r w:rsidR="00306062">
        <w:rPr>
          <w:rFonts w:eastAsia="TimesLTStd-Roman" w:cs="TimesLTStd-Roman"/>
          <w:color w:val="000000"/>
        </w:rPr>
        <w:t xml:space="preserve"> </w:t>
      </w:r>
      <w:r w:rsidR="00306062">
        <w:rPr>
          <w:rFonts w:eastAsia="TimesLTStd-Roman" w:cs="TimesLTStd-Roman"/>
          <w:color w:val="000000"/>
        </w:rPr>
        <w:fldChar w:fldCharType="begin" w:fldLock="1"/>
      </w:r>
      <w:r w:rsidR="007071ED">
        <w:rPr>
          <w:rFonts w:eastAsia="TimesLTStd-Roman" w:cs="TimesLTStd-Roman"/>
          <w:color w:val="000000"/>
        </w:rPr>
        <w:instrText>ADDIN CSL_CITATION {"citationItems":[{"id":"ITEM-1","itemData":{"DOI":"10.1182/blood-2004-06-2181","ISSN":"00064971","PMID":"15514008","abstract":"Studies in an in vitro model of cutaneous T-cell lymphoma (CTCL) demonstrated that CTCL cell proliferation is stimulated by direct contact with autologous, immature dendritic cells (DCs), suggesting that C04+ CTCL cell division is driven by antigens presented by DC major histocompatibllity complex (MHC) class 2. We now report that the T-cell receptor (TCH) of the CD4+ CTCL cells is triggered after Interaction with DCs loaded with apoptotic CTCL cells, as shown by reduced membrane expression of CD3 and the TCR, up-regulation o! cytotoxic T lymphocyte antigen-4 (CTLA-4), and calcium mobilization. CTCL cells adopt a T-regulatory (Trag) phenotype expressing CD25/CTLA-4 and FoxP3 and secreting interleukin-10 (IL-10) and transforming growth factor-β (TGF-β). Trag CTCL cells suppress normal T-cell antigen-driven secretion of IL-2 and interferon-γ (IFN-γ). Blocking DC MHC class 2 expression or transport inhibited CTCL cell adoption of a Treg phenotype. Allogeneic CTCL cells or normal CD4 T cells served as sources of apoptotic material for CTCL cell conversion to a Treg phenotype. Conversion of CTCL cells to Treg cells may explain the anergic, immunosuppressive nature of the malignancy. © 2005 by The American Society of Hematology.","author":[{"dropping-particle":"","family":"Berger","given":"Carole L.","non-dropping-particle":"","parse-names":false,"suffix":""},{"dropping-particle":"","family":"Tigelaar","given":"Robert","non-dropping-particle":"","parse-names":false,"suffix":""},{"dropping-particle":"","family":"Cohen","given":"Justine","non-dropping-particle":"","parse-names":false,"suffix":""},{"dropping-particle":"","family":"Mariwalla","given":"Kavita","non-dropping-particle":"","parse-names":false,"suffix":""},{"dropping-particle":"","family":"Trinh","given":"Jennifer","non-dropping-particle":"","parse-names":false,"suffix":""},{"dropping-particle":"","family":"Wang","given":"Nianci","non-dropping-particle":"","parse-names":false,"suffix":""},{"dropping-particle":"","family":"Edelson","given":"Richard L.","non-dropping-particle":"","parse-names":false,"suffix":""}],"container-title":"Blood","id":"ITEM-1","issue":"4","issued":{"date-parts":[["2005","2","15"]]},"page":"1640-1647","publisher":"Blood","title":"Cutaneous T-cell lymphoma: Malignant proliferation of T-regulatory cells","type":"article-journal","volume":"105"},"uris":["http://www.mendeley.com/documents/?uuid=80d7271a-2964-33af-8954-1e7bb3435d03"]},{"id":"ITEM-2","itemData":{"DOI":"10.12788/j.sder.2018.005","ISSN":"15580768","abstract":"Sézary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Surgery","id":"ITEM-2","issue":"1","issued":{"date-parts":[["2018","3","1"]]},"page":"18-23","publisher":"Frontline Medical Communications","title":"Sézary syndrome-clinical and histopathologic features, differential diagnosis, and treatment","type":"article-journal","volume":"37"},"uris":["http://www.mendeley.com/documents/?uuid=789da34a-52f5-334d-89ab-ada602da3b00"]},{"id":"ITEM-3","itemData":{"DOI":"10.1016/j.jaad.2010.08.037","ISSN":"01909622","PMID":"21145619","abstract":"Sézary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Dermatology","id":"ITEM-3","issue":"2","issued":{"date-parts":[["2011","2"]]},"page":"352-404","publisher":"J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mendeley":{"formattedCitation":"[6–8]","plainTextFormattedCitation":"[6–8]","previouslyFormattedCitation":"[6–8]"},"properties":{"noteIndex":0},"schema":"https://github.com/citation-style-language/schema/raw/master/csl-citation.json"}</w:instrText>
      </w:r>
      <w:r w:rsidR="00306062">
        <w:rPr>
          <w:rFonts w:eastAsia="TimesLTStd-Roman" w:cs="TimesLTStd-Roman"/>
          <w:color w:val="000000"/>
        </w:rPr>
        <w:fldChar w:fldCharType="separate"/>
      </w:r>
      <w:r w:rsidR="007071ED" w:rsidRPr="007071ED">
        <w:rPr>
          <w:rFonts w:eastAsia="TimesLTStd-Roman" w:cs="TimesLTStd-Roman"/>
          <w:noProof/>
          <w:color w:val="000000"/>
        </w:rPr>
        <w:t>[6–8]</w:t>
      </w:r>
      <w:r w:rsidR="00306062">
        <w:rPr>
          <w:rFonts w:eastAsia="TimesLTStd-Roman" w:cs="TimesLTStd-Roman"/>
          <w:color w:val="000000"/>
        </w:rPr>
        <w:fldChar w:fldCharType="end"/>
      </w:r>
      <w:r w:rsidR="00DD0BA9">
        <w:rPr>
          <w:rFonts w:eastAsia="TimesLTStd-Roman" w:cs="TimesLTStd-Roman"/>
          <w:color w:val="000000"/>
        </w:rPr>
        <w:t>.</w:t>
      </w:r>
      <w:r w:rsidR="002D1A94">
        <w:rPr>
          <w:rFonts w:eastAsia="TimesLTStd-Roman" w:cs="TimesLTStd-Roman"/>
          <w:color w:val="000000"/>
        </w:rPr>
        <w:t xml:space="preserve"> </w:t>
      </w:r>
      <w:r w:rsidR="00DD0BA9" w:rsidRPr="006E41C5">
        <w:rPr>
          <w:rFonts w:eastAsia="TimesLTStd-Roman" w:cs="TimesLTStd-Roman"/>
          <w:color w:val="000000"/>
        </w:rPr>
        <w:t xml:space="preserve">В результате смещения иммунных реакций в сторону </w:t>
      </w:r>
      <w:r w:rsidR="00DD0BA9" w:rsidRPr="006E41C5">
        <w:rPr>
          <w:rFonts w:eastAsia="TimesLTStd-Roman" w:cs="TimesLTStd-Roman"/>
          <w:color w:val="000000"/>
          <w:lang w:val="en-US"/>
        </w:rPr>
        <w:t>Th</w:t>
      </w:r>
      <w:r w:rsidR="00DD0BA9" w:rsidRPr="006E41C5">
        <w:rPr>
          <w:rFonts w:eastAsia="TimesLTStd-Roman" w:cs="TimesLTStd-Roman"/>
          <w:color w:val="000000"/>
        </w:rPr>
        <w:t xml:space="preserve">2 и </w:t>
      </w:r>
      <w:r w:rsidR="00DD0BA9" w:rsidRPr="006E41C5">
        <w:rPr>
          <w:rFonts w:eastAsia="TimesLTStd-Roman" w:cs="TimesLTStd-Roman"/>
          <w:color w:val="000000"/>
          <w:lang w:val="en-US"/>
        </w:rPr>
        <w:t>T</w:t>
      </w:r>
      <w:r w:rsidR="00DD0BA9" w:rsidRPr="006E41C5">
        <w:rPr>
          <w:rFonts w:eastAsia="TimesLTStd-Roman" w:cs="TimesLTStd-Roman"/>
          <w:color w:val="000000"/>
        </w:rPr>
        <w:t xml:space="preserve">-регуляторного профилей происходит подавление функции естественных киллерных и </w:t>
      </w:r>
      <w:r w:rsidR="00DD0BA9" w:rsidRPr="006E41C5">
        <w:rPr>
          <w:rFonts w:eastAsia="TimesLTStd-Roman" w:cs="TimesLTStd-Roman"/>
          <w:color w:val="000000"/>
          <w:lang w:val="en-US"/>
        </w:rPr>
        <w:t>CD</w:t>
      </w:r>
      <w:r w:rsidR="00DD0BA9" w:rsidRPr="006E41C5">
        <w:rPr>
          <w:rFonts w:eastAsia="TimesLTStd-Roman" w:cs="TimesLTStd-Roman"/>
          <w:color w:val="000000"/>
        </w:rPr>
        <w:t>8-экспрессирующих Т-лимфоцитов, а также нарушение функции и дифференцировки дендритных клеток, что</w:t>
      </w:r>
      <w:r w:rsidR="00DD0BA9">
        <w:rPr>
          <w:rFonts w:eastAsia="TimesLTStd-Roman" w:cs="TimesLTStd-Roman"/>
          <w:color w:val="000000"/>
        </w:rPr>
        <w:t xml:space="preserve"> приводит</w:t>
      </w:r>
      <w:r w:rsidR="00DD0BA9" w:rsidRPr="006E41C5">
        <w:rPr>
          <w:rFonts w:eastAsia="TimesLTStd-Roman" w:cs="TimesLTStd-Roman"/>
          <w:color w:val="000000"/>
        </w:rPr>
        <w:t xml:space="preserve"> к подавлению нормального иммунного ответа</w:t>
      </w:r>
      <w:r w:rsidR="00DD0BA9">
        <w:rPr>
          <w:rFonts w:eastAsia="TimesLTStd-Roman" w:cs="TimesLTStd-Roman"/>
          <w:color w:val="000000"/>
        </w:rPr>
        <w:t>, в том числе</w:t>
      </w:r>
      <w:r w:rsidR="00DD0BA9" w:rsidRPr="006E41C5">
        <w:rPr>
          <w:rFonts w:eastAsia="TimesLTStd-Roman" w:cs="TimesLTStd-Roman"/>
          <w:color w:val="000000"/>
        </w:rPr>
        <w:t xml:space="preserve"> на вирусные инфекции и новообразования</w:t>
      </w:r>
      <w:r w:rsidR="007071ED">
        <w:rPr>
          <w:rFonts w:eastAsia="TimesLTStd-Roman" w:cs="TimesLTStd-Roman"/>
          <w:color w:val="000000"/>
        </w:rPr>
        <w:t xml:space="preserve"> </w:t>
      </w:r>
      <w:r w:rsidR="007071ED">
        <w:rPr>
          <w:rFonts w:eastAsia="TimesLTStd-Roman" w:cs="TimesLTStd-Roman"/>
          <w:color w:val="000000"/>
        </w:rPr>
        <w:fldChar w:fldCharType="begin" w:fldLock="1"/>
      </w:r>
      <w:r w:rsidR="00485C55">
        <w:rPr>
          <w:rFonts w:eastAsia="TimesLTStd-Roman" w:cs="TimesLTStd-Roman"/>
          <w:color w:val="000000"/>
        </w:rPr>
        <w:instrText>ADDIN CSL_CITATION {"citationItems":[{"id":"ITEM-1","itemData":{"DOI":"10.1016/j.jaad.2010.08.037","ISSN":"01909622","PMID":"21145619","abstract":"Sézary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Dermatology","id":"ITEM-1","issue":"2","issued":{"date-parts":[["2011","2"]]},"page":"352-404","publisher":"J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mendeley":{"formattedCitation":"[8]","plainTextFormattedCitation":"[8]","previouslyFormattedCitation":"[8]"},"properties":{"noteIndex":0},"schema":"https://github.com/citation-style-language/schema/raw/master/csl-citation.json"}</w:instrText>
      </w:r>
      <w:r w:rsidR="007071ED">
        <w:rPr>
          <w:rFonts w:eastAsia="TimesLTStd-Roman" w:cs="TimesLTStd-Roman"/>
          <w:color w:val="000000"/>
        </w:rPr>
        <w:fldChar w:fldCharType="separate"/>
      </w:r>
      <w:r w:rsidR="007071ED" w:rsidRPr="007071ED">
        <w:rPr>
          <w:rFonts w:eastAsia="TimesLTStd-Roman" w:cs="TimesLTStd-Roman"/>
          <w:noProof/>
          <w:color w:val="000000"/>
        </w:rPr>
        <w:t>[8]</w:t>
      </w:r>
      <w:r w:rsidR="007071ED">
        <w:rPr>
          <w:rFonts w:eastAsia="TimesLTStd-Roman" w:cs="TimesLTStd-Roman"/>
          <w:color w:val="000000"/>
        </w:rPr>
        <w:fldChar w:fldCharType="end"/>
      </w:r>
      <w:r w:rsidR="00DD0BA9">
        <w:rPr>
          <w:rFonts w:eastAsia="TimesLTStd-Roman" w:cs="TimesLTStd-Roman"/>
          <w:color w:val="000000"/>
        </w:rPr>
        <w:t>.</w:t>
      </w:r>
    </w:p>
    <w:p w:rsidR="00B46390" w:rsidRPr="00311757" w:rsidRDefault="00B46390" w:rsidP="00172112">
      <w:pPr>
        <w:pStyle w:val="2"/>
      </w:pPr>
      <w:bookmarkStart w:id="21" w:name="_Toc34301077"/>
      <w:bookmarkStart w:id="22" w:name="_Toc67302900"/>
      <w:r w:rsidRPr="00B46390">
        <w:t xml:space="preserve">1.3 </w:t>
      </w:r>
      <w:r w:rsidRPr="00311757">
        <w:t>Эпидемиология</w:t>
      </w:r>
      <w:r w:rsidR="002D1A94">
        <w:t xml:space="preserve"> </w:t>
      </w:r>
      <w:r w:rsidR="00311757" w:rsidRPr="00311757">
        <w:rPr>
          <w:color w:val="333333"/>
          <w:shd w:val="clear" w:color="auto" w:fill="FFFFFF"/>
        </w:rPr>
        <w:t>заболевания или состояния (группы заболеваний или состояний)</w:t>
      </w:r>
      <w:bookmarkEnd w:id="21"/>
      <w:bookmarkEnd w:id="22"/>
    </w:p>
    <w:p w:rsidR="00094ED6" w:rsidRDefault="00DD0BA9" w:rsidP="00094ED6">
      <w:pPr>
        <w:pStyle w:val="1f1"/>
      </w:pPr>
      <w:r>
        <w:t>Синдром Сезари</w:t>
      </w:r>
      <w:r w:rsidRPr="00511563">
        <w:t xml:space="preserve"> составляет менее чем 5% от всех первичных кожных лимфом. Болеют преимущественно люди пожилого возраста с преобладанием пациентов мужского пола, средний возраст начала заболевания составляет 60</w:t>
      </w:r>
      <w:r>
        <w:t>–</w:t>
      </w:r>
      <w:r w:rsidRPr="00511563">
        <w:t>65 лет</w:t>
      </w:r>
      <w:r w:rsidR="007071ED">
        <w:t xml:space="preserve"> </w:t>
      </w:r>
      <w:r w:rsidR="00485C55">
        <w:fldChar w:fldCharType="begin" w:fldLock="1"/>
      </w:r>
      <w:r w:rsidR="004739BE">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treatment","type":"article-journal","volume":"37"},"uris":["http://www.mendeley.com/documents/?uuid=789da34a-52f5-334d-89ab-ada602da3b00"]},{"id":"ITEM-2","itemData":{"DOI":"10.1182/blood-2004-09-3502","ISSN":"00064971","PMID":"15692063","abstract":"Primary cutaneous lymphomas are currently classified by the European Organization for Research and Treatment of Cancer (EORTC) classification or the World Health Organization (WHO) classification, but both systems have shortcomings. In particular, differences in the classification of cutaneous T-cell lymphomas other than mycosis fungoides, Sézary syndrome, and the group of primary cutaneous CD30+ lymphoproliferative disorders and the classification and terminology of different types of cutaneous B-cell lymphomas have resulted in considerable debate and confusion. During recent consensus meetings representatives of both systems reached agreement on a new classification, which is now called the WHO-EORTC classification. In this paper we describe the characteristic features of the different primary cutaneous lymphomas and other hematologic neoplasms frequently presenting in the skin, and discuss differences with the previous classification schemes. In addition, the relative frequency and survival data of 1905 patients with primary cutaneous lymphomas derived from Dutch and Austrian registries for primary cutaneous lymphomas are presented to illustrate the clinical significance of this new classification. © 2005 by The American Society of Hematology.","author":[{"dropping-particle":"","family":"Willemze","given":"Rein","non-dropping-particle":"","parse-names":false,"suffix":""},{"dropping-particle":"","family":"Jaffe","given":"Elaine S.","non-dropping-particle":"","parse-names":false,"suffix":""},{"dropping-particle":"","family":"Burg","given":"Günter","non-dropping-particle":"","parse-names":false,"suffix":""},{"dropping-particle":"","family":"Cerroni","given":"Lorenzo","non-dropping-particle":"","parse-names":false,"suffix":""},{"dropping-particle":"","family":"Berti","given":"Emilio","non-dropping-particle":"","parse-names":false,"suffix":""},{"dropping-particle":"","family":"Swerdlow","given":"Steven H.","non-dropping-particle":"","parse-names":false,"suffix":""},{"dropping-particle":"","family":"Ralfkiaer","given":"Elisabeth","non-dropping-particle":"","parse-names":false,"suffix":""},{"dropping-particle":"","family":"Chimenti","given":"Sergio","non-dropping-particle":"","parse-names":false,"suffix":""},{"dropping-particle":"","family":"Diaz-Perez","given":"José L.","non-dropping-particle":"","parse-names":false,"suffix":""},{"dropping-particle":"","family":"Duncan","given":"Lyn M.","non-dropping-particle":"","parse-names":false,"suffix":""},{"dropping-particle":"","family":"Grange","given":"Florent","non-dropping-particle":"","parse-names":false,"suffix":""},{"dropping-particle":"","family":"Harris","given":"Nancy Lee","non-dropping-particle":"","parse-names":false,"suffix":""},{"dropping-particle":"","family":"Kempf","given":"Werner","non-dropping-particle":"","parse-names":false,"suffix":""},{"dropping-particle":"","family":"Kerl","given":"Helmut","non-dropping-particle":"","parse-names":false,"suffix":""},{"dropping-particle":"","family":"Kurrer","given":"Michael","non-dropping-particle":"","parse-names":false,"suffix":""},{"dropping-particle":"","family":"Knobler","given":"Robert","non-dropping-particle":"","parse-names":false,"suffix":""},{"dropping-particle":"","family":"Pimpinelli","given":"Nicola","non-dropping-particle":"","parse-names":false,"suffix":""},{"dropping-particle":"","family":"Sander","given":"Christian","non-dropping-particle":"","parse-names":false,"suffix":""},{"dropping-particle":"","family":"Santucci","given":"Marco","non-dropping-particle":"","parse-names":false,"suffix":""},{"dropping-particle":"","family":"Sterry","given":"Wolfram","non-dropping-particle":"","parse-names":false,"suffix":""},{"dropping-particle":"","family":"Vermeer","given":"Maarten H.","non-dropping-particle":"","parse-names":false,"suffix":""},{"dropping-particle":"","family":"Wechsler","given":"Janine","non-dropping-particle":"","parse-names":false,"suffix":""},{"dropping-particle":"","family":"Whittaker","given":"Sean","non-dropping-particle":"","parse-names":false,"suffix":""},{"dropping-particle":"","family":"Meijer","given":"Chris J.L.M.","non-dropping-particle":"","parse-names":false,"suffix":""}],"container-title":"Blood","id":"ITEM-2","issue":"10","issued":{"date-parts":[["2005","5","15"]]},"page":"3768-3785","publisher":"Blood","title":"WHO-EORTC classification for cutaneous lymphomas","type":"article","volume":"105"},"uris":["http://www.mendeley.com/documents/?uuid=8e52eb31-994e-32c0-a00f-5f8ccad0aba0"]}],"mendeley":{"formattedCitation":"[7,9]","plainTextFormattedCitation":"[7,9]","previouslyFormattedCitation":"[7,9]"},"properties":{"noteIndex":0},"schema":"https://github.com/citation-style-language/schema/raw/master/csl-citation.json"}</w:instrText>
      </w:r>
      <w:r w:rsidR="00485C55">
        <w:fldChar w:fldCharType="separate"/>
      </w:r>
      <w:r w:rsidR="004172F0" w:rsidRPr="004172F0">
        <w:rPr>
          <w:noProof/>
        </w:rPr>
        <w:t>[7,9]</w:t>
      </w:r>
      <w:r w:rsidR="00485C55">
        <w:fldChar w:fldCharType="end"/>
      </w:r>
      <w:r w:rsidR="004172F0">
        <w:t>.</w:t>
      </w:r>
    </w:p>
    <w:p w:rsidR="00311757" w:rsidRPr="00311757" w:rsidRDefault="00B46390" w:rsidP="00311757">
      <w:pPr>
        <w:pStyle w:val="2"/>
      </w:pPr>
      <w:bookmarkStart w:id="23" w:name="_Toc34301078"/>
      <w:bookmarkStart w:id="24" w:name="_Toc67302901"/>
      <w:r w:rsidRPr="00B46390">
        <w:lastRenderedPageBreak/>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3"/>
      <w:bookmarkEnd w:id="24"/>
    </w:p>
    <w:p w:rsidR="00315A5D" w:rsidRPr="00315A5D" w:rsidRDefault="00DD0BA9" w:rsidP="00A70F44">
      <w:r>
        <w:rPr>
          <w:lang w:val="en-US"/>
        </w:rPr>
        <w:t>C</w:t>
      </w:r>
      <w:r w:rsidRPr="00511563">
        <w:t>84.</w:t>
      </w:r>
      <w:r>
        <w:t>1 – Синдром Сезари.</w:t>
      </w:r>
    </w:p>
    <w:p w:rsidR="00B46390" w:rsidRDefault="00B46390" w:rsidP="00311757">
      <w:pPr>
        <w:pStyle w:val="2"/>
      </w:pPr>
      <w:bookmarkStart w:id="25" w:name="_Toc34301079"/>
      <w:bookmarkStart w:id="26" w:name="_Toc67302902"/>
      <w:r w:rsidRPr="00B46390">
        <w:t>1.5 Классификация</w:t>
      </w:r>
      <w:r w:rsidR="002D1A94">
        <w:t xml:space="preserve"> </w:t>
      </w:r>
      <w:r w:rsidR="00311757" w:rsidRPr="00311757">
        <w:rPr>
          <w:color w:val="333333"/>
          <w:shd w:val="clear" w:color="auto" w:fill="FFFFFF"/>
        </w:rPr>
        <w:t>заболевания или состояния (группы заболеваний или состояний)</w:t>
      </w:r>
      <w:bookmarkEnd w:id="25"/>
      <w:bookmarkEnd w:id="26"/>
    </w:p>
    <w:p w:rsidR="00364741" w:rsidRDefault="005B1751" w:rsidP="00384B6A">
      <w:pPr>
        <w:pStyle w:val="1f1"/>
      </w:pPr>
      <w:r w:rsidRPr="00336969">
        <w:rPr>
          <w:rFonts w:cs="Calibri"/>
          <w:lang w:eastAsia="ru-RU"/>
        </w:rPr>
        <w:t xml:space="preserve">Стадирование </w:t>
      </w:r>
      <w:r>
        <w:rPr>
          <w:rFonts w:cs="Calibri"/>
          <w:lang w:eastAsia="ru-RU"/>
        </w:rPr>
        <w:t>синдрома Сезари</w:t>
      </w:r>
      <w:r w:rsidRPr="00336969">
        <w:rPr>
          <w:rFonts w:cs="Calibri"/>
          <w:lang w:eastAsia="ru-RU"/>
        </w:rPr>
        <w:t xml:space="preserve"> проводится согласно пересмотренной </w:t>
      </w:r>
      <w:r w:rsidRPr="00336969">
        <w:rPr>
          <w:rFonts w:cs="Calibri"/>
          <w:lang w:val="en-US" w:eastAsia="ru-RU"/>
        </w:rPr>
        <w:t>TNM</w:t>
      </w:r>
      <w:r w:rsidRPr="00336969">
        <w:rPr>
          <w:rFonts w:cs="Calibri"/>
          <w:lang w:eastAsia="ru-RU"/>
        </w:rPr>
        <w:t xml:space="preserve"> классификации, предложенной Международным обществом по лимфомам кожи и Европейской организацией по изучению и лечению рака (</w:t>
      </w:r>
      <w:r w:rsidRPr="00336969">
        <w:rPr>
          <w:rFonts w:cs="Calibri"/>
          <w:lang w:val="en-US" w:eastAsia="ru-RU"/>
        </w:rPr>
        <w:t>ISCL</w:t>
      </w:r>
      <w:r w:rsidRPr="00336969">
        <w:rPr>
          <w:rFonts w:cs="Calibri"/>
          <w:lang w:eastAsia="ru-RU"/>
        </w:rPr>
        <w:t>-</w:t>
      </w:r>
      <w:r w:rsidRPr="00336969">
        <w:rPr>
          <w:rFonts w:cs="Calibri"/>
          <w:lang w:val="en-US" w:eastAsia="ru-RU"/>
        </w:rPr>
        <w:t>EORTC</w:t>
      </w:r>
      <w:r w:rsidR="002D1A94">
        <w:rPr>
          <w:rFonts w:cs="Calibri"/>
          <w:lang w:eastAsia="ru-RU"/>
        </w:rPr>
        <w:t xml:space="preserve"> </w:t>
      </w:r>
      <w:r w:rsidRPr="00336969">
        <w:rPr>
          <w:rFonts w:cs="Calibri"/>
          <w:lang w:val="en-US" w:eastAsia="ru-RU"/>
        </w:rPr>
        <w:t>staging</w:t>
      </w:r>
      <w:r w:rsidR="002D1A94">
        <w:rPr>
          <w:rFonts w:cs="Calibri"/>
          <w:lang w:eastAsia="ru-RU"/>
        </w:rPr>
        <w:t xml:space="preserve"> </w:t>
      </w:r>
      <w:r w:rsidRPr="00336969">
        <w:rPr>
          <w:rFonts w:cs="Calibri"/>
          <w:lang w:val="en-US" w:eastAsia="ru-RU"/>
        </w:rPr>
        <w:t>system</w:t>
      </w:r>
      <w:r>
        <w:rPr>
          <w:rFonts w:cs="Calibri"/>
          <w:lang w:eastAsia="ru-RU"/>
        </w:rPr>
        <w:t>)</w:t>
      </w:r>
      <w:r w:rsidRPr="00336969">
        <w:rPr>
          <w:rFonts w:cs="Calibri"/>
          <w:lang w:eastAsia="ru-RU"/>
        </w:rPr>
        <w:t xml:space="preserve">. Так как для пациентов с </w:t>
      </w:r>
      <w:r>
        <w:rPr>
          <w:rFonts w:cs="Calibri"/>
          <w:lang w:eastAsia="ru-RU"/>
        </w:rPr>
        <w:t>синдромом Сезари</w:t>
      </w:r>
      <w:r w:rsidRPr="00336969">
        <w:rPr>
          <w:rFonts w:cs="Calibri"/>
          <w:lang w:eastAsia="ru-RU"/>
        </w:rPr>
        <w:t xml:space="preserve"> характерны эритродермия (Т</w:t>
      </w:r>
      <w:r w:rsidRPr="00336969">
        <w:rPr>
          <w:rFonts w:cs="Calibri"/>
          <w:vertAlign w:val="subscript"/>
          <w:lang w:eastAsia="ru-RU"/>
        </w:rPr>
        <w:t>4</w:t>
      </w:r>
      <w:r w:rsidRPr="00336969">
        <w:rPr>
          <w:rFonts w:cs="Calibri"/>
          <w:lang w:eastAsia="ru-RU"/>
        </w:rPr>
        <w:t>) и В</w:t>
      </w:r>
      <w:r w:rsidRPr="00336969">
        <w:rPr>
          <w:rFonts w:cs="Calibri"/>
          <w:vertAlign w:val="subscript"/>
          <w:lang w:eastAsia="ru-RU"/>
        </w:rPr>
        <w:t>2</w:t>
      </w:r>
      <w:r w:rsidRPr="00336969">
        <w:rPr>
          <w:rFonts w:cs="Calibri"/>
          <w:lang w:eastAsia="ru-RU"/>
        </w:rPr>
        <w:t xml:space="preserve">–вовлечение крови, они расцениваются как имеющие </w:t>
      </w:r>
      <w:r w:rsidRPr="00336969">
        <w:rPr>
          <w:rFonts w:cs="Calibri"/>
          <w:lang w:val="en-US" w:eastAsia="ru-RU"/>
        </w:rPr>
        <w:t>IVA</w:t>
      </w:r>
      <w:r w:rsidRPr="00336969">
        <w:rPr>
          <w:rFonts w:cs="Calibri"/>
          <w:lang w:eastAsia="ru-RU"/>
        </w:rPr>
        <w:t xml:space="preserve"> или </w:t>
      </w:r>
      <w:r w:rsidRPr="00336969">
        <w:rPr>
          <w:rFonts w:cs="Calibri"/>
          <w:lang w:val="en-US" w:eastAsia="ru-RU"/>
        </w:rPr>
        <w:t>IVB</w:t>
      </w:r>
      <w:r w:rsidRPr="00336969">
        <w:rPr>
          <w:rFonts w:cs="Calibri"/>
          <w:lang w:eastAsia="ru-RU"/>
        </w:rPr>
        <w:t xml:space="preserve"> стадию заболевания</w:t>
      </w:r>
      <w:r w:rsidR="004739BE">
        <w:rPr>
          <w:rFonts w:cs="Calibri"/>
          <w:lang w:eastAsia="ru-RU"/>
        </w:rPr>
        <w:t xml:space="preserve"> </w:t>
      </w:r>
      <w:r w:rsidR="004739BE">
        <w:rPr>
          <w:rFonts w:cs="Calibri"/>
          <w:lang w:eastAsia="ru-RU"/>
        </w:rPr>
        <w:fldChar w:fldCharType="begin" w:fldLock="1"/>
      </w:r>
      <w:r w:rsidR="00142FB7">
        <w:rPr>
          <w:rFonts w:cs="Calibri"/>
          <w:lang w:eastAsia="ru-RU"/>
        </w:rPr>
        <w:instrText>ADDIN CSL_CITATION {"citationItems":[{"id":"ITEM-1","itemData":{"DOI":"10.1182/blood-2004-09-3502","ISSN":"00064971","PMID":"15692063","abstract":"Primary cutaneous lymphomas are currently classified by the European Organization for Research and Treatment of Cancer (EORTC) classification or the World Health Organization (WHO) classification, but both systems have shortcomings. In particular, differences in the classification of cutaneous T-cell lymphomas other than mycosis fungoides, Sézary syndrome, and the group of primary cutaneous CD30+ lymphoproliferative disorders and the classification and terminology of different types of cutaneous B-cell lymphomas have resulted in considerable debate and confusion. During recent consensus meetings representatives of both systems reached agreement on a new classification, which is now called the WHO-EORTC classification. In this paper we describe the characteristic features of the different primary cutaneous lymphomas and other hematologic neoplasms frequently presenting in the skin, and discuss differences with the previous classification schemes. In addition, the relative frequency and survival data of 1905 patients with primary cutaneous lymphomas derived from Dutch and Austrian registries for primary cutaneous lymphomas are presented to illustrate the clinical significance of this new classification. © 2005 by The American Society of Hematology.","author":[{"dropping-particle":"","family":"Willemze","given":"Rein","non-dropping-particle":"","parse-names":false,"suffix":""},{"dropping-particle":"","family":"Jaffe","given":"Elaine S.","non-dropping-particle":"","parse-names":false,"suffix":""},{"dropping-particle":"","family":"Burg","given":"Günter","non-dropping-particle":"","parse-names":false,"suffix":""},{"dropping-particle":"","family":"Cerroni","given":"Lorenzo","non-dropping-particle":"","parse-names":false,"suffix":""},{"dropping-particle":"","family":"Berti","given":"Emilio","non-dropping-particle":"","parse-names":false,"suffix":""},{"dropping-particle":"","family":"Swerdlow","given":"Steven H.","non-dropping-particle":"","parse-names":false,"suffix":""},{"dropping-particle":"","family":"Ralfkiaer","given":"Elisabeth","non-dropping-particle":"","parse-names":false,"suffix":""},{"dropping-particle":"","family":"Chimenti","given":"Sergio","non-dropping-particle":"","parse-names":false,"suffix":""},{"dropping-particle":"","family":"Diaz-Perez","given":"José L.","non-dropping-particle":"","parse-names":false,"suffix":""},{"dropping-particle":"","family":"Duncan","given":"Lyn M.","non-dropping-particle":"","parse-names":false,"suffix":""},{"dropping-particle":"","family":"Grange","given":"Florent","non-dropping-particle":"","parse-names":false,"suffix":""},{"dropping-particle":"","family":"Harris","given":"Nancy Lee","non-dropping-particle":"","parse-names":false,"suffix":""},{"dropping-particle":"","family":"Kempf","given":"Werner","non-dropping-particle":"","parse-names":false,"suffix":""},{"dropping-particle":"","family":"Kerl","given":"Helmut","non-dropping-particle":"","parse-names":false,"suffix":""},{"dropping-particle":"","family":"Kurrer","given":"Michael","non-dropping-particle":"","parse-names":false,"suffix":""},{"dropping-particle":"","family":"Knobler","given":"Robert","non-dropping-particle":"","parse-names":false,"suffix":""},{"dropping-particle":"","family":"Pimpinelli","given":"Nicola","non-dropping-particle":"","parse-names":false,"suffix":""},{"dropping-particle":"","family":"Sander","given":"Christian","non-dropping-particle":"","parse-names":false,"suffix":""},{"dropping-particle":"","family":"Santucci","given":"Marco","non-dropping-particle":"","parse-names":false,"suffix":""},{"dropping-particle":"","family":"Sterry","given":"Wolfram","non-dropping-particle":"","parse-names":false,"suffix":""},{"dropping-particle":"","family":"Vermeer","given":"Maarten H.","non-dropping-particle":"","parse-names":false,"suffix":""},{"dropping-particle":"","family":"Wechsler","given":"Janine","non-dropping-particle":"","parse-names":false,"suffix":""},{"dropping-particle":"","family":"Whittaker","given":"Sean","non-dropping-particle":"","parse-names":false,"suffix":""},{"dropping-particle":"","family":"Meijer","given":"Chris J.L.M.","non-dropping-particle":"","parse-names":false,"suffix":""}],"container-title":"Blood","id":"ITEM-1","issue":"10","issued":{"date-parts":[["2005","5","15"]]},"page":"3768-3785","publisher":"Blood","title":"WHO-EORTC classification for cutaneous lymphomas","type":"article","volume":"105"},"uris":["http://www.mendeley.com/documents/?uuid=8e52eb31-994e-32c0-a00f-5f8ccad0aba0"]}],"mendeley":{"formattedCitation":"[9]","plainTextFormattedCitation":"[9]","previouslyFormattedCitation":"[9]"},"properties":{"noteIndex":0},"schema":"https://github.com/citation-style-language/schema/raw/master/csl-citation.json"}</w:instrText>
      </w:r>
      <w:r w:rsidR="004739BE">
        <w:rPr>
          <w:rFonts w:cs="Calibri"/>
          <w:lang w:eastAsia="ru-RU"/>
        </w:rPr>
        <w:fldChar w:fldCharType="separate"/>
      </w:r>
      <w:r w:rsidR="004739BE" w:rsidRPr="004739BE">
        <w:rPr>
          <w:rFonts w:cs="Calibri"/>
          <w:noProof/>
          <w:lang w:eastAsia="ru-RU"/>
        </w:rPr>
        <w:t>[9]</w:t>
      </w:r>
      <w:r w:rsidR="004739BE">
        <w:rPr>
          <w:rFonts w:cs="Calibri"/>
          <w:lang w:eastAsia="ru-RU"/>
        </w:rPr>
        <w:fldChar w:fldCharType="end"/>
      </w:r>
      <w:r>
        <w:t>.</w:t>
      </w:r>
    </w:p>
    <w:p w:rsidR="00A70F44" w:rsidRPr="00311757" w:rsidRDefault="00B46390" w:rsidP="00A70F44">
      <w:pPr>
        <w:pStyle w:val="2"/>
      </w:pPr>
      <w:bookmarkStart w:id="27" w:name="_Toc34301080"/>
      <w:bookmarkStart w:id="28" w:name="_Toc67302903"/>
      <w:r w:rsidRPr="00B46390">
        <w:t>1.6 Клиническая картина</w:t>
      </w:r>
      <w:r w:rsidR="007C1C81" w:rsidRPr="007C1C81">
        <w:t xml:space="preserve"> </w:t>
      </w:r>
      <w:r w:rsidR="00A70F44" w:rsidRPr="00311757">
        <w:rPr>
          <w:color w:val="333333"/>
          <w:shd w:val="clear" w:color="auto" w:fill="FFFFFF"/>
        </w:rPr>
        <w:t>заболевания или состояния (группы заболеваний или состояний)</w:t>
      </w:r>
      <w:bookmarkEnd w:id="27"/>
      <w:bookmarkEnd w:id="28"/>
    </w:p>
    <w:p w:rsidR="00562845" w:rsidRPr="00562845" w:rsidRDefault="005B1751" w:rsidP="0021676E">
      <w:pPr>
        <w:pStyle w:val="1f1"/>
      </w:pPr>
      <w:r>
        <w:rPr>
          <w:szCs w:val="28"/>
        </w:rPr>
        <w:t>Синдром Сезари</w:t>
      </w:r>
      <w:r w:rsidRPr="008B253D">
        <w:rPr>
          <w:szCs w:val="28"/>
        </w:rPr>
        <w:t xml:space="preserve"> начинается с развития эритродермии, которая сопровождается сильным зудом и</w:t>
      </w:r>
      <w:r w:rsidR="00B032D2">
        <w:rPr>
          <w:szCs w:val="28"/>
        </w:rPr>
        <w:t>/или</w:t>
      </w:r>
      <w:r w:rsidRPr="008B253D">
        <w:rPr>
          <w:szCs w:val="28"/>
        </w:rPr>
        <w:t xml:space="preserve"> шелушением. </w:t>
      </w:r>
      <w:r>
        <w:rPr>
          <w:szCs w:val="28"/>
        </w:rPr>
        <w:t xml:space="preserve">Выраженность эритридермии может быть различной – от розовато-красной до ярко-красной окраски кожных покровов. </w:t>
      </w:r>
      <w:r w:rsidRPr="008B253D">
        <w:rPr>
          <w:szCs w:val="28"/>
        </w:rPr>
        <w:t xml:space="preserve">Впоследствии присоединяется ладонно-подошвенный гиперкератоз, алопеция и ониходистрофия. </w:t>
      </w:r>
      <w:r>
        <w:rPr>
          <w:szCs w:val="28"/>
        </w:rPr>
        <w:t>Пальпация выявляет у</w:t>
      </w:r>
      <w:r w:rsidRPr="008B253D">
        <w:rPr>
          <w:szCs w:val="28"/>
        </w:rPr>
        <w:t>величение периферических лимфатических узлов</w:t>
      </w:r>
      <w:r>
        <w:rPr>
          <w:szCs w:val="28"/>
        </w:rPr>
        <w:t>, которое</w:t>
      </w:r>
      <w:r w:rsidRPr="008B253D">
        <w:rPr>
          <w:szCs w:val="28"/>
        </w:rPr>
        <w:t xml:space="preserve"> может происходить </w:t>
      </w:r>
      <w:r>
        <w:rPr>
          <w:szCs w:val="28"/>
        </w:rPr>
        <w:t xml:space="preserve">как </w:t>
      </w:r>
      <w:r w:rsidRPr="008B253D">
        <w:rPr>
          <w:szCs w:val="28"/>
        </w:rPr>
        <w:t>за счет дерматопатической лимфаденопатии</w:t>
      </w:r>
      <w:r>
        <w:rPr>
          <w:szCs w:val="28"/>
        </w:rPr>
        <w:t>, так и вследствие их</w:t>
      </w:r>
      <w:r w:rsidRPr="008B253D">
        <w:rPr>
          <w:szCs w:val="28"/>
        </w:rPr>
        <w:t xml:space="preserve"> вовлечения в опухолевый процесс</w:t>
      </w:r>
      <w:r w:rsidR="00142FB7">
        <w:rPr>
          <w:szCs w:val="28"/>
        </w:rPr>
        <w:t xml:space="preserve"> </w:t>
      </w:r>
      <w:r w:rsidR="00142FB7">
        <w:rPr>
          <w:szCs w:val="28"/>
        </w:rPr>
        <w:fldChar w:fldCharType="begin" w:fldLock="1"/>
      </w:r>
      <w:r w:rsidR="00414E1D">
        <w:rPr>
          <w:szCs w:val="28"/>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treatment","type":"article-journal","volume":"37"},"uris":["http://www.mendeley.com/documents/?uuid=789da34a-52f5-334d-89ab-ada602da3b00"]},{"id":"ITEM-2","itemData":{"DOI":"10.1016/j.jaad.2012.04.043","ISSN":"01909622","PMID":"22640839","abstract":"Background: Sézary syndrome (SS), a leukemic variant of cutaneous T-cell lymphoma, is characterized by erythroderma and by atypical lymphocytes (Sézary cells) in peripheral blood. Although numerous studies have examined the range of disease in cutaneous T-cell lymphoma, a relative paucity of data exists to describe the long-term outcome of patients with SS. Objective: We sought to study long-term survival and prognostic factors of patients with SS. Methods: A retrospective chart review was conducted to identify patients with SS seen at Mayo Clinic from 1976 to 2010. Cox proportional hazards regression models, adjusted for age, were fit to evaluate factors associated with overall survival. Results: In total, 176 patients were identified with a clinicopathologic diagnosis of SS. Overall survival was 86.1% and 42.3% at 1 and 5 years, respectively, after diagnosis (median survival, 4.0 years). After adjustment for age, potential predictors of worse survival included lactate dehydrogenase level at presentation (hazard ratio [HR] 1.71; 95% confidence interval [CI] 1.18-2.47 per doubling), prior diagnosis of mycosis fungoides (HR 2.68; 95% CI 1.44-4.98), and the presence of T-cell receptor gene rearrangements in skin (HR 2.59; 95% CI 1.38-4.87) and in blood (HR 2.05; 95% CI 1.00-4.21). Limitations: This study is retrospective and represents a single academic center population. Conclusions: To our knowledge, this research evaluated the largest population of patients with SS studied to date. It shows that overall survival continues to be poor, with a median survival of 4.0 years after diagnosis.","author":[{"dropping-particle":"","family":"Kubica","given":"Agnieszka W.","non-dropping-particle":"","parse-names":false,"suffix":""},{"dropping-particle":"","family":"Davis","given":"Mark D.P.","non-dropping-particle":"","parse-names":false,"suffix":""},{"dropping-particle":"","family":"Weaver","given":"Amy L.","non-dropping-particle":"","parse-names":false,"suffix":""},{"dropping-particle":"","family":"Killian","given":"Jill M.","non-dropping-particle":"","parse-names":false,"suffix":""},{"dropping-particle":"","family":"Pittelkow","given":"Mark R.","non-dropping-particle":"","parse-names":false,"suffix":""}],"container-title":"Journal of the American Academy of Dermatology","id":"ITEM-2","issue":"6","issued":{"date-parts":[["2012","12"]]},"page":"1189-1199","publisher":"J Am Acad Dermatol","title":"Sézary syndrome: A study of 176 patients at Mayo Clinic","type":"article-journal","volume":"67"},"uris":["http://www.mendeley.com/documents/?uuid=252e7b34-91ab-3854-be81-4f49ca9b9b67"]}],"mendeley":{"formattedCitation":"[7,10]","plainTextFormattedCitation":"[7,10]","previouslyFormattedCitation":"[7,10]"},"properties":{"noteIndex":0},"schema":"https://github.com/citation-style-language/schema/raw/master/csl-citation.json"}</w:instrText>
      </w:r>
      <w:r w:rsidR="00142FB7">
        <w:rPr>
          <w:szCs w:val="28"/>
        </w:rPr>
        <w:fldChar w:fldCharType="separate"/>
      </w:r>
      <w:r w:rsidR="00903423" w:rsidRPr="00903423">
        <w:rPr>
          <w:noProof/>
          <w:szCs w:val="28"/>
        </w:rPr>
        <w:t>[7,10]</w:t>
      </w:r>
      <w:r w:rsidR="00142FB7">
        <w:rPr>
          <w:szCs w:val="28"/>
        </w:rPr>
        <w:fldChar w:fldCharType="end"/>
      </w:r>
      <w:r w:rsidRPr="008B253D">
        <w:rPr>
          <w:szCs w:val="28"/>
        </w:rPr>
        <w:t xml:space="preserve">. При лабораторных исследованиях обнаруживается </w:t>
      </w:r>
      <w:r w:rsidR="00B032D2">
        <w:rPr>
          <w:szCs w:val="28"/>
        </w:rPr>
        <w:t>наличие в периферической крови большое количество клеток Сезари.</w:t>
      </w:r>
    </w:p>
    <w:p w:rsidR="000414F6" w:rsidRDefault="00B46390" w:rsidP="00C4630C">
      <w:pPr>
        <w:pStyle w:val="afff2"/>
      </w:pPr>
      <w:bookmarkStart w:id="29" w:name="_Toc34301081"/>
      <w:bookmarkStart w:id="30" w:name="_Toc67302904"/>
      <w:r>
        <w:t xml:space="preserve">2. </w:t>
      </w:r>
      <w:r w:rsidR="00CB71DA">
        <w:t>Диагностика</w:t>
      </w:r>
      <w:bookmarkEnd w:id="18"/>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9"/>
      <w:bookmarkEnd w:id="30"/>
    </w:p>
    <w:p w:rsidR="00AA7468" w:rsidRPr="00336969" w:rsidRDefault="00AA7468" w:rsidP="00AA7468">
      <w:pPr>
        <w:ind w:left="357"/>
        <w:rPr>
          <w:rFonts w:eastAsia="Times New Roman" w:cs="Calibri"/>
          <w:lang w:eastAsia="ru-RU"/>
        </w:rPr>
      </w:pPr>
      <w:r w:rsidRPr="00336969">
        <w:rPr>
          <w:rFonts w:eastAsia="Times New Roman" w:cs="Calibri"/>
          <w:lang w:eastAsia="ru-RU"/>
        </w:rPr>
        <w:t>Международным обществом лимфом кожи (</w:t>
      </w:r>
      <w:r w:rsidRPr="00336969">
        <w:rPr>
          <w:rFonts w:eastAsia="Times New Roman" w:cs="Calibri"/>
          <w:lang w:val="en-US" w:eastAsia="ru-RU"/>
        </w:rPr>
        <w:t>ISCL</w:t>
      </w:r>
      <w:r w:rsidRPr="00336969">
        <w:rPr>
          <w:rFonts w:eastAsia="Times New Roman" w:cs="Calibri"/>
          <w:lang w:eastAsia="ru-RU"/>
        </w:rPr>
        <w:t>) и Европейской организацией по изучению и лечению рака (</w:t>
      </w:r>
      <w:r w:rsidRPr="00336969">
        <w:rPr>
          <w:rFonts w:eastAsia="Times New Roman" w:cs="Calibri"/>
          <w:lang w:val="en-US" w:eastAsia="ru-RU"/>
        </w:rPr>
        <w:t>EORTC</w:t>
      </w:r>
      <w:r w:rsidRPr="00336969">
        <w:rPr>
          <w:rFonts w:eastAsia="Times New Roman" w:cs="Calibri"/>
          <w:lang w:eastAsia="ru-RU"/>
        </w:rPr>
        <w:t xml:space="preserve">) выработаны следующие критерии диагностики </w:t>
      </w:r>
      <w:r>
        <w:rPr>
          <w:rFonts w:eastAsia="Times New Roman" w:cs="Calibri"/>
          <w:lang w:eastAsia="ru-RU"/>
        </w:rPr>
        <w:t xml:space="preserve">синдрома Сезари </w:t>
      </w:r>
      <w:r w:rsidR="006D1C1C">
        <w:rPr>
          <w:rFonts w:eastAsia="Times New Roman" w:cs="Calibri"/>
          <w:lang w:eastAsia="ru-RU"/>
        </w:rPr>
        <w:t>(Приложение Г1)</w:t>
      </w:r>
      <w:r w:rsidR="00414E1D">
        <w:rPr>
          <w:rFonts w:eastAsia="Times New Roman" w:cs="Calibri"/>
          <w:lang w:eastAsia="ru-RU"/>
        </w:rPr>
        <w:t xml:space="preserve"> </w:t>
      </w:r>
      <w:r w:rsidR="00414E1D">
        <w:rPr>
          <w:rFonts w:eastAsia="Times New Roman" w:cs="Calibri"/>
          <w:lang w:eastAsia="ru-RU"/>
        </w:rPr>
        <w:fldChar w:fldCharType="begin" w:fldLock="1"/>
      </w:r>
      <w:r w:rsidR="00DB1569">
        <w:rPr>
          <w:rFonts w:eastAsia="Times New Roman" w:cs="Calibri"/>
          <w:lang w:eastAsia="ru-RU"/>
        </w:rPr>
        <w:instrText>ADDIN CSL_CITATION {"citationItems":[{"id":"ITEM-1","itemData":{"DOI":"10.1182/blood-2004-09-3502","ISSN":"00064971","PMID":"15692063","abstract":"Primary cutaneous lymphomas are currently classified by the European Organization for Research and Treatment of Cancer (EORTC) classification or the World Health Organization (WHO) classification, but both systems have shortcomings. In particular, differences in the classification of cutaneous T-cell lymphomas other than mycosis fungoides, Sézary syndrome, and the group of primary cutaneous CD30+ lymphoproliferative disorders and the classification and terminology of different types of cutaneous B-cell lymphomas have resulted in considerable debate and confusion. During recent consensus meetings representatives of both systems reached agreement on a new classification, which is now called the WHO-EORTC classification. In this paper we describe the characteristic features of the different primary cutaneous lymphomas and other hematologic neoplasms frequently presenting in the skin, and discuss differences with the previous classification schemes. In addition, the relative frequency and survival data of 1905 patients with primary cutaneous lymphomas derived from Dutch and Austrian registries for primary cutaneous lymphomas are presented to illustrate the clinical significance of this new classification. © 2005 by The American Society of Hematology.","author":[{"dropping-particle":"","family":"Willemze","given":"Rein","non-dropping-particle":"","parse-names":false,"suffix":""},{"dropping-particle":"","family":"Jaffe","given":"Elaine S.","non-dropping-particle":"","parse-names":false,"suffix":""},{"dropping-particle":"","family":"Burg","given":"Günter","non-dropping-particle":"","parse-names":false,"suffix":""},{"dropping-particle":"","family":"Cerroni","given":"Lorenzo","non-dropping-particle":"","parse-names":false,"suffix":""},{"dropping-particle":"","family":"Berti","given":"Emilio","non-dropping-particle":"","parse-names":false,"suffix":""},{"dropping-particle":"","family":"Swerdlow","given":"Steven H.","non-dropping-particle":"","parse-names":false,"suffix":""},{"dropping-particle":"","family":"Ralfkiaer","given":"Elisabeth","non-dropping-particle":"","parse-names":false,"suffix":""},{"dropping-particle":"","family":"Chimenti","given":"Sergio","non-dropping-particle":"","parse-names":false,"suffix":""},{"dropping-particle":"","family":"Diaz-Perez","given":"José L.","non-dropping-particle":"","parse-names":false,"suffix":""},{"dropping-particle":"","family":"Duncan","given":"Lyn M.","non-dropping-particle":"","parse-names":false,"suffix":""},{"dropping-particle":"","family":"Grange","given":"Florent","non-dropping-particle":"","parse-names":false,"suffix":""},{"dropping-particle":"","family":"Harris","given":"Nancy Lee","non-dropping-particle":"","parse-names":false,"suffix":""},{"dropping-particle":"","family":"Kempf","given":"Werner","non-dropping-particle":"","parse-names":false,"suffix":""},{"dropping-particle":"","family":"Kerl","given":"Helmut","non-dropping-particle":"","parse-names":false,"suffix":""},{"dropping-particle":"","family":"Kurrer","given":"Michael","non-dropping-particle":"","parse-names":false,"suffix":""},{"dropping-particle":"","family":"Knobler","given":"Robert","non-dropping-particle":"","parse-names":false,"suffix":""},{"dropping-particle":"","family":"Pimpinelli","given":"Nicola","non-dropping-particle":"","parse-names":false,"suffix":""},{"dropping-particle":"","family":"Sander","given":"Christian","non-dropping-particle":"","parse-names":false,"suffix":""},{"dropping-particle":"","family":"Santucci","given":"Marco","non-dropping-particle":"","parse-names":false,"suffix":""},{"dropping-particle":"","family":"Sterry","given":"Wolfram","non-dropping-particle":"","parse-names":false,"suffix":""},{"dropping-particle":"","family":"Vermeer","given":"Maarten H.","non-dropping-particle":"","parse-names":false,"suffix":""},{"dropping-particle":"","family":"Wechsler","given":"Janine","non-dropping-particle":"","parse-names":false,"suffix":""},{"dropping-particle":"","family":"Whittaker","given":"Sean","non-dropping-particle":"","parse-names":false,"suffix":""},{"dropping-particle":"","family":"Meijer","given":"Chris J.L.M.","non-dropping-particle":"","parse-names":false,"suffix":""}],"container-title":"Blood","id":"ITEM-1","issue":"10","issued":{"date-parts":[["2005","5","15"]]},"page":"3768-3785","publisher":"Blood","title":"WHO-EORTC classification for cutaneous lymphomas","type":"article","volume":"105"},"uris":["http://www.mendeley.com/documents/?uuid=8e52eb31-994e-32c0-a00f-5f8ccad0aba0"]}],"mendeley":{"formattedCitation":"[9]","plainTextFormattedCitation":"[9]","previouslyFormattedCitation":"[9]"},"properties":{"noteIndex":0},"schema":"https://github.com/citation-style-language/schema/raw/master/csl-citation.json"}</w:instrText>
      </w:r>
      <w:r w:rsidR="00414E1D">
        <w:rPr>
          <w:rFonts w:eastAsia="Times New Roman" w:cs="Calibri"/>
          <w:lang w:eastAsia="ru-RU"/>
        </w:rPr>
        <w:fldChar w:fldCharType="separate"/>
      </w:r>
      <w:r w:rsidR="00414E1D" w:rsidRPr="00414E1D">
        <w:rPr>
          <w:rFonts w:eastAsia="Times New Roman" w:cs="Calibri"/>
          <w:noProof/>
          <w:lang w:eastAsia="ru-RU"/>
        </w:rPr>
        <w:t>[9]</w:t>
      </w:r>
      <w:r w:rsidR="00414E1D">
        <w:rPr>
          <w:rFonts w:eastAsia="Times New Roman" w:cs="Calibri"/>
          <w:lang w:eastAsia="ru-RU"/>
        </w:rPr>
        <w:fldChar w:fldCharType="end"/>
      </w:r>
      <w:r w:rsidRPr="00336969">
        <w:rPr>
          <w:rFonts w:eastAsia="Times New Roman" w:cs="Calibri"/>
          <w:lang w:eastAsia="ru-RU"/>
        </w:rPr>
        <w:t>:</w:t>
      </w:r>
    </w:p>
    <w:p w:rsidR="00AA7468" w:rsidRPr="00336969" w:rsidRDefault="00AA7468" w:rsidP="004F39BB">
      <w:pPr>
        <w:numPr>
          <w:ilvl w:val="0"/>
          <w:numId w:val="5"/>
        </w:numPr>
        <w:tabs>
          <w:tab w:val="left" w:pos="1134"/>
        </w:tabs>
        <w:ind w:firstLine="349"/>
        <w:rPr>
          <w:rFonts w:eastAsia="Times New Roman" w:cs="Calibri"/>
          <w:lang w:eastAsia="ru-RU"/>
        </w:rPr>
      </w:pPr>
      <w:r w:rsidRPr="00336969">
        <w:rPr>
          <w:rFonts w:eastAsia="Times New Roman" w:cs="Calibri"/>
          <w:lang w:eastAsia="ru-RU"/>
        </w:rPr>
        <w:t xml:space="preserve">Отсутствие предшествующего </w:t>
      </w:r>
      <w:r>
        <w:rPr>
          <w:rFonts w:eastAsia="Times New Roman" w:cs="Calibri"/>
          <w:lang w:eastAsia="ru-RU"/>
        </w:rPr>
        <w:t>грибовидного микоза</w:t>
      </w:r>
    </w:p>
    <w:p w:rsidR="00AA7468" w:rsidRPr="00336969" w:rsidRDefault="00AA7468" w:rsidP="004F39BB">
      <w:pPr>
        <w:numPr>
          <w:ilvl w:val="0"/>
          <w:numId w:val="5"/>
        </w:numPr>
        <w:tabs>
          <w:tab w:val="left" w:pos="1134"/>
        </w:tabs>
        <w:ind w:firstLine="349"/>
        <w:rPr>
          <w:rFonts w:eastAsia="Times New Roman" w:cs="Calibri"/>
          <w:lang w:eastAsia="ru-RU"/>
        </w:rPr>
      </w:pPr>
      <w:r w:rsidRPr="00CC5054">
        <w:rPr>
          <w:rFonts w:eastAsia="Times New Roman" w:cs="Calibri"/>
          <w:lang w:eastAsia="ru-RU"/>
        </w:rPr>
        <w:t>Генерализованная эритродермия (диффузная эритема, покрывающая не менее</w:t>
      </w:r>
      <w:r w:rsidRPr="00336969">
        <w:rPr>
          <w:rFonts w:eastAsia="Times New Roman" w:cs="Calibri"/>
          <w:lang w:eastAsia="ru-RU"/>
        </w:rPr>
        <w:t xml:space="preserve"> 80% поверхности тела с/без шелушения)</w:t>
      </w:r>
    </w:p>
    <w:p w:rsidR="00AA7468" w:rsidRPr="00336969" w:rsidRDefault="00AA7468" w:rsidP="004F39BB">
      <w:pPr>
        <w:numPr>
          <w:ilvl w:val="0"/>
          <w:numId w:val="5"/>
        </w:numPr>
        <w:tabs>
          <w:tab w:val="left" w:pos="1134"/>
        </w:tabs>
        <w:ind w:firstLine="349"/>
        <w:rPr>
          <w:rFonts w:eastAsia="Times New Roman" w:cs="Calibri"/>
          <w:lang w:eastAsia="ru-RU"/>
        </w:rPr>
      </w:pPr>
      <w:r w:rsidRPr="00336969">
        <w:rPr>
          <w:rFonts w:eastAsia="Times New Roman" w:cs="Calibri"/>
          <w:lang w:eastAsia="ru-RU"/>
        </w:rPr>
        <w:t xml:space="preserve">Наличие в крови доминантного клона Т-лимфоцитов (определяется при помощи ПЦР или </w:t>
      </w:r>
      <w:r w:rsidRPr="00336969">
        <w:rPr>
          <w:rFonts w:eastAsia="Times New Roman" w:cs="Calibri"/>
          <w:lang w:val="en-US" w:eastAsia="ru-RU"/>
        </w:rPr>
        <w:t>Southernblot</w:t>
      </w:r>
      <w:r w:rsidRPr="00336969">
        <w:rPr>
          <w:rFonts w:eastAsia="Times New Roman" w:cs="Calibri"/>
          <w:lang w:eastAsia="ru-RU"/>
        </w:rPr>
        <w:t>)</w:t>
      </w:r>
    </w:p>
    <w:p w:rsidR="00AA7468" w:rsidRPr="00336969" w:rsidRDefault="00AA7468" w:rsidP="004F39BB">
      <w:pPr>
        <w:numPr>
          <w:ilvl w:val="0"/>
          <w:numId w:val="5"/>
        </w:numPr>
        <w:tabs>
          <w:tab w:val="left" w:pos="1134"/>
        </w:tabs>
        <w:ind w:firstLine="349"/>
        <w:rPr>
          <w:rFonts w:eastAsia="Times New Roman" w:cs="Calibri"/>
          <w:lang w:eastAsia="ru-RU"/>
        </w:rPr>
      </w:pPr>
      <w:r w:rsidRPr="00336969">
        <w:rPr>
          <w:rFonts w:eastAsia="Times New Roman" w:cs="Calibri"/>
          <w:lang w:eastAsia="ru-RU"/>
        </w:rPr>
        <w:t>Наличие одного или более следующих признаков:</w:t>
      </w:r>
    </w:p>
    <w:p w:rsidR="00AA7468" w:rsidRPr="00336969" w:rsidRDefault="00AA7468" w:rsidP="004F39BB">
      <w:pPr>
        <w:numPr>
          <w:ilvl w:val="1"/>
          <w:numId w:val="6"/>
        </w:numPr>
        <w:ind w:firstLine="54"/>
        <w:rPr>
          <w:rFonts w:eastAsia="Times New Roman" w:cs="Calibri"/>
          <w:lang w:eastAsia="ru-RU"/>
        </w:rPr>
      </w:pPr>
      <w:r w:rsidRPr="00336969">
        <w:rPr>
          <w:rFonts w:eastAsia="Times New Roman" w:cs="Calibri"/>
          <w:lang w:eastAsia="ru-RU"/>
        </w:rPr>
        <w:lastRenderedPageBreak/>
        <w:t>абсолютное количество клеток Сезари в крови ≥ 1000 клеток/мм</w:t>
      </w:r>
      <w:r w:rsidRPr="00336969">
        <w:rPr>
          <w:rFonts w:eastAsia="Times New Roman" w:cs="Calibri"/>
          <w:vertAlign w:val="superscript"/>
          <w:lang w:eastAsia="ru-RU"/>
        </w:rPr>
        <w:t>3</w:t>
      </w:r>
    </w:p>
    <w:p w:rsidR="00AA7468" w:rsidRDefault="00AA7468" w:rsidP="004F39BB">
      <w:pPr>
        <w:numPr>
          <w:ilvl w:val="1"/>
          <w:numId w:val="6"/>
        </w:numPr>
        <w:ind w:firstLine="54"/>
        <w:rPr>
          <w:rFonts w:eastAsia="Times New Roman" w:cs="Calibri"/>
          <w:lang w:eastAsia="ru-RU"/>
        </w:rPr>
      </w:pPr>
      <w:r w:rsidRPr="00336969">
        <w:rPr>
          <w:rFonts w:eastAsia="Times New Roman" w:cs="Calibri"/>
          <w:lang w:eastAsia="ru-RU"/>
        </w:rPr>
        <w:t>повышен</w:t>
      </w:r>
      <w:r w:rsidR="00B032D2">
        <w:rPr>
          <w:rFonts w:eastAsia="Times New Roman" w:cs="Calibri"/>
          <w:lang w:eastAsia="ru-RU"/>
        </w:rPr>
        <w:t>н</w:t>
      </w:r>
      <w:r w:rsidRPr="00336969">
        <w:rPr>
          <w:rFonts w:eastAsia="Times New Roman" w:cs="Calibri"/>
          <w:lang w:eastAsia="ru-RU"/>
        </w:rPr>
        <w:t>о</w:t>
      </w:r>
      <w:r w:rsidR="00B032D2">
        <w:rPr>
          <w:rFonts w:eastAsia="Times New Roman" w:cs="Calibri"/>
          <w:lang w:eastAsia="ru-RU"/>
        </w:rPr>
        <w:t>е</w:t>
      </w:r>
      <w:r w:rsidRPr="00336969">
        <w:rPr>
          <w:rFonts w:eastAsia="Times New Roman" w:cs="Calibri"/>
          <w:lang w:eastAsia="ru-RU"/>
        </w:rPr>
        <w:t xml:space="preserve"> содержание </w:t>
      </w:r>
      <w:r w:rsidRPr="00336969">
        <w:rPr>
          <w:rFonts w:eastAsia="Times New Roman" w:cs="Calibri"/>
          <w:lang w:val="en-US" w:eastAsia="ru-RU"/>
        </w:rPr>
        <w:t>CD</w:t>
      </w:r>
      <w:r w:rsidRPr="00336969">
        <w:rPr>
          <w:rFonts w:eastAsia="Times New Roman" w:cs="Calibri"/>
          <w:lang w:eastAsia="ru-RU"/>
        </w:rPr>
        <w:t xml:space="preserve">3+ или </w:t>
      </w:r>
      <w:r w:rsidRPr="00336969">
        <w:rPr>
          <w:rFonts w:eastAsia="Times New Roman" w:cs="Calibri"/>
          <w:lang w:val="en-US" w:eastAsia="ru-RU"/>
        </w:rPr>
        <w:t>CD</w:t>
      </w:r>
      <w:r w:rsidRPr="00336969">
        <w:rPr>
          <w:rFonts w:eastAsia="Times New Roman" w:cs="Calibri"/>
          <w:lang w:eastAsia="ru-RU"/>
        </w:rPr>
        <w:t xml:space="preserve">4+ клеток </w:t>
      </w:r>
      <w:r w:rsidR="00B032D2">
        <w:rPr>
          <w:rFonts w:eastAsia="Times New Roman" w:cs="Calibri"/>
          <w:lang w:eastAsia="ru-RU"/>
        </w:rPr>
        <w:t xml:space="preserve">в </w:t>
      </w:r>
      <w:r w:rsidRPr="00336969">
        <w:rPr>
          <w:rFonts w:eastAsia="Times New Roman" w:cs="Calibri"/>
          <w:lang w:eastAsia="ru-RU"/>
        </w:rPr>
        <w:t xml:space="preserve">периферической крови с коэффициентом отношения </w:t>
      </w:r>
      <w:r w:rsidRPr="00336969">
        <w:rPr>
          <w:rFonts w:eastAsia="Times New Roman" w:cs="Calibri"/>
          <w:lang w:val="en-US" w:eastAsia="ru-RU"/>
        </w:rPr>
        <w:t>CD</w:t>
      </w:r>
      <w:r w:rsidRPr="00336969">
        <w:rPr>
          <w:rFonts w:eastAsia="Times New Roman" w:cs="Calibri"/>
          <w:lang w:eastAsia="ru-RU"/>
        </w:rPr>
        <w:t>4/</w:t>
      </w:r>
      <w:r w:rsidRPr="00336969">
        <w:rPr>
          <w:rFonts w:eastAsia="Times New Roman" w:cs="Calibri"/>
          <w:lang w:val="en-US" w:eastAsia="ru-RU"/>
        </w:rPr>
        <w:t>CD</w:t>
      </w:r>
      <w:r w:rsidRPr="00336969">
        <w:rPr>
          <w:rFonts w:eastAsia="Times New Roman" w:cs="Calibri"/>
          <w:lang w:eastAsia="ru-RU"/>
        </w:rPr>
        <w:t>8 ≥ 10 (определяется при помощи проточной цитометрии)</w:t>
      </w:r>
    </w:p>
    <w:p w:rsidR="00877EF5" w:rsidRPr="00AA7468" w:rsidRDefault="00AA7468" w:rsidP="004F39BB">
      <w:pPr>
        <w:numPr>
          <w:ilvl w:val="1"/>
          <w:numId w:val="6"/>
        </w:numPr>
        <w:ind w:firstLine="54"/>
        <w:rPr>
          <w:rFonts w:eastAsia="Times New Roman" w:cs="Calibri"/>
          <w:lang w:eastAsia="ru-RU"/>
        </w:rPr>
      </w:pPr>
      <w:r w:rsidRPr="00336969">
        <w:rPr>
          <w:rFonts w:eastAsia="Times New Roman" w:cs="Calibri"/>
          <w:lang w:eastAsia="ru-RU"/>
        </w:rPr>
        <w:t>повышен</w:t>
      </w:r>
      <w:r w:rsidR="00453C48">
        <w:rPr>
          <w:rFonts w:eastAsia="Times New Roman" w:cs="Calibri"/>
          <w:lang w:eastAsia="ru-RU"/>
        </w:rPr>
        <w:t>н</w:t>
      </w:r>
      <w:r w:rsidRPr="00336969">
        <w:rPr>
          <w:rFonts w:eastAsia="Times New Roman" w:cs="Calibri"/>
          <w:lang w:eastAsia="ru-RU"/>
        </w:rPr>
        <w:t>о</w:t>
      </w:r>
      <w:r w:rsidR="00453C48">
        <w:rPr>
          <w:rFonts w:eastAsia="Times New Roman" w:cs="Calibri"/>
          <w:lang w:eastAsia="ru-RU"/>
        </w:rPr>
        <w:t>е</w:t>
      </w:r>
      <w:r w:rsidRPr="00336969">
        <w:rPr>
          <w:rFonts w:eastAsia="Times New Roman" w:cs="Calibri"/>
          <w:lang w:eastAsia="ru-RU"/>
        </w:rPr>
        <w:t xml:space="preserve"> содержание </w:t>
      </w:r>
      <w:r w:rsidRPr="00336969">
        <w:rPr>
          <w:rFonts w:eastAsia="Times New Roman" w:cs="Calibri"/>
          <w:lang w:val="en-US" w:eastAsia="ru-RU"/>
        </w:rPr>
        <w:t>CD</w:t>
      </w:r>
      <w:r w:rsidRPr="00336969">
        <w:rPr>
          <w:rFonts w:eastAsia="Times New Roman" w:cs="Calibri"/>
          <w:lang w:eastAsia="ru-RU"/>
        </w:rPr>
        <w:t xml:space="preserve">4+ клеток </w:t>
      </w:r>
      <w:r w:rsidR="00453C48">
        <w:rPr>
          <w:rFonts w:eastAsia="Times New Roman" w:cs="Calibri"/>
          <w:lang w:eastAsia="ru-RU"/>
        </w:rPr>
        <w:t xml:space="preserve">в </w:t>
      </w:r>
      <w:r w:rsidRPr="00336969">
        <w:rPr>
          <w:rFonts w:eastAsia="Times New Roman" w:cs="Calibri"/>
          <w:lang w:eastAsia="ru-RU"/>
        </w:rPr>
        <w:t>периферической крови с аберран</w:t>
      </w:r>
      <w:r w:rsidR="00453C48">
        <w:rPr>
          <w:rFonts w:eastAsia="Times New Roman" w:cs="Calibri"/>
          <w:lang w:eastAsia="ru-RU"/>
        </w:rPr>
        <w:t>тным иммунофенотипом, включающим</w:t>
      </w:r>
      <w:r w:rsidRPr="00336969">
        <w:rPr>
          <w:rFonts w:eastAsia="Times New Roman" w:cs="Calibri"/>
          <w:lang w:eastAsia="ru-RU"/>
        </w:rPr>
        <w:t xml:space="preserve"> отсутствие экспрессии </w:t>
      </w:r>
      <w:r w:rsidRPr="00336969">
        <w:rPr>
          <w:rFonts w:eastAsia="Times New Roman" w:cs="Calibri"/>
          <w:lang w:val="en-US" w:eastAsia="ru-RU"/>
        </w:rPr>
        <w:t>CD</w:t>
      </w:r>
      <w:r w:rsidRPr="00336969">
        <w:rPr>
          <w:rFonts w:eastAsia="Times New Roman" w:cs="Calibri"/>
          <w:lang w:eastAsia="ru-RU"/>
        </w:rPr>
        <w:t xml:space="preserve">7 (≥ 40% </w:t>
      </w:r>
      <w:r w:rsidRPr="00336969">
        <w:rPr>
          <w:rFonts w:eastAsia="Times New Roman" w:cs="Calibri"/>
          <w:lang w:val="en-US" w:eastAsia="ru-RU"/>
        </w:rPr>
        <w:t>CD</w:t>
      </w:r>
      <w:r w:rsidRPr="00336969">
        <w:rPr>
          <w:rFonts w:eastAsia="Times New Roman" w:cs="Calibri"/>
          <w:lang w:eastAsia="ru-RU"/>
        </w:rPr>
        <w:t>4+С</w:t>
      </w:r>
      <w:r w:rsidRPr="00336969">
        <w:rPr>
          <w:rFonts w:eastAsia="Times New Roman" w:cs="Calibri"/>
          <w:lang w:val="en-US" w:eastAsia="ru-RU"/>
        </w:rPr>
        <w:t>D</w:t>
      </w:r>
      <w:r w:rsidRPr="00336969">
        <w:rPr>
          <w:rFonts w:eastAsia="Times New Roman" w:cs="Calibri"/>
          <w:lang w:eastAsia="ru-RU"/>
        </w:rPr>
        <w:t xml:space="preserve">7- клеток) или </w:t>
      </w:r>
      <w:r w:rsidRPr="00336969">
        <w:rPr>
          <w:rFonts w:eastAsia="Times New Roman" w:cs="Calibri"/>
          <w:lang w:val="en-US" w:eastAsia="ru-RU"/>
        </w:rPr>
        <w:t>CD</w:t>
      </w:r>
      <w:r w:rsidRPr="00336969">
        <w:rPr>
          <w:rFonts w:eastAsia="Times New Roman" w:cs="Calibri"/>
          <w:lang w:eastAsia="ru-RU"/>
        </w:rPr>
        <w:t xml:space="preserve">26 (≥ 30% </w:t>
      </w:r>
      <w:r w:rsidRPr="00336969">
        <w:rPr>
          <w:rFonts w:eastAsia="Times New Roman" w:cs="Calibri"/>
          <w:lang w:val="en-US" w:eastAsia="ru-RU"/>
        </w:rPr>
        <w:t>CD</w:t>
      </w:r>
      <w:r w:rsidRPr="00336969">
        <w:rPr>
          <w:rFonts w:eastAsia="Times New Roman" w:cs="Calibri"/>
          <w:lang w:eastAsia="ru-RU"/>
        </w:rPr>
        <w:t>4+</w:t>
      </w:r>
      <w:r w:rsidRPr="00336969">
        <w:rPr>
          <w:rFonts w:eastAsia="Times New Roman" w:cs="Calibri"/>
          <w:lang w:val="en-US" w:eastAsia="ru-RU"/>
        </w:rPr>
        <w:t>CD</w:t>
      </w:r>
      <w:r w:rsidRPr="00336969">
        <w:rPr>
          <w:rFonts w:eastAsia="Times New Roman" w:cs="Calibri"/>
          <w:lang w:eastAsia="ru-RU"/>
        </w:rPr>
        <w:t>26- клеток)</w:t>
      </w:r>
      <w:r w:rsidRPr="00D74813">
        <w:rPr>
          <w:i/>
        </w:rPr>
        <w:t>.</w:t>
      </w:r>
      <w:bookmarkStart w:id="31" w:name="_Toc469402336"/>
      <w:bookmarkStart w:id="32" w:name="_Toc468273531"/>
      <w:bookmarkStart w:id="33" w:name="_Toc468273449"/>
      <w:bookmarkEnd w:id="31"/>
      <w:bookmarkEnd w:id="32"/>
      <w:bookmarkEnd w:id="33"/>
    </w:p>
    <w:p w:rsidR="00B46390" w:rsidRDefault="00B46390" w:rsidP="0021676E">
      <w:pPr>
        <w:pStyle w:val="2"/>
        <w:divId w:val="266810958"/>
      </w:pPr>
      <w:bookmarkStart w:id="34" w:name="_Toc34301082"/>
      <w:bookmarkStart w:id="35" w:name="_Toc67302905"/>
      <w:r w:rsidRPr="00B46390">
        <w:t>2.1 Жалобы и анамнез</w:t>
      </w:r>
      <w:bookmarkEnd w:id="34"/>
      <w:bookmarkEnd w:id="35"/>
    </w:p>
    <w:p w:rsidR="00F756F0" w:rsidRPr="00AA7468" w:rsidRDefault="00AA7468" w:rsidP="00334F6C">
      <w:pPr>
        <w:pStyle w:val="2-6"/>
        <w:divId w:val="266810958"/>
        <w:rPr>
          <w:rStyle w:val="affc"/>
          <w:i w:val="0"/>
          <w:iCs w:val="0"/>
        </w:rPr>
      </w:pPr>
      <w:r w:rsidRPr="00AA7468">
        <w:rPr>
          <w:rStyle w:val="afffc"/>
          <w:rFonts w:eastAsia="Calibri"/>
          <w:i w:val="0"/>
          <w:color w:val="auto"/>
          <w:sz w:val="24"/>
        </w:rPr>
        <w:t>Жалобы и анамнез</w:t>
      </w:r>
      <w:r w:rsidR="00F844F6" w:rsidRPr="007C6EA6">
        <w:rPr>
          <w:rStyle w:val="afffc"/>
          <w:rFonts w:eastAsia="Calibri"/>
          <w:i w:val="0"/>
          <w:color w:val="auto"/>
          <w:sz w:val="24"/>
        </w:rPr>
        <w:t xml:space="preserve"> </w:t>
      </w:r>
      <w:r>
        <w:rPr>
          <w:rStyle w:val="affc"/>
          <w:i w:val="0"/>
          <w:iCs w:val="0"/>
        </w:rPr>
        <w:t>описаны в разделе «Клиническая картина».</w:t>
      </w:r>
    </w:p>
    <w:p w:rsidR="00B46390" w:rsidRDefault="00B46390" w:rsidP="0021676E">
      <w:pPr>
        <w:pStyle w:val="2"/>
        <w:divId w:val="266810958"/>
      </w:pPr>
      <w:bookmarkStart w:id="36" w:name="_Toc34301083"/>
      <w:bookmarkStart w:id="37" w:name="_Toc67302906"/>
      <w:r w:rsidRPr="00B46390">
        <w:t xml:space="preserve">2.2 </w:t>
      </w:r>
      <w:r w:rsidRPr="0021676E">
        <w:t>Физикальное</w:t>
      </w:r>
      <w:r w:rsidRPr="00B46390">
        <w:t xml:space="preserve"> обследование</w:t>
      </w:r>
      <w:bookmarkEnd w:id="36"/>
      <w:bookmarkEnd w:id="37"/>
    </w:p>
    <w:p w:rsidR="00F756F0" w:rsidRPr="00D74813" w:rsidRDefault="00AA7468" w:rsidP="00334F6C">
      <w:pPr>
        <w:pStyle w:val="2-6"/>
        <w:divId w:val="266810958"/>
        <w:rPr>
          <w:rStyle w:val="affc"/>
          <w:iCs w:val="0"/>
        </w:rPr>
      </w:pPr>
      <w:r>
        <w:rPr>
          <w:rStyle w:val="affc"/>
          <w:i w:val="0"/>
          <w:iCs w:val="0"/>
        </w:rPr>
        <w:t>Данные физикального обследования описаны в разделе «Клиническая картина».</w:t>
      </w:r>
    </w:p>
    <w:p w:rsidR="00094ED6" w:rsidRDefault="00B46390" w:rsidP="0021676E">
      <w:pPr>
        <w:pStyle w:val="2"/>
        <w:divId w:val="266810958"/>
      </w:pPr>
      <w:bookmarkStart w:id="38" w:name="_Toc34301084"/>
      <w:bookmarkStart w:id="39" w:name="_Toc67302907"/>
      <w:r w:rsidRPr="00B46390">
        <w:t>2.3 Лабораторн</w:t>
      </w:r>
      <w:r w:rsidR="00A70F44">
        <w:t>ые диагностические исследования</w:t>
      </w:r>
      <w:bookmarkEnd w:id="38"/>
      <w:bookmarkEnd w:id="39"/>
    </w:p>
    <w:p w:rsidR="003F7BB1" w:rsidRPr="00C32FC4" w:rsidRDefault="003F7BB1" w:rsidP="007C6EA6">
      <w:pPr>
        <w:pStyle w:val="afff8"/>
        <w:divId w:val="266810958"/>
        <w:rPr>
          <w:rStyle w:val="affc"/>
          <w:rFonts w:eastAsiaTheme="minorEastAsia"/>
          <w:i w:val="0"/>
          <w:iCs w:val="0"/>
        </w:rPr>
      </w:pPr>
      <w:r w:rsidRPr="007C6EA6">
        <w:rPr>
          <w:rStyle w:val="affb"/>
          <w:b w:val="0"/>
          <w:bCs w:val="0"/>
        </w:rPr>
        <w:t>Рекомендуется пациентам</w:t>
      </w:r>
      <w:r w:rsidRPr="007C6EA6">
        <w:t xml:space="preserve"> с клиническими проявлениями синдрома Сезари для выявления </w:t>
      </w:r>
      <w:r w:rsidR="00877FEC" w:rsidRPr="007C6EA6">
        <w:t xml:space="preserve">в периферической крови лимфоцитов с </w:t>
      </w:r>
      <w:r w:rsidRPr="007C6EA6">
        <w:t>признак</w:t>
      </w:r>
      <w:r w:rsidR="00877FEC" w:rsidRPr="007C6EA6">
        <w:t>ами</w:t>
      </w:r>
      <w:r w:rsidRPr="007C6EA6">
        <w:t xml:space="preserve"> злокачественной трансформации</w:t>
      </w:r>
      <w:r w:rsidR="00877FEC" w:rsidRPr="007C6EA6">
        <w:t xml:space="preserve"> (клеток Сезари) </w:t>
      </w:r>
      <w:r w:rsidRPr="007C6EA6">
        <w:rPr>
          <w:rFonts w:eastAsiaTheme="minorHAnsi"/>
        </w:rPr>
        <w:t xml:space="preserve">исследование биологического материала методом </w:t>
      </w:r>
      <w:r w:rsidRPr="00C32FC4">
        <w:rPr>
          <w:rFonts w:eastAsiaTheme="minorHAnsi"/>
        </w:rPr>
        <w:t>проточной цитофлуориметрии</w:t>
      </w:r>
      <w:r w:rsidR="00CC5054" w:rsidRPr="00CC5054">
        <w:rPr>
          <w:rFonts w:eastAsiaTheme="minorHAnsi"/>
        </w:rPr>
        <w:t xml:space="preserve"> </w:t>
      </w:r>
      <w:r w:rsidR="00DB1569">
        <w:rPr>
          <w:rFonts w:eastAsiaTheme="minorHAnsi"/>
        </w:rPr>
        <w:fldChar w:fldCharType="begin" w:fldLock="1"/>
      </w:r>
      <w:r w:rsidR="00AD610C">
        <w:rPr>
          <w:rFonts w:eastAsiaTheme="minorHAnsi"/>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10.1309/25E9-Y7RR-AY84-HTAT","ISSN":"0002-9173","author":[{"dropping-particle":"","family":"Morice","given":"William G.","non-dropping-particle":"","parse-names":false,"suffix":""},{"dropping-particle":"","family":"Katzmann","given":"Jerry A.","non-dropping-particle":"","parse-names":false,"suffix":""},{"dropping-particle":"","family":"Pittelkow","given":"Mark R.","non-dropping-particle":"","parse-names":false,"suffix":""},{"dropping-particle":"","family":"el-Azhary","given":"Rokea A.","non-dropping-particle":"","parse-names":false,"suffix":""},{"dropping-particle":"","family":"Gibson","given":"Lawrence E.","non-dropping-particle":"","parse-names":false,"suffix":""},{"dropping-particle":"","family":"Hanson","given":"Curtis A.","non-dropping-particle":"","parse-names":false,"suffix":""}],"container-title":"American Journal of Clinical Pathology","id":"ITEM-2","issue":"3","issued":{"date-parts":[["2006","3","1"]]},"page":"364-374","publisher":"Oxford University Press (OUP)","title":"A Comparison of Morphologic Features, Flow Cytometry, TCR-V β Analysis, and TCR-PCR in Qualitative and Quantitative Assessment of Peripheral Blood Involvement by Sézary Syndrome","type":"article-journal","volume":"125"},"uris":["http://www.mendeley.com/documents/?uuid=ed485710-c1a1-39e6-8ee0-4139c035cb3d"]},{"id":"ITEM-3","itemData":{"DOI":"10.1038/modpathol.2009.175","ISSN":"08933952","PMID":"19935642","abstract":"Peripheral blood involvement has been recognized as an adverse prognostic factor in patients with mycosis fungoides and Sézary syndrome. However, accurate identification and enumeration of the neoplastic cells in these diseases can be challenging. We assessed the clinical utility of flow cytometric immunophenotypic analysis of T-cell receptor VΒ expression in 82 mycosis fungoides and 6 Sézary syndrome patients, with an atypical T-cell immunophenotype, or abnormal CD4:CD8 ratio, identified from peripheral blood specimens of 723 patients submitted for routine mycosis fungoides/Sézary syndrome blood staging. To improve detection sensitivity, VΒ expression was analyzed on gated CD3CD4 T cells or T cells with an aberrant immunophenotype, if present. The flow cytometric results were compared with traditional morphologic assessment (n88) and molecular methods to assess the T-cell receptor γ or Β genes (n41 tested in parallel). Flow cytometric immunophenotyping yielded a clonal VΒ pattern in 60/82 mycosis fungoides and 6/6 Sézary syndrome patients. By contrast, flow cytometric VΒ was negative in all 10 healthy donors and 18 control patients, showing a specificity of 100% and concordance with molecular testing of 86%. Using flow cytometric VΒ results instead of morphologic assessment, 12 patients were upstaged from B1 to B2, and 20 patients from B0 to B1 (P&lt;0.0001). The 12 upstaged B2 patients had no morphologic evidence of involvement, but had an aggressive clinical course similar to those staged by traditional morphologic assessment (median survival 27 vs 41 months, log-rank P=0.701). In 30/44 patients with a tumor-associated VΒ expression, a single VΒ tube was used to monitor treatment response. In conclusion, flow cytometric VΒ analysis is rapid and convenient, can assess T-cell clonality and tumor quantity simultaneously, and is useful both in initial blood staging and monitoring tumor burden during therapy in patients with mycosis fungoides or Sézary syndrome. © 2010 USCAP, Inc. All rights reserved.","author":[{"dropping-particle":"","family":"Feng","given":"Bo","non-dropping-particle":"","parse-names":false,"suffix":""},{"dropping-particle":"","family":"Jorgensen","given":"Jeffrey L.","non-dropping-particle":"","parse-names":false,"suffix":""},{"dropping-particle":"","family":"Jones","given":"Dan","non-dropping-particle":"","parse-names":false,"suffix":""},{"dropping-particle":"","family":"Chen","given":"Su S.","non-dropping-particle":"","parse-names":false,"suffix":""},{"dropping-particle":"","family":"Hu","given":"Ying","non-dropping-particle":"","parse-names":false,"suffix":""},{"dropping-particle":"","family":"Medeiros","given":"L. Jeffrey","non-dropping-particle":"","parse-names":false,"suffix":""},{"dropping-particle":"","family":"Wang","given":"Sa A.","non-dropping-particle":"","parse-names":false,"suffix":""}],"container-title":"Modern Pathology","id":"ITEM-3","issue":"2","issued":{"date-parts":[["2010","2"]]},"page":"284-295","publisher":"Mod Pathol","title":"Flow cytometric detection of peripheral blood involvement by mycosis fungoides and Sézary syndrome using T-cell receptor VΒ chain antibodies and its application in blood staging","type":"article-journal","volume":"23"},"uris":["http://www.mendeley.com/documents/?uuid=51d2c269-ba56-35a6-9ef0-1424716f81d5"]},{"id":"ITEM-4","itemData":{"DOI":"10.1182/blood-2007-03-055749","ISSN":"00064971","PMID":"17540844","abstract":"The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-4","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-5","itemData":{"author":[{"dropping-particle":"","family":"Виноградова","given":"Ю.Е.","non-dropping-particle":"","parse-names":false,"suffix":""},{"dropping-particle":"","family":"Цыба","given":"Н.Н.","non-dropping-particle":"","parse-names":false,"suffix":""},{"dropping-particle":"","family":"Гилязитдинова","given":"Е.А.","non-dropping-particle":"","parse-names":false,"suffix":""}],"container-title":"Клиническая онкогематология","id":"ITEM-5","issue":"4","issued":{"date-parts":[["2009"]]},"page":"326-333","title":"Опыт лечения грибовидного микоза и синдрома Сезари в зависимости от стадий заболевания. Результаты собственных исследований и обзор литературы","type":"article-journal","volume":"2"},"uris":["http://www.mendeley.com/documents/?uuid=24439b9c-8da1-47e3-a3e1-021fdcf60a4a"]}],"mendeley":{"formattedCitation":"[7,11–14]","plainTextFormattedCitation":"[7,11–14]","previouslyFormattedCitation":"[7,11–14]"},"properties":{"noteIndex":0},"schema":"https://github.com/citation-style-language/schema/raw/master/csl-citation.json"}</w:instrText>
      </w:r>
      <w:r w:rsidR="00DB1569">
        <w:rPr>
          <w:rFonts w:eastAsiaTheme="minorHAnsi"/>
        </w:rPr>
        <w:fldChar w:fldCharType="separate"/>
      </w:r>
      <w:r w:rsidR="00382350" w:rsidRPr="00382350">
        <w:rPr>
          <w:rFonts w:eastAsiaTheme="minorHAnsi"/>
          <w:noProof/>
        </w:rPr>
        <w:t>[7,11–14]</w:t>
      </w:r>
      <w:r w:rsidR="00DB1569">
        <w:rPr>
          <w:rFonts w:eastAsiaTheme="minorHAnsi"/>
        </w:rPr>
        <w:fldChar w:fldCharType="end"/>
      </w:r>
      <w:r w:rsidR="007F5462" w:rsidRPr="00C32FC4">
        <w:rPr>
          <w:rStyle w:val="affc"/>
          <w:i w:val="0"/>
          <w:iCs w:val="0"/>
        </w:rPr>
        <w:t>.</w:t>
      </w:r>
    </w:p>
    <w:p w:rsidR="003F7BB1" w:rsidRPr="00C32FC4" w:rsidRDefault="003F7BB1" w:rsidP="003F7BB1">
      <w:pPr>
        <w:ind w:left="708" w:firstLine="0"/>
        <w:divId w:val="266810958"/>
        <w:rPr>
          <w:rFonts w:eastAsiaTheme="minorEastAsia"/>
          <w:b/>
        </w:rPr>
      </w:pPr>
      <w:r w:rsidRPr="00C32FC4">
        <w:rPr>
          <w:rStyle w:val="affb"/>
        </w:rPr>
        <w:t xml:space="preserve">Уровень убедительности рекомендаций </w:t>
      </w:r>
      <w:r w:rsidRPr="00C32FC4">
        <w:rPr>
          <w:rStyle w:val="affb"/>
        </w:rPr>
        <w:softHyphen/>
        <w:t xml:space="preserve">С </w:t>
      </w:r>
      <w:r w:rsidRPr="00C32FC4">
        <w:rPr>
          <w:b/>
        </w:rPr>
        <w:t>(уровень достоверности доказательств – 2)</w:t>
      </w:r>
    </w:p>
    <w:p w:rsidR="003F7BB1" w:rsidRPr="00C32FC4" w:rsidRDefault="003F7BB1" w:rsidP="003F7BB1">
      <w:pPr>
        <w:pStyle w:val="aff3"/>
        <w:divId w:val="266810958"/>
      </w:pPr>
      <w:r w:rsidRPr="00C32FC4">
        <w:rPr>
          <w:rStyle w:val="affb"/>
        </w:rPr>
        <w:t xml:space="preserve">Комментарии: </w:t>
      </w:r>
      <w:r w:rsidR="00382350" w:rsidRPr="00382350">
        <w:rPr>
          <w:i/>
          <w:iCs/>
        </w:rPr>
        <w:t xml:space="preserve">для </w:t>
      </w:r>
      <w:r w:rsidR="007C1C81" w:rsidRPr="00382350">
        <w:rPr>
          <w:i/>
          <w:iCs/>
        </w:rPr>
        <w:t xml:space="preserve">исследования методом проточной цитофлуориметрии используется кровь. </w:t>
      </w:r>
      <w:r w:rsidRPr="00382350">
        <w:rPr>
          <w:i/>
          <w:iCs/>
        </w:rPr>
        <w:t>Исследование</w:t>
      </w:r>
      <w:r w:rsidR="007C1C81" w:rsidRPr="00382350">
        <w:rPr>
          <w:i/>
          <w:iCs/>
        </w:rPr>
        <w:t xml:space="preserve"> проводится</w:t>
      </w:r>
      <w:r w:rsidRPr="00382350">
        <w:rPr>
          <w:i/>
          <w:iCs/>
        </w:rPr>
        <w:t xml:space="preserve"> </w:t>
      </w:r>
      <w:r w:rsidR="00877FEC" w:rsidRPr="00382350">
        <w:rPr>
          <w:i/>
          <w:iCs/>
        </w:rPr>
        <w:t xml:space="preserve">для выявления маркеров Т-лимфоцитов, циркулирующих в крови, – CD3, CD4, CD7, CD26. Т-лимфоциты с аберрантной экспрессией маркеров </w:t>
      </w:r>
      <w:r w:rsidR="007C1C81" w:rsidRPr="00382350">
        <w:rPr>
          <w:i/>
          <w:iCs/>
        </w:rPr>
        <w:t xml:space="preserve">CD3, CD4, CD7, CD26 являются клетками Сезари. </w:t>
      </w:r>
      <w:r w:rsidRPr="00382350">
        <w:rPr>
          <w:i/>
          <w:iCs/>
        </w:rPr>
        <w:t xml:space="preserve">Диагностически значимым является абсолютное количество клеток Сезари в крови ≥ 1000 клеток/мм3 </w:t>
      </w:r>
      <w:r w:rsidR="007C1C81" w:rsidRPr="00382350">
        <w:rPr>
          <w:i/>
          <w:iCs/>
        </w:rPr>
        <w:t xml:space="preserve">или содержание </w:t>
      </w:r>
      <w:r w:rsidR="007C1C81" w:rsidRPr="00382350">
        <w:rPr>
          <w:rFonts w:eastAsia="Times New Roman" w:cs="Calibri"/>
          <w:i/>
          <w:iCs/>
          <w:lang w:eastAsia="ru-RU"/>
        </w:rPr>
        <w:t xml:space="preserve">атипичных лимфоцитов &gt;5%. При этом </w:t>
      </w:r>
      <w:r w:rsidR="007C1C81" w:rsidRPr="00382350">
        <w:rPr>
          <w:i/>
          <w:iCs/>
        </w:rPr>
        <w:t xml:space="preserve">подсчитывается общее число лейкоцитов, общее число лимфоцитов, число атипичных лимфоцитов, приходящихся на 100 лимфоцитов. </w:t>
      </w:r>
      <w:r w:rsidRPr="00382350">
        <w:rPr>
          <w:i/>
          <w:iCs/>
        </w:rPr>
        <w:t xml:space="preserve">Диагностически значимым является </w:t>
      </w:r>
      <w:r w:rsidR="007C1C81" w:rsidRPr="00382350">
        <w:rPr>
          <w:i/>
          <w:iCs/>
        </w:rPr>
        <w:t xml:space="preserve">также </w:t>
      </w:r>
      <w:r w:rsidRPr="00382350">
        <w:rPr>
          <w:i/>
          <w:iCs/>
        </w:rPr>
        <w:t>повышенное содержание CD3+ или CD4+ клеток периферической крови с коэффициентом отношения CD4/CD8 ≥ 10; повышенное содержание CD4+ клеток периферической крови с аберрантным иммунофенотипом, включающем отсутствие экспрессии CD7 (≥ 40% CD4+СD7- клеток) или CD26 (≥ 30% CD4+CD26- клеток)</w:t>
      </w:r>
      <w:r w:rsidR="00382350" w:rsidRPr="00382350">
        <w:rPr>
          <w:i/>
          <w:iCs/>
        </w:rPr>
        <w:t xml:space="preserve"> </w:t>
      </w:r>
      <w:r w:rsidR="00AD610C">
        <w:rPr>
          <w:i/>
          <w:iCs/>
        </w:rPr>
        <w:fldChar w:fldCharType="begin" w:fldLock="1"/>
      </w:r>
      <w:r w:rsidR="009106E8">
        <w:rPr>
          <w:i/>
          <w:iCs/>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[13]","plainTextFormattedCitation":"[13]","previouslyFormattedCitation":"[13]"},"properties":{"noteIndex":0},"schema":"https://github.com/citation-style-language/schema/raw/master/csl-citation.json"}</w:instrText>
      </w:r>
      <w:r w:rsidR="00AD610C">
        <w:rPr>
          <w:i/>
          <w:iCs/>
        </w:rPr>
        <w:fldChar w:fldCharType="separate"/>
      </w:r>
      <w:r w:rsidR="00AD610C" w:rsidRPr="00AD610C">
        <w:rPr>
          <w:iCs/>
          <w:noProof/>
        </w:rPr>
        <w:t>[13]</w:t>
      </w:r>
      <w:r w:rsidR="00AD610C">
        <w:rPr>
          <w:i/>
          <w:iCs/>
        </w:rPr>
        <w:fldChar w:fldCharType="end"/>
      </w:r>
      <w:r w:rsidRPr="00C32FC4">
        <w:t>.</w:t>
      </w:r>
    </w:p>
    <w:p w:rsidR="00381F00" w:rsidRPr="00C32FC4" w:rsidRDefault="00381F00" w:rsidP="007C6EA6">
      <w:pPr>
        <w:pStyle w:val="afff8"/>
        <w:divId w:val="266810958"/>
      </w:pPr>
      <w:r w:rsidRPr="00C32FC4">
        <w:rPr>
          <w:rStyle w:val="affb"/>
        </w:rPr>
        <w:lastRenderedPageBreak/>
        <w:t>Рекомендуется</w:t>
      </w:r>
      <w:r w:rsidR="007211B1" w:rsidRPr="00C32FC4">
        <w:rPr>
          <w:rStyle w:val="affb"/>
        </w:rPr>
        <w:t xml:space="preserve"> </w:t>
      </w:r>
      <w:r w:rsidR="003F7BB1" w:rsidRPr="00C32FC4">
        <w:rPr>
          <w:rStyle w:val="affb"/>
          <w:b w:val="0"/>
        </w:rPr>
        <w:t>пациентам</w:t>
      </w:r>
      <w:r w:rsidR="003F7BB1" w:rsidRPr="00C32FC4">
        <w:t xml:space="preserve"> с клиническими и гистологическими проявлениями синдрома Сезари для выявления признаков злокачественной трансформации лимфоцитов, инфильтрирующих кожу, </w:t>
      </w:r>
      <w:r w:rsidRPr="00C32FC4">
        <w:t>патолого-анатомическое исследование биопсийного</w:t>
      </w:r>
      <w:r w:rsidR="00A550DB" w:rsidRPr="00C32FC4">
        <w:t xml:space="preserve"> (операционного)</w:t>
      </w:r>
      <w:r w:rsidRPr="00C32FC4">
        <w:t xml:space="preserve"> материала кожи с применением иммуногистохимических методов</w:t>
      </w:r>
      <w:r w:rsidR="00AD610C" w:rsidRPr="00AD610C">
        <w:t xml:space="preserve"> </w:t>
      </w:r>
      <w:r w:rsidR="009106E8">
        <w:fldChar w:fldCharType="begin" w:fldLock="1"/>
      </w:r>
      <w:r w:rsidR="00B62492">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treatment","type":"article-journal","volume":"37"},"uris":["http://www.mendeley.com/documents/?uuid=789da34a-52f5-334d-89ab-ada602da3b00"]},{"id":"ITEM-2","itemData":{"DOI":"10.1002/ajh.25577","ISSN":"10968652","PMID":"31313347","abstract":"Disease Overview: Cutaneous T-cell lymphomas (CTCL) are a heterogenous group of T-cell neoplasms involving the skin, the majority of which may be classified as Mycosis fungoides (MF) or Sézary syndrome (SS). Diagnosis: The diagnosis of MF or SS requires the integration of clinical and histopathologic data. Risk-Adapted Therapy: TNMB (tumor, node, metastasis, blood) staging remains the most important prognostic factor in MF/SS and forms the basis for a “risk-adapted,” multi-disciplinary approach to treatment. For patients with disease limited to the skin, skin-directed therapies are preferred, as both disease-specific and overall survival for these patients is favorable. In contrast, patients with advanced-stage disease with significant nodal, visceral or blood involvement are generally approached with systemic therapies. These include biologic-response modifiers, histone deacetylase (HDAC) inhibitors, or antibody-based strategies, in an escalating fashion. In highly-selected patients, allogeneic stem-cell transplantation may be considered, as this may be curative in some patients.","author":[{"dropping-particle":"","family":"Hristov","given":"Alexandra C.","non-dropping-particle":"","parse-names":false,"suffix":""},{"dropping-particle":"","family":"Tejasvi","given":"Trilokraj","non-dropping-particle":"","parse-names":false,"suffix":""},{"dropping-particle":"","family":"Wilcox","given":"Ryan A.","non-dropping-particle":"","parse-names":false,"suffix":""}],"container-title":"American Journal of Hematology","id":"ITEM-2","issue":"9","issued":{"date-parts":[["2019","9","1"]]},"page":"1027-1041","publisher":"Wiley-Liss Inc.","title":"Mycosis fungoides and Sézary syndrome: 2019 update on diagnosis, risk-stratification, and management","type":"article-journal","volume":"94"},"uris":["http://www.mendeley.com/documents/?uuid=6ef39660-9eb9-3819-8b01-3b6b5ad401b7"]},{"id":"ITEM-3","itemData":{"author":[{"dropping-particle":"","family":"Виноградова","given":"Ю.Е.","non-dropping-particle":"","parse-names":false,"suffix":""},{"dropping-particle":"","family":"Цыба","given":"Н.Н.","non-dropping-particle":"","parse-names":false,"suffix":""},{"dropping-particle":"","family":"Гилязитдинова","given":"Е.А.","non-dropping-particle":"","parse-names":false,"suffix":""}],"container-title":"Клиническая онкогематология","id":"ITEM-3","issue":"4","issued":{"date-parts":[["2009"]]},"page":"326-333","title":"Опыт лечения грибовидного микоза и синдрома Сезари в зависимости от стадий заболевания. Результаты собственных исследований и обзор литературы","type":"article-journal","volume":"2"},"uris":["http://www.mendeley.com/documents/?uuid=24439b9c-8da1-47e3-a3e1-021fdcf60a4a"]},{"id":"ITEM-4","itemData":{"author":[{"dropping-particle":"","family":"Карамова","given":"А.Э.","non-dropping-particle":"","parse-names":false,"suffix":""},{"dropping-particle":"","family":"Чикин","given":"В.В.","non-dropping-particle":"","parse-names":false,"suffix":""},{"dropping-particle":"","family":"Знаменская","given":"Л.Ф.","non-dropping-particle":"","parse-names":false,"suffix":""},{"dropping-particle":"","family":"Воронцова","given":"А.А.","non-dropping-particle":"","parse-names":false,"suffix":""}],"container-title":"Вестник дерматологии и венерологии","id":"ITEM-4","issue":"5","issued":{"date-parts":[["2019"]]},"page":"24-32","title":"Т-клеточные лимфомы кожи: дифференциальная диагностика эритродермических состояний","type":"article-journal","volume":"95"},"uris":["http://www.mendeley.com/documents/?uuid=fe63ccc1-9bf7-413c-89e7-6e3a690b7de8"]}],"mendeley":{"formattedCitation":"[7,14–16]","plainTextFormattedCitation":"[7,14–16]","previouslyFormattedCitation":"[7,14–16]"},"properties":{"noteIndex":0},"schema":"https://github.com/citation-style-language/schema/raw/master/csl-citation.json"}</w:instrText>
      </w:r>
      <w:r w:rsidR="009106E8">
        <w:fldChar w:fldCharType="separate"/>
      </w:r>
      <w:r w:rsidR="007752AA" w:rsidRPr="007752AA">
        <w:rPr>
          <w:noProof/>
        </w:rPr>
        <w:t>[7,14–16]</w:t>
      </w:r>
      <w:r w:rsidR="009106E8">
        <w:fldChar w:fldCharType="end"/>
      </w:r>
      <w:r w:rsidR="007752AA">
        <w:rPr>
          <w:lang w:val="en-US"/>
        </w:rPr>
        <w:t>.</w:t>
      </w:r>
    </w:p>
    <w:p w:rsidR="00381F00" w:rsidRPr="00C32FC4" w:rsidRDefault="00381F00" w:rsidP="00381F00">
      <w:pPr>
        <w:pStyle w:val="afd"/>
        <w:spacing w:beforeAutospacing="0" w:afterAutospacing="0" w:line="360" w:lineRule="auto"/>
        <w:ind w:left="709" w:firstLine="0"/>
        <w:divId w:val="266810958"/>
        <w:rPr>
          <w:rFonts w:eastAsiaTheme="minorEastAsia"/>
          <w:b/>
        </w:rPr>
      </w:pPr>
      <w:r w:rsidRPr="00C32FC4">
        <w:rPr>
          <w:rStyle w:val="affb"/>
        </w:rPr>
        <w:t xml:space="preserve">Уровень убедительности рекомендаций </w:t>
      </w:r>
      <w:r w:rsidRPr="00C32FC4">
        <w:rPr>
          <w:rStyle w:val="affb"/>
        </w:rPr>
        <w:softHyphen/>
        <w:t xml:space="preserve"> С</w:t>
      </w:r>
      <w:r w:rsidR="00662E4E" w:rsidRPr="00C32FC4">
        <w:rPr>
          <w:rStyle w:val="affb"/>
        </w:rPr>
        <w:t xml:space="preserve"> </w:t>
      </w:r>
      <w:r w:rsidRPr="00C32FC4">
        <w:rPr>
          <w:b/>
        </w:rPr>
        <w:t>(уровень достоверности доказательств – 5)</w:t>
      </w:r>
    </w:p>
    <w:p w:rsidR="00381F00" w:rsidRPr="00C32FC4" w:rsidRDefault="00381F00" w:rsidP="00381F00">
      <w:pPr>
        <w:pStyle w:val="aff3"/>
        <w:divId w:val="266810958"/>
        <w:rPr>
          <w:i/>
          <w:iCs/>
        </w:rPr>
      </w:pPr>
      <w:r w:rsidRPr="00C32FC4">
        <w:rPr>
          <w:rStyle w:val="affb"/>
        </w:rPr>
        <w:t>Комментарии:</w:t>
      </w:r>
      <w:r w:rsidR="002463B8" w:rsidRPr="00C32FC4">
        <w:rPr>
          <w:rStyle w:val="affb"/>
        </w:rPr>
        <w:t xml:space="preserve"> </w:t>
      </w:r>
      <w:r w:rsidR="00961EB9" w:rsidRPr="00C32FC4">
        <w:rPr>
          <w:i/>
        </w:rPr>
        <w:t xml:space="preserve">Необходимо определение маркеров </w:t>
      </w:r>
      <w:r w:rsidR="00961EB9" w:rsidRPr="00C32FC4">
        <w:rPr>
          <w:rFonts w:eastAsia="Times New Roman"/>
          <w:i/>
          <w:lang w:val="en-US"/>
        </w:rPr>
        <w:t>CD</w:t>
      </w:r>
      <w:r w:rsidR="00961EB9" w:rsidRPr="00C32FC4">
        <w:rPr>
          <w:rFonts w:eastAsia="Times New Roman"/>
          <w:i/>
        </w:rPr>
        <w:t xml:space="preserve">2, </w:t>
      </w:r>
      <w:r w:rsidR="00961EB9" w:rsidRPr="00C32FC4">
        <w:rPr>
          <w:rFonts w:eastAsia="Times New Roman"/>
          <w:i/>
          <w:lang w:val="en-US"/>
        </w:rPr>
        <w:t>CD</w:t>
      </w:r>
      <w:r w:rsidR="00961EB9" w:rsidRPr="00C32FC4">
        <w:rPr>
          <w:rFonts w:eastAsia="Times New Roman"/>
          <w:i/>
        </w:rPr>
        <w:t xml:space="preserve">3, </w:t>
      </w:r>
      <w:r w:rsidR="00961EB9" w:rsidRPr="00C32FC4">
        <w:rPr>
          <w:rFonts w:eastAsia="Times New Roman"/>
          <w:i/>
          <w:lang w:val="en-US"/>
        </w:rPr>
        <w:t>CD</w:t>
      </w:r>
      <w:r w:rsidR="00961EB9" w:rsidRPr="00C32FC4">
        <w:rPr>
          <w:rFonts w:eastAsia="Times New Roman"/>
          <w:i/>
        </w:rPr>
        <w:t xml:space="preserve">4, </w:t>
      </w:r>
      <w:r w:rsidR="00961EB9" w:rsidRPr="00C32FC4">
        <w:rPr>
          <w:rFonts w:eastAsia="Times New Roman"/>
          <w:i/>
          <w:lang w:val="en-US"/>
        </w:rPr>
        <w:t>CD</w:t>
      </w:r>
      <w:r w:rsidR="00961EB9" w:rsidRPr="00C32FC4">
        <w:rPr>
          <w:rFonts w:eastAsia="Times New Roman"/>
          <w:i/>
        </w:rPr>
        <w:t xml:space="preserve">5, </w:t>
      </w:r>
      <w:r w:rsidR="00961EB9" w:rsidRPr="00C32FC4">
        <w:rPr>
          <w:rFonts w:eastAsia="Times New Roman"/>
          <w:i/>
          <w:lang w:val="en-US"/>
        </w:rPr>
        <w:t>CD</w:t>
      </w:r>
      <w:r w:rsidR="00961EB9" w:rsidRPr="00C32FC4">
        <w:rPr>
          <w:rFonts w:eastAsia="Times New Roman"/>
          <w:i/>
        </w:rPr>
        <w:t xml:space="preserve">7, </w:t>
      </w:r>
      <w:r w:rsidR="00961EB9" w:rsidRPr="00C32FC4">
        <w:rPr>
          <w:rFonts w:eastAsia="Times New Roman"/>
          <w:i/>
          <w:lang w:val="en-US"/>
        </w:rPr>
        <w:t>CD</w:t>
      </w:r>
      <w:r w:rsidR="00961EB9" w:rsidRPr="00C32FC4">
        <w:rPr>
          <w:rFonts w:eastAsia="Times New Roman"/>
          <w:i/>
        </w:rPr>
        <w:t xml:space="preserve">8, </w:t>
      </w:r>
      <w:r w:rsidR="00961EB9" w:rsidRPr="00C32FC4">
        <w:rPr>
          <w:rFonts w:eastAsia="Times New Roman"/>
          <w:i/>
          <w:lang w:val="en-US"/>
        </w:rPr>
        <w:t>CD</w:t>
      </w:r>
      <w:r w:rsidR="00961EB9" w:rsidRPr="00C32FC4">
        <w:rPr>
          <w:rFonts w:eastAsia="Times New Roman"/>
          <w:i/>
        </w:rPr>
        <w:t xml:space="preserve">20, </w:t>
      </w:r>
      <w:r w:rsidR="00961EB9" w:rsidRPr="00C32FC4">
        <w:rPr>
          <w:rFonts w:eastAsia="Times New Roman"/>
          <w:i/>
          <w:lang w:val="en-US"/>
        </w:rPr>
        <w:t>CD</w:t>
      </w:r>
      <w:r w:rsidR="00961EB9" w:rsidRPr="00C32FC4">
        <w:rPr>
          <w:rFonts w:eastAsia="Times New Roman"/>
          <w:i/>
        </w:rPr>
        <w:t xml:space="preserve">30. </w:t>
      </w:r>
      <w:r w:rsidRPr="00C32FC4">
        <w:rPr>
          <w:i/>
          <w:iCs/>
        </w:rPr>
        <w:t xml:space="preserve">Неопластические Т-лимфоциты при синдроме Сезари обычно экспрессируют </w:t>
      </w:r>
      <w:r w:rsidRPr="00C32FC4">
        <w:rPr>
          <w:i/>
          <w:iCs/>
          <w:lang w:val="en-US"/>
        </w:rPr>
        <w:t>CD</w:t>
      </w:r>
      <w:r w:rsidRPr="00C32FC4">
        <w:rPr>
          <w:i/>
          <w:iCs/>
        </w:rPr>
        <w:t xml:space="preserve">3 и </w:t>
      </w:r>
      <w:r w:rsidRPr="00C32FC4">
        <w:rPr>
          <w:i/>
          <w:iCs/>
          <w:lang w:val="en-US"/>
        </w:rPr>
        <w:t>CD</w:t>
      </w:r>
      <w:r w:rsidRPr="00C32FC4">
        <w:rPr>
          <w:i/>
          <w:iCs/>
        </w:rPr>
        <w:t xml:space="preserve">4, но не экспрессируют </w:t>
      </w:r>
      <w:r w:rsidRPr="00C32FC4">
        <w:rPr>
          <w:i/>
          <w:iCs/>
          <w:lang w:val="en-US"/>
        </w:rPr>
        <w:t>CD</w:t>
      </w:r>
      <w:r w:rsidRPr="00C32FC4">
        <w:rPr>
          <w:i/>
          <w:iCs/>
        </w:rPr>
        <w:t xml:space="preserve">8. Потеря экспрессии </w:t>
      </w:r>
      <w:r w:rsidRPr="00C32FC4">
        <w:rPr>
          <w:i/>
          <w:iCs/>
          <w:lang w:val="en-US"/>
        </w:rPr>
        <w:t>CD</w:t>
      </w:r>
      <w:r w:rsidRPr="00C32FC4">
        <w:rPr>
          <w:i/>
          <w:iCs/>
        </w:rPr>
        <w:t>7 (маркера всех Т-лимфоцитов) более чем 50% Т-лимфоцитами инфильтрата и наличие экспрессии белка программируемой гибели клеток 1 (</w:t>
      </w:r>
      <w:r w:rsidRPr="00C32FC4">
        <w:rPr>
          <w:i/>
          <w:iCs/>
          <w:lang w:val="en-US"/>
        </w:rPr>
        <w:t>PD</w:t>
      </w:r>
      <w:r w:rsidRPr="00C32FC4">
        <w:rPr>
          <w:i/>
          <w:iCs/>
        </w:rPr>
        <w:t>-1) Т-лимфоцитами инфильтрата подтверждают диагноз синдрома Сезари при дифференциальной диагностике с эритродермиями, вызванными воспалительными заболеваниями</w:t>
      </w:r>
      <w:r w:rsidR="00B62492" w:rsidRPr="00B62492">
        <w:rPr>
          <w:i/>
          <w:iCs/>
        </w:rPr>
        <w:t xml:space="preserve"> </w:t>
      </w:r>
      <w:r w:rsidR="00B62492">
        <w:rPr>
          <w:i/>
          <w:iCs/>
          <w:lang w:val="en-US"/>
        </w:rPr>
        <w:fldChar w:fldCharType="begin" w:fldLock="1"/>
      </w:r>
      <w:r w:rsidR="007C1118">
        <w:rPr>
          <w:i/>
          <w:iCs/>
          <w:lang w:val="en-US"/>
        </w:rPr>
        <w:instrText>ADDIN</w:instrText>
      </w:r>
      <w:r w:rsidR="007C1118" w:rsidRPr="007C1118">
        <w:rPr>
          <w:i/>
          <w:iCs/>
        </w:rPr>
        <w:instrText xml:space="preserve"> </w:instrText>
      </w:r>
      <w:r w:rsidR="007C1118">
        <w:rPr>
          <w:i/>
          <w:iCs/>
          <w:lang w:val="en-US"/>
        </w:rPr>
        <w:instrText>CSL</w:instrText>
      </w:r>
      <w:r w:rsidR="007C1118" w:rsidRPr="007C1118">
        <w:rPr>
          <w:i/>
          <w:iCs/>
        </w:rPr>
        <w:instrText>_</w:instrText>
      </w:r>
      <w:r w:rsidR="007C1118">
        <w:rPr>
          <w:i/>
          <w:iCs/>
          <w:lang w:val="en-US"/>
        </w:rPr>
        <w:instrText>CITATION</w:instrText>
      </w:r>
      <w:r w:rsidR="007C1118" w:rsidRPr="007C1118">
        <w:rPr>
          <w:i/>
          <w:iCs/>
        </w:rPr>
        <w:instrText xml:space="preserve"> {"</w:instrText>
      </w:r>
      <w:r w:rsidR="007C1118">
        <w:rPr>
          <w:i/>
          <w:iCs/>
          <w:lang w:val="en-US"/>
        </w:rPr>
        <w:instrText>citationItems</w:instrText>
      </w:r>
      <w:r w:rsidR="007C1118" w:rsidRPr="007C1118">
        <w:rPr>
          <w:i/>
          <w:iCs/>
        </w:rPr>
        <w:instrText>":[{"</w:instrText>
      </w:r>
      <w:r w:rsidR="007C1118">
        <w:rPr>
          <w:i/>
          <w:iCs/>
          <w:lang w:val="en-US"/>
        </w:rPr>
        <w:instrText>id</w:instrText>
      </w:r>
      <w:r w:rsidR="007C1118" w:rsidRPr="007C1118">
        <w:rPr>
          <w:i/>
          <w:iCs/>
        </w:rPr>
        <w:instrText>":"</w:instrText>
      </w:r>
      <w:r w:rsidR="007C1118">
        <w:rPr>
          <w:i/>
          <w:iCs/>
          <w:lang w:val="en-US"/>
        </w:rPr>
        <w:instrText>ITEM</w:instrText>
      </w:r>
      <w:r w:rsidR="007C1118" w:rsidRPr="007C1118">
        <w:rPr>
          <w:i/>
          <w:iCs/>
        </w:rPr>
        <w:instrText>-1","</w:instrText>
      </w:r>
      <w:r w:rsidR="007C1118">
        <w:rPr>
          <w:i/>
          <w:iCs/>
          <w:lang w:val="en-US"/>
        </w:rPr>
        <w:instrText>itemData</w:instrText>
      </w:r>
      <w:r w:rsidR="007C1118" w:rsidRPr="007C1118">
        <w:rPr>
          <w:i/>
          <w:iCs/>
        </w:rPr>
        <w:instrText>":{"</w:instrText>
      </w:r>
      <w:r w:rsidR="007C1118">
        <w:rPr>
          <w:i/>
          <w:iCs/>
          <w:lang w:val="en-US"/>
        </w:rPr>
        <w:instrText>DOI</w:instrText>
      </w:r>
      <w:r w:rsidR="007C1118" w:rsidRPr="007C1118">
        <w:rPr>
          <w:i/>
          <w:iCs/>
        </w:rPr>
        <w:instrText>":"10.1111/</w:instrText>
      </w:r>
      <w:r w:rsidR="007C1118">
        <w:rPr>
          <w:i/>
          <w:iCs/>
          <w:lang w:val="en-US"/>
        </w:rPr>
        <w:instrText>bjd</w:instrText>
      </w:r>
      <w:r w:rsidR="007C1118" w:rsidRPr="007C1118">
        <w:rPr>
          <w:i/>
          <w:iCs/>
        </w:rPr>
        <w:instrText>.13832","</w:instrText>
      </w:r>
      <w:r w:rsidR="007C1118">
        <w:rPr>
          <w:i/>
          <w:iCs/>
          <w:lang w:val="en-US"/>
        </w:rPr>
        <w:instrText>ISSN</w:instrText>
      </w:r>
      <w:r w:rsidR="007C1118" w:rsidRPr="007C1118">
        <w:rPr>
          <w:i/>
          <w:iCs/>
        </w:rPr>
        <w:instrText>":"13652133","</w:instrText>
      </w:r>
      <w:r w:rsidR="007C1118">
        <w:rPr>
          <w:i/>
          <w:iCs/>
          <w:lang w:val="en-US"/>
        </w:rPr>
        <w:instrText>PMID</w:instrText>
      </w:r>
      <w:r w:rsidR="007C1118" w:rsidRPr="007C1118">
        <w:rPr>
          <w:i/>
          <w:iCs/>
        </w:rPr>
        <w:instrText>":"25864856","</w:instrText>
      </w:r>
      <w:r w:rsidR="007C1118">
        <w:rPr>
          <w:i/>
          <w:iCs/>
          <w:lang w:val="en-US"/>
        </w:rPr>
        <w:instrText>abstract</w:instrText>
      </w:r>
      <w:r w:rsidR="007C1118" w:rsidRPr="007C1118">
        <w:rPr>
          <w:i/>
          <w:iCs/>
        </w:rPr>
        <w:instrText>":"</w:instrText>
      </w:r>
      <w:r w:rsidR="007C1118">
        <w:rPr>
          <w:i/>
          <w:iCs/>
          <w:lang w:val="en-US"/>
        </w:rPr>
        <w:instrText>Background</w:instrText>
      </w:r>
      <w:r w:rsidR="007C1118" w:rsidRPr="007C1118">
        <w:rPr>
          <w:i/>
          <w:iCs/>
        </w:rPr>
        <w:instrText xml:space="preserve"> </w:instrText>
      </w:r>
      <w:r w:rsidR="007C1118">
        <w:rPr>
          <w:i/>
          <w:iCs/>
          <w:lang w:val="en-US"/>
        </w:rPr>
        <w:instrText>Patients</w:instrText>
      </w:r>
      <w:r w:rsidR="007C1118" w:rsidRPr="007C1118">
        <w:rPr>
          <w:i/>
          <w:iCs/>
        </w:rPr>
        <w:instrText xml:space="preserve"> </w:instrText>
      </w:r>
      <w:r w:rsidR="007C1118">
        <w:rPr>
          <w:i/>
          <w:iCs/>
          <w:lang w:val="en-US"/>
        </w:rPr>
        <w:instrText>with</w:instrText>
      </w:r>
      <w:r w:rsidR="007C1118" w:rsidRPr="007C1118">
        <w:rPr>
          <w:i/>
          <w:iCs/>
        </w:rPr>
        <w:instrText xml:space="preserve"> </w:instrText>
      </w:r>
      <w:r w:rsidR="007C1118">
        <w:rPr>
          <w:i/>
          <w:iCs/>
          <w:lang w:val="en-US"/>
        </w:rPr>
        <w:instrText>erythrodermic</w:instrText>
      </w:r>
      <w:r w:rsidR="007C1118" w:rsidRPr="007C1118">
        <w:rPr>
          <w:i/>
          <w:iCs/>
        </w:rPr>
        <w:instrText xml:space="preserve"> </w:instrText>
      </w:r>
      <w:r w:rsidR="007C1118">
        <w:rPr>
          <w:i/>
          <w:iCs/>
          <w:lang w:val="en-US"/>
        </w:rPr>
        <w:instrText>disease</w:instrText>
      </w:r>
      <w:r w:rsidR="007C1118" w:rsidRPr="007C1118">
        <w:rPr>
          <w:i/>
          <w:iCs/>
        </w:rPr>
        <w:instrText xml:space="preserve"> </w:instrText>
      </w:r>
      <w:r w:rsidR="007C1118">
        <w:rPr>
          <w:i/>
          <w:iCs/>
          <w:lang w:val="en-US"/>
        </w:rPr>
        <w:instrText>are</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diagnostic</w:instrText>
      </w:r>
      <w:r w:rsidR="007C1118" w:rsidRPr="007C1118">
        <w:rPr>
          <w:i/>
          <w:iCs/>
        </w:rPr>
        <w:instrText xml:space="preserve"> </w:instrText>
      </w:r>
      <w:r w:rsidR="007C1118">
        <w:rPr>
          <w:i/>
          <w:iCs/>
          <w:lang w:val="en-US"/>
        </w:rPr>
        <w:instrText>challenge</w:instrText>
      </w:r>
      <w:r w:rsidR="007C1118" w:rsidRPr="007C1118">
        <w:rPr>
          <w:i/>
          <w:iCs/>
        </w:rPr>
        <w:instrText xml:space="preserve"> </w:instrText>
      </w:r>
      <w:r w:rsidR="007C1118">
        <w:rPr>
          <w:i/>
          <w:iCs/>
          <w:lang w:val="en-US"/>
        </w:rPr>
        <w:instrText>regarding</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clinical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histological</w:instrText>
      </w:r>
      <w:r w:rsidR="007C1118" w:rsidRPr="007C1118">
        <w:rPr>
          <w:i/>
          <w:iCs/>
        </w:rPr>
        <w:instrText xml:space="preserve"> </w:instrText>
      </w:r>
      <w:r w:rsidR="007C1118">
        <w:rPr>
          <w:i/>
          <w:iCs/>
          <w:lang w:val="en-US"/>
        </w:rPr>
        <w:instrText>differential</w:instrText>
      </w:r>
      <w:r w:rsidR="007C1118" w:rsidRPr="007C1118">
        <w:rPr>
          <w:i/>
          <w:iCs/>
        </w:rPr>
        <w:instrText xml:space="preserve"> </w:instrText>
      </w:r>
      <w:r w:rsidR="007C1118">
        <w:rPr>
          <w:i/>
          <w:iCs/>
          <w:lang w:val="en-US"/>
        </w:rPr>
        <w:instrText>diagnosis</w:instrText>
      </w:r>
      <w:r w:rsidR="007C1118" w:rsidRPr="007C1118">
        <w:rPr>
          <w:i/>
          <w:iCs/>
        </w:rPr>
        <w:instrText xml:space="preserve">. </w:instrText>
      </w:r>
      <w:r w:rsidR="007C1118">
        <w:rPr>
          <w:i/>
          <w:iCs/>
          <w:lang w:val="en-US"/>
        </w:rPr>
        <w:instrText>Objectives</w:instrText>
      </w:r>
      <w:r w:rsidR="007C1118" w:rsidRPr="007C1118">
        <w:rPr>
          <w:i/>
          <w:iCs/>
        </w:rPr>
        <w:instrText xml:space="preserve"> </w:instrText>
      </w:r>
      <w:r w:rsidR="007C1118">
        <w:rPr>
          <w:i/>
          <w:iCs/>
          <w:lang w:val="en-US"/>
        </w:rPr>
        <w:instrText>To</w:instrText>
      </w:r>
      <w:r w:rsidR="007C1118" w:rsidRPr="007C1118">
        <w:rPr>
          <w:i/>
          <w:iCs/>
        </w:rPr>
        <w:instrText xml:space="preserve"> </w:instrText>
      </w:r>
      <w:r w:rsidR="007C1118">
        <w:rPr>
          <w:i/>
          <w:iCs/>
          <w:lang w:val="en-US"/>
        </w:rPr>
        <w:instrText>evaluate</w:instrText>
      </w:r>
      <w:r w:rsidR="007C1118" w:rsidRPr="007C1118">
        <w:rPr>
          <w:i/>
          <w:iCs/>
        </w:rPr>
        <w:instrText xml:space="preserve"> </w:instrText>
      </w:r>
      <w:r w:rsidR="007C1118">
        <w:rPr>
          <w:i/>
          <w:iCs/>
          <w:lang w:val="en-US"/>
        </w:rPr>
        <w:instrText>histopathological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immunohistochemical</w:instrText>
      </w:r>
      <w:r w:rsidR="007C1118" w:rsidRPr="007C1118">
        <w:rPr>
          <w:i/>
          <w:iCs/>
        </w:rPr>
        <w:instrText xml:space="preserve"> </w:instrText>
      </w:r>
      <w:r w:rsidR="007C1118">
        <w:rPr>
          <w:i/>
          <w:iCs/>
          <w:lang w:val="en-US"/>
        </w:rPr>
        <w:instrText>diagnostic</w:instrText>
      </w:r>
      <w:r w:rsidR="007C1118" w:rsidRPr="007C1118">
        <w:rPr>
          <w:i/>
          <w:iCs/>
        </w:rPr>
        <w:instrText xml:space="preserve"> </w:instrText>
      </w:r>
      <w:r w:rsidR="007C1118">
        <w:rPr>
          <w:i/>
          <w:iCs/>
          <w:lang w:val="en-US"/>
        </w:rPr>
        <w:instrText>markers</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S</w:instrText>
      </w:r>
      <w:r w:rsidR="007C1118" w:rsidRPr="007C1118">
        <w:rPr>
          <w:i/>
          <w:iCs/>
        </w:rPr>
        <w:instrText>é</w:instrText>
      </w:r>
      <w:r w:rsidR="007C1118">
        <w:rPr>
          <w:i/>
          <w:iCs/>
          <w:lang w:val="en-US"/>
        </w:rPr>
        <w:instrText>zary</w:instrText>
      </w:r>
      <w:r w:rsidR="007C1118" w:rsidRPr="007C1118">
        <w:rPr>
          <w:i/>
          <w:iCs/>
        </w:rPr>
        <w:instrText xml:space="preserve"> </w:instrText>
      </w:r>
      <w:r w:rsidR="007C1118">
        <w:rPr>
          <w:i/>
          <w:iCs/>
          <w:lang w:val="en-US"/>
        </w:rPr>
        <w:instrText>syndrome</w:instrText>
      </w:r>
      <w:r w:rsidR="007C1118" w:rsidRPr="007C1118">
        <w:rPr>
          <w:i/>
          <w:iCs/>
        </w:rPr>
        <w:instrText xml:space="preserve">. </w:instrText>
      </w:r>
      <w:r w:rsidR="007C1118">
        <w:rPr>
          <w:i/>
          <w:iCs/>
          <w:lang w:val="en-US"/>
        </w:rPr>
        <w:instrText>Methods</w:instrText>
      </w:r>
      <w:r w:rsidR="007C1118" w:rsidRPr="007C1118">
        <w:rPr>
          <w:i/>
          <w:iCs/>
        </w:rPr>
        <w:instrText xml:space="preserve"> </w:instrText>
      </w:r>
      <w:r w:rsidR="007C1118">
        <w:rPr>
          <w:i/>
          <w:iCs/>
          <w:lang w:val="en-US"/>
        </w:rPr>
        <w:instrText>Ninety</w:instrText>
      </w:r>
      <w:r w:rsidR="007C1118" w:rsidRPr="007C1118">
        <w:rPr>
          <w:i/>
          <w:iCs/>
        </w:rPr>
        <w:instrText>-</w:instrText>
      </w:r>
      <w:r w:rsidR="007C1118">
        <w:rPr>
          <w:i/>
          <w:iCs/>
          <w:lang w:val="en-US"/>
        </w:rPr>
        <w:instrText>seven</w:instrText>
      </w:r>
      <w:r w:rsidR="007C1118" w:rsidRPr="007C1118">
        <w:rPr>
          <w:i/>
          <w:iCs/>
        </w:rPr>
        <w:instrText xml:space="preserve"> </w:instrText>
      </w:r>
      <w:r w:rsidR="007C1118">
        <w:rPr>
          <w:i/>
          <w:iCs/>
          <w:lang w:val="en-US"/>
        </w:rPr>
        <w:instrText>erythrodermic</w:instrText>
      </w:r>
      <w:r w:rsidR="007C1118" w:rsidRPr="007C1118">
        <w:rPr>
          <w:i/>
          <w:iCs/>
        </w:rPr>
        <w:instrText xml:space="preserve"> </w:instrText>
      </w:r>
      <w:r w:rsidR="007C1118">
        <w:rPr>
          <w:i/>
          <w:iCs/>
          <w:lang w:val="en-US"/>
        </w:rPr>
        <w:instrText>cases</w:instrText>
      </w:r>
      <w:r w:rsidR="007C1118" w:rsidRPr="007C1118">
        <w:rPr>
          <w:i/>
          <w:iCs/>
        </w:rPr>
        <w:instrText xml:space="preserve"> [</w:instrText>
      </w:r>
      <w:r w:rsidR="007C1118">
        <w:rPr>
          <w:i/>
          <w:iCs/>
          <w:lang w:val="en-US"/>
        </w:rPr>
        <w:instrText>S</w:instrText>
      </w:r>
      <w:r w:rsidR="007C1118" w:rsidRPr="007C1118">
        <w:rPr>
          <w:i/>
          <w:iCs/>
        </w:rPr>
        <w:instrText>é</w:instrText>
      </w:r>
      <w:r w:rsidR="007C1118">
        <w:rPr>
          <w:i/>
          <w:iCs/>
          <w:lang w:val="en-US"/>
        </w:rPr>
        <w:instrText>zary</w:instrText>
      </w:r>
      <w:r w:rsidR="007C1118" w:rsidRPr="007C1118">
        <w:rPr>
          <w:i/>
          <w:iCs/>
        </w:rPr>
        <w:instrText xml:space="preserve"> </w:instrText>
      </w:r>
      <w:r w:rsidR="007C1118">
        <w:rPr>
          <w:i/>
          <w:iCs/>
          <w:lang w:val="en-US"/>
        </w:rPr>
        <w:instrText>syndrome</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n</w:instrText>
      </w:r>
      <w:r w:rsidR="007C1118" w:rsidRPr="007C1118">
        <w:rPr>
          <w:i/>
          <w:iCs/>
        </w:rPr>
        <w:instrText xml:space="preserve"> = 57; </w:instrText>
      </w:r>
      <w:r w:rsidR="007C1118">
        <w:rPr>
          <w:i/>
          <w:iCs/>
          <w:lang w:val="en-US"/>
        </w:rPr>
        <w:instrText>erythrodermic</w:instrText>
      </w:r>
      <w:r w:rsidR="007C1118" w:rsidRPr="007C1118">
        <w:rPr>
          <w:i/>
          <w:iCs/>
        </w:rPr>
        <w:instrText xml:space="preserve"> </w:instrText>
      </w:r>
      <w:r w:rsidR="007C1118">
        <w:rPr>
          <w:i/>
          <w:iCs/>
          <w:lang w:val="en-US"/>
        </w:rPr>
        <w:instrText>inflammatory</w:instrText>
      </w:r>
      <w:r w:rsidR="007C1118" w:rsidRPr="007C1118">
        <w:rPr>
          <w:i/>
          <w:iCs/>
        </w:rPr>
        <w:instrText xml:space="preserve"> </w:instrText>
      </w:r>
      <w:r w:rsidR="007C1118">
        <w:rPr>
          <w:i/>
          <w:iCs/>
          <w:lang w:val="en-US"/>
        </w:rPr>
        <w:instrText>dermatoses</w:instrText>
      </w:r>
      <w:r w:rsidR="007C1118" w:rsidRPr="007C1118">
        <w:rPr>
          <w:i/>
          <w:iCs/>
        </w:rPr>
        <w:instrText xml:space="preserve"> (</w:instrText>
      </w:r>
      <w:r w:rsidR="007C1118">
        <w:rPr>
          <w:i/>
          <w:iCs/>
          <w:lang w:val="en-US"/>
        </w:rPr>
        <w:instrText>EIDs</w:instrText>
      </w:r>
      <w:r w:rsidR="007C1118" w:rsidRPr="007C1118">
        <w:rPr>
          <w:i/>
          <w:iCs/>
        </w:rPr>
        <w:instrText xml:space="preserve">), </w:instrText>
      </w:r>
      <w:r w:rsidR="007C1118">
        <w:rPr>
          <w:i/>
          <w:iCs/>
          <w:lang w:val="en-US"/>
        </w:rPr>
        <w:instrText>n</w:instrText>
      </w:r>
      <w:r w:rsidR="007C1118" w:rsidRPr="007C1118">
        <w:rPr>
          <w:i/>
          <w:iCs/>
        </w:rPr>
        <w:instrText xml:space="preserve"> = 40] </w:instrText>
      </w:r>
      <w:r w:rsidR="007C1118">
        <w:rPr>
          <w:i/>
          <w:iCs/>
          <w:lang w:val="en-US"/>
        </w:rPr>
        <w:instrText>were</w:instrText>
      </w:r>
      <w:r w:rsidR="007C1118" w:rsidRPr="007C1118">
        <w:rPr>
          <w:i/>
          <w:iCs/>
        </w:rPr>
        <w:instrText xml:space="preserve"> </w:instrText>
      </w:r>
      <w:r w:rsidR="007C1118">
        <w:rPr>
          <w:i/>
          <w:iCs/>
          <w:lang w:val="en-US"/>
        </w:rPr>
        <w:instrText>collected</w:instrText>
      </w:r>
      <w:r w:rsidR="007C1118" w:rsidRPr="007C1118">
        <w:rPr>
          <w:i/>
          <w:iCs/>
        </w:rPr>
        <w:instrText xml:space="preserve"> </w:instrText>
      </w:r>
      <w:r w:rsidR="007C1118">
        <w:rPr>
          <w:i/>
          <w:iCs/>
          <w:lang w:val="en-US"/>
        </w:rPr>
        <w:instrText>by</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EORTC</w:instrText>
      </w:r>
      <w:r w:rsidR="007C1118" w:rsidRPr="007C1118">
        <w:rPr>
          <w:i/>
          <w:iCs/>
        </w:rPr>
        <w:instrText xml:space="preserve"> </w:instrText>
      </w:r>
      <w:r w:rsidR="007C1118">
        <w:rPr>
          <w:i/>
          <w:iCs/>
          <w:lang w:val="en-US"/>
        </w:rPr>
        <w:instrText>Cutaneous</w:instrText>
      </w:r>
      <w:r w:rsidR="007C1118" w:rsidRPr="007C1118">
        <w:rPr>
          <w:i/>
          <w:iCs/>
        </w:rPr>
        <w:instrText xml:space="preserve"> </w:instrText>
      </w:r>
      <w:r w:rsidR="007C1118">
        <w:rPr>
          <w:i/>
          <w:iCs/>
          <w:lang w:val="en-US"/>
        </w:rPr>
        <w:instrText>Lymphoma</w:instrText>
      </w:r>
      <w:r w:rsidR="007C1118" w:rsidRPr="007C1118">
        <w:rPr>
          <w:i/>
          <w:iCs/>
        </w:rPr>
        <w:instrText xml:space="preserve"> </w:instrText>
      </w:r>
      <w:r w:rsidR="007C1118">
        <w:rPr>
          <w:i/>
          <w:iCs/>
          <w:lang w:val="en-US"/>
        </w:rPr>
        <w:instrText>Task</w:instrText>
      </w:r>
      <w:r w:rsidR="007C1118" w:rsidRPr="007C1118">
        <w:rPr>
          <w:i/>
          <w:iCs/>
        </w:rPr>
        <w:instrText xml:space="preserve"> </w:instrText>
      </w:r>
      <w:r w:rsidR="007C1118">
        <w:rPr>
          <w:i/>
          <w:iCs/>
          <w:lang w:val="en-US"/>
        </w:rPr>
        <w:instrText>Force</w:instrText>
      </w:r>
      <w:r w:rsidR="007C1118" w:rsidRPr="007C1118">
        <w:rPr>
          <w:i/>
          <w:iCs/>
        </w:rPr>
        <w:instrText xml:space="preserve"> </w:instrText>
      </w:r>
      <w:r w:rsidR="007C1118">
        <w:rPr>
          <w:i/>
          <w:iCs/>
          <w:lang w:val="en-US"/>
        </w:rPr>
        <w:instrText>histopathology</w:instrText>
      </w:r>
      <w:r w:rsidR="007C1118" w:rsidRPr="007C1118">
        <w:rPr>
          <w:i/>
          <w:iCs/>
        </w:rPr>
        <w:instrText xml:space="preserve"> </w:instrText>
      </w:r>
      <w:r w:rsidR="007C1118">
        <w:rPr>
          <w:i/>
          <w:iCs/>
          <w:lang w:val="en-US"/>
        </w:rPr>
        <w:instrText>group</w:instrText>
      </w:r>
      <w:r w:rsidR="007C1118" w:rsidRPr="007C1118">
        <w:rPr>
          <w:i/>
          <w:iCs/>
        </w:rPr>
        <w:instrText xml:space="preserve">. </w:instrText>
      </w:r>
      <w:r w:rsidR="007C1118">
        <w:rPr>
          <w:i/>
          <w:iCs/>
          <w:lang w:val="en-US"/>
        </w:rPr>
        <w:instrText>Evaluation</w:instrText>
      </w:r>
      <w:r w:rsidR="007C1118" w:rsidRPr="007C1118">
        <w:rPr>
          <w:i/>
          <w:iCs/>
        </w:rPr>
        <w:instrText xml:space="preserve"> </w:instrText>
      </w:r>
      <w:r w:rsidR="007C1118">
        <w:rPr>
          <w:i/>
          <w:iCs/>
          <w:lang w:val="en-US"/>
        </w:rPr>
        <w:instrText>criteria</w:instrText>
      </w:r>
      <w:r w:rsidR="007C1118" w:rsidRPr="007C1118">
        <w:rPr>
          <w:i/>
          <w:iCs/>
        </w:rPr>
        <w:instrText xml:space="preserve"> </w:instrText>
      </w:r>
      <w:r w:rsidR="007C1118">
        <w:rPr>
          <w:i/>
          <w:iCs/>
          <w:lang w:val="en-US"/>
        </w:rPr>
        <w:instrText>were</w:instrText>
      </w:r>
      <w:r w:rsidR="007C1118" w:rsidRPr="007C1118">
        <w:rPr>
          <w:i/>
          <w:iCs/>
        </w:rPr>
        <w:instrText xml:space="preserve"> (</w:instrText>
      </w:r>
      <w:r w:rsidR="007C1118">
        <w:rPr>
          <w:i/>
          <w:iCs/>
          <w:lang w:val="en-US"/>
        </w:rPr>
        <w:instrText>i</w:instrText>
      </w:r>
      <w:r w:rsidR="007C1118" w:rsidRPr="007C1118">
        <w:rPr>
          <w:i/>
          <w:iCs/>
        </w:rPr>
        <w:instrText xml:space="preserve">) </w:instrText>
      </w:r>
      <w:r w:rsidR="007C1118">
        <w:rPr>
          <w:i/>
          <w:iCs/>
          <w:lang w:val="en-US"/>
        </w:rPr>
        <w:instrText>epidermal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dermal</w:instrText>
      </w:r>
      <w:r w:rsidR="007C1118" w:rsidRPr="007C1118">
        <w:rPr>
          <w:i/>
          <w:iCs/>
        </w:rPr>
        <w:instrText xml:space="preserve"> </w:instrText>
      </w:r>
      <w:r w:rsidR="007C1118">
        <w:rPr>
          <w:i/>
          <w:iCs/>
          <w:lang w:val="en-US"/>
        </w:rPr>
        <w:instrText>changes</w:instrText>
      </w:r>
      <w:r w:rsidR="007C1118" w:rsidRPr="007C1118">
        <w:rPr>
          <w:i/>
          <w:iCs/>
        </w:rPr>
        <w:instrText>; (</w:instrText>
      </w:r>
      <w:r w:rsidR="007C1118">
        <w:rPr>
          <w:i/>
          <w:iCs/>
          <w:lang w:val="en-US"/>
        </w:rPr>
        <w:instrText>ii</w:instrText>
      </w:r>
      <w:r w:rsidR="007C1118" w:rsidRPr="007C1118">
        <w:rPr>
          <w:i/>
          <w:iCs/>
        </w:rPr>
        <w:instrText xml:space="preserve">) </w:instrText>
      </w:r>
      <w:r w:rsidR="007C1118">
        <w:rPr>
          <w:i/>
          <w:iCs/>
          <w:lang w:val="en-US"/>
        </w:rPr>
        <w:instrText>morphology</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infiltrate</w:instrText>
      </w:r>
      <w:r w:rsidR="007C1118" w:rsidRPr="007C1118">
        <w:rPr>
          <w:i/>
          <w:iCs/>
        </w:rPr>
        <w:instrText>; (</w:instrText>
      </w:r>
      <w:r w:rsidR="007C1118">
        <w:rPr>
          <w:i/>
          <w:iCs/>
          <w:lang w:val="en-US"/>
        </w:rPr>
        <w:instrText>iii</w:instrText>
      </w:r>
      <w:r w:rsidR="007C1118" w:rsidRPr="007C1118">
        <w:rPr>
          <w:i/>
          <w:iCs/>
        </w:rPr>
        <w:instrText xml:space="preserve">) </w:instrText>
      </w:r>
      <w:r w:rsidR="007C1118">
        <w:rPr>
          <w:i/>
          <w:iCs/>
          <w:lang w:val="en-US"/>
        </w:rPr>
        <w:instrText>immunohistochemical</w:instrText>
      </w:r>
      <w:r w:rsidR="007C1118" w:rsidRPr="007C1118">
        <w:rPr>
          <w:i/>
          <w:iCs/>
        </w:rPr>
        <w:instrText xml:space="preserve"> </w:instrText>
      </w:r>
      <w:r w:rsidR="007C1118">
        <w:rPr>
          <w:i/>
          <w:iCs/>
          <w:lang w:val="en-US"/>
        </w:rPr>
        <w:instrText>analysis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marker</w:instrText>
      </w:r>
      <w:r w:rsidR="007C1118" w:rsidRPr="007C1118">
        <w:rPr>
          <w:i/>
          <w:iCs/>
        </w:rPr>
        <w:instrText xml:space="preserve"> </w:instrText>
      </w:r>
      <w:r w:rsidR="007C1118">
        <w:rPr>
          <w:i/>
          <w:iCs/>
          <w:lang w:val="en-US"/>
        </w:rPr>
        <w:instrText>loss</w:instrText>
      </w:r>
      <w:r w:rsidR="007C1118" w:rsidRPr="007C1118">
        <w:rPr>
          <w:i/>
          <w:iCs/>
        </w:rPr>
        <w:instrText xml:space="preserve"> (</w:instrText>
      </w:r>
      <w:r w:rsidR="007C1118">
        <w:rPr>
          <w:i/>
          <w:iCs/>
          <w:lang w:val="en-US"/>
        </w:rPr>
        <w:instrText>CD</w:instrText>
      </w:r>
      <w:r w:rsidR="007C1118" w:rsidRPr="007C1118">
        <w:rPr>
          <w:i/>
          <w:iCs/>
        </w:rPr>
        <w:instrText xml:space="preserve">2, </w:instrText>
      </w:r>
      <w:r w:rsidR="007C1118">
        <w:rPr>
          <w:i/>
          <w:iCs/>
          <w:lang w:val="en-US"/>
        </w:rPr>
        <w:instrText>CD</w:instrText>
      </w:r>
      <w:r w:rsidR="007C1118" w:rsidRPr="007C1118">
        <w:rPr>
          <w:i/>
          <w:iCs/>
        </w:rPr>
        <w:instrText xml:space="preserve">3, </w:instrText>
      </w:r>
      <w:r w:rsidR="007C1118">
        <w:rPr>
          <w:i/>
          <w:iCs/>
          <w:lang w:val="en-US"/>
        </w:rPr>
        <w:instrText>CD</w:instrText>
      </w:r>
      <w:r w:rsidR="007C1118" w:rsidRPr="007C1118">
        <w:rPr>
          <w:i/>
          <w:iCs/>
        </w:rPr>
        <w:instrText xml:space="preserve">4, </w:instrText>
      </w:r>
      <w:r w:rsidR="007C1118">
        <w:rPr>
          <w:i/>
          <w:iCs/>
          <w:lang w:val="en-US"/>
        </w:rPr>
        <w:instrText>CD</w:instrText>
      </w:r>
      <w:r w:rsidR="007C1118" w:rsidRPr="007C1118">
        <w:rPr>
          <w:i/>
          <w:iCs/>
        </w:rPr>
        <w:instrText xml:space="preserve">5 </w:instrText>
      </w:r>
      <w:r w:rsidR="007C1118">
        <w:rPr>
          <w:i/>
          <w:iCs/>
          <w:lang w:val="en-US"/>
        </w:rPr>
        <w:instrText>and</w:instrText>
      </w:r>
      <w:r w:rsidR="007C1118" w:rsidRPr="007C1118">
        <w:rPr>
          <w:i/>
          <w:iCs/>
        </w:rPr>
        <w:instrText xml:space="preserve"> </w:instrText>
      </w:r>
      <w:r w:rsidR="007C1118">
        <w:rPr>
          <w:i/>
          <w:iCs/>
          <w:lang w:val="en-US"/>
        </w:rPr>
        <w:instrText>CD</w:instrText>
      </w:r>
      <w:r w:rsidR="007C1118" w:rsidRPr="007C1118">
        <w:rPr>
          <w:i/>
          <w:iCs/>
        </w:rPr>
        <w:instrText>7); (</w:instrText>
      </w:r>
      <w:r w:rsidR="007C1118">
        <w:rPr>
          <w:i/>
          <w:iCs/>
          <w:lang w:val="en-US"/>
        </w:rPr>
        <w:instrText>iv</w:instrText>
      </w:r>
      <w:r w:rsidR="007C1118" w:rsidRPr="007C1118">
        <w:rPr>
          <w:i/>
          <w:iCs/>
        </w:rPr>
        <w:instrText xml:space="preserve">) </w:instrText>
      </w:r>
      <w:r w:rsidR="007C1118">
        <w:rPr>
          <w:i/>
          <w:iCs/>
          <w:lang w:val="en-US"/>
        </w:rPr>
        <w:instrText>bystander</w:instrText>
      </w:r>
      <w:r w:rsidR="007C1118" w:rsidRPr="007C1118">
        <w:rPr>
          <w:i/>
          <w:iCs/>
        </w:rPr>
        <w:instrText xml:space="preserve"> </w:instrText>
      </w:r>
      <w:r w:rsidR="007C1118">
        <w:rPr>
          <w:i/>
          <w:iCs/>
          <w:lang w:val="en-US"/>
        </w:rPr>
        <w:instrText>infiltrate</w:instrText>
      </w:r>
      <w:r w:rsidR="007C1118" w:rsidRPr="007C1118">
        <w:rPr>
          <w:i/>
          <w:iCs/>
        </w:rPr>
        <w:instrText xml:space="preserve"> </w:instrText>
      </w:r>
      <w:r w:rsidR="007C1118">
        <w:rPr>
          <w:i/>
          <w:iCs/>
          <w:lang w:val="en-US"/>
        </w:rPr>
        <w:instrText>by</w:instrText>
      </w:r>
      <w:r w:rsidR="007C1118" w:rsidRPr="007C1118">
        <w:rPr>
          <w:i/>
          <w:iCs/>
        </w:rPr>
        <w:instrText xml:space="preserve"> </w:instrText>
      </w:r>
      <w:r w:rsidR="007C1118">
        <w:rPr>
          <w:i/>
          <w:iCs/>
          <w:lang w:val="en-US"/>
        </w:rPr>
        <w:instrText>staining</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CD</w:instrText>
      </w:r>
      <w:r w:rsidR="007C1118" w:rsidRPr="007C1118">
        <w:rPr>
          <w:i/>
          <w:iCs/>
        </w:rPr>
        <w:instrText xml:space="preserve">8, </w:instrText>
      </w:r>
      <w:r w:rsidR="007C1118">
        <w:rPr>
          <w:i/>
          <w:iCs/>
          <w:lang w:val="en-US"/>
        </w:rPr>
        <w:instrText>FOXP</w:instrText>
      </w:r>
      <w:r w:rsidR="007C1118" w:rsidRPr="007C1118">
        <w:rPr>
          <w:i/>
          <w:iCs/>
        </w:rPr>
        <w:instrText xml:space="preserve">3 </w:instrText>
      </w:r>
      <w:r w:rsidR="007C1118">
        <w:rPr>
          <w:i/>
          <w:iCs/>
          <w:lang w:val="en-US"/>
        </w:rPr>
        <w:instrText>and</w:instrText>
      </w:r>
      <w:r w:rsidR="007C1118" w:rsidRPr="007C1118">
        <w:rPr>
          <w:i/>
          <w:iCs/>
        </w:rPr>
        <w:instrText xml:space="preserve"> </w:instrText>
      </w:r>
      <w:r w:rsidR="007C1118">
        <w:rPr>
          <w:i/>
          <w:iCs/>
          <w:lang w:val="en-US"/>
        </w:rPr>
        <w:instrText>CD</w:instrText>
      </w:r>
      <w:r w:rsidR="007C1118" w:rsidRPr="007C1118">
        <w:rPr>
          <w:i/>
          <w:iCs/>
        </w:rPr>
        <w:instrText xml:space="preserve">25; </w:instrText>
      </w:r>
      <w:r w:rsidR="007C1118">
        <w:rPr>
          <w:i/>
          <w:iCs/>
          <w:lang w:val="en-US"/>
        </w:rPr>
        <w:instrText>and</w:instrText>
      </w:r>
      <w:r w:rsidR="007C1118" w:rsidRPr="007C1118">
        <w:rPr>
          <w:i/>
          <w:iCs/>
        </w:rPr>
        <w:instrText xml:space="preserve"> (</w:instrText>
      </w:r>
      <w:r w:rsidR="007C1118">
        <w:rPr>
          <w:i/>
          <w:iCs/>
          <w:lang w:val="en-US"/>
        </w:rPr>
        <w:instrText>v</w:instrText>
      </w:r>
      <w:r w:rsidR="007C1118" w:rsidRPr="007C1118">
        <w:rPr>
          <w:i/>
          <w:iCs/>
        </w:rPr>
        <w:instrText xml:space="preserve">) </w:instrText>
      </w:r>
      <w:r w:rsidR="007C1118">
        <w:rPr>
          <w:i/>
          <w:iCs/>
          <w:lang w:val="en-US"/>
        </w:rPr>
        <w:instrText>expression</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Ki</w:instrText>
      </w:r>
      <w:r w:rsidR="007C1118" w:rsidRPr="007C1118">
        <w:rPr>
          <w:i/>
          <w:iCs/>
        </w:rPr>
        <w:instrText xml:space="preserve">-67, </w:instrText>
      </w:r>
      <w:r w:rsidR="007C1118">
        <w:rPr>
          <w:i/>
          <w:iCs/>
          <w:lang w:val="en-US"/>
        </w:rPr>
        <w:instrText>CD</w:instrText>
      </w:r>
      <w:r w:rsidR="007C1118" w:rsidRPr="007C1118">
        <w:rPr>
          <w:i/>
          <w:iCs/>
        </w:rPr>
        <w:instrText xml:space="preserve">30, </w:instrText>
      </w:r>
      <w:r w:rsidR="007C1118">
        <w:rPr>
          <w:i/>
          <w:iCs/>
          <w:lang w:val="en-US"/>
        </w:rPr>
        <w:instrText>PD</w:instrText>
      </w:r>
      <w:r w:rsidR="007C1118" w:rsidRPr="007C1118">
        <w:rPr>
          <w:i/>
          <w:iCs/>
        </w:rPr>
        <w:instrText xml:space="preserve">-1 </w:instrText>
      </w:r>
      <w:r w:rsidR="007C1118">
        <w:rPr>
          <w:i/>
          <w:iCs/>
          <w:lang w:val="en-US"/>
        </w:rPr>
        <w:instrText>and</w:instrText>
      </w:r>
      <w:r w:rsidR="007C1118" w:rsidRPr="007C1118">
        <w:rPr>
          <w:i/>
          <w:iCs/>
        </w:rPr>
        <w:instrText xml:space="preserve"> </w:instrText>
      </w:r>
      <w:r w:rsidR="007C1118">
        <w:rPr>
          <w:i/>
          <w:iCs/>
          <w:lang w:val="en-US"/>
        </w:rPr>
        <w:instrText>MUM</w:instrText>
      </w:r>
      <w:r w:rsidR="007C1118" w:rsidRPr="007C1118">
        <w:rPr>
          <w:i/>
          <w:iCs/>
        </w:rPr>
        <w:instrText xml:space="preserve">-1. </w:instrText>
      </w:r>
      <w:r w:rsidR="007C1118">
        <w:rPr>
          <w:i/>
          <w:iCs/>
          <w:lang w:val="en-US"/>
        </w:rPr>
        <w:instrText>Results</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workshop</w:instrText>
      </w:r>
      <w:r w:rsidR="007C1118" w:rsidRPr="007C1118">
        <w:rPr>
          <w:i/>
          <w:iCs/>
        </w:rPr>
        <w:instrText xml:space="preserve"> </w:instrText>
      </w:r>
      <w:r w:rsidR="007C1118">
        <w:rPr>
          <w:i/>
          <w:iCs/>
          <w:lang w:val="en-US"/>
        </w:rPr>
        <w:instrText>panel</w:instrText>
      </w:r>
      <w:r w:rsidR="007C1118" w:rsidRPr="007C1118">
        <w:rPr>
          <w:i/>
          <w:iCs/>
        </w:rPr>
        <w:instrText xml:space="preserve"> </w:instrText>
      </w:r>
      <w:r w:rsidR="007C1118">
        <w:rPr>
          <w:i/>
          <w:iCs/>
          <w:lang w:val="en-US"/>
        </w:rPr>
        <w:instrText>made</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correct</w:instrText>
      </w:r>
      <w:r w:rsidR="007C1118" w:rsidRPr="007C1118">
        <w:rPr>
          <w:i/>
          <w:iCs/>
        </w:rPr>
        <w:instrText xml:space="preserve"> </w:instrText>
      </w:r>
      <w:r w:rsidR="007C1118">
        <w:rPr>
          <w:i/>
          <w:iCs/>
          <w:lang w:val="en-US"/>
        </w:rPr>
        <w:instrText>diagnosis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in</w:instrText>
      </w:r>
      <w:r w:rsidR="007C1118" w:rsidRPr="007C1118">
        <w:rPr>
          <w:i/>
          <w:iCs/>
        </w:rPr>
        <w:instrText xml:space="preserve"> 51% </w:instrText>
      </w:r>
      <w:r w:rsidR="007C1118">
        <w:rPr>
          <w:i/>
          <w:iCs/>
          <w:lang w:val="en-US"/>
        </w:rPr>
        <w:instrText>of</w:instrText>
      </w:r>
      <w:r w:rsidR="007C1118" w:rsidRPr="007C1118">
        <w:rPr>
          <w:i/>
          <w:iCs/>
        </w:rPr>
        <w:instrText xml:space="preserve"> </w:instrText>
      </w:r>
      <w:r w:rsidR="007C1118">
        <w:rPr>
          <w:i/>
          <w:iCs/>
          <w:lang w:val="en-US"/>
        </w:rPr>
        <w:instrText>cases</w:instrText>
      </w:r>
      <w:r w:rsidR="007C1118" w:rsidRPr="007C1118">
        <w:rPr>
          <w:i/>
          <w:iCs/>
        </w:rPr>
        <w:instrText xml:space="preserve"> (</w:instrText>
      </w:r>
      <w:r w:rsidR="007C1118">
        <w:rPr>
          <w:i/>
          <w:iCs/>
          <w:lang w:val="en-US"/>
        </w:rPr>
        <w:instrText>cutaneous</w:instrText>
      </w:r>
      <w:r w:rsidR="007C1118" w:rsidRPr="007C1118">
        <w:rPr>
          <w:i/>
          <w:iCs/>
        </w:rPr>
        <w:instrText xml:space="preserve"> </w:instrText>
      </w:r>
      <w:r w:rsidR="007C1118">
        <w:rPr>
          <w:i/>
          <w:iCs/>
          <w:lang w:val="en-US"/>
        </w:rPr>
        <w:instrText>T</w:instrText>
      </w:r>
      <w:r w:rsidR="007C1118" w:rsidRPr="007C1118">
        <w:rPr>
          <w:i/>
          <w:iCs/>
        </w:rPr>
        <w:instrText>-</w:instrText>
      </w:r>
      <w:r w:rsidR="007C1118">
        <w:rPr>
          <w:i/>
          <w:iCs/>
          <w:lang w:val="en-US"/>
        </w:rPr>
        <w:instrText>cell</w:instrText>
      </w:r>
      <w:r w:rsidR="007C1118" w:rsidRPr="007C1118">
        <w:rPr>
          <w:i/>
          <w:iCs/>
        </w:rPr>
        <w:instrText xml:space="preserve"> </w:instrText>
      </w:r>
      <w:r w:rsidR="007C1118">
        <w:rPr>
          <w:i/>
          <w:iCs/>
          <w:lang w:val="en-US"/>
        </w:rPr>
        <w:instrText>lymphoma</w:instrText>
      </w:r>
      <w:r w:rsidR="007C1118" w:rsidRPr="007C1118">
        <w:rPr>
          <w:i/>
          <w:iCs/>
        </w:rPr>
        <w:instrText xml:space="preserve"> 81%) </w:instrText>
      </w:r>
      <w:r w:rsidR="007C1118">
        <w:rPr>
          <w:i/>
          <w:iCs/>
          <w:lang w:val="en-US"/>
        </w:rPr>
        <w:instrText>and</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in</w:instrText>
      </w:r>
      <w:r w:rsidR="007C1118" w:rsidRPr="007C1118">
        <w:rPr>
          <w:i/>
          <w:iCs/>
        </w:rPr>
        <w:instrText xml:space="preserve"> 80% </w:instrText>
      </w:r>
      <w:r w:rsidR="007C1118">
        <w:rPr>
          <w:i/>
          <w:iCs/>
          <w:lang w:val="en-US"/>
        </w:rPr>
        <w:instrText>without</w:instrText>
      </w:r>
      <w:r w:rsidR="007C1118" w:rsidRPr="007C1118">
        <w:rPr>
          <w:i/>
          <w:iCs/>
        </w:rPr>
        <w:instrText xml:space="preserve"> </w:instrText>
      </w:r>
      <w:r w:rsidR="007C1118">
        <w:rPr>
          <w:i/>
          <w:iCs/>
          <w:lang w:val="en-US"/>
        </w:rPr>
        <w:instrText>clinical</w:instrText>
      </w:r>
      <w:r w:rsidR="007C1118" w:rsidRPr="007C1118">
        <w:rPr>
          <w:i/>
          <w:iCs/>
        </w:rPr>
        <w:instrText xml:space="preserve"> </w:instrText>
      </w:r>
      <w:r w:rsidR="007C1118">
        <w:rPr>
          <w:i/>
          <w:iCs/>
          <w:lang w:val="en-US"/>
        </w:rPr>
        <w:instrText>or</w:instrText>
      </w:r>
      <w:r w:rsidR="007C1118" w:rsidRPr="007C1118">
        <w:rPr>
          <w:i/>
          <w:iCs/>
        </w:rPr>
        <w:instrText xml:space="preserve"> </w:instrText>
      </w:r>
      <w:r w:rsidR="007C1118">
        <w:rPr>
          <w:i/>
          <w:iCs/>
          <w:lang w:val="en-US"/>
        </w:rPr>
        <w:instrText>laboratory</w:instrText>
      </w:r>
      <w:r w:rsidR="007C1118" w:rsidRPr="007C1118">
        <w:rPr>
          <w:i/>
          <w:iCs/>
        </w:rPr>
        <w:instrText xml:space="preserve"> </w:instrText>
      </w:r>
      <w:r w:rsidR="007C1118">
        <w:rPr>
          <w:i/>
          <w:iCs/>
          <w:lang w:val="en-US"/>
        </w:rPr>
        <w:instrText>data</w:instrText>
      </w:r>
      <w:r w:rsidR="007C1118" w:rsidRPr="007C1118">
        <w:rPr>
          <w:i/>
          <w:iCs/>
        </w:rPr>
        <w:instrText xml:space="preserve">. </w:instrText>
      </w:r>
      <w:r w:rsidR="007C1118">
        <w:rPr>
          <w:i/>
          <w:iCs/>
          <w:lang w:val="en-US"/>
        </w:rPr>
        <w:instrText>Histology</w:instrText>
      </w:r>
      <w:r w:rsidR="007C1118" w:rsidRPr="007C1118">
        <w:rPr>
          <w:i/>
          <w:iCs/>
        </w:rPr>
        <w:instrText xml:space="preserve"> </w:instrText>
      </w:r>
      <w:r w:rsidR="007C1118">
        <w:rPr>
          <w:i/>
          <w:iCs/>
          <w:lang w:val="en-US"/>
        </w:rPr>
        <w:instrText>revealed</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significantly</w:instrText>
      </w:r>
      <w:r w:rsidR="007C1118" w:rsidRPr="007C1118">
        <w:rPr>
          <w:i/>
          <w:iCs/>
        </w:rPr>
        <w:instrText xml:space="preserve"> </w:instrText>
      </w:r>
      <w:r w:rsidR="007C1118">
        <w:rPr>
          <w:i/>
          <w:iCs/>
          <w:lang w:val="en-US"/>
        </w:rPr>
        <w:instrText>increased</w:instrText>
      </w:r>
      <w:r w:rsidR="007C1118" w:rsidRPr="007C1118">
        <w:rPr>
          <w:i/>
          <w:iCs/>
        </w:rPr>
        <w:instrText xml:space="preserve"> </w:instrText>
      </w:r>
      <w:r w:rsidR="007C1118">
        <w:rPr>
          <w:i/>
          <w:iCs/>
          <w:lang w:val="en-US"/>
        </w:rPr>
        <w:instrText>degree</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epidermotropism</w:instrText>
      </w:r>
      <w:r w:rsidR="007C1118" w:rsidRPr="007C1118">
        <w:rPr>
          <w:i/>
          <w:iCs/>
        </w:rPr>
        <w:instrText xml:space="preserve"> (</w:instrText>
      </w:r>
      <w:r w:rsidR="007C1118">
        <w:rPr>
          <w:i/>
          <w:iCs/>
          <w:lang w:val="en-US"/>
        </w:rPr>
        <w:instrText>P</w:instrText>
      </w:r>
      <w:r w:rsidR="007C1118" w:rsidRPr="007C1118">
        <w:rPr>
          <w:i/>
          <w:iCs/>
        </w:rPr>
        <w:instrText xml:space="preserve"> &lt; 0·001) </w:instrText>
      </w:r>
      <w:r w:rsidR="007C1118">
        <w:rPr>
          <w:i/>
          <w:iCs/>
          <w:lang w:val="en-US"/>
        </w:rPr>
        <w:instrText>and</w:instrText>
      </w:r>
      <w:r w:rsidR="007C1118" w:rsidRPr="007C1118">
        <w:rPr>
          <w:i/>
          <w:iCs/>
        </w:rPr>
        <w:instrText xml:space="preserve"> </w:instrText>
      </w:r>
      <w:r w:rsidR="007C1118">
        <w:rPr>
          <w:i/>
          <w:iCs/>
          <w:lang w:val="en-US"/>
        </w:rPr>
        <w:instrText>more</w:instrText>
      </w:r>
      <w:r w:rsidR="007C1118" w:rsidRPr="007C1118">
        <w:rPr>
          <w:i/>
          <w:iCs/>
        </w:rPr>
        <w:instrText xml:space="preserve"> </w:instrText>
      </w:r>
      <w:r w:rsidR="007C1118">
        <w:rPr>
          <w:i/>
          <w:iCs/>
          <w:lang w:val="en-US"/>
        </w:rPr>
        <w:instrText>intraepidermal</w:instrText>
      </w:r>
      <w:r w:rsidR="007C1118" w:rsidRPr="007C1118">
        <w:rPr>
          <w:i/>
          <w:iCs/>
        </w:rPr>
        <w:instrText xml:space="preserve"> </w:instrText>
      </w:r>
      <w:r w:rsidR="007C1118">
        <w:rPr>
          <w:i/>
          <w:iCs/>
          <w:lang w:val="en-US"/>
        </w:rPr>
        <w:instrText>atypical</w:instrText>
      </w:r>
      <w:r w:rsidR="007C1118" w:rsidRPr="007C1118">
        <w:rPr>
          <w:i/>
          <w:iCs/>
        </w:rPr>
        <w:instrText xml:space="preserve"> </w:instrText>
      </w:r>
      <w:r w:rsidR="007C1118">
        <w:rPr>
          <w:i/>
          <w:iCs/>
          <w:lang w:val="en-US"/>
        </w:rPr>
        <w:instrText>lymphocytes</w:instrText>
      </w:r>
      <w:r w:rsidR="007C1118" w:rsidRPr="007C1118">
        <w:rPr>
          <w:i/>
          <w:iCs/>
        </w:rPr>
        <w:instrText xml:space="preserve"> (</w:instrText>
      </w:r>
      <w:r w:rsidR="007C1118">
        <w:rPr>
          <w:i/>
          <w:iCs/>
          <w:lang w:val="en-US"/>
        </w:rPr>
        <w:instrText>P</w:instrText>
      </w:r>
      <w:r w:rsidR="007C1118" w:rsidRPr="007C1118">
        <w:rPr>
          <w:i/>
          <w:iCs/>
        </w:rPr>
        <w:instrText xml:space="preserve"> = 0·0014) </w:instrText>
      </w:r>
      <w:r w:rsidR="007C1118">
        <w:rPr>
          <w:i/>
          <w:iCs/>
          <w:lang w:val="en-US"/>
        </w:rPr>
        <w:instrText>in</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biopsies</w:instrText>
      </w:r>
      <w:r w:rsidR="007C1118" w:rsidRPr="007C1118">
        <w:rPr>
          <w:i/>
          <w:iCs/>
        </w:rPr>
        <w:instrText xml:space="preserve"> </w:instrText>
      </w:r>
      <w:r w:rsidR="007C1118">
        <w:rPr>
          <w:i/>
          <w:iCs/>
          <w:lang w:val="en-US"/>
        </w:rPr>
        <w:instrText>compared</w:instrText>
      </w:r>
      <w:r w:rsidR="007C1118" w:rsidRPr="007C1118">
        <w:rPr>
          <w:i/>
          <w:iCs/>
        </w:rPr>
        <w:instrText xml:space="preserve"> </w:instrText>
      </w:r>
      <w:r w:rsidR="007C1118">
        <w:rPr>
          <w:i/>
          <w:iCs/>
          <w:lang w:val="en-US"/>
        </w:rPr>
        <w:instrText>with</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Pautrier</w:instrText>
      </w:r>
      <w:r w:rsidR="007C1118" w:rsidRPr="007C1118">
        <w:rPr>
          <w:i/>
          <w:iCs/>
        </w:rPr>
        <w:instrText xml:space="preserve"> </w:instrText>
      </w:r>
      <w:r w:rsidR="007C1118">
        <w:rPr>
          <w:i/>
          <w:iCs/>
          <w:lang w:val="en-US"/>
        </w:rPr>
        <w:instrText>microabscesses</w:instrText>
      </w:r>
      <w:r w:rsidR="007C1118" w:rsidRPr="007C1118">
        <w:rPr>
          <w:i/>
          <w:iCs/>
        </w:rPr>
        <w:instrText xml:space="preserve"> </w:instrText>
      </w:r>
      <w:r w:rsidR="007C1118">
        <w:rPr>
          <w:i/>
          <w:iCs/>
          <w:lang w:val="en-US"/>
        </w:rPr>
        <w:instrText>were</w:instrText>
      </w:r>
      <w:r w:rsidR="007C1118" w:rsidRPr="007C1118">
        <w:rPr>
          <w:i/>
          <w:iCs/>
        </w:rPr>
        <w:instrText xml:space="preserve"> </w:instrText>
      </w:r>
      <w:r w:rsidR="007C1118">
        <w:rPr>
          <w:i/>
          <w:iCs/>
          <w:lang w:val="en-US"/>
        </w:rPr>
        <w:instrText>seen</w:instrText>
      </w:r>
      <w:r w:rsidR="007C1118" w:rsidRPr="007C1118">
        <w:rPr>
          <w:i/>
          <w:iCs/>
        </w:rPr>
        <w:instrText xml:space="preserve"> </w:instrText>
      </w:r>
      <w:r w:rsidR="007C1118">
        <w:rPr>
          <w:i/>
          <w:iCs/>
          <w:lang w:val="en-US"/>
        </w:rPr>
        <w:instrText>only</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SS</w:instrText>
      </w:r>
      <w:r w:rsidR="007C1118" w:rsidRPr="007C1118">
        <w:rPr>
          <w:i/>
          <w:iCs/>
        </w:rPr>
        <w:instrText xml:space="preserve"> (23%) </w:instrText>
      </w:r>
      <w:r w:rsidR="007C1118">
        <w:rPr>
          <w:i/>
          <w:iCs/>
          <w:lang w:val="en-US"/>
        </w:rPr>
        <w:instrText>and</w:instrText>
      </w:r>
      <w:r w:rsidR="007C1118" w:rsidRPr="007C1118">
        <w:rPr>
          <w:i/>
          <w:iCs/>
        </w:rPr>
        <w:instrText xml:space="preserve"> </w:instrText>
      </w:r>
      <w:r w:rsidR="007C1118">
        <w:rPr>
          <w:i/>
          <w:iCs/>
          <w:lang w:val="en-US"/>
        </w:rPr>
        <w:instrText>not</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P</w:instrText>
      </w:r>
      <w:r w:rsidR="007C1118" w:rsidRPr="007C1118">
        <w:rPr>
          <w:i/>
          <w:iCs/>
        </w:rPr>
        <w:instrText xml:space="preserve"> = 0·0012). </w:instrText>
      </w:r>
      <w:r w:rsidR="007C1118">
        <w:rPr>
          <w:i/>
          <w:iCs/>
          <w:lang w:val="en-US"/>
        </w:rPr>
        <w:instrText>SS</w:instrText>
      </w:r>
      <w:r w:rsidR="007C1118" w:rsidRPr="007C1118">
        <w:rPr>
          <w:i/>
          <w:iCs/>
        </w:rPr>
        <w:instrText xml:space="preserve"> </w:instrText>
      </w:r>
      <w:r w:rsidR="007C1118">
        <w:rPr>
          <w:i/>
          <w:iCs/>
          <w:lang w:val="en-US"/>
        </w:rPr>
        <w:instrText>showed</w:instrText>
      </w:r>
      <w:r w:rsidR="007C1118" w:rsidRPr="007C1118">
        <w:rPr>
          <w:i/>
          <w:iCs/>
        </w:rPr>
        <w:instrText xml:space="preserve"> </w:instrText>
      </w:r>
      <w:r w:rsidR="007C1118">
        <w:rPr>
          <w:i/>
          <w:iCs/>
          <w:lang w:val="en-US"/>
        </w:rPr>
        <w:instrText>significantly</w:instrText>
      </w:r>
      <w:r w:rsidR="007C1118" w:rsidRPr="007C1118">
        <w:rPr>
          <w:i/>
          <w:iCs/>
        </w:rPr>
        <w:instrText xml:space="preserve"> </w:instrText>
      </w:r>
      <w:r w:rsidR="007C1118">
        <w:rPr>
          <w:i/>
          <w:iCs/>
          <w:lang w:val="en-US"/>
        </w:rPr>
        <w:instrText>more</w:instrText>
      </w:r>
      <w:r w:rsidR="007C1118" w:rsidRPr="007C1118">
        <w:rPr>
          <w:i/>
          <w:iCs/>
        </w:rPr>
        <w:instrText xml:space="preserve"> </w:instrText>
      </w:r>
      <w:r w:rsidR="007C1118">
        <w:rPr>
          <w:i/>
          <w:iCs/>
          <w:lang w:val="en-US"/>
        </w:rPr>
        <w:instrText>dermal</w:instrText>
      </w:r>
      <w:r w:rsidR="007C1118" w:rsidRPr="007C1118">
        <w:rPr>
          <w:i/>
          <w:iCs/>
        </w:rPr>
        <w:instrText xml:space="preserve"> </w:instrText>
      </w:r>
      <w:r w:rsidR="007C1118">
        <w:rPr>
          <w:i/>
          <w:iCs/>
          <w:lang w:val="en-US"/>
        </w:rPr>
        <w:instrText>cerebriform</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blastic</w:instrText>
      </w:r>
      <w:r w:rsidR="007C1118" w:rsidRPr="007C1118">
        <w:rPr>
          <w:i/>
          <w:iCs/>
        </w:rPr>
        <w:instrText xml:space="preserve"> </w:instrText>
      </w:r>
      <w:r w:rsidR="007C1118">
        <w:rPr>
          <w:i/>
          <w:iCs/>
          <w:lang w:val="en-US"/>
        </w:rPr>
        <w:instrText>lymphocytes</w:instrText>
      </w:r>
      <w:r w:rsidR="007C1118" w:rsidRPr="007C1118">
        <w:rPr>
          <w:i/>
          <w:iCs/>
        </w:rPr>
        <w:instrText xml:space="preserve"> </w:instrText>
      </w:r>
      <w:r w:rsidR="007C1118">
        <w:rPr>
          <w:i/>
          <w:iCs/>
          <w:lang w:val="en-US"/>
        </w:rPr>
        <w:instrText>than</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Immunohistochemistry</w:instrText>
      </w:r>
      <w:r w:rsidR="007C1118" w:rsidRPr="007C1118">
        <w:rPr>
          <w:i/>
          <w:iCs/>
        </w:rPr>
        <w:instrText xml:space="preserve"> </w:instrText>
      </w:r>
      <w:r w:rsidR="007C1118">
        <w:rPr>
          <w:i/>
          <w:iCs/>
          <w:lang w:val="en-US"/>
        </w:rPr>
        <w:instrText>revealed</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significant</w:instrText>
      </w:r>
      <w:r w:rsidR="007C1118" w:rsidRPr="007C1118">
        <w:rPr>
          <w:i/>
          <w:iCs/>
        </w:rPr>
        <w:instrText xml:space="preserve"> </w:instrText>
      </w:r>
      <w:r w:rsidR="007C1118">
        <w:rPr>
          <w:i/>
          <w:iCs/>
          <w:lang w:val="en-US"/>
        </w:rPr>
        <w:instrText>loss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CD</w:instrText>
      </w:r>
      <w:r w:rsidR="007C1118" w:rsidRPr="007C1118">
        <w:rPr>
          <w:i/>
          <w:iCs/>
        </w:rPr>
        <w:instrText xml:space="preserve">7 </w:instrText>
      </w:r>
      <w:r w:rsidR="007C1118">
        <w:rPr>
          <w:i/>
          <w:iCs/>
          <w:lang w:val="en-US"/>
        </w:rPr>
        <w:instrText>expression</w:instrText>
      </w:r>
      <w:r w:rsidR="007C1118" w:rsidRPr="007C1118">
        <w:rPr>
          <w:i/>
          <w:iCs/>
        </w:rPr>
        <w:instrText xml:space="preserve"> (&lt; 50%) </w:instrText>
      </w:r>
      <w:r w:rsidR="007C1118">
        <w:rPr>
          <w:i/>
          <w:iCs/>
          <w:lang w:val="en-US"/>
        </w:rPr>
        <w:instrText>in</w:instrText>
      </w:r>
      <w:r w:rsidR="007C1118" w:rsidRPr="007C1118">
        <w:rPr>
          <w:i/>
          <w:iCs/>
        </w:rPr>
        <w:instrText xml:space="preserve"> 33 </w:instrText>
      </w:r>
      <w:r w:rsidR="007C1118">
        <w:rPr>
          <w:i/>
          <w:iCs/>
          <w:lang w:val="en-US"/>
        </w:rPr>
        <w:instrText>of</w:instrText>
      </w:r>
      <w:r w:rsidR="007C1118" w:rsidRPr="007C1118">
        <w:rPr>
          <w:i/>
          <w:iCs/>
        </w:rPr>
        <w:instrText xml:space="preserve"> 51 (65%) </w:instrText>
      </w:r>
      <w:r w:rsidR="007C1118">
        <w:rPr>
          <w:i/>
          <w:iCs/>
          <w:lang w:val="en-US"/>
        </w:rPr>
        <w:instrText>cases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compared</w:instrText>
      </w:r>
      <w:r w:rsidR="007C1118" w:rsidRPr="007C1118">
        <w:rPr>
          <w:i/>
          <w:iCs/>
        </w:rPr>
        <w:instrText xml:space="preserve"> </w:instrText>
      </w:r>
      <w:r w:rsidR="007C1118">
        <w:rPr>
          <w:i/>
          <w:iCs/>
          <w:lang w:val="en-US"/>
        </w:rPr>
        <w:instrText>with</w:instrText>
      </w:r>
      <w:r w:rsidR="007C1118" w:rsidRPr="007C1118">
        <w:rPr>
          <w:i/>
          <w:iCs/>
        </w:rPr>
        <w:instrText xml:space="preserve"> </w:instrText>
      </w:r>
      <w:r w:rsidR="007C1118">
        <w:rPr>
          <w:i/>
          <w:iCs/>
          <w:lang w:val="en-US"/>
        </w:rPr>
        <w:instrText>two</w:instrText>
      </w:r>
      <w:r w:rsidR="007C1118" w:rsidRPr="007C1118">
        <w:rPr>
          <w:i/>
          <w:iCs/>
        </w:rPr>
        <w:instrText xml:space="preserve"> </w:instrText>
      </w:r>
      <w:r w:rsidR="007C1118">
        <w:rPr>
          <w:i/>
          <w:iCs/>
          <w:lang w:val="en-US"/>
        </w:rPr>
        <w:instrText>of</w:instrText>
      </w:r>
      <w:r w:rsidR="007C1118" w:rsidRPr="007C1118">
        <w:rPr>
          <w:i/>
          <w:iCs/>
        </w:rPr>
        <w:instrText xml:space="preserve"> 35 (6%) </w:instrText>
      </w:r>
      <w:r w:rsidR="007C1118">
        <w:rPr>
          <w:i/>
          <w:iCs/>
          <w:lang w:val="en-US"/>
        </w:rPr>
        <w:instrText>EID</w:instrText>
      </w:r>
      <w:r w:rsidR="007C1118" w:rsidRPr="007C1118">
        <w:rPr>
          <w:i/>
          <w:iCs/>
        </w:rPr>
        <w:instrText xml:space="preserve"> (</w:instrText>
      </w:r>
      <w:r w:rsidR="007C1118">
        <w:rPr>
          <w:i/>
          <w:iCs/>
          <w:lang w:val="en-US"/>
        </w:rPr>
        <w:instrText>P</w:instrText>
      </w:r>
      <w:r w:rsidR="007C1118" w:rsidRPr="007C1118">
        <w:rPr>
          <w:i/>
          <w:iCs/>
        </w:rPr>
        <w:instrText xml:space="preserve"> &lt; 0·001). </w:instrText>
      </w:r>
      <w:r w:rsidR="007C1118">
        <w:rPr>
          <w:i/>
          <w:iCs/>
          <w:lang w:val="en-US"/>
        </w:rPr>
        <w:instrText>The</w:instrText>
      </w:r>
      <w:r w:rsidR="007C1118" w:rsidRPr="007C1118">
        <w:rPr>
          <w:i/>
          <w:iCs/>
        </w:rPr>
        <w:instrText xml:space="preserve"> </w:instrText>
      </w:r>
      <w:r w:rsidR="007C1118">
        <w:rPr>
          <w:i/>
          <w:iCs/>
          <w:lang w:val="en-US"/>
        </w:rPr>
        <w:instrText>lymphocytic</w:instrText>
      </w:r>
      <w:r w:rsidR="007C1118" w:rsidRPr="007C1118">
        <w:rPr>
          <w:i/>
          <w:iCs/>
        </w:rPr>
        <w:instrText xml:space="preserve"> </w:instrText>
      </w:r>
      <w:r w:rsidR="007C1118">
        <w:rPr>
          <w:i/>
          <w:iCs/>
          <w:lang w:val="en-US"/>
        </w:rPr>
        <w:instrText>infiltrate</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skin</w:instrText>
      </w:r>
      <w:r w:rsidR="007C1118" w:rsidRPr="007C1118">
        <w:rPr>
          <w:i/>
          <w:iCs/>
        </w:rPr>
        <w:instrText xml:space="preserve"> </w:instrText>
      </w:r>
      <w:r w:rsidR="007C1118">
        <w:rPr>
          <w:i/>
          <w:iCs/>
          <w:lang w:val="en-US"/>
        </w:rPr>
        <w:instrText>samples</w:instrText>
      </w:r>
      <w:r w:rsidR="007C1118" w:rsidRPr="007C1118">
        <w:rPr>
          <w:i/>
          <w:iCs/>
        </w:rPr>
        <w:instrText xml:space="preserve"> </w:instrText>
      </w:r>
      <w:r w:rsidR="007C1118">
        <w:rPr>
          <w:i/>
          <w:iCs/>
          <w:lang w:val="en-US"/>
        </w:rPr>
        <w:instrText>was</w:instrText>
      </w:r>
      <w:r w:rsidR="007C1118" w:rsidRPr="007C1118">
        <w:rPr>
          <w:i/>
          <w:iCs/>
        </w:rPr>
        <w:instrText xml:space="preserve"> </w:instrText>
      </w:r>
      <w:r w:rsidR="007C1118">
        <w:rPr>
          <w:i/>
          <w:iCs/>
          <w:lang w:val="en-US"/>
        </w:rPr>
        <w:instrText>found</w:instrText>
      </w:r>
      <w:r w:rsidR="007C1118" w:rsidRPr="007C1118">
        <w:rPr>
          <w:i/>
          <w:iCs/>
        </w:rPr>
        <w:instrText xml:space="preserve"> </w:instrText>
      </w:r>
      <w:r w:rsidR="007C1118">
        <w:rPr>
          <w:i/>
          <w:iCs/>
          <w:lang w:val="en-US"/>
        </w:rPr>
        <w:instrText>significantly</w:instrText>
      </w:r>
      <w:r w:rsidR="007C1118" w:rsidRPr="007C1118">
        <w:rPr>
          <w:i/>
          <w:iCs/>
        </w:rPr>
        <w:instrText xml:space="preserve"> </w:instrText>
      </w:r>
      <w:r w:rsidR="007C1118">
        <w:rPr>
          <w:i/>
          <w:iCs/>
          <w:lang w:val="en-US"/>
        </w:rPr>
        <w:instrText>to</w:instrText>
      </w:r>
      <w:r w:rsidR="007C1118" w:rsidRPr="007C1118">
        <w:rPr>
          <w:i/>
          <w:iCs/>
        </w:rPr>
        <w:instrText xml:space="preserve"> </w:instrText>
      </w:r>
      <w:r w:rsidR="007C1118">
        <w:rPr>
          <w:i/>
          <w:iCs/>
          <w:lang w:val="en-US"/>
        </w:rPr>
        <w:instrText>express</w:instrText>
      </w:r>
      <w:r w:rsidR="007C1118" w:rsidRPr="007C1118">
        <w:rPr>
          <w:i/>
          <w:iCs/>
        </w:rPr>
        <w:instrText xml:space="preserve"> </w:instrText>
      </w:r>
      <w:r w:rsidR="007C1118">
        <w:rPr>
          <w:i/>
          <w:iCs/>
          <w:lang w:val="en-US"/>
        </w:rPr>
        <w:instrText>PD</w:instrText>
      </w:r>
      <w:r w:rsidR="007C1118" w:rsidRPr="007C1118">
        <w:rPr>
          <w:i/>
          <w:iCs/>
        </w:rPr>
        <w:instrText>-1 (</w:instrText>
      </w:r>
      <w:r w:rsidR="007C1118">
        <w:rPr>
          <w:i/>
          <w:iCs/>
          <w:lang w:val="en-US"/>
        </w:rPr>
        <w:instrText>P</w:instrText>
      </w:r>
      <w:r w:rsidR="007C1118" w:rsidRPr="007C1118">
        <w:rPr>
          <w:i/>
          <w:iCs/>
        </w:rPr>
        <w:instrText xml:space="preserve"> = 0·0053), </w:instrText>
      </w:r>
      <w:r w:rsidR="007C1118">
        <w:rPr>
          <w:i/>
          <w:iCs/>
          <w:lang w:val="en-US"/>
        </w:rPr>
        <w:instrText>MUM</w:instrText>
      </w:r>
      <w:r w:rsidR="007C1118" w:rsidRPr="007C1118">
        <w:rPr>
          <w:i/>
          <w:iCs/>
        </w:rPr>
        <w:instrText>-1 (</w:instrText>
      </w:r>
      <w:r w:rsidR="007C1118">
        <w:rPr>
          <w:i/>
          <w:iCs/>
          <w:lang w:val="en-US"/>
        </w:rPr>
        <w:instrText>P</w:instrText>
      </w:r>
      <w:r w:rsidR="007C1118" w:rsidRPr="007C1118">
        <w:rPr>
          <w:i/>
          <w:iCs/>
        </w:rPr>
        <w:instrText xml:space="preserve"> = 0·0017) </w:instrText>
      </w:r>
      <w:r w:rsidR="007C1118">
        <w:rPr>
          <w:i/>
          <w:iCs/>
          <w:lang w:val="en-US"/>
        </w:rPr>
        <w:instrText>and</w:instrText>
      </w:r>
      <w:r w:rsidR="007C1118" w:rsidRPr="007C1118">
        <w:rPr>
          <w:i/>
          <w:iCs/>
        </w:rPr>
        <w:instrText xml:space="preserve"> </w:instrText>
      </w:r>
      <w:r w:rsidR="007C1118">
        <w:rPr>
          <w:i/>
          <w:iCs/>
          <w:lang w:val="en-US"/>
        </w:rPr>
        <w:instrText>Ki</w:instrText>
      </w:r>
      <w:r w:rsidR="007C1118" w:rsidRPr="007C1118">
        <w:rPr>
          <w:i/>
          <w:iCs/>
        </w:rPr>
        <w:instrText>-67 (</w:instrText>
      </w:r>
      <w:r w:rsidR="007C1118">
        <w:rPr>
          <w:i/>
          <w:iCs/>
          <w:lang w:val="en-US"/>
        </w:rPr>
        <w:instrText>P</w:instrText>
      </w:r>
      <w:r w:rsidR="007C1118" w:rsidRPr="007C1118">
        <w:rPr>
          <w:i/>
          <w:iCs/>
        </w:rPr>
        <w:instrText xml:space="preserve"> &lt; 0·001), </w:instrText>
      </w:r>
      <w:r w:rsidR="007C1118">
        <w:rPr>
          <w:i/>
          <w:iCs/>
          <w:lang w:val="en-US"/>
        </w:rPr>
        <w:instrText>and</w:instrText>
      </w:r>
      <w:r w:rsidR="007C1118" w:rsidRPr="007C1118">
        <w:rPr>
          <w:i/>
          <w:iCs/>
        </w:rPr>
        <w:instrText xml:space="preserve"> </w:instrText>
      </w:r>
      <w:r w:rsidR="007C1118">
        <w:rPr>
          <w:i/>
          <w:iCs/>
          <w:lang w:val="en-US"/>
        </w:rPr>
        <w:instrText>showed</w:instrText>
      </w:r>
      <w:r w:rsidR="007C1118" w:rsidRPr="007C1118">
        <w:rPr>
          <w:i/>
          <w:iCs/>
        </w:rPr>
        <w:instrText xml:space="preserve"> </w:instrText>
      </w:r>
      <w:r w:rsidR="007C1118">
        <w:rPr>
          <w:i/>
          <w:iCs/>
          <w:lang w:val="en-US"/>
        </w:rPr>
        <w:instrText>less</w:instrText>
      </w:r>
      <w:r w:rsidR="007C1118" w:rsidRPr="007C1118">
        <w:rPr>
          <w:i/>
          <w:iCs/>
        </w:rPr>
        <w:instrText xml:space="preserve"> </w:instrText>
      </w:r>
      <w:r w:rsidR="007C1118">
        <w:rPr>
          <w:i/>
          <w:iCs/>
          <w:lang w:val="en-US"/>
        </w:rPr>
        <w:instrText>infiltration</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CD</w:instrText>
      </w:r>
      <w:r w:rsidR="007C1118" w:rsidRPr="007C1118">
        <w:rPr>
          <w:i/>
          <w:iCs/>
        </w:rPr>
        <w:instrText xml:space="preserve">8+ </w:instrText>
      </w:r>
      <w:r w:rsidR="007C1118">
        <w:rPr>
          <w:i/>
          <w:iCs/>
          <w:lang w:val="en-US"/>
        </w:rPr>
        <w:instrText>lymphocytes</w:instrText>
      </w:r>
      <w:r w:rsidR="007C1118" w:rsidRPr="007C1118">
        <w:rPr>
          <w:i/>
          <w:iCs/>
        </w:rPr>
        <w:instrText xml:space="preserve"> (</w:instrText>
      </w:r>
      <w:r w:rsidR="007C1118">
        <w:rPr>
          <w:i/>
          <w:iCs/>
          <w:lang w:val="en-US"/>
        </w:rPr>
        <w:instrText>P</w:instrText>
      </w:r>
      <w:r w:rsidR="007C1118" w:rsidRPr="007C1118">
        <w:rPr>
          <w:i/>
          <w:iCs/>
        </w:rPr>
        <w:instrText xml:space="preserve"> &lt; 0·001). </w:instrText>
      </w:r>
      <w:r w:rsidR="007C1118">
        <w:rPr>
          <w:i/>
          <w:iCs/>
          <w:lang w:val="en-US"/>
        </w:rPr>
        <w:instrText>A</w:instrText>
      </w:r>
      <w:r w:rsidR="007C1118" w:rsidRPr="007C1118">
        <w:rPr>
          <w:i/>
          <w:iCs/>
        </w:rPr>
        <w:instrText xml:space="preserve"> </w:instrText>
      </w:r>
      <w:r w:rsidR="007C1118">
        <w:rPr>
          <w:i/>
          <w:iCs/>
          <w:lang w:val="en-US"/>
        </w:rPr>
        <w:instrText>multivariate</w:instrText>
      </w:r>
      <w:r w:rsidR="007C1118" w:rsidRPr="007C1118">
        <w:rPr>
          <w:i/>
          <w:iCs/>
        </w:rPr>
        <w:instrText xml:space="preserve"> </w:instrText>
      </w:r>
      <w:r w:rsidR="007C1118">
        <w:rPr>
          <w:i/>
          <w:iCs/>
          <w:lang w:val="en-US"/>
        </w:rPr>
        <w:instrText>analysis</w:instrText>
      </w:r>
      <w:r w:rsidR="007C1118" w:rsidRPr="007C1118">
        <w:rPr>
          <w:i/>
          <w:iCs/>
        </w:rPr>
        <w:instrText xml:space="preserve"> </w:instrText>
      </w:r>
      <w:r w:rsidR="007C1118">
        <w:rPr>
          <w:i/>
          <w:iCs/>
          <w:lang w:val="en-US"/>
        </w:rPr>
        <w:instrText>identified</w:instrText>
      </w:r>
      <w:r w:rsidR="007C1118" w:rsidRPr="007C1118">
        <w:rPr>
          <w:i/>
          <w:iCs/>
        </w:rPr>
        <w:instrText xml:space="preserve"> </w:instrText>
      </w:r>
      <w:r w:rsidR="007C1118">
        <w:rPr>
          <w:i/>
          <w:iCs/>
          <w:lang w:val="en-US"/>
        </w:rPr>
        <w:instrText>CD</w:instrText>
      </w:r>
      <w:r w:rsidR="007C1118" w:rsidRPr="007C1118">
        <w:rPr>
          <w:i/>
          <w:iCs/>
        </w:rPr>
        <w:instrText xml:space="preserve">7 </w:instrText>
      </w:r>
      <w:r w:rsidR="007C1118">
        <w:rPr>
          <w:i/>
          <w:iCs/>
          <w:lang w:val="en-US"/>
        </w:rPr>
        <w:instrText>loss</w:instrText>
      </w:r>
      <w:r w:rsidR="007C1118" w:rsidRPr="007C1118">
        <w:rPr>
          <w:i/>
          <w:iCs/>
        </w:rPr>
        <w:instrText xml:space="preserve">, </w:instrText>
      </w:r>
      <w:r w:rsidR="007C1118">
        <w:rPr>
          <w:i/>
          <w:iCs/>
          <w:lang w:val="en-US"/>
        </w:rPr>
        <w:instrText>increased</w:instrText>
      </w:r>
      <w:r w:rsidR="007C1118" w:rsidRPr="007C1118">
        <w:rPr>
          <w:i/>
          <w:iCs/>
        </w:rPr>
        <w:instrText xml:space="preserve"> </w:instrText>
      </w:r>
      <w:r w:rsidR="007C1118">
        <w:rPr>
          <w:i/>
          <w:iCs/>
          <w:lang w:val="en-US"/>
        </w:rPr>
        <w:instrText>numbers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small</w:instrText>
      </w:r>
      <w:r w:rsidR="007C1118" w:rsidRPr="007C1118">
        <w:rPr>
          <w:i/>
          <w:iCs/>
        </w:rPr>
        <w:instrText xml:space="preserve"> </w:instrText>
      </w:r>
      <w:r w:rsidR="007C1118">
        <w:rPr>
          <w:i/>
          <w:iCs/>
          <w:lang w:val="en-US"/>
        </w:rPr>
        <w:instrText>cerebriform</w:instrText>
      </w:r>
      <w:r w:rsidR="007C1118" w:rsidRPr="007C1118">
        <w:rPr>
          <w:i/>
          <w:iCs/>
        </w:rPr>
        <w:instrText xml:space="preserve"> </w:instrText>
      </w:r>
      <w:r w:rsidR="007C1118">
        <w:rPr>
          <w:i/>
          <w:iCs/>
          <w:lang w:val="en-US"/>
        </w:rPr>
        <w:instrText>lymphocytes</w:instrText>
      </w:r>
      <w:r w:rsidR="007C1118" w:rsidRPr="007C1118">
        <w:rPr>
          <w:i/>
          <w:iCs/>
        </w:rPr>
        <w:instrText xml:space="preserve">, </w:instrText>
      </w:r>
      <w:r w:rsidR="007C1118">
        <w:rPr>
          <w:i/>
          <w:iCs/>
          <w:lang w:val="en-US"/>
        </w:rPr>
        <w:instrText>low</w:instrText>
      </w:r>
      <w:r w:rsidR="007C1118" w:rsidRPr="007C1118">
        <w:rPr>
          <w:i/>
          <w:iCs/>
        </w:rPr>
        <w:instrText xml:space="preserve"> </w:instrText>
      </w:r>
      <w:r w:rsidR="007C1118">
        <w:rPr>
          <w:i/>
          <w:iCs/>
          <w:lang w:val="en-US"/>
        </w:rPr>
        <w:instrText>numbers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CD</w:instrText>
      </w:r>
      <w:r w:rsidR="007C1118" w:rsidRPr="007C1118">
        <w:rPr>
          <w:i/>
          <w:iCs/>
        </w:rPr>
        <w:instrText xml:space="preserve">8+ </w:instrText>
      </w:r>
      <w:r w:rsidR="007C1118">
        <w:rPr>
          <w:i/>
          <w:iCs/>
          <w:lang w:val="en-US"/>
        </w:rPr>
        <w:instrText>lymphocytes</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increased</w:instrText>
      </w:r>
      <w:r w:rsidR="007C1118" w:rsidRPr="007C1118">
        <w:rPr>
          <w:i/>
          <w:iCs/>
        </w:rPr>
        <w:instrText xml:space="preserve"> </w:instrText>
      </w:r>
      <w:r w:rsidR="007C1118">
        <w:rPr>
          <w:i/>
          <w:iCs/>
          <w:lang w:val="en-US"/>
        </w:rPr>
        <w:instrText>proliferation</w:instrText>
      </w:r>
      <w:r w:rsidR="007C1118" w:rsidRPr="007C1118">
        <w:rPr>
          <w:i/>
          <w:iCs/>
        </w:rPr>
        <w:instrText xml:space="preserve"> (</w:instrText>
      </w:r>
      <w:r w:rsidR="007C1118">
        <w:rPr>
          <w:i/>
          <w:iCs/>
          <w:lang w:val="en-US"/>
        </w:rPr>
        <w:instrText>Ki</w:instrText>
      </w:r>
      <w:r w:rsidR="007C1118" w:rsidRPr="007C1118">
        <w:rPr>
          <w:i/>
          <w:iCs/>
        </w:rPr>
        <w:instrText xml:space="preserve">-67+ </w:instrText>
      </w:r>
      <w:r w:rsidR="007C1118">
        <w:rPr>
          <w:i/>
          <w:iCs/>
          <w:lang w:val="en-US"/>
        </w:rPr>
        <w:instrText>lymphocytes</w:instrText>
      </w:r>
      <w:r w:rsidR="007C1118" w:rsidRPr="007C1118">
        <w:rPr>
          <w:i/>
          <w:iCs/>
        </w:rPr>
        <w:instrText xml:space="preserve">) </w:instrText>
      </w:r>
      <w:r w:rsidR="007C1118">
        <w:rPr>
          <w:i/>
          <w:iCs/>
          <w:lang w:val="en-US"/>
        </w:rPr>
        <w:instrText>as</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strongest</w:instrText>
      </w:r>
      <w:r w:rsidR="007C1118" w:rsidRPr="007C1118">
        <w:rPr>
          <w:i/>
          <w:iCs/>
        </w:rPr>
        <w:instrText xml:space="preserve"> </w:instrText>
      </w:r>
      <w:r w:rsidR="007C1118">
        <w:rPr>
          <w:i/>
          <w:iCs/>
          <w:lang w:val="en-US"/>
        </w:rPr>
        <w:instrText>indicators</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diagnosis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Conclusions</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number</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different</w:instrText>
      </w:r>
      <w:r w:rsidR="007C1118" w:rsidRPr="007C1118">
        <w:rPr>
          <w:i/>
          <w:iCs/>
        </w:rPr>
        <w:instrText xml:space="preserve"> </w:instrText>
      </w:r>
      <w:r w:rsidR="007C1118">
        <w:rPr>
          <w:i/>
          <w:iCs/>
          <w:lang w:val="en-US"/>
        </w:rPr>
        <w:instrText>histological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immunophenotypical</w:instrText>
      </w:r>
      <w:r w:rsidR="007C1118" w:rsidRPr="007C1118">
        <w:rPr>
          <w:i/>
          <w:iCs/>
        </w:rPr>
        <w:instrText xml:space="preserve"> </w:instrText>
      </w:r>
      <w:r w:rsidR="007C1118">
        <w:rPr>
          <w:i/>
          <w:iCs/>
          <w:lang w:val="en-US"/>
        </w:rPr>
        <w:instrText>criteria</w:instrText>
      </w:r>
      <w:r w:rsidR="007C1118" w:rsidRPr="007C1118">
        <w:rPr>
          <w:i/>
          <w:iCs/>
        </w:rPr>
        <w:instrText xml:space="preserve"> </w:instrText>
      </w:r>
      <w:r w:rsidR="007C1118">
        <w:rPr>
          <w:i/>
          <w:iCs/>
          <w:lang w:val="en-US"/>
        </w:rPr>
        <w:instrText>are</w:instrText>
      </w:r>
      <w:r w:rsidR="007C1118" w:rsidRPr="007C1118">
        <w:rPr>
          <w:i/>
          <w:iCs/>
        </w:rPr>
        <w:instrText xml:space="preserve"> </w:instrText>
      </w:r>
      <w:r w:rsidR="007C1118">
        <w:rPr>
          <w:i/>
          <w:iCs/>
          <w:lang w:val="en-US"/>
        </w:rPr>
        <w:instrText>required</w:instrText>
      </w:r>
      <w:r w:rsidR="007C1118" w:rsidRPr="007C1118">
        <w:rPr>
          <w:i/>
          <w:iCs/>
        </w:rPr>
        <w:instrText xml:space="preserve"> </w:instrText>
      </w:r>
      <w:r w:rsidR="007C1118">
        <w:rPr>
          <w:i/>
          <w:iCs/>
          <w:lang w:val="en-US"/>
        </w:rPr>
        <w:instrText>to</w:instrText>
      </w:r>
      <w:r w:rsidR="007C1118" w:rsidRPr="007C1118">
        <w:rPr>
          <w:i/>
          <w:iCs/>
        </w:rPr>
        <w:instrText xml:space="preserve"> </w:instrText>
      </w:r>
      <w:r w:rsidR="007C1118">
        <w:rPr>
          <w:i/>
          <w:iCs/>
          <w:lang w:val="en-US"/>
        </w:rPr>
        <w:instrText>differentiate</w:instrText>
      </w:r>
      <w:r w:rsidR="007C1118" w:rsidRPr="007C1118">
        <w:rPr>
          <w:i/>
          <w:iCs/>
        </w:rPr>
        <w:instrText xml:space="preserve"> </w:instrText>
      </w:r>
      <w:r w:rsidR="007C1118">
        <w:rPr>
          <w:i/>
          <w:iCs/>
          <w:lang w:val="en-US"/>
        </w:rPr>
        <w:instrText>between</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EIDs</w:instrText>
      </w:r>
      <w:r w:rsidR="007C1118" w:rsidRPr="007C1118">
        <w:rPr>
          <w:i/>
          <w:iCs/>
        </w:rPr>
        <w:instrText xml:space="preserve">. </w:instrText>
      </w:r>
      <w:r w:rsidR="007C1118">
        <w:rPr>
          <w:i/>
          <w:iCs/>
          <w:lang w:val="en-US"/>
        </w:rPr>
        <w:instrText>What</w:instrText>
      </w:r>
      <w:r w:rsidR="007C1118" w:rsidRPr="007C1118">
        <w:rPr>
          <w:i/>
          <w:iCs/>
        </w:rPr>
        <w:instrText>'</w:instrText>
      </w:r>
      <w:r w:rsidR="007C1118">
        <w:rPr>
          <w:i/>
          <w:iCs/>
          <w:lang w:val="en-US"/>
        </w:rPr>
        <w:instrText>s</w:instrText>
      </w:r>
      <w:r w:rsidR="007C1118" w:rsidRPr="007C1118">
        <w:rPr>
          <w:i/>
          <w:iCs/>
        </w:rPr>
        <w:instrText xml:space="preserve"> </w:instrText>
      </w:r>
      <w:r w:rsidR="007C1118">
        <w:rPr>
          <w:i/>
          <w:iCs/>
          <w:lang w:val="en-US"/>
        </w:rPr>
        <w:instrText>already</w:instrText>
      </w:r>
      <w:r w:rsidR="007C1118" w:rsidRPr="007C1118">
        <w:rPr>
          <w:i/>
          <w:iCs/>
        </w:rPr>
        <w:instrText xml:space="preserve"> </w:instrText>
      </w:r>
      <w:r w:rsidR="007C1118">
        <w:rPr>
          <w:i/>
          <w:iCs/>
          <w:lang w:val="en-US"/>
        </w:rPr>
        <w:instrText>known</w:instrText>
      </w:r>
      <w:r w:rsidR="007C1118" w:rsidRPr="007C1118">
        <w:rPr>
          <w:i/>
          <w:iCs/>
        </w:rPr>
        <w:instrText xml:space="preserve"> </w:instrText>
      </w:r>
      <w:r w:rsidR="007C1118">
        <w:rPr>
          <w:i/>
          <w:iCs/>
          <w:lang w:val="en-US"/>
        </w:rPr>
        <w:instrText>about</w:instrText>
      </w:r>
      <w:r w:rsidR="007C1118" w:rsidRPr="007C1118">
        <w:rPr>
          <w:i/>
          <w:iCs/>
        </w:rPr>
        <w:instrText xml:space="preserve"> </w:instrText>
      </w:r>
      <w:r w:rsidR="007C1118">
        <w:rPr>
          <w:i/>
          <w:iCs/>
          <w:lang w:val="en-US"/>
        </w:rPr>
        <w:instrText>this</w:instrText>
      </w:r>
      <w:r w:rsidR="007C1118" w:rsidRPr="007C1118">
        <w:rPr>
          <w:i/>
          <w:iCs/>
        </w:rPr>
        <w:instrText xml:space="preserve"> </w:instrText>
      </w:r>
      <w:r w:rsidR="007C1118">
        <w:rPr>
          <w:i/>
          <w:iCs/>
          <w:lang w:val="en-US"/>
        </w:rPr>
        <w:instrText>topic</w:instrText>
      </w:r>
      <w:r w:rsidR="007C1118" w:rsidRPr="007C1118">
        <w:rPr>
          <w:i/>
          <w:iCs/>
        </w:rPr>
        <w:instrText xml:space="preserve">? </w:instrText>
      </w:r>
      <w:r w:rsidR="007C1118">
        <w:rPr>
          <w:i/>
          <w:iCs/>
          <w:lang w:val="en-US"/>
        </w:rPr>
        <w:instrText>Several</w:instrText>
      </w:r>
      <w:r w:rsidR="007C1118" w:rsidRPr="007C1118">
        <w:rPr>
          <w:i/>
          <w:iCs/>
        </w:rPr>
        <w:instrText xml:space="preserve"> </w:instrText>
      </w:r>
      <w:r w:rsidR="007C1118">
        <w:rPr>
          <w:i/>
          <w:iCs/>
          <w:lang w:val="en-US"/>
        </w:rPr>
        <w:instrText>small</w:instrText>
      </w:r>
      <w:r w:rsidR="007C1118" w:rsidRPr="007C1118">
        <w:rPr>
          <w:i/>
          <w:iCs/>
        </w:rPr>
        <w:instrText xml:space="preserve">, </w:instrText>
      </w:r>
      <w:r w:rsidR="007C1118">
        <w:rPr>
          <w:i/>
          <w:iCs/>
          <w:lang w:val="en-US"/>
        </w:rPr>
        <w:instrText>single</w:instrText>
      </w:r>
      <w:r w:rsidR="007C1118" w:rsidRPr="007C1118">
        <w:rPr>
          <w:i/>
          <w:iCs/>
        </w:rPr>
        <w:instrText>-</w:instrText>
      </w:r>
      <w:r w:rsidR="007C1118">
        <w:rPr>
          <w:i/>
          <w:iCs/>
          <w:lang w:val="en-US"/>
        </w:rPr>
        <w:instrText>centre</w:instrText>
      </w:r>
      <w:r w:rsidR="007C1118" w:rsidRPr="007C1118">
        <w:rPr>
          <w:i/>
          <w:iCs/>
        </w:rPr>
        <w:instrText xml:space="preserve"> </w:instrText>
      </w:r>
      <w:r w:rsidR="007C1118">
        <w:rPr>
          <w:i/>
          <w:iCs/>
          <w:lang w:val="en-US"/>
        </w:rPr>
        <w:instrText>studies</w:instrText>
      </w:r>
      <w:r w:rsidR="007C1118" w:rsidRPr="007C1118">
        <w:rPr>
          <w:i/>
          <w:iCs/>
        </w:rPr>
        <w:instrText xml:space="preserve"> </w:instrText>
      </w:r>
      <w:r w:rsidR="007C1118">
        <w:rPr>
          <w:i/>
          <w:iCs/>
          <w:lang w:val="en-US"/>
        </w:rPr>
        <w:instrText>have</w:instrText>
      </w:r>
      <w:r w:rsidR="007C1118" w:rsidRPr="007C1118">
        <w:rPr>
          <w:i/>
          <w:iCs/>
        </w:rPr>
        <w:instrText xml:space="preserve"> </w:instrText>
      </w:r>
      <w:r w:rsidR="007C1118">
        <w:rPr>
          <w:i/>
          <w:iCs/>
          <w:lang w:val="en-US"/>
        </w:rPr>
        <w:instrText>reported</w:instrText>
      </w:r>
      <w:r w:rsidR="007C1118" w:rsidRPr="007C1118">
        <w:rPr>
          <w:i/>
          <w:iCs/>
        </w:rPr>
        <w:instrText xml:space="preserve"> </w:instrText>
      </w:r>
      <w:r w:rsidR="007C1118">
        <w:rPr>
          <w:i/>
          <w:iCs/>
          <w:lang w:val="en-US"/>
        </w:rPr>
        <w:instrText>histopathological</w:instrText>
      </w:r>
      <w:r w:rsidR="007C1118" w:rsidRPr="007C1118">
        <w:rPr>
          <w:i/>
          <w:iCs/>
        </w:rPr>
        <w:instrText xml:space="preserve"> </w:instrText>
      </w:r>
      <w:r w:rsidR="007C1118">
        <w:rPr>
          <w:i/>
          <w:iCs/>
          <w:lang w:val="en-US"/>
        </w:rPr>
        <w:instrText>criteria</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S</w:instrText>
      </w:r>
      <w:r w:rsidR="007C1118" w:rsidRPr="007C1118">
        <w:rPr>
          <w:i/>
          <w:iCs/>
        </w:rPr>
        <w:instrText>é</w:instrText>
      </w:r>
      <w:r w:rsidR="007C1118">
        <w:rPr>
          <w:i/>
          <w:iCs/>
          <w:lang w:val="en-US"/>
        </w:rPr>
        <w:instrText>zary</w:instrText>
      </w:r>
      <w:r w:rsidR="007C1118" w:rsidRPr="007C1118">
        <w:rPr>
          <w:i/>
          <w:iCs/>
        </w:rPr>
        <w:instrText xml:space="preserve"> </w:instrText>
      </w:r>
      <w:r w:rsidR="007C1118">
        <w:rPr>
          <w:i/>
          <w:iCs/>
          <w:lang w:val="en-US"/>
        </w:rPr>
        <w:instrText>syndrome</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that</w:instrText>
      </w:r>
      <w:r w:rsidR="007C1118" w:rsidRPr="007C1118">
        <w:rPr>
          <w:i/>
          <w:iCs/>
        </w:rPr>
        <w:instrText xml:space="preserve"> </w:instrText>
      </w:r>
      <w:r w:rsidR="007C1118">
        <w:rPr>
          <w:i/>
          <w:iCs/>
          <w:lang w:val="en-US"/>
        </w:rPr>
        <w:instrText>allow</w:instrText>
      </w:r>
      <w:r w:rsidR="007C1118" w:rsidRPr="007C1118">
        <w:rPr>
          <w:i/>
          <w:iCs/>
        </w:rPr>
        <w:instrText xml:space="preserve"> </w:instrText>
      </w:r>
      <w:r w:rsidR="007C1118">
        <w:rPr>
          <w:i/>
          <w:iCs/>
          <w:lang w:val="en-US"/>
        </w:rPr>
        <w:instrText>differentiation</w:instrText>
      </w:r>
      <w:r w:rsidR="007C1118" w:rsidRPr="007C1118">
        <w:rPr>
          <w:i/>
          <w:iCs/>
        </w:rPr>
        <w:instrText xml:space="preserve"> </w:instrText>
      </w:r>
      <w:r w:rsidR="007C1118">
        <w:rPr>
          <w:i/>
          <w:iCs/>
          <w:lang w:val="en-US"/>
        </w:rPr>
        <w:instrText>from</w:instrText>
      </w:r>
      <w:r w:rsidR="007C1118" w:rsidRPr="007C1118">
        <w:rPr>
          <w:i/>
          <w:iCs/>
        </w:rPr>
        <w:instrText xml:space="preserve"> </w:instrText>
      </w:r>
      <w:r w:rsidR="007C1118">
        <w:rPr>
          <w:i/>
          <w:iCs/>
          <w:lang w:val="en-US"/>
        </w:rPr>
        <w:instrText>erythrodermic</w:instrText>
      </w:r>
      <w:r w:rsidR="007C1118" w:rsidRPr="007C1118">
        <w:rPr>
          <w:i/>
          <w:iCs/>
        </w:rPr>
        <w:instrText xml:space="preserve"> </w:instrText>
      </w:r>
      <w:r w:rsidR="007C1118">
        <w:rPr>
          <w:i/>
          <w:iCs/>
          <w:lang w:val="en-US"/>
        </w:rPr>
        <w:instrText>inflammatory</w:instrText>
      </w:r>
      <w:r w:rsidR="007C1118" w:rsidRPr="007C1118">
        <w:rPr>
          <w:i/>
          <w:iCs/>
        </w:rPr>
        <w:instrText xml:space="preserve"> </w:instrText>
      </w:r>
      <w:r w:rsidR="007C1118">
        <w:rPr>
          <w:i/>
          <w:iCs/>
          <w:lang w:val="en-US"/>
        </w:rPr>
        <w:instrText>dermatoses</w:instrText>
      </w:r>
      <w:r w:rsidR="007C1118" w:rsidRPr="007C1118">
        <w:rPr>
          <w:i/>
          <w:iCs/>
        </w:rPr>
        <w:instrText xml:space="preserve"> (</w:instrText>
      </w:r>
      <w:r w:rsidR="007C1118">
        <w:rPr>
          <w:i/>
          <w:iCs/>
          <w:lang w:val="en-US"/>
        </w:rPr>
        <w:instrText>EIDs</w:instrText>
      </w:r>
      <w:r w:rsidR="007C1118" w:rsidRPr="007C1118">
        <w:rPr>
          <w:i/>
          <w:iCs/>
        </w:rPr>
        <w:instrText xml:space="preserve">). </w:instrText>
      </w:r>
      <w:r w:rsidR="007C1118">
        <w:rPr>
          <w:i/>
          <w:iCs/>
          <w:lang w:val="en-US"/>
        </w:rPr>
        <w:instrText>Most</w:instrText>
      </w:r>
      <w:r w:rsidR="007C1118" w:rsidRPr="007C1118">
        <w:rPr>
          <w:i/>
          <w:iCs/>
        </w:rPr>
        <w:instrText xml:space="preserve"> </w:instrText>
      </w:r>
      <w:r w:rsidR="007C1118">
        <w:rPr>
          <w:i/>
          <w:iCs/>
          <w:lang w:val="en-US"/>
        </w:rPr>
        <w:instrText>histopathological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immunohistochemical</w:instrText>
      </w:r>
      <w:r w:rsidR="007C1118" w:rsidRPr="007C1118">
        <w:rPr>
          <w:i/>
          <w:iCs/>
        </w:rPr>
        <w:instrText xml:space="preserve"> </w:instrText>
      </w:r>
      <w:r w:rsidR="007C1118">
        <w:rPr>
          <w:i/>
          <w:iCs/>
          <w:lang w:val="en-US"/>
        </w:rPr>
        <w:instrText>criteria</w:instrText>
      </w:r>
      <w:r w:rsidR="007C1118" w:rsidRPr="007C1118">
        <w:rPr>
          <w:i/>
          <w:iCs/>
        </w:rPr>
        <w:instrText xml:space="preserve"> </w:instrText>
      </w:r>
      <w:r w:rsidR="007C1118">
        <w:rPr>
          <w:i/>
          <w:iCs/>
          <w:lang w:val="en-US"/>
        </w:rPr>
        <w:instrText>have</w:instrText>
      </w:r>
      <w:r w:rsidR="007C1118" w:rsidRPr="007C1118">
        <w:rPr>
          <w:i/>
          <w:iCs/>
        </w:rPr>
        <w:instrText xml:space="preserve"> </w:instrText>
      </w:r>
      <w:r w:rsidR="007C1118">
        <w:rPr>
          <w:i/>
          <w:iCs/>
          <w:lang w:val="en-US"/>
        </w:rPr>
        <w:instrText>never</w:instrText>
      </w:r>
      <w:r w:rsidR="007C1118" w:rsidRPr="007C1118">
        <w:rPr>
          <w:i/>
          <w:iCs/>
        </w:rPr>
        <w:instrText xml:space="preserve"> </w:instrText>
      </w:r>
      <w:r w:rsidR="007C1118">
        <w:rPr>
          <w:i/>
          <w:iCs/>
          <w:lang w:val="en-US"/>
        </w:rPr>
        <w:instrText>been</w:instrText>
      </w:r>
      <w:r w:rsidR="007C1118" w:rsidRPr="007C1118">
        <w:rPr>
          <w:i/>
          <w:iCs/>
        </w:rPr>
        <w:instrText xml:space="preserve"> </w:instrText>
      </w:r>
      <w:r w:rsidR="007C1118">
        <w:rPr>
          <w:i/>
          <w:iCs/>
          <w:lang w:val="en-US"/>
        </w:rPr>
        <w:instrText>evaluated</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multicentre</w:instrText>
      </w:r>
      <w:r w:rsidR="007C1118" w:rsidRPr="007C1118">
        <w:rPr>
          <w:i/>
          <w:iCs/>
        </w:rPr>
        <w:instrText xml:space="preserve"> </w:instrText>
      </w:r>
      <w:r w:rsidR="007C1118">
        <w:rPr>
          <w:i/>
          <w:iCs/>
          <w:lang w:val="en-US"/>
        </w:rPr>
        <w:instrText>study</w:instrText>
      </w:r>
      <w:r w:rsidR="007C1118" w:rsidRPr="007C1118">
        <w:rPr>
          <w:i/>
          <w:iCs/>
        </w:rPr>
        <w:instrText xml:space="preserve">. </w:instrText>
      </w:r>
      <w:r w:rsidR="007C1118">
        <w:rPr>
          <w:i/>
          <w:iCs/>
          <w:lang w:val="en-US"/>
        </w:rPr>
        <w:instrText>What</w:instrText>
      </w:r>
      <w:r w:rsidR="007C1118" w:rsidRPr="007C1118">
        <w:rPr>
          <w:i/>
          <w:iCs/>
        </w:rPr>
        <w:instrText xml:space="preserve"> </w:instrText>
      </w:r>
      <w:r w:rsidR="007C1118">
        <w:rPr>
          <w:i/>
          <w:iCs/>
          <w:lang w:val="en-US"/>
        </w:rPr>
        <w:instrText>does</w:instrText>
      </w:r>
      <w:r w:rsidR="007C1118" w:rsidRPr="007C1118">
        <w:rPr>
          <w:i/>
          <w:iCs/>
        </w:rPr>
        <w:instrText xml:space="preserve"> </w:instrText>
      </w:r>
      <w:r w:rsidR="007C1118">
        <w:rPr>
          <w:i/>
          <w:iCs/>
          <w:lang w:val="en-US"/>
        </w:rPr>
        <w:instrText>this</w:instrText>
      </w:r>
      <w:r w:rsidR="007C1118" w:rsidRPr="007C1118">
        <w:rPr>
          <w:i/>
          <w:iCs/>
        </w:rPr>
        <w:instrText xml:space="preserve"> </w:instrText>
      </w:r>
      <w:r w:rsidR="007C1118">
        <w:rPr>
          <w:i/>
          <w:iCs/>
          <w:lang w:val="en-US"/>
        </w:rPr>
        <w:instrText>study</w:instrText>
      </w:r>
      <w:r w:rsidR="007C1118" w:rsidRPr="007C1118">
        <w:rPr>
          <w:i/>
          <w:iCs/>
        </w:rPr>
        <w:instrText xml:space="preserve"> </w:instrText>
      </w:r>
      <w:r w:rsidR="007C1118">
        <w:rPr>
          <w:i/>
          <w:iCs/>
          <w:lang w:val="en-US"/>
        </w:rPr>
        <w:instrText>add</w:instrText>
      </w:r>
      <w:r w:rsidR="007C1118" w:rsidRPr="007C1118">
        <w:rPr>
          <w:i/>
          <w:iCs/>
        </w:rPr>
        <w:instrText xml:space="preserve">? </w:instrText>
      </w:r>
      <w:r w:rsidR="007C1118">
        <w:rPr>
          <w:i/>
          <w:iCs/>
          <w:lang w:val="en-US"/>
        </w:rPr>
        <w:instrText>Histology</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skin</w:instrText>
      </w:r>
      <w:r w:rsidR="007C1118" w:rsidRPr="007C1118">
        <w:rPr>
          <w:i/>
          <w:iCs/>
        </w:rPr>
        <w:instrText xml:space="preserve"> </w:instrText>
      </w:r>
      <w:r w:rsidR="007C1118">
        <w:rPr>
          <w:i/>
          <w:iCs/>
          <w:lang w:val="en-US"/>
        </w:rPr>
        <w:instrText>biopsies</w:instrText>
      </w:r>
      <w:r w:rsidR="007C1118" w:rsidRPr="007C1118">
        <w:rPr>
          <w:i/>
          <w:iCs/>
        </w:rPr>
        <w:instrText xml:space="preserve"> </w:instrText>
      </w:r>
      <w:r w:rsidR="007C1118">
        <w:rPr>
          <w:i/>
          <w:iCs/>
          <w:lang w:val="en-US"/>
        </w:rPr>
        <w:instrText>revealed</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significantly</w:instrText>
      </w:r>
      <w:r w:rsidR="007C1118" w:rsidRPr="007C1118">
        <w:rPr>
          <w:i/>
          <w:iCs/>
        </w:rPr>
        <w:instrText xml:space="preserve"> </w:instrText>
      </w:r>
      <w:r w:rsidR="007C1118">
        <w:rPr>
          <w:i/>
          <w:iCs/>
          <w:lang w:val="en-US"/>
        </w:rPr>
        <w:instrText>increased degree of epidermotropism and more intraepidermal atypical lymphocytes compared with EID, and Pautrier microabscesses were seen o…","author":[{"dropping-particle":"","family":"Klemke","given":"C. D.","non-dropping-particle":"","parse-names":false,"suffix":""},{"dropping-particle":"","family":"Booken","given":"N.","non-dropping-particle":"","parse-names":false,"suffix":""},{"dropping-particle":"","family":"Weiss","given":"C.","non-dropping-particle":"","parse-names":false,"suffix":""},{"dropping-particle":"","family":"Nicolay","given":"J. P.","non-dropping-particle":"","parse-names":false,"suffix":""},{"dropping-particle":"","family":"Goerdt","given":"S.","non-dropping-particle":"","parse-names":false,"suffix":""},{"dropping-particle":"","family":"Felcht","given":"M.","non-dropping-particle":"","parse-names":false,"suffix":""},{"dropping-particle":"","family":"Géraud","given":"C.","non-dropping-particle":"","parse-names":false,"suffix":""},{"dropping-particle":"","family":"Kempf","given":"W.","non-dropping-particle":"","parse-names":false,"suffix":""},{"dropping-particle":"","family":"Assaf","given":"C.","non-dropping-particle":"","parse-names":false,"suffix":""},{"dropping-particle":"","family":"Ortonne","given":"N.","non-dropping-particle":"","parse-names":false,"suffix":""},{"dropping-particle":"","family":"Battistella","given":"M.","non-dropping-particle":"","parse-names":false,"suffix":""},{"dropping-particle":"","family":"Bagot","given":"M.","non-dropping-particle":"","parse-names":false,"suffix":""},{"dropping-particle":"","family":"Knobler","given":"R.","non-dropping-particle":"","parse-names":false,"suffix":""},{"dropping-particle</w:instrText>
      </w:r>
      <w:r w:rsidR="007C1118" w:rsidRPr="007C1118">
        <w:rPr>
          <w:i/>
          <w:iCs/>
        </w:rPr>
        <w:instrText>":"","</w:instrText>
      </w:r>
      <w:r w:rsidR="007C1118">
        <w:rPr>
          <w:i/>
          <w:iCs/>
          <w:lang w:val="en-US"/>
        </w:rPr>
        <w:instrText>family</w:instrText>
      </w:r>
      <w:r w:rsidR="007C1118" w:rsidRPr="007C1118">
        <w:rPr>
          <w:i/>
          <w:iCs/>
        </w:rPr>
        <w:instrText>":"</w:instrText>
      </w:r>
      <w:r w:rsidR="007C1118">
        <w:rPr>
          <w:i/>
          <w:iCs/>
          <w:lang w:val="en-US"/>
        </w:rPr>
        <w:instrText>Quaglino</w:instrText>
      </w:r>
      <w:r w:rsidR="007C1118" w:rsidRPr="007C1118">
        <w:rPr>
          <w:i/>
          <w:iCs/>
        </w:rPr>
        <w:instrText>","</w:instrText>
      </w:r>
      <w:r w:rsidR="007C1118">
        <w:rPr>
          <w:i/>
          <w:iCs/>
          <w:lang w:val="en-US"/>
        </w:rPr>
        <w:instrText>given</w:instrText>
      </w:r>
      <w:r w:rsidR="007C1118" w:rsidRPr="007C1118">
        <w:rPr>
          <w:i/>
          <w:iCs/>
        </w:rPr>
        <w:instrText>":"</w:instrText>
      </w:r>
      <w:r w:rsidR="007C1118">
        <w:rPr>
          <w:i/>
          <w:iCs/>
          <w:lang w:val="en-US"/>
        </w:rPr>
        <w:instrText>P</w:instrText>
      </w:r>
      <w:r w:rsidR="007C1118" w:rsidRPr="007C1118">
        <w:rPr>
          <w:i/>
          <w:iCs/>
        </w:rPr>
        <w:instrText>.","</w:instrText>
      </w:r>
      <w:r w:rsidR="007C1118">
        <w:rPr>
          <w:i/>
          <w:iCs/>
          <w:lang w:val="en-US"/>
        </w:rPr>
        <w:instrText>non</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parse</w:instrText>
      </w:r>
      <w:r w:rsidR="007C1118" w:rsidRPr="007C1118">
        <w:rPr>
          <w:i/>
          <w:iCs/>
        </w:rPr>
        <w:instrText>-</w:instrText>
      </w:r>
      <w:r w:rsidR="007C1118">
        <w:rPr>
          <w:i/>
          <w:iCs/>
          <w:lang w:val="en-US"/>
        </w:rPr>
        <w:instrText>names</w:instrText>
      </w:r>
      <w:r w:rsidR="007C1118" w:rsidRPr="007C1118">
        <w:rPr>
          <w:i/>
          <w:iCs/>
        </w:rPr>
        <w:instrText>":</w:instrText>
      </w:r>
      <w:r w:rsidR="007C1118">
        <w:rPr>
          <w:i/>
          <w:iCs/>
          <w:lang w:val="en-US"/>
        </w:rPr>
        <w:instrText>false</w:instrText>
      </w:r>
      <w:r w:rsidR="007C1118" w:rsidRPr="007C1118">
        <w:rPr>
          <w:i/>
          <w:iCs/>
        </w:rPr>
        <w:instrText>,"</w:instrText>
      </w:r>
      <w:r w:rsidR="007C1118">
        <w:rPr>
          <w:i/>
          <w:iCs/>
          <w:lang w:val="en-US"/>
        </w:rPr>
        <w:instrText>suffix</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family</w:instrText>
      </w:r>
      <w:r w:rsidR="007C1118" w:rsidRPr="007C1118">
        <w:rPr>
          <w:i/>
          <w:iCs/>
        </w:rPr>
        <w:instrText>":"</w:instrText>
      </w:r>
      <w:r w:rsidR="007C1118">
        <w:rPr>
          <w:i/>
          <w:iCs/>
          <w:lang w:val="en-US"/>
        </w:rPr>
        <w:instrText>Arheiliger</w:instrText>
      </w:r>
      <w:r w:rsidR="007C1118" w:rsidRPr="007C1118">
        <w:rPr>
          <w:i/>
          <w:iCs/>
        </w:rPr>
        <w:instrText>","</w:instrText>
      </w:r>
      <w:r w:rsidR="007C1118">
        <w:rPr>
          <w:i/>
          <w:iCs/>
          <w:lang w:val="en-US"/>
        </w:rPr>
        <w:instrText>given</w:instrText>
      </w:r>
      <w:r w:rsidR="007C1118" w:rsidRPr="007C1118">
        <w:rPr>
          <w:i/>
          <w:iCs/>
        </w:rPr>
        <w:instrText>":"</w:instrText>
      </w:r>
      <w:r w:rsidR="007C1118">
        <w:rPr>
          <w:i/>
          <w:iCs/>
          <w:lang w:val="en-US"/>
        </w:rPr>
        <w:instrText>B</w:instrText>
      </w:r>
      <w:r w:rsidR="007C1118" w:rsidRPr="007C1118">
        <w:rPr>
          <w:i/>
          <w:iCs/>
        </w:rPr>
        <w:instrText>.","</w:instrText>
      </w:r>
      <w:r w:rsidR="007C1118">
        <w:rPr>
          <w:i/>
          <w:iCs/>
          <w:lang w:val="en-US"/>
        </w:rPr>
        <w:instrText>non</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parse</w:instrText>
      </w:r>
      <w:r w:rsidR="007C1118" w:rsidRPr="007C1118">
        <w:rPr>
          <w:i/>
          <w:iCs/>
        </w:rPr>
        <w:instrText>-</w:instrText>
      </w:r>
      <w:r w:rsidR="007C1118">
        <w:rPr>
          <w:i/>
          <w:iCs/>
          <w:lang w:val="en-US"/>
        </w:rPr>
        <w:instrText>names</w:instrText>
      </w:r>
      <w:r w:rsidR="007C1118" w:rsidRPr="007C1118">
        <w:rPr>
          <w:i/>
          <w:iCs/>
        </w:rPr>
        <w:instrText>":</w:instrText>
      </w:r>
      <w:r w:rsidR="007C1118">
        <w:rPr>
          <w:i/>
          <w:iCs/>
          <w:lang w:val="en-US"/>
        </w:rPr>
        <w:instrText>false</w:instrText>
      </w:r>
      <w:r w:rsidR="007C1118" w:rsidRPr="007C1118">
        <w:rPr>
          <w:i/>
          <w:iCs/>
        </w:rPr>
        <w:instrText>,"</w:instrText>
      </w:r>
      <w:r w:rsidR="007C1118">
        <w:rPr>
          <w:i/>
          <w:iCs/>
          <w:lang w:val="en-US"/>
        </w:rPr>
        <w:instrText>suffix</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family</w:instrText>
      </w:r>
      <w:r w:rsidR="007C1118" w:rsidRPr="007C1118">
        <w:rPr>
          <w:i/>
          <w:iCs/>
        </w:rPr>
        <w:instrText>":"</w:instrText>
      </w:r>
      <w:r w:rsidR="007C1118">
        <w:rPr>
          <w:i/>
          <w:iCs/>
          <w:lang w:val="en-US"/>
        </w:rPr>
        <w:instrText>Santucci</w:instrText>
      </w:r>
      <w:r w:rsidR="007C1118" w:rsidRPr="007C1118">
        <w:rPr>
          <w:i/>
          <w:iCs/>
        </w:rPr>
        <w:instrText>","</w:instrText>
      </w:r>
      <w:r w:rsidR="007C1118">
        <w:rPr>
          <w:i/>
          <w:iCs/>
          <w:lang w:val="en-US"/>
        </w:rPr>
        <w:instrText>given</w:instrText>
      </w:r>
      <w:r w:rsidR="007C1118" w:rsidRPr="007C1118">
        <w:rPr>
          <w:i/>
          <w:iCs/>
        </w:rPr>
        <w:instrText>":"</w:instrText>
      </w:r>
      <w:r w:rsidR="007C1118">
        <w:rPr>
          <w:i/>
          <w:iCs/>
          <w:lang w:val="en-US"/>
        </w:rPr>
        <w:instrText>M</w:instrText>
      </w:r>
      <w:r w:rsidR="007C1118" w:rsidRPr="007C1118">
        <w:rPr>
          <w:i/>
          <w:iCs/>
        </w:rPr>
        <w:instrText>.","</w:instrText>
      </w:r>
      <w:r w:rsidR="007C1118">
        <w:rPr>
          <w:i/>
          <w:iCs/>
          <w:lang w:val="en-US"/>
        </w:rPr>
        <w:instrText>non</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parse</w:instrText>
      </w:r>
      <w:r w:rsidR="007C1118" w:rsidRPr="007C1118">
        <w:rPr>
          <w:i/>
          <w:iCs/>
        </w:rPr>
        <w:instrText>-</w:instrText>
      </w:r>
      <w:r w:rsidR="007C1118">
        <w:rPr>
          <w:i/>
          <w:iCs/>
          <w:lang w:val="en-US"/>
        </w:rPr>
        <w:instrText>names</w:instrText>
      </w:r>
      <w:r w:rsidR="007C1118" w:rsidRPr="007C1118">
        <w:rPr>
          <w:i/>
          <w:iCs/>
        </w:rPr>
        <w:instrText>":</w:instrText>
      </w:r>
      <w:r w:rsidR="007C1118">
        <w:rPr>
          <w:i/>
          <w:iCs/>
          <w:lang w:val="en-US"/>
        </w:rPr>
        <w:instrText>false</w:instrText>
      </w:r>
      <w:r w:rsidR="007C1118" w:rsidRPr="007C1118">
        <w:rPr>
          <w:i/>
          <w:iCs/>
        </w:rPr>
        <w:instrText>,"</w:instrText>
      </w:r>
      <w:r w:rsidR="007C1118">
        <w:rPr>
          <w:i/>
          <w:iCs/>
          <w:lang w:val="en-US"/>
        </w:rPr>
        <w:instrText>suffix</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family</w:instrText>
      </w:r>
      <w:r w:rsidR="007C1118" w:rsidRPr="007C1118">
        <w:rPr>
          <w:i/>
          <w:iCs/>
        </w:rPr>
        <w:instrText>":"</w:instrText>
      </w:r>
      <w:r w:rsidR="007C1118">
        <w:rPr>
          <w:i/>
          <w:iCs/>
          <w:lang w:val="en-US"/>
        </w:rPr>
        <w:instrText>Jansen</w:instrText>
      </w:r>
      <w:r w:rsidR="007C1118" w:rsidRPr="007C1118">
        <w:rPr>
          <w:i/>
          <w:iCs/>
        </w:rPr>
        <w:instrText>","</w:instrText>
      </w:r>
      <w:r w:rsidR="007C1118">
        <w:rPr>
          <w:i/>
          <w:iCs/>
          <w:lang w:val="en-US"/>
        </w:rPr>
        <w:instrText>given</w:instrText>
      </w:r>
      <w:r w:rsidR="007C1118" w:rsidRPr="007C1118">
        <w:rPr>
          <w:i/>
          <w:iCs/>
        </w:rPr>
        <w:instrText>":"</w:instrText>
      </w:r>
      <w:r w:rsidR="007C1118">
        <w:rPr>
          <w:i/>
          <w:iCs/>
          <w:lang w:val="en-US"/>
        </w:rPr>
        <w:instrText>P</w:instrText>
      </w:r>
      <w:r w:rsidR="007C1118" w:rsidRPr="007C1118">
        <w:rPr>
          <w:i/>
          <w:iCs/>
        </w:rPr>
        <w:instrText>.","</w:instrText>
      </w:r>
      <w:r w:rsidR="007C1118">
        <w:rPr>
          <w:i/>
          <w:iCs/>
          <w:lang w:val="en-US"/>
        </w:rPr>
        <w:instrText>non</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parse</w:instrText>
      </w:r>
      <w:r w:rsidR="007C1118" w:rsidRPr="007C1118">
        <w:rPr>
          <w:i/>
          <w:iCs/>
        </w:rPr>
        <w:instrText>-</w:instrText>
      </w:r>
      <w:r w:rsidR="007C1118">
        <w:rPr>
          <w:i/>
          <w:iCs/>
          <w:lang w:val="en-US"/>
        </w:rPr>
        <w:instrText>names</w:instrText>
      </w:r>
      <w:r w:rsidR="007C1118" w:rsidRPr="007C1118">
        <w:rPr>
          <w:i/>
          <w:iCs/>
        </w:rPr>
        <w:instrText>":</w:instrText>
      </w:r>
      <w:r w:rsidR="007C1118">
        <w:rPr>
          <w:i/>
          <w:iCs/>
          <w:lang w:val="en-US"/>
        </w:rPr>
        <w:instrText>false</w:instrText>
      </w:r>
      <w:r w:rsidR="007C1118" w:rsidRPr="007C1118">
        <w:rPr>
          <w:i/>
          <w:iCs/>
        </w:rPr>
        <w:instrText>,"</w:instrText>
      </w:r>
      <w:r w:rsidR="007C1118">
        <w:rPr>
          <w:i/>
          <w:iCs/>
          <w:lang w:val="en-US"/>
        </w:rPr>
        <w:instrText>suffix</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family</w:instrText>
      </w:r>
      <w:r w:rsidR="007C1118" w:rsidRPr="007C1118">
        <w:rPr>
          <w:i/>
          <w:iCs/>
        </w:rPr>
        <w:instrText>":"</w:instrText>
      </w:r>
      <w:r w:rsidR="007C1118">
        <w:rPr>
          <w:i/>
          <w:iCs/>
          <w:lang w:val="en-US"/>
        </w:rPr>
        <w:instrText>Vermeer</w:instrText>
      </w:r>
      <w:r w:rsidR="007C1118" w:rsidRPr="007C1118">
        <w:rPr>
          <w:i/>
          <w:iCs/>
        </w:rPr>
        <w:instrText>","</w:instrText>
      </w:r>
      <w:r w:rsidR="007C1118">
        <w:rPr>
          <w:i/>
          <w:iCs/>
          <w:lang w:val="en-US"/>
        </w:rPr>
        <w:instrText>given</w:instrText>
      </w:r>
      <w:r w:rsidR="007C1118" w:rsidRPr="007C1118">
        <w:rPr>
          <w:i/>
          <w:iCs/>
        </w:rPr>
        <w:instrText>":"</w:instrText>
      </w:r>
      <w:r w:rsidR="007C1118">
        <w:rPr>
          <w:i/>
          <w:iCs/>
          <w:lang w:val="en-US"/>
        </w:rPr>
        <w:instrText>M</w:instrText>
      </w:r>
      <w:r w:rsidR="007C1118" w:rsidRPr="007C1118">
        <w:rPr>
          <w:i/>
          <w:iCs/>
        </w:rPr>
        <w:instrText xml:space="preserve">. </w:instrText>
      </w:r>
      <w:r w:rsidR="007C1118">
        <w:rPr>
          <w:i/>
          <w:iCs/>
          <w:lang w:val="en-US"/>
        </w:rPr>
        <w:instrText>H</w:instrText>
      </w:r>
      <w:r w:rsidR="007C1118" w:rsidRPr="007C1118">
        <w:rPr>
          <w:i/>
          <w:iCs/>
        </w:rPr>
        <w:instrText>.","</w:instrText>
      </w:r>
      <w:r w:rsidR="007C1118">
        <w:rPr>
          <w:i/>
          <w:iCs/>
          <w:lang w:val="en-US"/>
        </w:rPr>
        <w:instrText>non</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parse</w:instrText>
      </w:r>
      <w:r w:rsidR="007C1118" w:rsidRPr="007C1118">
        <w:rPr>
          <w:i/>
          <w:iCs/>
        </w:rPr>
        <w:instrText>-</w:instrText>
      </w:r>
      <w:r w:rsidR="007C1118">
        <w:rPr>
          <w:i/>
          <w:iCs/>
          <w:lang w:val="en-US"/>
        </w:rPr>
        <w:instrText>names</w:instrText>
      </w:r>
      <w:r w:rsidR="007C1118" w:rsidRPr="007C1118">
        <w:rPr>
          <w:i/>
          <w:iCs/>
        </w:rPr>
        <w:instrText>":</w:instrText>
      </w:r>
      <w:r w:rsidR="007C1118">
        <w:rPr>
          <w:i/>
          <w:iCs/>
          <w:lang w:val="en-US"/>
        </w:rPr>
        <w:instrText>false</w:instrText>
      </w:r>
      <w:r w:rsidR="007C1118" w:rsidRPr="007C1118">
        <w:rPr>
          <w:i/>
          <w:iCs/>
        </w:rPr>
        <w:instrText>,"</w:instrText>
      </w:r>
      <w:r w:rsidR="007C1118">
        <w:rPr>
          <w:i/>
          <w:iCs/>
          <w:lang w:val="en-US"/>
        </w:rPr>
        <w:instrText>suffix</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family</w:instrText>
      </w:r>
      <w:r w:rsidR="007C1118" w:rsidRPr="007C1118">
        <w:rPr>
          <w:i/>
          <w:iCs/>
        </w:rPr>
        <w:instrText>":"</w:instrText>
      </w:r>
      <w:r w:rsidR="007C1118">
        <w:rPr>
          <w:i/>
          <w:iCs/>
          <w:lang w:val="en-US"/>
        </w:rPr>
        <w:instrText>Willemze</w:instrText>
      </w:r>
      <w:r w:rsidR="007C1118" w:rsidRPr="007C1118">
        <w:rPr>
          <w:i/>
          <w:iCs/>
        </w:rPr>
        <w:instrText>","</w:instrText>
      </w:r>
      <w:r w:rsidR="007C1118">
        <w:rPr>
          <w:i/>
          <w:iCs/>
          <w:lang w:val="en-US"/>
        </w:rPr>
        <w:instrText>given</w:instrText>
      </w:r>
      <w:r w:rsidR="007C1118" w:rsidRPr="007C1118">
        <w:rPr>
          <w:i/>
          <w:iCs/>
        </w:rPr>
        <w:instrText>":"</w:instrText>
      </w:r>
      <w:r w:rsidR="007C1118">
        <w:rPr>
          <w:i/>
          <w:iCs/>
          <w:lang w:val="en-US"/>
        </w:rPr>
        <w:instrText>R</w:instrText>
      </w:r>
      <w:r w:rsidR="007C1118" w:rsidRPr="007C1118">
        <w:rPr>
          <w:i/>
          <w:iCs/>
        </w:rPr>
        <w:instrText>.","</w:instrText>
      </w:r>
      <w:r w:rsidR="007C1118">
        <w:rPr>
          <w:i/>
          <w:iCs/>
          <w:lang w:val="en-US"/>
        </w:rPr>
        <w:instrText>non</w:instrText>
      </w:r>
      <w:r w:rsidR="007C1118" w:rsidRPr="007C1118">
        <w:rPr>
          <w:i/>
          <w:iCs/>
        </w:rPr>
        <w:instrText>-</w:instrText>
      </w:r>
      <w:r w:rsidR="007C1118">
        <w:rPr>
          <w:i/>
          <w:iCs/>
          <w:lang w:val="en-US"/>
        </w:rPr>
        <w:instrText>dropping</w:instrText>
      </w:r>
      <w:r w:rsidR="007C1118" w:rsidRPr="007C1118">
        <w:rPr>
          <w:i/>
          <w:iCs/>
        </w:rPr>
        <w:instrText>-</w:instrText>
      </w:r>
      <w:r w:rsidR="007C1118">
        <w:rPr>
          <w:i/>
          <w:iCs/>
          <w:lang w:val="en-US"/>
        </w:rPr>
        <w:instrText>particle</w:instrText>
      </w:r>
      <w:r w:rsidR="007C1118" w:rsidRPr="007C1118">
        <w:rPr>
          <w:i/>
          <w:iCs/>
        </w:rPr>
        <w:instrText>":"","</w:instrText>
      </w:r>
      <w:r w:rsidR="007C1118">
        <w:rPr>
          <w:i/>
          <w:iCs/>
          <w:lang w:val="en-US"/>
        </w:rPr>
        <w:instrText>parse</w:instrText>
      </w:r>
      <w:r w:rsidR="007C1118" w:rsidRPr="007C1118">
        <w:rPr>
          <w:i/>
          <w:iCs/>
        </w:rPr>
        <w:instrText>-</w:instrText>
      </w:r>
      <w:r w:rsidR="007C1118">
        <w:rPr>
          <w:i/>
          <w:iCs/>
          <w:lang w:val="en-US"/>
        </w:rPr>
        <w:instrText>names</w:instrText>
      </w:r>
      <w:r w:rsidR="007C1118" w:rsidRPr="007C1118">
        <w:rPr>
          <w:i/>
          <w:iCs/>
        </w:rPr>
        <w:instrText>":</w:instrText>
      </w:r>
      <w:r w:rsidR="007C1118">
        <w:rPr>
          <w:i/>
          <w:iCs/>
          <w:lang w:val="en-US"/>
        </w:rPr>
        <w:instrText>false</w:instrText>
      </w:r>
      <w:r w:rsidR="007C1118" w:rsidRPr="007C1118">
        <w:rPr>
          <w:i/>
          <w:iCs/>
        </w:rPr>
        <w:instrText>,"</w:instrText>
      </w:r>
      <w:r w:rsidR="007C1118">
        <w:rPr>
          <w:i/>
          <w:iCs/>
          <w:lang w:val="en-US"/>
        </w:rPr>
        <w:instrText>suffix</w:instrText>
      </w:r>
      <w:r w:rsidR="007C1118" w:rsidRPr="007C1118">
        <w:rPr>
          <w:i/>
          <w:iCs/>
        </w:rPr>
        <w:instrText>":""}],"</w:instrText>
      </w:r>
      <w:r w:rsidR="007C1118">
        <w:rPr>
          <w:i/>
          <w:iCs/>
          <w:lang w:val="en-US"/>
        </w:rPr>
        <w:instrText>container</w:instrText>
      </w:r>
      <w:r w:rsidR="007C1118" w:rsidRPr="007C1118">
        <w:rPr>
          <w:i/>
          <w:iCs/>
        </w:rPr>
        <w:instrText>-</w:instrText>
      </w:r>
      <w:r w:rsidR="007C1118">
        <w:rPr>
          <w:i/>
          <w:iCs/>
          <w:lang w:val="en-US"/>
        </w:rPr>
        <w:instrText>title</w:instrText>
      </w:r>
      <w:r w:rsidR="007C1118" w:rsidRPr="007C1118">
        <w:rPr>
          <w:i/>
          <w:iCs/>
        </w:rPr>
        <w:instrText>":"</w:instrText>
      </w:r>
      <w:r w:rsidR="007C1118">
        <w:rPr>
          <w:i/>
          <w:iCs/>
          <w:lang w:val="en-US"/>
        </w:rPr>
        <w:instrText>British</w:instrText>
      </w:r>
      <w:r w:rsidR="007C1118" w:rsidRPr="007C1118">
        <w:rPr>
          <w:i/>
          <w:iCs/>
        </w:rPr>
        <w:instrText xml:space="preserve"> </w:instrText>
      </w:r>
      <w:r w:rsidR="007C1118">
        <w:rPr>
          <w:i/>
          <w:iCs/>
          <w:lang w:val="en-US"/>
        </w:rPr>
        <w:instrText>Journal</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Dermatology</w:instrText>
      </w:r>
      <w:r w:rsidR="007C1118" w:rsidRPr="007C1118">
        <w:rPr>
          <w:i/>
          <w:iCs/>
        </w:rPr>
        <w:instrText>","</w:instrText>
      </w:r>
      <w:r w:rsidR="007C1118">
        <w:rPr>
          <w:i/>
          <w:iCs/>
          <w:lang w:val="en-US"/>
        </w:rPr>
        <w:instrText>id</w:instrText>
      </w:r>
      <w:r w:rsidR="007C1118" w:rsidRPr="007C1118">
        <w:rPr>
          <w:i/>
          <w:iCs/>
        </w:rPr>
        <w:instrText>":"</w:instrText>
      </w:r>
      <w:r w:rsidR="007C1118">
        <w:rPr>
          <w:i/>
          <w:iCs/>
          <w:lang w:val="en-US"/>
        </w:rPr>
        <w:instrText>ITEM</w:instrText>
      </w:r>
      <w:r w:rsidR="007C1118" w:rsidRPr="007C1118">
        <w:rPr>
          <w:i/>
          <w:iCs/>
        </w:rPr>
        <w:instrText>-1","</w:instrText>
      </w:r>
      <w:r w:rsidR="007C1118">
        <w:rPr>
          <w:i/>
          <w:iCs/>
          <w:lang w:val="en-US"/>
        </w:rPr>
        <w:instrText>issue</w:instrText>
      </w:r>
      <w:r w:rsidR="007C1118" w:rsidRPr="007C1118">
        <w:rPr>
          <w:i/>
          <w:iCs/>
        </w:rPr>
        <w:instrText>":"1","</w:instrText>
      </w:r>
      <w:r w:rsidR="007C1118">
        <w:rPr>
          <w:i/>
          <w:iCs/>
          <w:lang w:val="en-US"/>
        </w:rPr>
        <w:instrText>issued</w:instrText>
      </w:r>
      <w:r w:rsidR="007C1118" w:rsidRPr="007C1118">
        <w:rPr>
          <w:i/>
          <w:iCs/>
        </w:rPr>
        <w:instrText>":{"</w:instrText>
      </w:r>
      <w:r w:rsidR="007C1118">
        <w:rPr>
          <w:i/>
          <w:iCs/>
          <w:lang w:val="en-US"/>
        </w:rPr>
        <w:instrText>date</w:instrText>
      </w:r>
      <w:r w:rsidR="007C1118" w:rsidRPr="007C1118">
        <w:rPr>
          <w:i/>
          <w:iCs/>
        </w:rPr>
        <w:instrText>-</w:instrText>
      </w:r>
      <w:r w:rsidR="007C1118">
        <w:rPr>
          <w:i/>
          <w:iCs/>
          <w:lang w:val="en-US"/>
        </w:rPr>
        <w:instrText>parts</w:instrText>
      </w:r>
      <w:r w:rsidR="007C1118" w:rsidRPr="007C1118">
        <w:rPr>
          <w:i/>
          <w:iCs/>
        </w:rPr>
        <w:instrText>":[["2015","7","1"]]},"</w:instrText>
      </w:r>
      <w:r w:rsidR="007C1118">
        <w:rPr>
          <w:i/>
          <w:iCs/>
          <w:lang w:val="en-US"/>
        </w:rPr>
        <w:instrText>page</w:instrText>
      </w:r>
      <w:r w:rsidR="007C1118" w:rsidRPr="007C1118">
        <w:rPr>
          <w:i/>
          <w:iCs/>
        </w:rPr>
        <w:instrText>":"93-105","</w:instrText>
      </w:r>
      <w:r w:rsidR="007C1118">
        <w:rPr>
          <w:i/>
          <w:iCs/>
          <w:lang w:val="en-US"/>
        </w:rPr>
        <w:instrText>publisher</w:instrText>
      </w:r>
      <w:r w:rsidR="007C1118" w:rsidRPr="007C1118">
        <w:rPr>
          <w:i/>
          <w:iCs/>
        </w:rPr>
        <w:instrText>":"</w:instrText>
      </w:r>
      <w:r w:rsidR="007C1118">
        <w:rPr>
          <w:i/>
          <w:iCs/>
          <w:lang w:val="en-US"/>
        </w:rPr>
        <w:instrText>Blackwell</w:instrText>
      </w:r>
      <w:r w:rsidR="007C1118" w:rsidRPr="007C1118">
        <w:rPr>
          <w:i/>
          <w:iCs/>
        </w:rPr>
        <w:instrText xml:space="preserve"> </w:instrText>
      </w:r>
      <w:r w:rsidR="007C1118">
        <w:rPr>
          <w:i/>
          <w:iCs/>
          <w:lang w:val="en-US"/>
        </w:rPr>
        <w:instrText>Publishing</w:instrText>
      </w:r>
      <w:r w:rsidR="007C1118" w:rsidRPr="007C1118">
        <w:rPr>
          <w:i/>
          <w:iCs/>
        </w:rPr>
        <w:instrText xml:space="preserve"> </w:instrText>
      </w:r>
      <w:r w:rsidR="007C1118">
        <w:rPr>
          <w:i/>
          <w:iCs/>
          <w:lang w:val="en-US"/>
        </w:rPr>
        <w:instrText>Ltd</w:instrText>
      </w:r>
      <w:r w:rsidR="007C1118" w:rsidRPr="007C1118">
        <w:rPr>
          <w:i/>
          <w:iCs/>
        </w:rPr>
        <w:instrText>","</w:instrText>
      </w:r>
      <w:r w:rsidR="007C1118">
        <w:rPr>
          <w:i/>
          <w:iCs/>
          <w:lang w:val="en-US"/>
        </w:rPr>
        <w:instrText>title</w:instrText>
      </w:r>
      <w:r w:rsidR="007C1118" w:rsidRPr="007C1118">
        <w:rPr>
          <w:i/>
          <w:iCs/>
        </w:rPr>
        <w:instrText>":"</w:instrText>
      </w:r>
      <w:r w:rsidR="007C1118">
        <w:rPr>
          <w:i/>
          <w:iCs/>
          <w:lang w:val="en-US"/>
        </w:rPr>
        <w:instrText>Histopathological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immunophenotypical</w:instrText>
      </w:r>
      <w:r w:rsidR="007C1118" w:rsidRPr="007C1118">
        <w:rPr>
          <w:i/>
          <w:iCs/>
        </w:rPr>
        <w:instrText xml:space="preserve"> </w:instrText>
      </w:r>
      <w:r w:rsidR="007C1118">
        <w:rPr>
          <w:i/>
          <w:iCs/>
          <w:lang w:val="en-US"/>
        </w:rPr>
        <w:instrText>criteria</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diagnosis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w:instrText>
      </w:r>
      <w:r w:rsidR="007C1118" w:rsidRPr="007C1118">
        <w:rPr>
          <w:i/>
          <w:iCs/>
        </w:rPr>
        <w:instrText>é</w:instrText>
      </w:r>
      <w:r w:rsidR="007C1118">
        <w:rPr>
          <w:i/>
          <w:iCs/>
          <w:lang w:val="en-US"/>
        </w:rPr>
        <w:instrText>zary</w:instrText>
      </w:r>
      <w:r w:rsidR="007C1118" w:rsidRPr="007C1118">
        <w:rPr>
          <w:i/>
          <w:iCs/>
        </w:rPr>
        <w:instrText xml:space="preserve"> </w:instrText>
      </w:r>
      <w:r w:rsidR="007C1118">
        <w:rPr>
          <w:i/>
          <w:iCs/>
          <w:lang w:val="en-US"/>
        </w:rPr>
        <w:instrText>syndrome</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differentiation</w:instrText>
      </w:r>
      <w:r w:rsidR="007C1118" w:rsidRPr="007C1118">
        <w:rPr>
          <w:i/>
          <w:iCs/>
        </w:rPr>
        <w:instrText xml:space="preserve"> </w:instrText>
      </w:r>
      <w:r w:rsidR="007C1118">
        <w:rPr>
          <w:i/>
          <w:iCs/>
          <w:lang w:val="en-US"/>
        </w:rPr>
        <w:instrText>from</w:instrText>
      </w:r>
      <w:r w:rsidR="007C1118" w:rsidRPr="007C1118">
        <w:rPr>
          <w:i/>
          <w:iCs/>
        </w:rPr>
        <w:instrText xml:space="preserve"> </w:instrText>
      </w:r>
      <w:r w:rsidR="007C1118">
        <w:rPr>
          <w:i/>
          <w:iCs/>
          <w:lang w:val="en-US"/>
        </w:rPr>
        <w:instrText>other</w:instrText>
      </w:r>
      <w:r w:rsidR="007C1118" w:rsidRPr="007C1118">
        <w:rPr>
          <w:i/>
          <w:iCs/>
        </w:rPr>
        <w:instrText xml:space="preserve"> </w:instrText>
      </w:r>
      <w:r w:rsidR="007C1118">
        <w:rPr>
          <w:i/>
          <w:iCs/>
          <w:lang w:val="en-US"/>
        </w:rPr>
        <w:instrText>erythrodermic</w:instrText>
      </w:r>
      <w:r w:rsidR="007C1118" w:rsidRPr="007C1118">
        <w:rPr>
          <w:i/>
          <w:iCs/>
        </w:rPr>
        <w:instrText xml:space="preserve"> </w:instrText>
      </w:r>
      <w:r w:rsidR="007C1118">
        <w:rPr>
          <w:i/>
          <w:iCs/>
          <w:lang w:val="en-US"/>
        </w:rPr>
        <w:instrText>skin</w:instrText>
      </w:r>
      <w:r w:rsidR="007C1118" w:rsidRPr="007C1118">
        <w:rPr>
          <w:i/>
          <w:iCs/>
        </w:rPr>
        <w:instrText xml:space="preserve"> </w:instrText>
      </w:r>
      <w:r w:rsidR="007C1118">
        <w:rPr>
          <w:i/>
          <w:iCs/>
          <w:lang w:val="en-US"/>
        </w:rPr>
        <w:instrText>diseases</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European</w:instrText>
      </w:r>
      <w:r w:rsidR="007C1118" w:rsidRPr="007C1118">
        <w:rPr>
          <w:i/>
          <w:iCs/>
        </w:rPr>
        <w:instrText xml:space="preserve"> </w:instrText>
      </w:r>
      <w:r w:rsidR="007C1118">
        <w:rPr>
          <w:i/>
          <w:iCs/>
          <w:lang w:val="en-US"/>
        </w:rPr>
        <w:instrText>Organisation</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Research</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Treatment</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Cancer</w:instrText>
      </w:r>
      <w:r w:rsidR="007C1118" w:rsidRPr="007C1118">
        <w:rPr>
          <w:i/>
          <w:iCs/>
        </w:rPr>
        <w:instrText xml:space="preserve"> (</w:instrText>
      </w:r>
      <w:r w:rsidR="007C1118">
        <w:rPr>
          <w:i/>
          <w:iCs/>
          <w:lang w:val="en-US"/>
        </w:rPr>
        <w:instrText>EORTC</w:instrText>
      </w:r>
      <w:r w:rsidR="007C1118" w:rsidRPr="007C1118">
        <w:rPr>
          <w:i/>
          <w:iCs/>
        </w:rPr>
        <w:instrText xml:space="preserve">) </w:instrText>
      </w:r>
      <w:r w:rsidR="007C1118">
        <w:rPr>
          <w:i/>
          <w:iCs/>
          <w:lang w:val="en-US"/>
        </w:rPr>
        <w:instrText>Cutaneous</w:instrText>
      </w:r>
      <w:r w:rsidR="007C1118" w:rsidRPr="007C1118">
        <w:rPr>
          <w:i/>
          <w:iCs/>
        </w:rPr>
        <w:instrText xml:space="preserve"> </w:instrText>
      </w:r>
      <w:r w:rsidR="007C1118">
        <w:rPr>
          <w:i/>
          <w:iCs/>
          <w:lang w:val="en-US"/>
        </w:rPr>
        <w:instrText>Lymphoma</w:instrText>
      </w:r>
      <w:r w:rsidR="007C1118" w:rsidRPr="007C1118">
        <w:rPr>
          <w:i/>
          <w:iCs/>
        </w:rPr>
        <w:instrText xml:space="preserve"> </w:instrText>
      </w:r>
      <w:r w:rsidR="007C1118">
        <w:rPr>
          <w:i/>
          <w:iCs/>
          <w:lang w:val="en-US"/>
        </w:rPr>
        <w:instrText>Task</w:instrText>
      </w:r>
      <w:r w:rsidR="007C1118" w:rsidRPr="007C1118">
        <w:rPr>
          <w:i/>
          <w:iCs/>
        </w:rPr>
        <w:instrText xml:space="preserve"> </w:instrText>
      </w:r>
      <w:r w:rsidR="007C1118">
        <w:rPr>
          <w:i/>
          <w:iCs/>
          <w:lang w:val="en-US"/>
        </w:rPr>
        <w:instrText>Force</w:instrText>
      </w:r>
      <w:r w:rsidR="007C1118" w:rsidRPr="007C1118">
        <w:rPr>
          <w:i/>
          <w:iCs/>
        </w:rPr>
        <w:instrText xml:space="preserve"> </w:instrText>
      </w:r>
      <w:r w:rsidR="007C1118">
        <w:rPr>
          <w:i/>
          <w:iCs/>
          <w:lang w:val="en-US"/>
        </w:rPr>
        <w:instrText>Study</w:instrText>
      </w:r>
      <w:r w:rsidR="007C1118" w:rsidRPr="007C1118">
        <w:rPr>
          <w:i/>
          <w:iCs/>
        </w:rPr>
        <w:instrText xml:space="preserve"> </w:instrText>
      </w:r>
      <w:r w:rsidR="007C1118">
        <w:rPr>
          <w:i/>
          <w:iCs/>
          <w:lang w:val="en-US"/>
        </w:rPr>
        <w:instrText>of</w:instrText>
      </w:r>
      <w:r w:rsidR="007C1118" w:rsidRPr="007C1118">
        <w:rPr>
          <w:i/>
          <w:iCs/>
        </w:rPr>
        <w:instrText xml:space="preserve"> 97 </w:instrText>
      </w:r>
      <w:r w:rsidR="007C1118">
        <w:rPr>
          <w:i/>
          <w:iCs/>
          <w:lang w:val="en-US"/>
        </w:rPr>
        <w:instrText>cases</w:instrText>
      </w:r>
      <w:r w:rsidR="007C1118" w:rsidRPr="007C1118">
        <w:rPr>
          <w:i/>
          <w:iCs/>
        </w:rPr>
        <w:instrText>","</w:instrText>
      </w:r>
      <w:r w:rsidR="007C1118">
        <w:rPr>
          <w:i/>
          <w:iCs/>
          <w:lang w:val="en-US"/>
        </w:rPr>
        <w:instrText>type</w:instrText>
      </w:r>
      <w:r w:rsidR="007C1118" w:rsidRPr="007C1118">
        <w:rPr>
          <w:i/>
          <w:iCs/>
        </w:rPr>
        <w:instrText>":"</w:instrText>
      </w:r>
      <w:r w:rsidR="007C1118">
        <w:rPr>
          <w:i/>
          <w:iCs/>
          <w:lang w:val="en-US"/>
        </w:rPr>
        <w:instrText>article</w:instrText>
      </w:r>
      <w:r w:rsidR="007C1118" w:rsidRPr="007C1118">
        <w:rPr>
          <w:i/>
          <w:iCs/>
        </w:rPr>
        <w:instrText>-</w:instrText>
      </w:r>
      <w:r w:rsidR="007C1118">
        <w:rPr>
          <w:i/>
          <w:iCs/>
          <w:lang w:val="en-US"/>
        </w:rPr>
        <w:instrText>journal</w:instrText>
      </w:r>
      <w:r w:rsidR="007C1118" w:rsidRPr="007C1118">
        <w:rPr>
          <w:i/>
          <w:iCs/>
        </w:rPr>
        <w:instrText>","</w:instrText>
      </w:r>
      <w:r w:rsidR="007C1118">
        <w:rPr>
          <w:i/>
          <w:iCs/>
          <w:lang w:val="en-US"/>
        </w:rPr>
        <w:instrText>volume</w:instrText>
      </w:r>
      <w:r w:rsidR="007C1118" w:rsidRPr="007C1118">
        <w:rPr>
          <w:i/>
          <w:iCs/>
        </w:rPr>
        <w:instrText>":"173"},"</w:instrText>
      </w:r>
      <w:r w:rsidR="007C1118">
        <w:rPr>
          <w:i/>
          <w:iCs/>
          <w:lang w:val="en-US"/>
        </w:rPr>
        <w:instrText>uris</w:instrText>
      </w:r>
      <w:r w:rsidR="007C1118" w:rsidRPr="007C1118">
        <w:rPr>
          <w:i/>
          <w:iCs/>
        </w:rPr>
        <w:instrText>":["</w:instrText>
      </w:r>
      <w:r w:rsidR="007C1118">
        <w:rPr>
          <w:i/>
          <w:iCs/>
          <w:lang w:val="en-US"/>
        </w:rPr>
        <w:instrText>http</w:instrText>
      </w:r>
      <w:r w:rsidR="007C1118" w:rsidRPr="007C1118">
        <w:rPr>
          <w:i/>
          <w:iCs/>
        </w:rPr>
        <w:instrText>://</w:instrText>
      </w:r>
      <w:r w:rsidR="007C1118">
        <w:rPr>
          <w:i/>
          <w:iCs/>
          <w:lang w:val="en-US"/>
        </w:rPr>
        <w:instrText>www</w:instrText>
      </w:r>
      <w:r w:rsidR="007C1118" w:rsidRPr="007C1118">
        <w:rPr>
          <w:i/>
          <w:iCs/>
        </w:rPr>
        <w:instrText>.</w:instrText>
      </w:r>
      <w:r w:rsidR="007C1118">
        <w:rPr>
          <w:i/>
          <w:iCs/>
          <w:lang w:val="en-US"/>
        </w:rPr>
        <w:instrText>mendeley</w:instrText>
      </w:r>
      <w:r w:rsidR="007C1118" w:rsidRPr="007C1118">
        <w:rPr>
          <w:i/>
          <w:iCs/>
        </w:rPr>
        <w:instrText>.</w:instrText>
      </w:r>
      <w:r w:rsidR="007C1118">
        <w:rPr>
          <w:i/>
          <w:iCs/>
          <w:lang w:val="en-US"/>
        </w:rPr>
        <w:instrText>com</w:instrText>
      </w:r>
      <w:r w:rsidR="007C1118" w:rsidRPr="007C1118">
        <w:rPr>
          <w:i/>
          <w:iCs/>
        </w:rPr>
        <w:instrText>/</w:instrText>
      </w:r>
      <w:r w:rsidR="007C1118">
        <w:rPr>
          <w:i/>
          <w:iCs/>
          <w:lang w:val="en-US"/>
        </w:rPr>
        <w:instrText>documents</w:instrText>
      </w:r>
      <w:r w:rsidR="007C1118" w:rsidRPr="007C1118">
        <w:rPr>
          <w:i/>
          <w:iCs/>
        </w:rPr>
        <w:instrText>/?</w:instrText>
      </w:r>
      <w:r w:rsidR="007C1118">
        <w:rPr>
          <w:i/>
          <w:iCs/>
          <w:lang w:val="en-US"/>
        </w:rPr>
        <w:instrText>uuid</w:instrText>
      </w:r>
      <w:r w:rsidR="007C1118" w:rsidRPr="007C1118">
        <w:rPr>
          <w:i/>
          <w:iCs/>
        </w:rPr>
        <w:instrText>=</w:instrText>
      </w:r>
      <w:r w:rsidR="007C1118">
        <w:rPr>
          <w:i/>
          <w:iCs/>
          <w:lang w:val="en-US"/>
        </w:rPr>
        <w:instrText>ba</w:instrText>
      </w:r>
      <w:r w:rsidR="007C1118" w:rsidRPr="007C1118">
        <w:rPr>
          <w:i/>
          <w:iCs/>
        </w:rPr>
        <w:instrText>0</w:instrText>
      </w:r>
      <w:r w:rsidR="007C1118">
        <w:rPr>
          <w:i/>
          <w:iCs/>
          <w:lang w:val="en-US"/>
        </w:rPr>
        <w:instrText>a</w:instrText>
      </w:r>
      <w:r w:rsidR="007C1118" w:rsidRPr="007C1118">
        <w:rPr>
          <w:i/>
          <w:iCs/>
        </w:rPr>
        <w:instrText>088</w:instrText>
      </w:r>
      <w:r w:rsidR="007C1118">
        <w:rPr>
          <w:i/>
          <w:iCs/>
          <w:lang w:val="en-US"/>
        </w:rPr>
        <w:instrText>f</w:instrText>
      </w:r>
      <w:r w:rsidR="007C1118" w:rsidRPr="007C1118">
        <w:rPr>
          <w:i/>
          <w:iCs/>
        </w:rPr>
        <w:instrText>-</w:instrText>
      </w:r>
      <w:r w:rsidR="007C1118">
        <w:rPr>
          <w:i/>
          <w:iCs/>
          <w:lang w:val="en-US"/>
        </w:rPr>
        <w:instrText>ff</w:instrText>
      </w:r>
      <w:r w:rsidR="007C1118" w:rsidRPr="007C1118">
        <w:rPr>
          <w:i/>
          <w:iCs/>
        </w:rPr>
        <w:instrText>2</w:instrText>
      </w:r>
      <w:r w:rsidR="007C1118">
        <w:rPr>
          <w:i/>
          <w:iCs/>
          <w:lang w:val="en-US"/>
        </w:rPr>
        <w:instrText>b</w:instrText>
      </w:r>
      <w:r w:rsidR="007C1118" w:rsidRPr="007C1118">
        <w:rPr>
          <w:i/>
          <w:iCs/>
        </w:rPr>
        <w:instrText>-3</w:instrText>
      </w:r>
      <w:r w:rsidR="007C1118">
        <w:rPr>
          <w:i/>
          <w:iCs/>
          <w:lang w:val="en-US"/>
        </w:rPr>
        <w:instrText>b</w:instrText>
      </w:r>
      <w:r w:rsidR="007C1118" w:rsidRPr="007C1118">
        <w:rPr>
          <w:i/>
          <w:iCs/>
        </w:rPr>
        <w:instrText>30-</w:instrText>
      </w:r>
      <w:r w:rsidR="007C1118">
        <w:rPr>
          <w:i/>
          <w:iCs/>
          <w:lang w:val="en-US"/>
        </w:rPr>
        <w:instrText>adc</w:instrText>
      </w:r>
      <w:r w:rsidR="007C1118" w:rsidRPr="007C1118">
        <w:rPr>
          <w:i/>
          <w:iCs/>
        </w:rPr>
        <w:instrText>5-0</w:instrText>
      </w:r>
      <w:r w:rsidR="007C1118">
        <w:rPr>
          <w:i/>
          <w:iCs/>
          <w:lang w:val="en-US"/>
        </w:rPr>
        <w:instrText>b</w:instrText>
      </w:r>
      <w:r w:rsidR="007C1118" w:rsidRPr="007C1118">
        <w:rPr>
          <w:i/>
          <w:iCs/>
        </w:rPr>
        <w:instrText>17</w:instrText>
      </w:r>
      <w:r w:rsidR="007C1118">
        <w:rPr>
          <w:i/>
          <w:iCs/>
          <w:lang w:val="en-US"/>
        </w:rPr>
        <w:instrText>cfbc</w:instrText>
      </w:r>
      <w:r w:rsidR="007C1118" w:rsidRPr="007C1118">
        <w:rPr>
          <w:i/>
          <w:iCs/>
        </w:rPr>
        <w:instrText>73</w:instrText>
      </w:r>
      <w:r w:rsidR="007C1118">
        <w:rPr>
          <w:i/>
          <w:iCs/>
          <w:lang w:val="en-US"/>
        </w:rPr>
        <w:instrText>e</w:instrText>
      </w:r>
      <w:r w:rsidR="007C1118" w:rsidRPr="007C1118">
        <w:rPr>
          <w:i/>
          <w:iCs/>
        </w:rPr>
        <w:instrText>8"]}],"</w:instrText>
      </w:r>
      <w:r w:rsidR="007C1118">
        <w:rPr>
          <w:i/>
          <w:iCs/>
          <w:lang w:val="en-US"/>
        </w:rPr>
        <w:instrText>mendeley</w:instrText>
      </w:r>
      <w:r w:rsidR="007C1118" w:rsidRPr="007C1118">
        <w:rPr>
          <w:i/>
          <w:iCs/>
        </w:rPr>
        <w:instrText>":{"</w:instrText>
      </w:r>
      <w:r w:rsidR="007C1118">
        <w:rPr>
          <w:i/>
          <w:iCs/>
          <w:lang w:val="en-US"/>
        </w:rPr>
        <w:instrText>formattedCitation</w:instrText>
      </w:r>
      <w:r w:rsidR="007C1118" w:rsidRPr="007C1118">
        <w:rPr>
          <w:i/>
          <w:iCs/>
        </w:rPr>
        <w:instrText>":"[17]","</w:instrText>
      </w:r>
      <w:r w:rsidR="007C1118">
        <w:rPr>
          <w:i/>
          <w:iCs/>
          <w:lang w:val="en-US"/>
        </w:rPr>
        <w:instrText>plainTextFormattedCitation</w:instrText>
      </w:r>
      <w:r w:rsidR="007C1118" w:rsidRPr="007C1118">
        <w:rPr>
          <w:i/>
          <w:iCs/>
        </w:rPr>
        <w:instrText>":"[17]","</w:instrText>
      </w:r>
      <w:r w:rsidR="007C1118">
        <w:rPr>
          <w:i/>
          <w:iCs/>
          <w:lang w:val="en-US"/>
        </w:rPr>
        <w:instrText>previouslyFormattedCitation</w:instrText>
      </w:r>
      <w:r w:rsidR="007C1118" w:rsidRPr="007C1118">
        <w:rPr>
          <w:i/>
          <w:iCs/>
        </w:rPr>
        <w:instrText>":"[17]"},"</w:instrText>
      </w:r>
      <w:r w:rsidR="007C1118">
        <w:rPr>
          <w:i/>
          <w:iCs/>
          <w:lang w:val="en-US"/>
        </w:rPr>
        <w:instrText>properties</w:instrText>
      </w:r>
      <w:r w:rsidR="007C1118" w:rsidRPr="007C1118">
        <w:rPr>
          <w:i/>
          <w:iCs/>
        </w:rPr>
        <w:instrText>":{"</w:instrText>
      </w:r>
      <w:r w:rsidR="007C1118">
        <w:rPr>
          <w:i/>
          <w:iCs/>
          <w:lang w:val="en-US"/>
        </w:rPr>
        <w:instrText>noteIndex</w:instrText>
      </w:r>
      <w:r w:rsidR="007C1118" w:rsidRPr="007C1118">
        <w:rPr>
          <w:i/>
          <w:iCs/>
        </w:rPr>
        <w:instrText>":0},"</w:instrText>
      </w:r>
      <w:r w:rsidR="007C1118">
        <w:rPr>
          <w:i/>
          <w:iCs/>
          <w:lang w:val="en-US"/>
        </w:rPr>
        <w:instrText>schema</w:instrText>
      </w:r>
      <w:r w:rsidR="007C1118" w:rsidRPr="007C1118">
        <w:rPr>
          <w:i/>
          <w:iCs/>
        </w:rPr>
        <w:instrText>":"</w:instrText>
      </w:r>
      <w:r w:rsidR="007C1118">
        <w:rPr>
          <w:i/>
          <w:iCs/>
          <w:lang w:val="en-US"/>
        </w:rPr>
        <w:instrText>https</w:instrText>
      </w:r>
      <w:r w:rsidR="007C1118" w:rsidRPr="007C1118">
        <w:rPr>
          <w:i/>
          <w:iCs/>
        </w:rPr>
        <w:instrText>://</w:instrText>
      </w:r>
      <w:r w:rsidR="007C1118">
        <w:rPr>
          <w:i/>
          <w:iCs/>
          <w:lang w:val="en-US"/>
        </w:rPr>
        <w:instrText>github</w:instrText>
      </w:r>
      <w:r w:rsidR="007C1118" w:rsidRPr="007C1118">
        <w:rPr>
          <w:i/>
          <w:iCs/>
        </w:rPr>
        <w:instrText>.</w:instrText>
      </w:r>
      <w:r w:rsidR="007C1118">
        <w:rPr>
          <w:i/>
          <w:iCs/>
          <w:lang w:val="en-US"/>
        </w:rPr>
        <w:instrText>com</w:instrText>
      </w:r>
      <w:r w:rsidR="007C1118" w:rsidRPr="007C1118">
        <w:rPr>
          <w:i/>
          <w:iCs/>
        </w:rPr>
        <w:instrText>/</w:instrText>
      </w:r>
      <w:r w:rsidR="007C1118">
        <w:rPr>
          <w:i/>
          <w:iCs/>
          <w:lang w:val="en-US"/>
        </w:rPr>
        <w:instrText>citation</w:instrText>
      </w:r>
      <w:r w:rsidR="007C1118" w:rsidRPr="007C1118">
        <w:rPr>
          <w:i/>
          <w:iCs/>
        </w:rPr>
        <w:instrText>-</w:instrText>
      </w:r>
      <w:r w:rsidR="007C1118">
        <w:rPr>
          <w:i/>
          <w:iCs/>
          <w:lang w:val="en-US"/>
        </w:rPr>
        <w:instrText>style</w:instrText>
      </w:r>
      <w:r w:rsidR="007C1118" w:rsidRPr="007C1118">
        <w:rPr>
          <w:i/>
          <w:iCs/>
        </w:rPr>
        <w:instrText>-</w:instrText>
      </w:r>
      <w:r w:rsidR="007C1118">
        <w:rPr>
          <w:i/>
          <w:iCs/>
          <w:lang w:val="en-US"/>
        </w:rPr>
        <w:instrText>language</w:instrText>
      </w:r>
      <w:r w:rsidR="007C1118" w:rsidRPr="007C1118">
        <w:rPr>
          <w:i/>
          <w:iCs/>
        </w:rPr>
        <w:instrText>/</w:instrText>
      </w:r>
      <w:r w:rsidR="007C1118">
        <w:rPr>
          <w:i/>
          <w:iCs/>
          <w:lang w:val="en-US"/>
        </w:rPr>
        <w:instrText>schema</w:instrText>
      </w:r>
      <w:r w:rsidR="007C1118" w:rsidRPr="007C1118">
        <w:rPr>
          <w:i/>
          <w:iCs/>
        </w:rPr>
        <w:instrText>/</w:instrText>
      </w:r>
      <w:r w:rsidR="007C1118">
        <w:rPr>
          <w:i/>
          <w:iCs/>
          <w:lang w:val="en-US"/>
        </w:rPr>
        <w:instrText>raw</w:instrText>
      </w:r>
      <w:r w:rsidR="007C1118" w:rsidRPr="007C1118">
        <w:rPr>
          <w:i/>
          <w:iCs/>
        </w:rPr>
        <w:instrText>/</w:instrText>
      </w:r>
      <w:r w:rsidR="007C1118">
        <w:rPr>
          <w:i/>
          <w:iCs/>
          <w:lang w:val="en-US"/>
        </w:rPr>
        <w:instrText>master</w:instrText>
      </w:r>
      <w:r w:rsidR="007C1118" w:rsidRPr="007C1118">
        <w:rPr>
          <w:i/>
          <w:iCs/>
        </w:rPr>
        <w:instrText>/</w:instrText>
      </w:r>
      <w:r w:rsidR="007C1118">
        <w:rPr>
          <w:i/>
          <w:iCs/>
          <w:lang w:val="en-US"/>
        </w:rPr>
        <w:instrText>csl</w:instrText>
      </w:r>
      <w:r w:rsidR="007C1118" w:rsidRPr="007C1118">
        <w:rPr>
          <w:i/>
          <w:iCs/>
        </w:rPr>
        <w:instrText>-</w:instrText>
      </w:r>
      <w:r w:rsidR="007C1118">
        <w:rPr>
          <w:i/>
          <w:iCs/>
          <w:lang w:val="en-US"/>
        </w:rPr>
        <w:instrText>citation</w:instrText>
      </w:r>
      <w:r w:rsidR="007C1118" w:rsidRPr="007C1118">
        <w:rPr>
          <w:i/>
          <w:iCs/>
        </w:rPr>
        <w:instrText>.</w:instrText>
      </w:r>
      <w:r w:rsidR="007C1118">
        <w:rPr>
          <w:i/>
          <w:iCs/>
          <w:lang w:val="en-US"/>
        </w:rPr>
        <w:instrText>json</w:instrText>
      </w:r>
      <w:r w:rsidR="007C1118" w:rsidRPr="007C1118">
        <w:rPr>
          <w:i/>
          <w:iCs/>
        </w:rPr>
        <w:instrText>"}</w:instrText>
      </w:r>
      <w:r w:rsidR="00B62492">
        <w:rPr>
          <w:i/>
          <w:iCs/>
          <w:lang w:val="en-US"/>
        </w:rPr>
        <w:fldChar w:fldCharType="separate"/>
      </w:r>
      <w:r w:rsidR="00B62492" w:rsidRPr="00CD3A33">
        <w:rPr>
          <w:iCs/>
          <w:noProof/>
        </w:rPr>
        <w:t>[17]</w:t>
      </w:r>
      <w:r w:rsidR="00B62492">
        <w:rPr>
          <w:i/>
          <w:iCs/>
          <w:lang w:val="en-US"/>
        </w:rPr>
        <w:fldChar w:fldCharType="end"/>
      </w:r>
      <w:r w:rsidRPr="00C32FC4">
        <w:rPr>
          <w:i/>
          <w:iCs/>
        </w:rPr>
        <w:t>. Малое количество (менее 10%) CD8-положительных Т-лимфоцитов в составе кожного инфильтрата в биоптате кожи также указывает на диагноз синдрома Сезари</w:t>
      </w:r>
      <w:r w:rsidR="00CD3A33" w:rsidRPr="00CD3A33">
        <w:rPr>
          <w:i/>
          <w:iCs/>
        </w:rPr>
        <w:t xml:space="preserve"> </w:t>
      </w:r>
      <w:r w:rsidR="00CD3A33">
        <w:rPr>
          <w:i/>
          <w:iCs/>
          <w:lang w:val="en-US"/>
        </w:rPr>
        <w:fldChar w:fldCharType="begin" w:fldLock="1"/>
      </w:r>
      <w:r w:rsidR="007C1118">
        <w:rPr>
          <w:i/>
          <w:iCs/>
          <w:lang w:val="en-US"/>
        </w:rPr>
        <w:instrText>ADDIN</w:instrText>
      </w:r>
      <w:r w:rsidR="007C1118" w:rsidRPr="007C1118">
        <w:rPr>
          <w:i/>
          <w:iCs/>
        </w:rPr>
        <w:instrText xml:space="preserve"> </w:instrText>
      </w:r>
      <w:r w:rsidR="007C1118">
        <w:rPr>
          <w:i/>
          <w:iCs/>
          <w:lang w:val="en-US"/>
        </w:rPr>
        <w:instrText>CSL</w:instrText>
      </w:r>
      <w:r w:rsidR="007C1118" w:rsidRPr="007C1118">
        <w:rPr>
          <w:i/>
          <w:iCs/>
        </w:rPr>
        <w:instrText>_</w:instrText>
      </w:r>
      <w:r w:rsidR="007C1118">
        <w:rPr>
          <w:i/>
          <w:iCs/>
          <w:lang w:val="en-US"/>
        </w:rPr>
        <w:instrText>CITATION</w:instrText>
      </w:r>
      <w:r w:rsidR="007C1118" w:rsidRPr="007C1118">
        <w:rPr>
          <w:i/>
          <w:iCs/>
        </w:rPr>
        <w:instrText xml:space="preserve"> {"</w:instrText>
      </w:r>
      <w:r w:rsidR="007C1118">
        <w:rPr>
          <w:i/>
          <w:iCs/>
          <w:lang w:val="en-US"/>
        </w:rPr>
        <w:instrText>citationItems</w:instrText>
      </w:r>
      <w:r w:rsidR="007C1118" w:rsidRPr="007C1118">
        <w:rPr>
          <w:i/>
          <w:iCs/>
        </w:rPr>
        <w:instrText>":[{"</w:instrText>
      </w:r>
      <w:r w:rsidR="007C1118">
        <w:rPr>
          <w:i/>
          <w:iCs/>
          <w:lang w:val="en-US"/>
        </w:rPr>
        <w:instrText>id</w:instrText>
      </w:r>
      <w:r w:rsidR="007C1118" w:rsidRPr="007C1118">
        <w:rPr>
          <w:i/>
          <w:iCs/>
        </w:rPr>
        <w:instrText>":"</w:instrText>
      </w:r>
      <w:r w:rsidR="007C1118">
        <w:rPr>
          <w:i/>
          <w:iCs/>
          <w:lang w:val="en-US"/>
        </w:rPr>
        <w:instrText>ITEM</w:instrText>
      </w:r>
      <w:r w:rsidR="007C1118" w:rsidRPr="007C1118">
        <w:rPr>
          <w:i/>
          <w:iCs/>
        </w:rPr>
        <w:instrText>-1","</w:instrText>
      </w:r>
      <w:r w:rsidR="007C1118">
        <w:rPr>
          <w:i/>
          <w:iCs/>
          <w:lang w:val="en-US"/>
        </w:rPr>
        <w:instrText>itemData</w:instrText>
      </w:r>
      <w:r w:rsidR="007C1118" w:rsidRPr="007C1118">
        <w:rPr>
          <w:i/>
          <w:iCs/>
        </w:rPr>
        <w:instrText>":{"</w:instrText>
      </w:r>
      <w:r w:rsidR="007C1118">
        <w:rPr>
          <w:i/>
          <w:iCs/>
          <w:lang w:val="en-US"/>
        </w:rPr>
        <w:instrText>DOI</w:instrText>
      </w:r>
      <w:r w:rsidR="007C1118" w:rsidRPr="007C1118">
        <w:rPr>
          <w:i/>
          <w:iCs/>
        </w:rPr>
        <w:instrText>":"10.1111/</w:instrText>
      </w:r>
      <w:r w:rsidR="007C1118">
        <w:rPr>
          <w:i/>
          <w:iCs/>
          <w:lang w:val="en-US"/>
        </w:rPr>
        <w:instrText>bjd</w:instrText>
      </w:r>
      <w:r w:rsidR="007C1118" w:rsidRPr="007C1118">
        <w:rPr>
          <w:i/>
          <w:iCs/>
        </w:rPr>
        <w:instrText>.13832","</w:instrText>
      </w:r>
      <w:r w:rsidR="007C1118">
        <w:rPr>
          <w:i/>
          <w:iCs/>
          <w:lang w:val="en-US"/>
        </w:rPr>
        <w:instrText>ISSN</w:instrText>
      </w:r>
      <w:r w:rsidR="007C1118" w:rsidRPr="007C1118">
        <w:rPr>
          <w:i/>
          <w:iCs/>
        </w:rPr>
        <w:instrText>":"13652133","</w:instrText>
      </w:r>
      <w:r w:rsidR="007C1118">
        <w:rPr>
          <w:i/>
          <w:iCs/>
          <w:lang w:val="en-US"/>
        </w:rPr>
        <w:instrText>PMID</w:instrText>
      </w:r>
      <w:r w:rsidR="007C1118" w:rsidRPr="007C1118">
        <w:rPr>
          <w:i/>
          <w:iCs/>
        </w:rPr>
        <w:instrText>":"25864856","</w:instrText>
      </w:r>
      <w:r w:rsidR="007C1118">
        <w:rPr>
          <w:i/>
          <w:iCs/>
          <w:lang w:val="en-US"/>
        </w:rPr>
        <w:instrText>abstract</w:instrText>
      </w:r>
      <w:r w:rsidR="007C1118" w:rsidRPr="007C1118">
        <w:rPr>
          <w:i/>
          <w:iCs/>
        </w:rPr>
        <w:instrText>":"</w:instrText>
      </w:r>
      <w:r w:rsidR="007C1118">
        <w:rPr>
          <w:i/>
          <w:iCs/>
          <w:lang w:val="en-US"/>
        </w:rPr>
        <w:instrText>Background</w:instrText>
      </w:r>
      <w:r w:rsidR="007C1118" w:rsidRPr="007C1118">
        <w:rPr>
          <w:i/>
          <w:iCs/>
        </w:rPr>
        <w:instrText xml:space="preserve"> </w:instrText>
      </w:r>
      <w:r w:rsidR="007C1118">
        <w:rPr>
          <w:i/>
          <w:iCs/>
          <w:lang w:val="en-US"/>
        </w:rPr>
        <w:instrText>Patients</w:instrText>
      </w:r>
      <w:r w:rsidR="007C1118" w:rsidRPr="007C1118">
        <w:rPr>
          <w:i/>
          <w:iCs/>
        </w:rPr>
        <w:instrText xml:space="preserve"> </w:instrText>
      </w:r>
      <w:r w:rsidR="007C1118">
        <w:rPr>
          <w:i/>
          <w:iCs/>
          <w:lang w:val="en-US"/>
        </w:rPr>
        <w:instrText>with</w:instrText>
      </w:r>
      <w:r w:rsidR="007C1118" w:rsidRPr="007C1118">
        <w:rPr>
          <w:i/>
          <w:iCs/>
        </w:rPr>
        <w:instrText xml:space="preserve"> </w:instrText>
      </w:r>
      <w:r w:rsidR="007C1118">
        <w:rPr>
          <w:i/>
          <w:iCs/>
          <w:lang w:val="en-US"/>
        </w:rPr>
        <w:instrText>erythrodermic</w:instrText>
      </w:r>
      <w:r w:rsidR="007C1118" w:rsidRPr="007C1118">
        <w:rPr>
          <w:i/>
          <w:iCs/>
        </w:rPr>
        <w:instrText xml:space="preserve"> </w:instrText>
      </w:r>
      <w:r w:rsidR="007C1118">
        <w:rPr>
          <w:i/>
          <w:iCs/>
          <w:lang w:val="en-US"/>
        </w:rPr>
        <w:instrText>disease</w:instrText>
      </w:r>
      <w:r w:rsidR="007C1118" w:rsidRPr="007C1118">
        <w:rPr>
          <w:i/>
          <w:iCs/>
        </w:rPr>
        <w:instrText xml:space="preserve"> </w:instrText>
      </w:r>
      <w:r w:rsidR="007C1118">
        <w:rPr>
          <w:i/>
          <w:iCs/>
          <w:lang w:val="en-US"/>
        </w:rPr>
        <w:instrText>are</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diagnostic</w:instrText>
      </w:r>
      <w:r w:rsidR="007C1118" w:rsidRPr="007C1118">
        <w:rPr>
          <w:i/>
          <w:iCs/>
        </w:rPr>
        <w:instrText xml:space="preserve"> </w:instrText>
      </w:r>
      <w:r w:rsidR="007C1118">
        <w:rPr>
          <w:i/>
          <w:iCs/>
          <w:lang w:val="en-US"/>
        </w:rPr>
        <w:instrText>challenge</w:instrText>
      </w:r>
      <w:r w:rsidR="007C1118" w:rsidRPr="007C1118">
        <w:rPr>
          <w:i/>
          <w:iCs/>
        </w:rPr>
        <w:instrText xml:space="preserve"> </w:instrText>
      </w:r>
      <w:r w:rsidR="007C1118">
        <w:rPr>
          <w:i/>
          <w:iCs/>
          <w:lang w:val="en-US"/>
        </w:rPr>
        <w:instrText>regarding</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clinical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histological</w:instrText>
      </w:r>
      <w:r w:rsidR="007C1118" w:rsidRPr="007C1118">
        <w:rPr>
          <w:i/>
          <w:iCs/>
        </w:rPr>
        <w:instrText xml:space="preserve"> </w:instrText>
      </w:r>
      <w:r w:rsidR="007C1118">
        <w:rPr>
          <w:i/>
          <w:iCs/>
          <w:lang w:val="en-US"/>
        </w:rPr>
        <w:instrText>differential</w:instrText>
      </w:r>
      <w:r w:rsidR="007C1118" w:rsidRPr="007C1118">
        <w:rPr>
          <w:i/>
          <w:iCs/>
        </w:rPr>
        <w:instrText xml:space="preserve"> </w:instrText>
      </w:r>
      <w:r w:rsidR="007C1118">
        <w:rPr>
          <w:i/>
          <w:iCs/>
          <w:lang w:val="en-US"/>
        </w:rPr>
        <w:instrText>diagnosis</w:instrText>
      </w:r>
      <w:r w:rsidR="007C1118" w:rsidRPr="007C1118">
        <w:rPr>
          <w:i/>
          <w:iCs/>
        </w:rPr>
        <w:instrText xml:space="preserve">. </w:instrText>
      </w:r>
      <w:r w:rsidR="007C1118">
        <w:rPr>
          <w:i/>
          <w:iCs/>
          <w:lang w:val="en-US"/>
        </w:rPr>
        <w:instrText>Objectives</w:instrText>
      </w:r>
      <w:r w:rsidR="007C1118" w:rsidRPr="007C1118">
        <w:rPr>
          <w:i/>
          <w:iCs/>
        </w:rPr>
        <w:instrText xml:space="preserve"> </w:instrText>
      </w:r>
      <w:r w:rsidR="007C1118">
        <w:rPr>
          <w:i/>
          <w:iCs/>
          <w:lang w:val="en-US"/>
        </w:rPr>
        <w:instrText>To</w:instrText>
      </w:r>
      <w:r w:rsidR="007C1118" w:rsidRPr="007C1118">
        <w:rPr>
          <w:i/>
          <w:iCs/>
        </w:rPr>
        <w:instrText xml:space="preserve"> </w:instrText>
      </w:r>
      <w:r w:rsidR="007C1118">
        <w:rPr>
          <w:i/>
          <w:iCs/>
          <w:lang w:val="en-US"/>
        </w:rPr>
        <w:instrText>evaluate</w:instrText>
      </w:r>
      <w:r w:rsidR="007C1118" w:rsidRPr="007C1118">
        <w:rPr>
          <w:i/>
          <w:iCs/>
        </w:rPr>
        <w:instrText xml:space="preserve"> </w:instrText>
      </w:r>
      <w:r w:rsidR="007C1118">
        <w:rPr>
          <w:i/>
          <w:iCs/>
          <w:lang w:val="en-US"/>
        </w:rPr>
        <w:instrText>histopathological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immunohistochemical</w:instrText>
      </w:r>
      <w:r w:rsidR="007C1118" w:rsidRPr="007C1118">
        <w:rPr>
          <w:i/>
          <w:iCs/>
        </w:rPr>
        <w:instrText xml:space="preserve"> </w:instrText>
      </w:r>
      <w:r w:rsidR="007C1118">
        <w:rPr>
          <w:i/>
          <w:iCs/>
          <w:lang w:val="en-US"/>
        </w:rPr>
        <w:instrText>diagnostic</w:instrText>
      </w:r>
      <w:r w:rsidR="007C1118" w:rsidRPr="007C1118">
        <w:rPr>
          <w:i/>
          <w:iCs/>
        </w:rPr>
        <w:instrText xml:space="preserve"> </w:instrText>
      </w:r>
      <w:r w:rsidR="007C1118">
        <w:rPr>
          <w:i/>
          <w:iCs/>
          <w:lang w:val="en-US"/>
        </w:rPr>
        <w:instrText>markers</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S</w:instrText>
      </w:r>
      <w:r w:rsidR="007C1118" w:rsidRPr="007C1118">
        <w:rPr>
          <w:i/>
          <w:iCs/>
        </w:rPr>
        <w:instrText>é</w:instrText>
      </w:r>
      <w:r w:rsidR="007C1118">
        <w:rPr>
          <w:i/>
          <w:iCs/>
          <w:lang w:val="en-US"/>
        </w:rPr>
        <w:instrText>zary</w:instrText>
      </w:r>
      <w:r w:rsidR="007C1118" w:rsidRPr="007C1118">
        <w:rPr>
          <w:i/>
          <w:iCs/>
        </w:rPr>
        <w:instrText xml:space="preserve"> </w:instrText>
      </w:r>
      <w:r w:rsidR="007C1118">
        <w:rPr>
          <w:i/>
          <w:iCs/>
          <w:lang w:val="en-US"/>
        </w:rPr>
        <w:instrText>syndrome</w:instrText>
      </w:r>
      <w:r w:rsidR="007C1118" w:rsidRPr="007C1118">
        <w:rPr>
          <w:i/>
          <w:iCs/>
        </w:rPr>
        <w:instrText xml:space="preserve">. </w:instrText>
      </w:r>
      <w:r w:rsidR="007C1118">
        <w:rPr>
          <w:i/>
          <w:iCs/>
          <w:lang w:val="en-US"/>
        </w:rPr>
        <w:instrText>Methods</w:instrText>
      </w:r>
      <w:r w:rsidR="007C1118" w:rsidRPr="007C1118">
        <w:rPr>
          <w:i/>
          <w:iCs/>
        </w:rPr>
        <w:instrText xml:space="preserve"> </w:instrText>
      </w:r>
      <w:r w:rsidR="007C1118">
        <w:rPr>
          <w:i/>
          <w:iCs/>
          <w:lang w:val="en-US"/>
        </w:rPr>
        <w:instrText>Ninety</w:instrText>
      </w:r>
      <w:r w:rsidR="007C1118" w:rsidRPr="007C1118">
        <w:rPr>
          <w:i/>
          <w:iCs/>
        </w:rPr>
        <w:instrText>-</w:instrText>
      </w:r>
      <w:r w:rsidR="007C1118">
        <w:rPr>
          <w:i/>
          <w:iCs/>
          <w:lang w:val="en-US"/>
        </w:rPr>
        <w:instrText>seven</w:instrText>
      </w:r>
      <w:r w:rsidR="007C1118" w:rsidRPr="007C1118">
        <w:rPr>
          <w:i/>
          <w:iCs/>
        </w:rPr>
        <w:instrText xml:space="preserve"> </w:instrText>
      </w:r>
      <w:r w:rsidR="007C1118">
        <w:rPr>
          <w:i/>
          <w:iCs/>
          <w:lang w:val="en-US"/>
        </w:rPr>
        <w:instrText>erythrodermic</w:instrText>
      </w:r>
      <w:r w:rsidR="007C1118" w:rsidRPr="007C1118">
        <w:rPr>
          <w:i/>
          <w:iCs/>
        </w:rPr>
        <w:instrText xml:space="preserve"> </w:instrText>
      </w:r>
      <w:r w:rsidR="007C1118">
        <w:rPr>
          <w:i/>
          <w:iCs/>
          <w:lang w:val="en-US"/>
        </w:rPr>
        <w:instrText>cases</w:instrText>
      </w:r>
      <w:r w:rsidR="007C1118" w:rsidRPr="007C1118">
        <w:rPr>
          <w:i/>
          <w:iCs/>
        </w:rPr>
        <w:instrText xml:space="preserve"> [</w:instrText>
      </w:r>
      <w:r w:rsidR="007C1118">
        <w:rPr>
          <w:i/>
          <w:iCs/>
          <w:lang w:val="en-US"/>
        </w:rPr>
        <w:instrText>S</w:instrText>
      </w:r>
      <w:r w:rsidR="007C1118" w:rsidRPr="007C1118">
        <w:rPr>
          <w:i/>
          <w:iCs/>
        </w:rPr>
        <w:instrText>é</w:instrText>
      </w:r>
      <w:r w:rsidR="007C1118">
        <w:rPr>
          <w:i/>
          <w:iCs/>
          <w:lang w:val="en-US"/>
        </w:rPr>
        <w:instrText>zary</w:instrText>
      </w:r>
      <w:r w:rsidR="007C1118" w:rsidRPr="007C1118">
        <w:rPr>
          <w:i/>
          <w:iCs/>
        </w:rPr>
        <w:instrText xml:space="preserve"> </w:instrText>
      </w:r>
      <w:r w:rsidR="007C1118">
        <w:rPr>
          <w:i/>
          <w:iCs/>
          <w:lang w:val="en-US"/>
        </w:rPr>
        <w:instrText>syndrome</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n</w:instrText>
      </w:r>
      <w:r w:rsidR="007C1118" w:rsidRPr="007C1118">
        <w:rPr>
          <w:i/>
          <w:iCs/>
        </w:rPr>
        <w:instrText xml:space="preserve"> = 57; </w:instrText>
      </w:r>
      <w:r w:rsidR="007C1118">
        <w:rPr>
          <w:i/>
          <w:iCs/>
          <w:lang w:val="en-US"/>
        </w:rPr>
        <w:instrText>erythrodermic</w:instrText>
      </w:r>
      <w:r w:rsidR="007C1118" w:rsidRPr="007C1118">
        <w:rPr>
          <w:i/>
          <w:iCs/>
        </w:rPr>
        <w:instrText xml:space="preserve"> </w:instrText>
      </w:r>
      <w:r w:rsidR="007C1118">
        <w:rPr>
          <w:i/>
          <w:iCs/>
          <w:lang w:val="en-US"/>
        </w:rPr>
        <w:instrText>inflammatory</w:instrText>
      </w:r>
      <w:r w:rsidR="007C1118" w:rsidRPr="007C1118">
        <w:rPr>
          <w:i/>
          <w:iCs/>
        </w:rPr>
        <w:instrText xml:space="preserve"> </w:instrText>
      </w:r>
      <w:r w:rsidR="007C1118">
        <w:rPr>
          <w:i/>
          <w:iCs/>
          <w:lang w:val="en-US"/>
        </w:rPr>
        <w:instrText>dermatoses</w:instrText>
      </w:r>
      <w:r w:rsidR="007C1118" w:rsidRPr="007C1118">
        <w:rPr>
          <w:i/>
          <w:iCs/>
        </w:rPr>
        <w:instrText xml:space="preserve"> (</w:instrText>
      </w:r>
      <w:r w:rsidR="007C1118">
        <w:rPr>
          <w:i/>
          <w:iCs/>
          <w:lang w:val="en-US"/>
        </w:rPr>
        <w:instrText>EIDs</w:instrText>
      </w:r>
      <w:r w:rsidR="007C1118" w:rsidRPr="007C1118">
        <w:rPr>
          <w:i/>
          <w:iCs/>
        </w:rPr>
        <w:instrText xml:space="preserve">), </w:instrText>
      </w:r>
      <w:r w:rsidR="007C1118">
        <w:rPr>
          <w:i/>
          <w:iCs/>
          <w:lang w:val="en-US"/>
        </w:rPr>
        <w:instrText>n</w:instrText>
      </w:r>
      <w:r w:rsidR="007C1118" w:rsidRPr="007C1118">
        <w:rPr>
          <w:i/>
          <w:iCs/>
        </w:rPr>
        <w:instrText xml:space="preserve"> = 40] </w:instrText>
      </w:r>
      <w:r w:rsidR="007C1118">
        <w:rPr>
          <w:i/>
          <w:iCs/>
          <w:lang w:val="en-US"/>
        </w:rPr>
        <w:instrText>were</w:instrText>
      </w:r>
      <w:r w:rsidR="007C1118" w:rsidRPr="007C1118">
        <w:rPr>
          <w:i/>
          <w:iCs/>
        </w:rPr>
        <w:instrText xml:space="preserve"> </w:instrText>
      </w:r>
      <w:r w:rsidR="007C1118">
        <w:rPr>
          <w:i/>
          <w:iCs/>
          <w:lang w:val="en-US"/>
        </w:rPr>
        <w:instrText>collected</w:instrText>
      </w:r>
      <w:r w:rsidR="007C1118" w:rsidRPr="007C1118">
        <w:rPr>
          <w:i/>
          <w:iCs/>
        </w:rPr>
        <w:instrText xml:space="preserve"> </w:instrText>
      </w:r>
      <w:r w:rsidR="007C1118">
        <w:rPr>
          <w:i/>
          <w:iCs/>
          <w:lang w:val="en-US"/>
        </w:rPr>
        <w:instrText>by</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EORTC</w:instrText>
      </w:r>
      <w:r w:rsidR="007C1118" w:rsidRPr="007C1118">
        <w:rPr>
          <w:i/>
          <w:iCs/>
        </w:rPr>
        <w:instrText xml:space="preserve"> </w:instrText>
      </w:r>
      <w:r w:rsidR="007C1118">
        <w:rPr>
          <w:i/>
          <w:iCs/>
          <w:lang w:val="en-US"/>
        </w:rPr>
        <w:instrText>Cutaneous</w:instrText>
      </w:r>
      <w:r w:rsidR="007C1118" w:rsidRPr="007C1118">
        <w:rPr>
          <w:i/>
          <w:iCs/>
        </w:rPr>
        <w:instrText xml:space="preserve"> </w:instrText>
      </w:r>
      <w:r w:rsidR="007C1118">
        <w:rPr>
          <w:i/>
          <w:iCs/>
          <w:lang w:val="en-US"/>
        </w:rPr>
        <w:instrText>Lymphoma</w:instrText>
      </w:r>
      <w:r w:rsidR="007C1118" w:rsidRPr="007C1118">
        <w:rPr>
          <w:i/>
          <w:iCs/>
        </w:rPr>
        <w:instrText xml:space="preserve"> </w:instrText>
      </w:r>
      <w:r w:rsidR="007C1118">
        <w:rPr>
          <w:i/>
          <w:iCs/>
          <w:lang w:val="en-US"/>
        </w:rPr>
        <w:instrText>Task</w:instrText>
      </w:r>
      <w:r w:rsidR="007C1118" w:rsidRPr="007C1118">
        <w:rPr>
          <w:i/>
          <w:iCs/>
        </w:rPr>
        <w:instrText xml:space="preserve"> </w:instrText>
      </w:r>
      <w:r w:rsidR="007C1118">
        <w:rPr>
          <w:i/>
          <w:iCs/>
          <w:lang w:val="en-US"/>
        </w:rPr>
        <w:instrText>Force</w:instrText>
      </w:r>
      <w:r w:rsidR="007C1118" w:rsidRPr="007C1118">
        <w:rPr>
          <w:i/>
          <w:iCs/>
        </w:rPr>
        <w:instrText xml:space="preserve"> </w:instrText>
      </w:r>
      <w:r w:rsidR="007C1118">
        <w:rPr>
          <w:i/>
          <w:iCs/>
          <w:lang w:val="en-US"/>
        </w:rPr>
        <w:instrText>histopathology</w:instrText>
      </w:r>
      <w:r w:rsidR="007C1118" w:rsidRPr="007C1118">
        <w:rPr>
          <w:i/>
          <w:iCs/>
        </w:rPr>
        <w:instrText xml:space="preserve"> </w:instrText>
      </w:r>
      <w:r w:rsidR="007C1118">
        <w:rPr>
          <w:i/>
          <w:iCs/>
          <w:lang w:val="en-US"/>
        </w:rPr>
        <w:instrText>group</w:instrText>
      </w:r>
      <w:r w:rsidR="007C1118" w:rsidRPr="007C1118">
        <w:rPr>
          <w:i/>
          <w:iCs/>
        </w:rPr>
        <w:instrText xml:space="preserve">. </w:instrText>
      </w:r>
      <w:r w:rsidR="007C1118">
        <w:rPr>
          <w:i/>
          <w:iCs/>
          <w:lang w:val="en-US"/>
        </w:rPr>
        <w:instrText>Evaluation</w:instrText>
      </w:r>
      <w:r w:rsidR="007C1118" w:rsidRPr="007C1118">
        <w:rPr>
          <w:i/>
          <w:iCs/>
        </w:rPr>
        <w:instrText xml:space="preserve"> </w:instrText>
      </w:r>
      <w:r w:rsidR="007C1118">
        <w:rPr>
          <w:i/>
          <w:iCs/>
          <w:lang w:val="en-US"/>
        </w:rPr>
        <w:instrText>criteria</w:instrText>
      </w:r>
      <w:r w:rsidR="007C1118" w:rsidRPr="007C1118">
        <w:rPr>
          <w:i/>
          <w:iCs/>
        </w:rPr>
        <w:instrText xml:space="preserve"> </w:instrText>
      </w:r>
      <w:r w:rsidR="007C1118">
        <w:rPr>
          <w:i/>
          <w:iCs/>
          <w:lang w:val="en-US"/>
        </w:rPr>
        <w:instrText>were</w:instrText>
      </w:r>
      <w:r w:rsidR="007C1118" w:rsidRPr="007C1118">
        <w:rPr>
          <w:i/>
          <w:iCs/>
        </w:rPr>
        <w:instrText xml:space="preserve"> (</w:instrText>
      </w:r>
      <w:r w:rsidR="007C1118">
        <w:rPr>
          <w:i/>
          <w:iCs/>
          <w:lang w:val="en-US"/>
        </w:rPr>
        <w:instrText>i</w:instrText>
      </w:r>
      <w:r w:rsidR="007C1118" w:rsidRPr="007C1118">
        <w:rPr>
          <w:i/>
          <w:iCs/>
        </w:rPr>
        <w:instrText xml:space="preserve">) </w:instrText>
      </w:r>
      <w:r w:rsidR="007C1118">
        <w:rPr>
          <w:i/>
          <w:iCs/>
          <w:lang w:val="en-US"/>
        </w:rPr>
        <w:instrText>epidermal</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dermal</w:instrText>
      </w:r>
      <w:r w:rsidR="007C1118" w:rsidRPr="007C1118">
        <w:rPr>
          <w:i/>
          <w:iCs/>
        </w:rPr>
        <w:instrText xml:space="preserve"> </w:instrText>
      </w:r>
      <w:r w:rsidR="007C1118">
        <w:rPr>
          <w:i/>
          <w:iCs/>
          <w:lang w:val="en-US"/>
        </w:rPr>
        <w:instrText>changes</w:instrText>
      </w:r>
      <w:r w:rsidR="007C1118" w:rsidRPr="007C1118">
        <w:rPr>
          <w:i/>
          <w:iCs/>
        </w:rPr>
        <w:instrText>; (</w:instrText>
      </w:r>
      <w:r w:rsidR="007C1118">
        <w:rPr>
          <w:i/>
          <w:iCs/>
          <w:lang w:val="en-US"/>
        </w:rPr>
        <w:instrText>ii</w:instrText>
      </w:r>
      <w:r w:rsidR="007C1118" w:rsidRPr="007C1118">
        <w:rPr>
          <w:i/>
          <w:iCs/>
        </w:rPr>
        <w:instrText xml:space="preserve">) </w:instrText>
      </w:r>
      <w:r w:rsidR="007C1118">
        <w:rPr>
          <w:i/>
          <w:iCs/>
          <w:lang w:val="en-US"/>
        </w:rPr>
        <w:instrText>morphology</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infiltrate</w:instrText>
      </w:r>
      <w:r w:rsidR="007C1118" w:rsidRPr="007C1118">
        <w:rPr>
          <w:i/>
          <w:iCs/>
        </w:rPr>
        <w:instrText>; (</w:instrText>
      </w:r>
      <w:r w:rsidR="007C1118">
        <w:rPr>
          <w:i/>
          <w:iCs/>
          <w:lang w:val="en-US"/>
        </w:rPr>
        <w:instrText>iii</w:instrText>
      </w:r>
      <w:r w:rsidR="007C1118" w:rsidRPr="007C1118">
        <w:rPr>
          <w:i/>
          <w:iCs/>
        </w:rPr>
        <w:instrText xml:space="preserve">) </w:instrText>
      </w:r>
      <w:r w:rsidR="007C1118">
        <w:rPr>
          <w:i/>
          <w:iCs/>
          <w:lang w:val="en-US"/>
        </w:rPr>
        <w:instrText>immunohistochemical</w:instrText>
      </w:r>
      <w:r w:rsidR="007C1118" w:rsidRPr="007C1118">
        <w:rPr>
          <w:i/>
          <w:iCs/>
        </w:rPr>
        <w:instrText xml:space="preserve"> </w:instrText>
      </w:r>
      <w:r w:rsidR="007C1118">
        <w:rPr>
          <w:i/>
          <w:iCs/>
          <w:lang w:val="en-US"/>
        </w:rPr>
        <w:instrText>analysis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marker</w:instrText>
      </w:r>
      <w:r w:rsidR="007C1118" w:rsidRPr="007C1118">
        <w:rPr>
          <w:i/>
          <w:iCs/>
        </w:rPr>
        <w:instrText xml:space="preserve"> </w:instrText>
      </w:r>
      <w:r w:rsidR="007C1118">
        <w:rPr>
          <w:i/>
          <w:iCs/>
          <w:lang w:val="en-US"/>
        </w:rPr>
        <w:instrText>loss</w:instrText>
      </w:r>
      <w:r w:rsidR="007C1118" w:rsidRPr="007C1118">
        <w:rPr>
          <w:i/>
          <w:iCs/>
        </w:rPr>
        <w:instrText xml:space="preserve"> (</w:instrText>
      </w:r>
      <w:r w:rsidR="007C1118">
        <w:rPr>
          <w:i/>
          <w:iCs/>
          <w:lang w:val="en-US"/>
        </w:rPr>
        <w:instrText>CD</w:instrText>
      </w:r>
      <w:r w:rsidR="007C1118" w:rsidRPr="007C1118">
        <w:rPr>
          <w:i/>
          <w:iCs/>
        </w:rPr>
        <w:instrText xml:space="preserve">2, </w:instrText>
      </w:r>
      <w:r w:rsidR="007C1118">
        <w:rPr>
          <w:i/>
          <w:iCs/>
          <w:lang w:val="en-US"/>
        </w:rPr>
        <w:instrText>CD</w:instrText>
      </w:r>
      <w:r w:rsidR="007C1118" w:rsidRPr="007C1118">
        <w:rPr>
          <w:i/>
          <w:iCs/>
        </w:rPr>
        <w:instrText xml:space="preserve">3, </w:instrText>
      </w:r>
      <w:r w:rsidR="007C1118">
        <w:rPr>
          <w:i/>
          <w:iCs/>
          <w:lang w:val="en-US"/>
        </w:rPr>
        <w:instrText>CD</w:instrText>
      </w:r>
      <w:r w:rsidR="007C1118" w:rsidRPr="007C1118">
        <w:rPr>
          <w:i/>
          <w:iCs/>
        </w:rPr>
        <w:instrText xml:space="preserve">4, </w:instrText>
      </w:r>
      <w:r w:rsidR="007C1118">
        <w:rPr>
          <w:i/>
          <w:iCs/>
          <w:lang w:val="en-US"/>
        </w:rPr>
        <w:instrText>CD</w:instrText>
      </w:r>
      <w:r w:rsidR="007C1118" w:rsidRPr="007C1118">
        <w:rPr>
          <w:i/>
          <w:iCs/>
        </w:rPr>
        <w:instrText xml:space="preserve">5 </w:instrText>
      </w:r>
      <w:r w:rsidR="007C1118">
        <w:rPr>
          <w:i/>
          <w:iCs/>
          <w:lang w:val="en-US"/>
        </w:rPr>
        <w:instrText>and</w:instrText>
      </w:r>
      <w:r w:rsidR="007C1118" w:rsidRPr="007C1118">
        <w:rPr>
          <w:i/>
          <w:iCs/>
        </w:rPr>
        <w:instrText xml:space="preserve"> </w:instrText>
      </w:r>
      <w:r w:rsidR="007C1118">
        <w:rPr>
          <w:i/>
          <w:iCs/>
          <w:lang w:val="en-US"/>
        </w:rPr>
        <w:instrText>CD</w:instrText>
      </w:r>
      <w:r w:rsidR="007C1118" w:rsidRPr="007C1118">
        <w:rPr>
          <w:i/>
          <w:iCs/>
        </w:rPr>
        <w:instrText>7); (</w:instrText>
      </w:r>
      <w:r w:rsidR="007C1118">
        <w:rPr>
          <w:i/>
          <w:iCs/>
          <w:lang w:val="en-US"/>
        </w:rPr>
        <w:instrText>iv</w:instrText>
      </w:r>
      <w:r w:rsidR="007C1118" w:rsidRPr="007C1118">
        <w:rPr>
          <w:i/>
          <w:iCs/>
        </w:rPr>
        <w:instrText xml:space="preserve">) </w:instrText>
      </w:r>
      <w:r w:rsidR="007C1118">
        <w:rPr>
          <w:i/>
          <w:iCs/>
          <w:lang w:val="en-US"/>
        </w:rPr>
        <w:instrText>bystander</w:instrText>
      </w:r>
      <w:r w:rsidR="007C1118" w:rsidRPr="007C1118">
        <w:rPr>
          <w:i/>
          <w:iCs/>
        </w:rPr>
        <w:instrText xml:space="preserve"> </w:instrText>
      </w:r>
      <w:r w:rsidR="007C1118">
        <w:rPr>
          <w:i/>
          <w:iCs/>
          <w:lang w:val="en-US"/>
        </w:rPr>
        <w:instrText>infiltrate</w:instrText>
      </w:r>
      <w:r w:rsidR="007C1118" w:rsidRPr="007C1118">
        <w:rPr>
          <w:i/>
          <w:iCs/>
        </w:rPr>
        <w:instrText xml:space="preserve"> </w:instrText>
      </w:r>
      <w:r w:rsidR="007C1118">
        <w:rPr>
          <w:i/>
          <w:iCs/>
          <w:lang w:val="en-US"/>
        </w:rPr>
        <w:instrText>by</w:instrText>
      </w:r>
      <w:r w:rsidR="007C1118" w:rsidRPr="007C1118">
        <w:rPr>
          <w:i/>
          <w:iCs/>
        </w:rPr>
        <w:instrText xml:space="preserve"> </w:instrText>
      </w:r>
      <w:r w:rsidR="007C1118">
        <w:rPr>
          <w:i/>
          <w:iCs/>
          <w:lang w:val="en-US"/>
        </w:rPr>
        <w:instrText>staining</w:instrText>
      </w:r>
      <w:r w:rsidR="007C1118" w:rsidRPr="007C1118">
        <w:rPr>
          <w:i/>
          <w:iCs/>
        </w:rPr>
        <w:instrText xml:space="preserve"> </w:instrText>
      </w:r>
      <w:r w:rsidR="007C1118">
        <w:rPr>
          <w:i/>
          <w:iCs/>
          <w:lang w:val="en-US"/>
        </w:rPr>
        <w:instrText>for</w:instrText>
      </w:r>
      <w:r w:rsidR="007C1118" w:rsidRPr="007C1118">
        <w:rPr>
          <w:i/>
          <w:iCs/>
        </w:rPr>
        <w:instrText xml:space="preserve"> </w:instrText>
      </w:r>
      <w:r w:rsidR="007C1118">
        <w:rPr>
          <w:i/>
          <w:iCs/>
          <w:lang w:val="en-US"/>
        </w:rPr>
        <w:instrText>CD</w:instrText>
      </w:r>
      <w:r w:rsidR="007C1118" w:rsidRPr="007C1118">
        <w:rPr>
          <w:i/>
          <w:iCs/>
        </w:rPr>
        <w:instrText xml:space="preserve">8, </w:instrText>
      </w:r>
      <w:r w:rsidR="007C1118">
        <w:rPr>
          <w:i/>
          <w:iCs/>
          <w:lang w:val="en-US"/>
        </w:rPr>
        <w:instrText>FOXP</w:instrText>
      </w:r>
      <w:r w:rsidR="007C1118" w:rsidRPr="007C1118">
        <w:rPr>
          <w:i/>
          <w:iCs/>
        </w:rPr>
        <w:instrText xml:space="preserve">3 </w:instrText>
      </w:r>
      <w:r w:rsidR="007C1118">
        <w:rPr>
          <w:i/>
          <w:iCs/>
          <w:lang w:val="en-US"/>
        </w:rPr>
        <w:instrText>and</w:instrText>
      </w:r>
      <w:r w:rsidR="007C1118" w:rsidRPr="007C1118">
        <w:rPr>
          <w:i/>
          <w:iCs/>
        </w:rPr>
        <w:instrText xml:space="preserve"> </w:instrText>
      </w:r>
      <w:r w:rsidR="007C1118">
        <w:rPr>
          <w:i/>
          <w:iCs/>
          <w:lang w:val="en-US"/>
        </w:rPr>
        <w:instrText>CD</w:instrText>
      </w:r>
      <w:r w:rsidR="007C1118" w:rsidRPr="007C1118">
        <w:rPr>
          <w:i/>
          <w:iCs/>
        </w:rPr>
        <w:instrText xml:space="preserve">25; </w:instrText>
      </w:r>
      <w:r w:rsidR="007C1118">
        <w:rPr>
          <w:i/>
          <w:iCs/>
          <w:lang w:val="en-US"/>
        </w:rPr>
        <w:instrText>and</w:instrText>
      </w:r>
      <w:r w:rsidR="007C1118" w:rsidRPr="007C1118">
        <w:rPr>
          <w:i/>
          <w:iCs/>
        </w:rPr>
        <w:instrText xml:space="preserve"> (</w:instrText>
      </w:r>
      <w:r w:rsidR="007C1118">
        <w:rPr>
          <w:i/>
          <w:iCs/>
          <w:lang w:val="en-US"/>
        </w:rPr>
        <w:instrText>v</w:instrText>
      </w:r>
      <w:r w:rsidR="007C1118" w:rsidRPr="007C1118">
        <w:rPr>
          <w:i/>
          <w:iCs/>
        </w:rPr>
        <w:instrText xml:space="preserve">) </w:instrText>
      </w:r>
      <w:r w:rsidR="007C1118">
        <w:rPr>
          <w:i/>
          <w:iCs/>
          <w:lang w:val="en-US"/>
        </w:rPr>
        <w:instrText>expression</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Ki</w:instrText>
      </w:r>
      <w:r w:rsidR="007C1118" w:rsidRPr="007C1118">
        <w:rPr>
          <w:i/>
          <w:iCs/>
        </w:rPr>
        <w:instrText xml:space="preserve">-67, </w:instrText>
      </w:r>
      <w:r w:rsidR="007C1118">
        <w:rPr>
          <w:i/>
          <w:iCs/>
          <w:lang w:val="en-US"/>
        </w:rPr>
        <w:instrText>CD</w:instrText>
      </w:r>
      <w:r w:rsidR="007C1118" w:rsidRPr="007C1118">
        <w:rPr>
          <w:i/>
          <w:iCs/>
        </w:rPr>
        <w:instrText xml:space="preserve">30, </w:instrText>
      </w:r>
      <w:r w:rsidR="007C1118">
        <w:rPr>
          <w:i/>
          <w:iCs/>
          <w:lang w:val="en-US"/>
        </w:rPr>
        <w:instrText>PD</w:instrText>
      </w:r>
      <w:r w:rsidR="007C1118" w:rsidRPr="007C1118">
        <w:rPr>
          <w:i/>
          <w:iCs/>
        </w:rPr>
        <w:instrText xml:space="preserve">-1 </w:instrText>
      </w:r>
      <w:r w:rsidR="007C1118">
        <w:rPr>
          <w:i/>
          <w:iCs/>
          <w:lang w:val="en-US"/>
        </w:rPr>
        <w:instrText>and</w:instrText>
      </w:r>
      <w:r w:rsidR="007C1118" w:rsidRPr="007C1118">
        <w:rPr>
          <w:i/>
          <w:iCs/>
        </w:rPr>
        <w:instrText xml:space="preserve"> </w:instrText>
      </w:r>
      <w:r w:rsidR="007C1118">
        <w:rPr>
          <w:i/>
          <w:iCs/>
          <w:lang w:val="en-US"/>
        </w:rPr>
        <w:instrText>MUM</w:instrText>
      </w:r>
      <w:r w:rsidR="007C1118" w:rsidRPr="007C1118">
        <w:rPr>
          <w:i/>
          <w:iCs/>
        </w:rPr>
        <w:instrText xml:space="preserve">-1. </w:instrText>
      </w:r>
      <w:r w:rsidR="007C1118">
        <w:rPr>
          <w:i/>
          <w:iCs/>
          <w:lang w:val="en-US"/>
        </w:rPr>
        <w:instrText>Results</w:instrText>
      </w:r>
      <w:r w:rsidR="007C1118" w:rsidRPr="007C1118">
        <w:rPr>
          <w:i/>
          <w:iCs/>
        </w:rPr>
        <w:instrText xml:space="preserve"> </w:instrText>
      </w:r>
      <w:r w:rsidR="007C1118">
        <w:rPr>
          <w:i/>
          <w:iCs/>
          <w:lang w:val="en-US"/>
        </w:rPr>
        <w:instrText>The</w:instrText>
      </w:r>
      <w:r w:rsidR="007C1118" w:rsidRPr="007C1118">
        <w:rPr>
          <w:i/>
          <w:iCs/>
        </w:rPr>
        <w:instrText xml:space="preserve"> </w:instrText>
      </w:r>
      <w:r w:rsidR="007C1118">
        <w:rPr>
          <w:i/>
          <w:iCs/>
          <w:lang w:val="en-US"/>
        </w:rPr>
        <w:instrText>workshop</w:instrText>
      </w:r>
      <w:r w:rsidR="007C1118" w:rsidRPr="007C1118">
        <w:rPr>
          <w:i/>
          <w:iCs/>
        </w:rPr>
        <w:instrText xml:space="preserve"> </w:instrText>
      </w:r>
      <w:r w:rsidR="007C1118">
        <w:rPr>
          <w:i/>
          <w:iCs/>
          <w:lang w:val="en-US"/>
        </w:rPr>
        <w:instrText>panel</w:instrText>
      </w:r>
      <w:r w:rsidR="007C1118" w:rsidRPr="007C1118">
        <w:rPr>
          <w:i/>
          <w:iCs/>
        </w:rPr>
        <w:instrText xml:space="preserve"> </w:instrText>
      </w:r>
      <w:r w:rsidR="007C1118">
        <w:rPr>
          <w:i/>
          <w:iCs/>
          <w:lang w:val="en-US"/>
        </w:rPr>
        <w:instrText>made</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correct</w:instrText>
      </w:r>
      <w:r w:rsidR="007C1118" w:rsidRPr="007C1118">
        <w:rPr>
          <w:i/>
          <w:iCs/>
        </w:rPr>
        <w:instrText xml:space="preserve"> </w:instrText>
      </w:r>
      <w:r w:rsidR="007C1118">
        <w:rPr>
          <w:i/>
          <w:iCs/>
          <w:lang w:val="en-US"/>
        </w:rPr>
        <w:instrText>diagnosis</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in</w:instrText>
      </w:r>
      <w:r w:rsidR="007C1118" w:rsidRPr="007C1118">
        <w:rPr>
          <w:i/>
          <w:iCs/>
        </w:rPr>
        <w:instrText xml:space="preserve"> 51% </w:instrText>
      </w:r>
      <w:r w:rsidR="007C1118">
        <w:rPr>
          <w:i/>
          <w:iCs/>
          <w:lang w:val="en-US"/>
        </w:rPr>
        <w:instrText>of</w:instrText>
      </w:r>
      <w:r w:rsidR="007C1118" w:rsidRPr="007C1118">
        <w:rPr>
          <w:i/>
          <w:iCs/>
        </w:rPr>
        <w:instrText xml:space="preserve"> </w:instrText>
      </w:r>
      <w:r w:rsidR="007C1118">
        <w:rPr>
          <w:i/>
          <w:iCs/>
          <w:lang w:val="en-US"/>
        </w:rPr>
        <w:instrText>cases</w:instrText>
      </w:r>
      <w:r w:rsidR="007C1118" w:rsidRPr="007C1118">
        <w:rPr>
          <w:i/>
          <w:iCs/>
        </w:rPr>
        <w:instrText xml:space="preserve"> (</w:instrText>
      </w:r>
      <w:r w:rsidR="007C1118">
        <w:rPr>
          <w:i/>
          <w:iCs/>
          <w:lang w:val="en-US"/>
        </w:rPr>
        <w:instrText>cutaneous</w:instrText>
      </w:r>
      <w:r w:rsidR="007C1118" w:rsidRPr="007C1118">
        <w:rPr>
          <w:i/>
          <w:iCs/>
        </w:rPr>
        <w:instrText xml:space="preserve"> </w:instrText>
      </w:r>
      <w:r w:rsidR="007C1118">
        <w:rPr>
          <w:i/>
          <w:iCs/>
          <w:lang w:val="en-US"/>
        </w:rPr>
        <w:instrText>T</w:instrText>
      </w:r>
      <w:r w:rsidR="007C1118" w:rsidRPr="007C1118">
        <w:rPr>
          <w:i/>
          <w:iCs/>
        </w:rPr>
        <w:instrText>-</w:instrText>
      </w:r>
      <w:r w:rsidR="007C1118">
        <w:rPr>
          <w:i/>
          <w:iCs/>
          <w:lang w:val="en-US"/>
        </w:rPr>
        <w:instrText>cell</w:instrText>
      </w:r>
      <w:r w:rsidR="007C1118" w:rsidRPr="007C1118">
        <w:rPr>
          <w:i/>
          <w:iCs/>
        </w:rPr>
        <w:instrText xml:space="preserve"> </w:instrText>
      </w:r>
      <w:r w:rsidR="007C1118">
        <w:rPr>
          <w:i/>
          <w:iCs/>
          <w:lang w:val="en-US"/>
        </w:rPr>
        <w:instrText>lymphoma</w:instrText>
      </w:r>
      <w:r w:rsidR="007C1118" w:rsidRPr="007C1118">
        <w:rPr>
          <w:i/>
          <w:iCs/>
        </w:rPr>
        <w:instrText xml:space="preserve"> 81%) </w:instrText>
      </w:r>
      <w:r w:rsidR="007C1118">
        <w:rPr>
          <w:i/>
          <w:iCs/>
          <w:lang w:val="en-US"/>
        </w:rPr>
        <w:instrText>and</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in</w:instrText>
      </w:r>
      <w:r w:rsidR="007C1118" w:rsidRPr="007C1118">
        <w:rPr>
          <w:i/>
          <w:iCs/>
        </w:rPr>
        <w:instrText xml:space="preserve"> 80% </w:instrText>
      </w:r>
      <w:r w:rsidR="007C1118">
        <w:rPr>
          <w:i/>
          <w:iCs/>
          <w:lang w:val="en-US"/>
        </w:rPr>
        <w:instrText>without</w:instrText>
      </w:r>
      <w:r w:rsidR="007C1118" w:rsidRPr="007C1118">
        <w:rPr>
          <w:i/>
          <w:iCs/>
        </w:rPr>
        <w:instrText xml:space="preserve"> </w:instrText>
      </w:r>
      <w:r w:rsidR="007C1118">
        <w:rPr>
          <w:i/>
          <w:iCs/>
          <w:lang w:val="en-US"/>
        </w:rPr>
        <w:instrText>clinical</w:instrText>
      </w:r>
      <w:r w:rsidR="007C1118" w:rsidRPr="007C1118">
        <w:rPr>
          <w:i/>
          <w:iCs/>
        </w:rPr>
        <w:instrText xml:space="preserve"> </w:instrText>
      </w:r>
      <w:r w:rsidR="007C1118">
        <w:rPr>
          <w:i/>
          <w:iCs/>
          <w:lang w:val="en-US"/>
        </w:rPr>
        <w:instrText>or</w:instrText>
      </w:r>
      <w:r w:rsidR="007C1118" w:rsidRPr="007C1118">
        <w:rPr>
          <w:i/>
          <w:iCs/>
        </w:rPr>
        <w:instrText xml:space="preserve"> </w:instrText>
      </w:r>
      <w:r w:rsidR="007C1118">
        <w:rPr>
          <w:i/>
          <w:iCs/>
          <w:lang w:val="en-US"/>
        </w:rPr>
        <w:instrText>laboratory</w:instrText>
      </w:r>
      <w:r w:rsidR="007C1118" w:rsidRPr="007C1118">
        <w:rPr>
          <w:i/>
          <w:iCs/>
        </w:rPr>
        <w:instrText xml:space="preserve"> </w:instrText>
      </w:r>
      <w:r w:rsidR="007C1118">
        <w:rPr>
          <w:i/>
          <w:iCs/>
          <w:lang w:val="en-US"/>
        </w:rPr>
        <w:instrText>data</w:instrText>
      </w:r>
      <w:r w:rsidR="007C1118" w:rsidRPr="007C1118">
        <w:rPr>
          <w:i/>
          <w:iCs/>
        </w:rPr>
        <w:instrText xml:space="preserve">. </w:instrText>
      </w:r>
      <w:r w:rsidR="007C1118">
        <w:rPr>
          <w:i/>
          <w:iCs/>
          <w:lang w:val="en-US"/>
        </w:rPr>
        <w:instrText>Histology</w:instrText>
      </w:r>
      <w:r w:rsidR="007C1118" w:rsidRPr="007C1118">
        <w:rPr>
          <w:i/>
          <w:iCs/>
        </w:rPr>
        <w:instrText xml:space="preserve"> </w:instrText>
      </w:r>
      <w:r w:rsidR="007C1118">
        <w:rPr>
          <w:i/>
          <w:iCs/>
          <w:lang w:val="en-US"/>
        </w:rPr>
        <w:instrText>revealed</w:instrText>
      </w:r>
      <w:r w:rsidR="007C1118" w:rsidRPr="007C1118">
        <w:rPr>
          <w:i/>
          <w:iCs/>
        </w:rPr>
        <w:instrText xml:space="preserve"> </w:instrText>
      </w:r>
      <w:r w:rsidR="007C1118">
        <w:rPr>
          <w:i/>
          <w:iCs/>
          <w:lang w:val="en-US"/>
        </w:rPr>
        <w:instrText>a</w:instrText>
      </w:r>
      <w:r w:rsidR="007C1118" w:rsidRPr="007C1118">
        <w:rPr>
          <w:i/>
          <w:iCs/>
        </w:rPr>
        <w:instrText xml:space="preserve"> </w:instrText>
      </w:r>
      <w:r w:rsidR="007C1118">
        <w:rPr>
          <w:i/>
          <w:iCs/>
          <w:lang w:val="en-US"/>
        </w:rPr>
        <w:instrText>significantly</w:instrText>
      </w:r>
      <w:r w:rsidR="007C1118" w:rsidRPr="007C1118">
        <w:rPr>
          <w:i/>
          <w:iCs/>
        </w:rPr>
        <w:instrText xml:space="preserve"> </w:instrText>
      </w:r>
      <w:r w:rsidR="007C1118">
        <w:rPr>
          <w:i/>
          <w:iCs/>
          <w:lang w:val="en-US"/>
        </w:rPr>
        <w:instrText>increased</w:instrText>
      </w:r>
      <w:r w:rsidR="007C1118" w:rsidRPr="007C1118">
        <w:rPr>
          <w:i/>
          <w:iCs/>
        </w:rPr>
        <w:instrText xml:space="preserve"> </w:instrText>
      </w:r>
      <w:r w:rsidR="007C1118">
        <w:rPr>
          <w:i/>
          <w:iCs/>
          <w:lang w:val="en-US"/>
        </w:rPr>
        <w:instrText>degree</w:instrText>
      </w:r>
      <w:r w:rsidR="007C1118" w:rsidRPr="007C1118">
        <w:rPr>
          <w:i/>
          <w:iCs/>
        </w:rPr>
        <w:instrText xml:space="preserve"> </w:instrText>
      </w:r>
      <w:r w:rsidR="007C1118">
        <w:rPr>
          <w:i/>
          <w:iCs/>
          <w:lang w:val="en-US"/>
        </w:rPr>
        <w:instrText>of</w:instrText>
      </w:r>
      <w:r w:rsidR="007C1118" w:rsidRPr="007C1118">
        <w:rPr>
          <w:i/>
          <w:iCs/>
        </w:rPr>
        <w:instrText xml:space="preserve"> </w:instrText>
      </w:r>
      <w:r w:rsidR="007C1118">
        <w:rPr>
          <w:i/>
          <w:iCs/>
          <w:lang w:val="en-US"/>
        </w:rPr>
        <w:instrText>epidermotropism</w:instrText>
      </w:r>
      <w:r w:rsidR="007C1118" w:rsidRPr="007C1118">
        <w:rPr>
          <w:i/>
          <w:iCs/>
        </w:rPr>
        <w:instrText xml:space="preserve"> (</w:instrText>
      </w:r>
      <w:r w:rsidR="007C1118">
        <w:rPr>
          <w:i/>
          <w:iCs/>
          <w:lang w:val="en-US"/>
        </w:rPr>
        <w:instrText>P</w:instrText>
      </w:r>
      <w:r w:rsidR="007C1118" w:rsidRPr="007C1118">
        <w:rPr>
          <w:i/>
          <w:iCs/>
        </w:rPr>
        <w:instrText xml:space="preserve"> &lt; 0·001) </w:instrText>
      </w:r>
      <w:r w:rsidR="007C1118">
        <w:rPr>
          <w:i/>
          <w:iCs/>
          <w:lang w:val="en-US"/>
        </w:rPr>
        <w:instrText>and</w:instrText>
      </w:r>
      <w:r w:rsidR="007C1118" w:rsidRPr="007C1118">
        <w:rPr>
          <w:i/>
          <w:iCs/>
        </w:rPr>
        <w:instrText xml:space="preserve"> </w:instrText>
      </w:r>
      <w:r w:rsidR="007C1118">
        <w:rPr>
          <w:i/>
          <w:iCs/>
          <w:lang w:val="en-US"/>
        </w:rPr>
        <w:instrText>more</w:instrText>
      </w:r>
      <w:r w:rsidR="007C1118" w:rsidRPr="007C1118">
        <w:rPr>
          <w:i/>
          <w:iCs/>
        </w:rPr>
        <w:instrText xml:space="preserve"> </w:instrText>
      </w:r>
      <w:r w:rsidR="007C1118">
        <w:rPr>
          <w:i/>
          <w:iCs/>
          <w:lang w:val="en-US"/>
        </w:rPr>
        <w:instrText>intraepidermal</w:instrText>
      </w:r>
      <w:r w:rsidR="007C1118" w:rsidRPr="007C1118">
        <w:rPr>
          <w:i/>
          <w:iCs/>
        </w:rPr>
        <w:instrText xml:space="preserve"> </w:instrText>
      </w:r>
      <w:r w:rsidR="007C1118">
        <w:rPr>
          <w:i/>
          <w:iCs/>
          <w:lang w:val="en-US"/>
        </w:rPr>
        <w:instrText>atypical</w:instrText>
      </w:r>
      <w:r w:rsidR="007C1118" w:rsidRPr="007C1118">
        <w:rPr>
          <w:i/>
          <w:iCs/>
        </w:rPr>
        <w:instrText xml:space="preserve"> </w:instrText>
      </w:r>
      <w:r w:rsidR="007C1118">
        <w:rPr>
          <w:i/>
          <w:iCs/>
          <w:lang w:val="en-US"/>
        </w:rPr>
        <w:instrText>lymphocytes</w:instrText>
      </w:r>
      <w:r w:rsidR="007C1118" w:rsidRPr="007C1118">
        <w:rPr>
          <w:i/>
          <w:iCs/>
        </w:rPr>
        <w:instrText xml:space="preserve"> (</w:instrText>
      </w:r>
      <w:r w:rsidR="007C1118">
        <w:rPr>
          <w:i/>
          <w:iCs/>
          <w:lang w:val="en-US"/>
        </w:rPr>
        <w:instrText>P</w:instrText>
      </w:r>
      <w:r w:rsidR="007C1118" w:rsidRPr="007C1118">
        <w:rPr>
          <w:i/>
          <w:iCs/>
        </w:rPr>
        <w:instrText xml:space="preserve"> = 0·0014) </w:instrText>
      </w:r>
      <w:r w:rsidR="007C1118">
        <w:rPr>
          <w:i/>
          <w:iCs/>
          <w:lang w:val="en-US"/>
        </w:rPr>
        <w:instrText>in</w:instrText>
      </w:r>
      <w:r w:rsidR="007C1118" w:rsidRPr="007C1118">
        <w:rPr>
          <w:i/>
          <w:iCs/>
        </w:rPr>
        <w:instrText xml:space="preserve"> </w:instrText>
      </w:r>
      <w:r w:rsidR="007C1118">
        <w:rPr>
          <w:i/>
          <w:iCs/>
          <w:lang w:val="en-US"/>
        </w:rPr>
        <w:instrText>SS</w:instrText>
      </w:r>
      <w:r w:rsidR="007C1118" w:rsidRPr="007C1118">
        <w:rPr>
          <w:i/>
          <w:iCs/>
        </w:rPr>
        <w:instrText xml:space="preserve"> </w:instrText>
      </w:r>
      <w:r w:rsidR="007C1118">
        <w:rPr>
          <w:i/>
          <w:iCs/>
          <w:lang w:val="en-US"/>
        </w:rPr>
        <w:instrText>biopsies</w:instrText>
      </w:r>
      <w:r w:rsidR="007C1118" w:rsidRPr="007C1118">
        <w:rPr>
          <w:i/>
          <w:iCs/>
        </w:rPr>
        <w:instrText xml:space="preserve"> </w:instrText>
      </w:r>
      <w:r w:rsidR="007C1118">
        <w:rPr>
          <w:i/>
          <w:iCs/>
          <w:lang w:val="en-US"/>
        </w:rPr>
        <w:instrText>compared</w:instrText>
      </w:r>
      <w:r w:rsidR="007C1118" w:rsidRPr="007C1118">
        <w:rPr>
          <w:i/>
          <w:iCs/>
        </w:rPr>
        <w:instrText xml:space="preserve"> </w:instrText>
      </w:r>
      <w:r w:rsidR="007C1118">
        <w:rPr>
          <w:i/>
          <w:iCs/>
          <w:lang w:val="en-US"/>
        </w:rPr>
        <w:instrText>with</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Pautrier</w:instrText>
      </w:r>
      <w:r w:rsidR="007C1118" w:rsidRPr="007C1118">
        <w:rPr>
          <w:i/>
          <w:iCs/>
        </w:rPr>
        <w:instrText xml:space="preserve"> </w:instrText>
      </w:r>
      <w:r w:rsidR="007C1118">
        <w:rPr>
          <w:i/>
          <w:iCs/>
          <w:lang w:val="en-US"/>
        </w:rPr>
        <w:instrText>microabscesses</w:instrText>
      </w:r>
      <w:r w:rsidR="007C1118" w:rsidRPr="007C1118">
        <w:rPr>
          <w:i/>
          <w:iCs/>
        </w:rPr>
        <w:instrText xml:space="preserve"> </w:instrText>
      </w:r>
      <w:r w:rsidR="007C1118">
        <w:rPr>
          <w:i/>
          <w:iCs/>
          <w:lang w:val="en-US"/>
        </w:rPr>
        <w:instrText>were</w:instrText>
      </w:r>
      <w:r w:rsidR="007C1118" w:rsidRPr="007C1118">
        <w:rPr>
          <w:i/>
          <w:iCs/>
        </w:rPr>
        <w:instrText xml:space="preserve"> </w:instrText>
      </w:r>
      <w:r w:rsidR="007C1118">
        <w:rPr>
          <w:i/>
          <w:iCs/>
          <w:lang w:val="en-US"/>
        </w:rPr>
        <w:instrText>seen</w:instrText>
      </w:r>
      <w:r w:rsidR="007C1118" w:rsidRPr="007C1118">
        <w:rPr>
          <w:i/>
          <w:iCs/>
        </w:rPr>
        <w:instrText xml:space="preserve"> </w:instrText>
      </w:r>
      <w:r w:rsidR="007C1118">
        <w:rPr>
          <w:i/>
          <w:iCs/>
          <w:lang w:val="en-US"/>
        </w:rPr>
        <w:instrText>only</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SS</w:instrText>
      </w:r>
      <w:r w:rsidR="007C1118" w:rsidRPr="007C1118">
        <w:rPr>
          <w:i/>
          <w:iCs/>
        </w:rPr>
        <w:instrText xml:space="preserve"> (23%) </w:instrText>
      </w:r>
      <w:r w:rsidR="007C1118">
        <w:rPr>
          <w:i/>
          <w:iCs/>
          <w:lang w:val="en-US"/>
        </w:rPr>
        <w:instrText>and</w:instrText>
      </w:r>
      <w:r w:rsidR="007C1118" w:rsidRPr="007C1118">
        <w:rPr>
          <w:i/>
          <w:iCs/>
        </w:rPr>
        <w:instrText xml:space="preserve"> </w:instrText>
      </w:r>
      <w:r w:rsidR="007C1118">
        <w:rPr>
          <w:i/>
          <w:iCs/>
          <w:lang w:val="en-US"/>
        </w:rPr>
        <w:instrText>not</w:instrText>
      </w:r>
      <w:r w:rsidR="007C1118" w:rsidRPr="007C1118">
        <w:rPr>
          <w:i/>
          <w:iCs/>
        </w:rPr>
        <w:instrText xml:space="preserve"> </w:instrText>
      </w:r>
      <w:r w:rsidR="007C1118">
        <w:rPr>
          <w:i/>
          <w:iCs/>
          <w:lang w:val="en-US"/>
        </w:rPr>
        <w:instrText>in</w:instrText>
      </w:r>
      <w:r w:rsidR="007C1118" w:rsidRPr="007C1118">
        <w:rPr>
          <w:i/>
          <w:iCs/>
        </w:rPr>
        <w:instrText xml:space="preserve"> </w:instrText>
      </w:r>
      <w:r w:rsidR="007C1118">
        <w:rPr>
          <w:i/>
          <w:iCs/>
          <w:lang w:val="en-US"/>
        </w:rPr>
        <w:instrText>EID</w:instrText>
      </w:r>
      <w:r w:rsidR="007C1118" w:rsidRPr="007C1118">
        <w:rPr>
          <w:i/>
          <w:iCs/>
        </w:rPr>
        <w:instrText xml:space="preserve"> (</w:instrText>
      </w:r>
      <w:r w:rsidR="007C1118">
        <w:rPr>
          <w:i/>
          <w:iCs/>
          <w:lang w:val="en-US"/>
        </w:rPr>
        <w:instrText>P</w:instrText>
      </w:r>
      <w:r w:rsidR="007C1118" w:rsidRPr="007C1118">
        <w:rPr>
          <w:i/>
          <w:iCs/>
        </w:rPr>
        <w:instrText xml:space="preserve"> = 0·0012). </w:instrText>
      </w:r>
      <w:r w:rsidR="007C1118">
        <w:rPr>
          <w:i/>
          <w:iCs/>
          <w:lang w:val="en-US"/>
        </w:rPr>
        <w:instrText>SS</w:instrText>
      </w:r>
      <w:r w:rsidR="007C1118" w:rsidRPr="007C1118">
        <w:rPr>
          <w:i/>
          <w:iCs/>
        </w:rPr>
        <w:instrText xml:space="preserve"> </w:instrText>
      </w:r>
      <w:r w:rsidR="007C1118">
        <w:rPr>
          <w:i/>
          <w:iCs/>
          <w:lang w:val="en-US"/>
        </w:rPr>
        <w:instrText>showed</w:instrText>
      </w:r>
      <w:r w:rsidR="007C1118" w:rsidRPr="007C1118">
        <w:rPr>
          <w:i/>
          <w:iCs/>
        </w:rPr>
        <w:instrText xml:space="preserve"> </w:instrText>
      </w:r>
      <w:r w:rsidR="007C1118">
        <w:rPr>
          <w:i/>
          <w:iCs/>
          <w:lang w:val="en-US"/>
        </w:rPr>
        <w:instrText>significantly</w:instrText>
      </w:r>
      <w:r w:rsidR="007C1118" w:rsidRPr="007C1118">
        <w:rPr>
          <w:i/>
          <w:iCs/>
        </w:rPr>
        <w:instrText xml:space="preserve"> </w:instrText>
      </w:r>
      <w:r w:rsidR="007C1118">
        <w:rPr>
          <w:i/>
          <w:iCs/>
          <w:lang w:val="en-US"/>
        </w:rPr>
        <w:instrText>more</w:instrText>
      </w:r>
      <w:r w:rsidR="007C1118" w:rsidRPr="007C1118">
        <w:rPr>
          <w:i/>
          <w:iCs/>
        </w:rPr>
        <w:instrText xml:space="preserve"> </w:instrText>
      </w:r>
      <w:r w:rsidR="007C1118">
        <w:rPr>
          <w:i/>
          <w:iCs/>
          <w:lang w:val="en-US"/>
        </w:rPr>
        <w:instrText>dermal</w:instrText>
      </w:r>
      <w:r w:rsidR="007C1118" w:rsidRPr="007C1118">
        <w:rPr>
          <w:i/>
          <w:iCs/>
        </w:rPr>
        <w:instrText xml:space="preserve"> </w:instrText>
      </w:r>
      <w:r w:rsidR="007C1118">
        <w:rPr>
          <w:i/>
          <w:iCs/>
          <w:lang w:val="en-US"/>
        </w:rPr>
        <w:instrText>cerebriform</w:instrText>
      </w:r>
      <w:r w:rsidR="007C1118" w:rsidRPr="007C1118">
        <w:rPr>
          <w:i/>
          <w:iCs/>
        </w:rPr>
        <w:instrText xml:space="preserve"> </w:instrText>
      </w:r>
      <w:r w:rsidR="007C1118">
        <w:rPr>
          <w:i/>
          <w:iCs/>
          <w:lang w:val="en-US"/>
        </w:rPr>
        <w:instrText>and</w:instrText>
      </w:r>
      <w:r w:rsidR="007C1118" w:rsidRPr="007C1118">
        <w:rPr>
          <w:i/>
          <w:iCs/>
        </w:rPr>
        <w:instrText xml:space="preserve"> </w:instrText>
      </w:r>
      <w:r w:rsidR="007C1118">
        <w:rPr>
          <w:i/>
          <w:iCs/>
          <w:lang w:val="en-US"/>
        </w:rPr>
        <w:instrText>blastic lymphocytes than EID. Immunohistochemistry revealed a significant loss of CD7 expression (&lt; 50%) in 33 of 51 (65%) cases of SS compared with two of 35 (6%) EID (P &lt; 0·001). The lymphocytic infiltrate in SS skin samples was found significantly to express PD-1 (P = 0·0053), MUM-1 (P = 0·0017) and Ki-67 (P &lt; 0·001), and showed less infiltration of CD8+ lymphocytes (P &lt; 0·001). A multivariate analysis identified CD7 loss, increased numbers of small cerebriform lymphocytes, low numbers of CD8+ lymphocytes and increased proliferation (Ki-67+ lymphocytes) as the strongest indicators for the diagnosis of SS. Conclusions A number of different histological and immunophenotypical criteria are required to differentiate between SS and EIDs. What's already known about this topic? Several small, single-centre studies have reported histopathological criteria for Sézary syndrome (SS) that allow differentiation from erythrodermic inflammatory dermatoses (EIDs). Most histopathological and immunohistochemical criteria have never been evaluated in a multicentre study. What does this study add? Histology of SS skin biopsies revealed a significantly increased degree of epidermotropism and more intraepidermal atypical lymphocytes compared with EID, and Pautrier microabscesses were seen o…","author":[{"dropping-particle":"","family":"Klemke","given":"C. D.","non-dropping-particle":"","parse-names":false,"suffix":""},{"dropping-particle":"","family":"Booken","given":"N.","non-dropping-particle":"","parse-names":false,"suffix":""},{"dropping-particle":"","family":"Weiss","given":"C.","non-dropping-particle":"","parse-names":false,"suffix":""},{"dropping-particle":"","family":"Nicolay","given":"J. P.","non-dropping-particle":"","parse-names":false,"suffix":""},{"dropping-particle":"","family":"Goerdt","given":"S.","non-dropping-particle":"","parse-names":false,"suffix":""},{"dropping-particle":"","family":"Felcht","given":"M.","non-dropping-particle":"","parse-names":false,"suffix":""},{"dropping-particle":"","family":"Géraud","given":"C.","non-dropping-particle":"","parse-names":false,"suffix":""},{"dropping-particle":"","family":"Kempf","given":"W.","non-dropping-particle":"","parse-names":false,"suffix":""},{"dropping-particle":"","family":"Assaf","given":"C.","non-dropping-particle":"","parse-names":false,"suffix":""},{"dropping-particle":"","family":"Ortonne","given":"N.","non-dropping-particle":"","parse-names":false,"suffix":""},{"dropping-particle":"","family":"Battistella","given":"M.","non-dropping-particle":"","parse-names":false,"suffix":""},{"dropping-particle":"","family":"Bagot","given":"M.","non-dropping-particle":"","parse-names":false,"suffix":""},{"dropping-particle":"","family":"Knobler","given":"R.","non-dropping-particle":"","parse-names":false,"suffix":""},{"dropping-particle":"","family":"Quaglino","given":"P.","non-dropping-particle":"","parse-names":false,"suffix":""},{"dropping-particle":"","family":"Arheiliger","given":"B.","non-dropping-particle":"","parse-names":false,"suffix":""},{"dropping-particle":"","family":"Santucci","given":"M.","non-dropping-particle":"","parse-names":false,"suffix":""},{"dropping-particle":"","family":"Jansen","given":"P.","non-dropping-particle":"","parse-names":false,"suffix":""},{"dropping-particle":"","family":"Vermeer","given":"M. H.","non-dropping-particle":"","parse-names":false,"suffix":""},{"dropping-particle":"","family":"Willemze","given":"R.","non-dropping-particle":"","parse-names":false,"suffix":""}],"container-title":"British Journal of Dermatology","id":"ITEM-1","issue":"1","issued":{"date-parts":[["2015","7","1"]]},"page":"93-105","publisher":"Blackwell Publishing Ltd","title":"Histopathological and immunophenotypical criteria for the diagnosis of Sézary syndrome in differentiation from other erythrodermic skin diseases: A European Organisation for Research and Treatment of Cancer (EORTC) Cutaneous Lymphoma Task Force Study of 97 cases","type":"article-journal","volume":"173"},"uris":["http://www.mendeley.com/documents/?uuid=ba0a088f-ff2b-3b30-adc5-0b17cfbc73e8"]}],"mendeley":{"formattedCitation":"[17]","plainTextFormattedCitation":"[17]","previouslyFormattedCitation":"[17]"},"properties":{"noteIndex":0},"schema":"https://github.com/citation-style-language/schema/raw/master/csl-citation.json"}</w:instrText>
      </w:r>
      <w:r w:rsidR="00CD3A33">
        <w:rPr>
          <w:i/>
          <w:iCs/>
          <w:lang w:val="en-US"/>
        </w:rPr>
        <w:fldChar w:fldCharType="separate"/>
      </w:r>
      <w:r w:rsidR="00CD3A33" w:rsidRPr="00B62492">
        <w:rPr>
          <w:iCs/>
          <w:noProof/>
          <w:lang w:val="en-US"/>
        </w:rPr>
        <w:t>[17]</w:t>
      </w:r>
      <w:r w:rsidR="00CD3A33">
        <w:rPr>
          <w:i/>
          <w:iCs/>
          <w:lang w:val="en-US"/>
        </w:rPr>
        <w:fldChar w:fldCharType="end"/>
      </w:r>
      <w:r w:rsidRPr="00C32FC4">
        <w:rPr>
          <w:i/>
          <w:iCs/>
        </w:rPr>
        <w:t>.</w:t>
      </w:r>
    </w:p>
    <w:p w:rsidR="00381F00" w:rsidRPr="00C32FC4" w:rsidRDefault="00381F00" w:rsidP="007C6EA6">
      <w:pPr>
        <w:pStyle w:val="afff8"/>
        <w:divId w:val="266810958"/>
      </w:pPr>
      <w:r w:rsidRPr="00C32FC4">
        <w:rPr>
          <w:rStyle w:val="affb"/>
        </w:rPr>
        <w:t>Рекомендуется</w:t>
      </w:r>
      <w:r w:rsidR="007211B1" w:rsidRPr="00C32FC4">
        <w:rPr>
          <w:rStyle w:val="affb"/>
        </w:rPr>
        <w:t xml:space="preserve"> </w:t>
      </w:r>
      <w:r w:rsidR="00C92B81" w:rsidRPr="00C32FC4">
        <w:rPr>
          <w:rStyle w:val="affb"/>
          <w:b w:val="0"/>
        </w:rPr>
        <w:t>для подтверждения диагноза синдрома Сезари путем выявления преобладающего клона Т-лимфоцитов</w:t>
      </w:r>
      <w:r w:rsidR="00C92B81" w:rsidRPr="00C32FC4">
        <w:rPr>
          <w:szCs w:val="24"/>
        </w:rPr>
        <w:t xml:space="preserve"> </w:t>
      </w:r>
      <w:r w:rsidRPr="00C32FC4">
        <w:rPr>
          <w:szCs w:val="24"/>
        </w:rPr>
        <w:t>молекулярно-генетическое исследование T-клеточной клональности (по генам бэта, гамма и дельта цепей T-клеточного рецептора)</w:t>
      </w:r>
      <w:r w:rsidR="00CD3A33" w:rsidRPr="00CD3A33">
        <w:rPr>
          <w:szCs w:val="24"/>
        </w:rPr>
        <w:t xml:space="preserve"> </w:t>
      </w:r>
      <w:r w:rsidR="007C1118">
        <w:rPr>
          <w:szCs w:val="24"/>
        </w:rPr>
        <w:fldChar w:fldCharType="begin" w:fldLock="1"/>
      </w:r>
      <w:r w:rsidR="00F10C69">
        <w:rPr>
          <w:szCs w:val="24"/>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author":[{"dropping-particle":"","family":"Виноградова","given":"Ю.Е.","non-dropping-particle":"","parse-names":false,"suffix":""},{"dropping-particle":"","family":"Цыба","given":"Н.Н.","non-dropping-particle":"","parse-names":false,"suffix":""},{"dropping-particle":"","family":"Гилязитдинова","given":"Е.А.","non-dropping-particle":"","parse-names":false,"suffix":""}],"container-title":"Клиническая онкогематология","id":"ITEM-2","issue":"4","issued":{"date-parts":[["2009"]]},"page":"326-333","title":"Опыт лечения грибовидного микоза и синдрома Сезари в зависимости от стадий заболевания. Результаты собственных исследований и обзор литературы","type":"article-journal","volume":"2"},"uris":["http://www.mendeley.com/documents/?uuid=24439b9c-8da1-47e3-a3e1-021fdcf60a4a"]}],"mendeley":{"formattedCitation":"[7,14]","plainTextFormattedCitation":"[7,14]","previouslyFormattedCitation":"[7,14]"},"properties":{"noteIndex":0},"schema":"https://github.com/citation-style-language/schema/raw/master/csl-citation.json"}</w:instrText>
      </w:r>
      <w:r w:rsidR="007C1118">
        <w:rPr>
          <w:szCs w:val="24"/>
        </w:rPr>
        <w:fldChar w:fldCharType="separate"/>
      </w:r>
      <w:r w:rsidR="00675B37" w:rsidRPr="00675B37">
        <w:rPr>
          <w:noProof/>
          <w:szCs w:val="24"/>
        </w:rPr>
        <w:t>[7,14]</w:t>
      </w:r>
      <w:r w:rsidR="007C1118">
        <w:rPr>
          <w:szCs w:val="24"/>
        </w:rPr>
        <w:fldChar w:fldCharType="end"/>
      </w:r>
      <w:r w:rsidRPr="00C32FC4">
        <w:rPr>
          <w:rStyle w:val="affc"/>
        </w:rPr>
        <w:t xml:space="preserve">. </w:t>
      </w:r>
    </w:p>
    <w:p w:rsidR="00381F00" w:rsidRPr="00C32FC4" w:rsidRDefault="00381F00" w:rsidP="00381F00">
      <w:pPr>
        <w:pStyle w:val="afd"/>
        <w:spacing w:beforeAutospacing="0" w:afterAutospacing="0" w:line="360" w:lineRule="auto"/>
        <w:ind w:left="709" w:firstLine="0"/>
        <w:divId w:val="266810958"/>
        <w:rPr>
          <w:rFonts w:eastAsiaTheme="minorEastAsia"/>
          <w:b/>
        </w:rPr>
      </w:pPr>
      <w:r w:rsidRPr="00C32FC4">
        <w:rPr>
          <w:rStyle w:val="affb"/>
        </w:rPr>
        <w:t xml:space="preserve">Уровень убедительности рекомендаций </w:t>
      </w:r>
      <w:r w:rsidRPr="00C32FC4">
        <w:rPr>
          <w:rStyle w:val="affb"/>
        </w:rPr>
        <w:softHyphen/>
        <w:t>С</w:t>
      </w:r>
      <w:r w:rsidR="00F37E98" w:rsidRPr="00C32FC4">
        <w:rPr>
          <w:rStyle w:val="affb"/>
        </w:rPr>
        <w:t xml:space="preserve"> </w:t>
      </w:r>
      <w:r w:rsidRPr="00C32FC4">
        <w:rPr>
          <w:b/>
        </w:rPr>
        <w:t>(уровень достоверности доказательств – 5)</w:t>
      </w:r>
    </w:p>
    <w:p w:rsidR="007146AF" w:rsidRPr="00C32FC4" w:rsidRDefault="00381F00" w:rsidP="00381F00">
      <w:pPr>
        <w:pStyle w:val="aff3"/>
        <w:divId w:val="266810958"/>
        <w:rPr>
          <w:i/>
          <w:iCs/>
        </w:rPr>
      </w:pPr>
      <w:r w:rsidRPr="00C32FC4">
        <w:rPr>
          <w:rStyle w:val="affb"/>
        </w:rPr>
        <w:t xml:space="preserve">Комментарии: </w:t>
      </w:r>
      <w:r w:rsidR="00C92B81" w:rsidRPr="00C32FC4">
        <w:rPr>
          <w:rStyle w:val="affb"/>
          <w:b w:val="0"/>
          <w:i/>
        </w:rPr>
        <w:t xml:space="preserve">Для исследования </w:t>
      </w:r>
      <w:r w:rsidR="00C92B81" w:rsidRPr="00C32FC4">
        <w:rPr>
          <w:bCs/>
          <w:i/>
        </w:rPr>
        <w:t>T-клеточной клональности могут использоваться кровь и биопсийный материал кожи пациента.</w:t>
      </w:r>
      <w:r w:rsidR="00C92B81" w:rsidRPr="00C32FC4">
        <w:rPr>
          <w:i/>
        </w:rPr>
        <w:t xml:space="preserve"> </w:t>
      </w:r>
      <w:r w:rsidRPr="00C32FC4">
        <w:rPr>
          <w:i/>
          <w:iCs/>
        </w:rPr>
        <w:t xml:space="preserve">Доля биоптатов кожи </w:t>
      </w:r>
      <w:r w:rsidR="00A550DB" w:rsidRPr="00C32FC4">
        <w:rPr>
          <w:i/>
          <w:iCs/>
        </w:rPr>
        <w:t>пациентов с</w:t>
      </w:r>
      <w:r w:rsidR="008C02A7" w:rsidRPr="00C32FC4">
        <w:rPr>
          <w:i/>
          <w:iCs/>
        </w:rPr>
        <w:t xml:space="preserve"> </w:t>
      </w:r>
      <w:r w:rsidR="00961EB9" w:rsidRPr="00C32FC4">
        <w:rPr>
          <w:i/>
          <w:iCs/>
        </w:rPr>
        <w:t>Т-клеточными лимфомами кожи</w:t>
      </w:r>
      <w:r w:rsidRPr="00C32FC4">
        <w:rPr>
          <w:i/>
          <w:iCs/>
        </w:rPr>
        <w:t>, в которых обнаруживается моноклональная реаранжировка гена Т-клеточного рецептора (TCR) методом полимеразной цепной реакции, может зависеть от метода амплификации</w:t>
      </w:r>
      <w:r w:rsidR="00F10C69" w:rsidRPr="00F10C69">
        <w:rPr>
          <w:i/>
          <w:iCs/>
        </w:rPr>
        <w:t xml:space="preserve"> </w:t>
      </w:r>
      <w:r w:rsidR="00F10C69">
        <w:rPr>
          <w:i/>
          <w:iCs/>
        </w:rPr>
        <w:fldChar w:fldCharType="begin" w:fldLock="1"/>
      </w:r>
      <w:r w:rsidR="00D84899">
        <w:rPr>
          <w:i/>
          <w:iCs/>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mendeley":{"formattedCitation":"[7]","plainTextFormattedCitation":"[7]","previouslyFormattedCitation":"[7]"},"properties":{"noteIndex":0},"schema":"https://github.com/citation-style-language/schema/raw/master/csl-citation.json"}</w:instrText>
      </w:r>
      <w:r w:rsidR="00F10C69">
        <w:rPr>
          <w:i/>
          <w:iCs/>
        </w:rPr>
        <w:fldChar w:fldCharType="separate"/>
      </w:r>
      <w:r w:rsidR="00F10C69" w:rsidRPr="00F10C69">
        <w:rPr>
          <w:iCs/>
          <w:noProof/>
        </w:rPr>
        <w:t>[7]</w:t>
      </w:r>
      <w:r w:rsidR="00F10C69">
        <w:rPr>
          <w:i/>
          <w:iCs/>
        </w:rPr>
        <w:fldChar w:fldCharType="end"/>
      </w:r>
      <w:r w:rsidR="00961EB9" w:rsidRPr="00C32FC4">
        <w:rPr>
          <w:i/>
          <w:iCs/>
        </w:rPr>
        <w:t xml:space="preserve">. </w:t>
      </w:r>
      <w:r w:rsidR="009D4A67" w:rsidRPr="00C32FC4">
        <w:rPr>
          <w:i/>
          <w:iCs/>
        </w:rPr>
        <w:t>О</w:t>
      </w:r>
      <w:r w:rsidRPr="00C32FC4">
        <w:rPr>
          <w:i/>
          <w:iCs/>
        </w:rPr>
        <w:t xml:space="preserve">писано выявление клонов Т-лимфоцитов методом </w:t>
      </w:r>
      <w:r w:rsidR="00961EB9" w:rsidRPr="00C32FC4">
        <w:rPr>
          <w:i/>
          <w:iCs/>
        </w:rPr>
        <w:t>полимеразной цепной реакции</w:t>
      </w:r>
      <w:r w:rsidRPr="00C32FC4">
        <w:rPr>
          <w:i/>
          <w:iCs/>
        </w:rPr>
        <w:t xml:space="preserve"> в биоптатах кожи 27 из 30 </w:t>
      </w:r>
      <w:r w:rsidR="00961EB9" w:rsidRPr="00C32FC4">
        <w:rPr>
          <w:i/>
          <w:iCs/>
        </w:rPr>
        <w:t>пациентов с</w:t>
      </w:r>
      <w:r w:rsidRPr="00C32FC4">
        <w:rPr>
          <w:i/>
          <w:iCs/>
        </w:rPr>
        <w:t xml:space="preserve"> синдромом Сезари</w:t>
      </w:r>
      <w:r w:rsidR="00A243AF" w:rsidRPr="00A243AF">
        <w:rPr>
          <w:i/>
          <w:iCs/>
        </w:rPr>
        <w:t xml:space="preserve"> </w:t>
      </w:r>
      <w:r w:rsidR="00D84899">
        <w:rPr>
          <w:i/>
          <w:iCs/>
        </w:rPr>
        <w:fldChar w:fldCharType="begin" w:fldLock="1"/>
      </w:r>
      <w:r w:rsidR="00222CD0">
        <w:rPr>
          <w:i/>
          <w:iCs/>
        </w:rPr>
        <w:instrText>ADDIN CSL_CITATION {"citationItems":[{"id":"ITEM-1","itemData":{"DOI":"10.1111/j.1365-2133.2005.06649.x","ISSN":"00070963","PMID":"16120144","abstract":"Background: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Dermatology","id":"ITEM-1","issue":"3","issued":{"date-parts":[["2005","9"]]},"page":"565-573","publisher":"Br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mendeley":{"formattedCitation":"[18]","plainTextFormattedCitation":"[18]","previouslyFormattedCitation":"[18]"},"properties":{"noteIndex":0},"schema":"https://github.com/citation-style-language/schema/raw/master/csl-citation.json"}</w:instrText>
      </w:r>
      <w:r w:rsidR="00D84899">
        <w:rPr>
          <w:i/>
          <w:iCs/>
        </w:rPr>
        <w:fldChar w:fldCharType="separate"/>
      </w:r>
      <w:r w:rsidR="00D84899" w:rsidRPr="00D84899">
        <w:rPr>
          <w:iCs/>
          <w:noProof/>
        </w:rPr>
        <w:t>[18]</w:t>
      </w:r>
      <w:r w:rsidR="00D84899">
        <w:rPr>
          <w:i/>
          <w:iCs/>
        </w:rPr>
        <w:fldChar w:fldCharType="end"/>
      </w:r>
      <w:r w:rsidRPr="00C32FC4">
        <w:rPr>
          <w:i/>
          <w:iCs/>
        </w:rPr>
        <w:t xml:space="preserve">. </w:t>
      </w:r>
      <w:r w:rsidR="00797BDB" w:rsidRPr="00C32FC4">
        <w:rPr>
          <w:i/>
          <w:iCs/>
        </w:rPr>
        <w:t>С</w:t>
      </w:r>
      <w:r w:rsidR="007146AF" w:rsidRPr="00C32FC4">
        <w:rPr>
          <w:i/>
          <w:iCs/>
        </w:rPr>
        <w:t xml:space="preserve">еквенирование биоптатов пораженной кожи </w:t>
      </w:r>
      <w:r w:rsidR="00C579D5" w:rsidRPr="00C32FC4">
        <w:rPr>
          <w:i/>
          <w:iCs/>
        </w:rPr>
        <w:t>пациентов с</w:t>
      </w:r>
      <w:r w:rsidR="008C02A7" w:rsidRPr="00C32FC4">
        <w:rPr>
          <w:i/>
          <w:iCs/>
        </w:rPr>
        <w:t xml:space="preserve"> </w:t>
      </w:r>
      <w:r w:rsidR="007146AF" w:rsidRPr="00C32FC4">
        <w:rPr>
          <w:i/>
          <w:iCs/>
        </w:rPr>
        <w:t>Т-клеточными лимфомами кожи считается более специфичным и чувствительным в обнаружении клона Т-лимфоцитов по сравнению с полимеразной цепной реакцией</w:t>
      </w:r>
      <w:r w:rsidR="00A36B71" w:rsidRPr="00A36B71">
        <w:rPr>
          <w:i/>
          <w:iCs/>
        </w:rPr>
        <w:t xml:space="preserve"> </w:t>
      </w:r>
      <w:r w:rsidR="00A36B71">
        <w:rPr>
          <w:i/>
          <w:iCs/>
        </w:rPr>
        <w:fldChar w:fldCharType="begin" w:fldLock="1"/>
      </w:r>
      <w:r w:rsidR="00222CD0">
        <w:rPr>
          <w:i/>
          <w:iCs/>
        </w:rPr>
        <w:instrText>ADDIN CSL_CITATION {"citationItems":[{"id":"ITEM-1","itemData":{"DOI":"10.1126/scitranslmed.aaa9122","ISSN":"19466242","PMID":"26446955","abstract":"Early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Medicine","id":"ITEM-1","issue":"308","issued":{"date-parts":[["2015","10","7"]]},"publisher":"American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mendeley":{"formattedCitation":"[19]","plainTextFormattedCitation":"[19]","previouslyFormattedCitation":"[19]"},"properties":{"noteIndex":0},"schema":"https://github.com/citation-style-language/schema/raw/master/csl-citation.json"}</w:instrText>
      </w:r>
      <w:r w:rsidR="00A36B71">
        <w:rPr>
          <w:i/>
          <w:iCs/>
        </w:rPr>
        <w:fldChar w:fldCharType="separate"/>
      </w:r>
      <w:r w:rsidR="00A36B71" w:rsidRPr="00A36B71">
        <w:rPr>
          <w:iCs/>
          <w:noProof/>
        </w:rPr>
        <w:t>[19]</w:t>
      </w:r>
      <w:r w:rsidR="00A36B71">
        <w:rPr>
          <w:i/>
          <w:iCs/>
        </w:rPr>
        <w:fldChar w:fldCharType="end"/>
      </w:r>
      <w:r w:rsidR="007146AF" w:rsidRPr="00C32FC4">
        <w:rPr>
          <w:i/>
          <w:iCs/>
        </w:rPr>
        <w:t>.</w:t>
      </w:r>
    </w:p>
    <w:p w:rsidR="00381F00" w:rsidRPr="00C32FC4" w:rsidRDefault="00961EB9" w:rsidP="00381F00">
      <w:pPr>
        <w:pStyle w:val="aff3"/>
        <w:divId w:val="266810958"/>
        <w:rPr>
          <w:i/>
          <w:iCs/>
        </w:rPr>
      </w:pPr>
      <w:r w:rsidRPr="00C32FC4">
        <w:rPr>
          <w:i/>
          <w:iCs/>
        </w:rPr>
        <w:lastRenderedPageBreak/>
        <w:t>Поскольку</w:t>
      </w:r>
      <w:r w:rsidR="00381F00" w:rsidRPr="00C32FC4">
        <w:rPr>
          <w:i/>
          <w:iCs/>
        </w:rPr>
        <w:t xml:space="preserve"> моноклональность</w:t>
      </w:r>
      <w:r w:rsidR="008C02A7" w:rsidRPr="00C32FC4">
        <w:rPr>
          <w:i/>
          <w:iCs/>
        </w:rPr>
        <w:t xml:space="preserve"> </w:t>
      </w:r>
      <w:r w:rsidRPr="00C32FC4">
        <w:rPr>
          <w:i/>
          <w:iCs/>
        </w:rPr>
        <w:t>может быть выявлена в случае некоторых воспалительных заболеваний</w:t>
      </w:r>
      <w:r w:rsidR="00381F00" w:rsidRPr="00C32FC4">
        <w:rPr>
          <w:i/>
          <w:iCs/>
        </w:rPr>
        <w:t xml:space="preserve">, результаты </w:t>
      </w:r>
      <w:r w:rsidRPr="00C32FC4">
        <w:rPr>
          <w:i/>
          <w:iCs/>
        </w:rPr>
        <w:t>определения</w:t>
      </w:r>
      <w:r w:rsidR="00381F00" w:rsidRPr="00C32FC4">
        <w:rPr>
          <w:i/>
          <w:iCs/>
        </w:rPr>
        <w:t xml:space="preserve"> реаранжировки гена </w:t>
      </w:r>
      <w:r w:rsidRPr="00C32FC4">
        <w:rPr>
          <w:i/>
          <w:iCs/>
        </w:rPr>
        <w:t>Т-клеточного рецептора</w:t>
      </w:r>
      <w:r w:rsidR="00381F00" w:rsidRPr="00C32FC4">
        <w:rPr>
          <w:i/>
          <w:iCs/>
        </w:rPr>
        <w:t xml:space="preserve"> необходимо рассматривать в сопоставлении с другими данными обследования пациента. Обнаружение идентичных клонов Т-лимфоцитов  в коже и крови может указывать на синдром Сезари, но не на воспалительные причины эритродермии</w:t>
      </w:r>
      <w:r w:rsidR="00A31D03" w:rsidRPr="00A31D03">
        <w:rPr>
          <w:i/>
          <w:iCs/>
        </w:rPr>
        <w:t xml:space="preserve"> </w:t>
      </w:r>
      <w:r w:rsidR="00A31D03">
        <w:rPr>
          <w:i/>
          <w:iCs/>
          <w:lang w:val="en-US"/>
        </w:rPr>
        <w:fldChar w:fldCharType="begin" w:fldLock="1"/>
      </w:r>
      <w:r w:rsidR="009D7D74">
        <w:rPr>
          <w:i/>
          <w:iCs/>
          <w:lang w:val="en-US"/>
        </w:rPr>
        <w:instrText>ADDIN</w:instrText>
      </w:r>
      <w:r w:rsidR="009D7D74" w:rsidRPr="009D7D74">
        <w:rPr>
          <w:i/>
          <w:iCs/>
        </w:rPr>
        <w:instrText xml:space="preserve"> </w:instrText>
      </w:r>
      <w:r w:rsidR="009D7D74">
        <w:rPr>
          <w:i/>
          <w:iCs/>
          <w:lang w:val="en-US"/>
        </w:rPr>
        <w:instrText>CSL</w:instrText>
      </w:r>
      <w:r w:rsidR="009D7D74" w:rsidRPr="009D7D74">
        <w:rPr>
          <w:i/>
          <w:iCs/>
        </w:rPr>
        <w:instrText>_</w:instrText>
      </w:r>
      <w:r w:rsidR="009D7D74">
        <w:rPr>
          <w:i/>
          <w:iCs/>
          <w:lang w:val="en-US"/>
        </w:rPr>
        <w:instrText>CITATION</w:instrText>
      </w:r>
      <w:r w:rsidR="009D7D74" w:rsidRPr="009D7D74">
        <w:rPr>
          <w:i/>
          <w:iCs/>
        </w:rPr>
        <w:instrText xml:space="preserve"> {"</w:instrText>
      </w:r>
      <w:r w:rsidR="009D7D74">
        <w:rPr>
          <w:i/>
          <w:iCs/>
          <w:lang w:val="en-US"/>
        </w:rPr>
        <w:instrText>citationItems</w:instrText>
      </w:r>
      <w:r w:rsidR="009D7D74" w:rsidRPr="009D7D74">
        <w:rPr>
          <w:i/>
          <w:iCs/>
        </w:rPr>
        <w:instrText>":[{"</w:instrText>
      </w:r>
      <w:r w:rsidR="009D7D74">
        <w:rPr>
          <w:i/>
          <w:iCs/>
          <w:lang w:val="en-US"/>
        </w:rPr>
        <w:instrText>id</w:instrText>
      </w:r>
      <w:r w:rsidR="009D7D74" w:rsidRPr="009D7D74">
        <w:rPr>
          <w:i/>
          <w:iCs/>
        </w:rPr>
        <w:instrText>":"</w:instrText>
      </w:r>
      <w:r w:rsidR="009D7D74">
        <w:rPr>
          <w:i/>
          <w:iCs/>
          <w:lang w:val="en-US"/>
        </w:rPr>
        <w:instrText>ITEM</w:instrText>
      </w:r>
      <w:r w:rsidR="009D7D74" w:rsidRPr="009D7D74">
        <w:rPr>
          <w:i/>
          <w:iCs/>
        </w:rPr>
        <w:instrText>-1","</w:instrText>
      </w:r>
      <w:r w:rsidR="009D7D74">
        <w:rPr>
          <w:i/>
          <w:iCs/>
          <w:lang w:val="en-US"/>
        </w:rPr>
        <w:instrText>itemData</w:instrText>
      </w:r>
      <w:r w:rsidR="009D7D74" w:rsidRPr="009D7D74">
        <w:rPr>
          <w:i/>
          <w:iCs/>
        </w:rPr>
        <w:instrText>":{"</w:instrText>
      </w:r>
      <w:r w:rsidR="009D7D74">
        <w:rPr>
          <w:i/>
          <w:iCs/>
          <w:lang w:val="en-US"/>
        </w:rPr>
        <w:instrText>DOI</w:instrText>
      </w:r>
      <w:r w:rsidR="009D7D74" w:rsidRPr="009D7D74">
        <w:rPr>
          <w:i/>
          <w:iCs/>
        </w:rPr>
        <w:instrText>":"10.1111/</w:instrText>
      </w:r>
      <w:r w:rsidR="009D7D74">
        <w:rPr>
          <w:i/>
          <w:iCs/>
          <w:lang w:val="en-US"/>
        </w:rPr>
        <w:instrText>j</w:instrText>
      </w:r>
      <w:r w:rsidR="009D7D74" w:rsidRPr="009D7D74">
        <w:rPr>
          <w:i/>
          <w:iCs/>
        </w:rPr>
        <w:instrText>.0303-6987.2006.00541.</w:instrText>
      </w:r>
      <w:r w:rsidR="009D7D74">
        <w:rPr>
          <w:i/>
          <w:iCs/>
          <w:lang w:val="en-US"/>
        </w:rPr>
        <w:instrText>x</w:instrText>
      </w:r>
      <w:r w:rsidR="009D7D74" w:rsidRPr="009D7D74">
        <w:rPr>
          <w:i/>
          <w:iCs/>
        </w:rPr>
        <w:instrText>","</w:instrText>
      </w:r>
      <w:r w:rsidR="009D7D74">
        <w:rPr>
          <w:i/>
          <w:iCs/>
          <w:lang w:val="en-US"/>
        </w:rPr>
        <w:instrText>ISSN</w:instrText>
      </w:r>
      <w:r w:rsidR="009D7D74" w:rsidRPr="009D7D74">
        <w:rPr>
          <w:i/>
          <w:iCs/>
        </w:rPr>
        <w:instrText>":"03036987","</w:instrText>
      </w:r>
      <w:r w:rsidR="009D7D74">
        <w:rPr>
          <w:i/>
          <w:iCs/>
          <w:lang w:val="en-US"/>
        </w:rPr>
        <w:instrText>PMID</w:instrText>
      </w:r>
      <w:r w:rsidR="009D7D74" w:rsidRPr="009D7D74">
        <w:rPr>
          <w:i/>
          <w:iCs/>
        </w:rPr>
        <w:instrText>":"16412210","</w:instrText>
      </w:r>
      <w:r w:rsidR="009D7D74">
        <w:rPr>
          <w:i/>
          <w:iCs/>
          <w:lang w:val="en-US"/>
        </w:rPr>
        <w:instrText>abstract</w:instrText>
      </w:r>
      <w:r w:rsidR="009D7D74" w:rsidRPr="009D7D74">
        <w:rPr>
          <w:i/>
          <w:iCs/>
        </w:rPr>
        <w:instrText>":"</w:instrText>
      </w:r>
      <w:r w:rsidR="009D7D74">
        <w:rPr>
          <w:i/>
          <w:iCs/>
          <w:lang w:val="en-US"/>
        </w:rPr>
        <w:instrText>Erythrodermic</w:instrText>
      </w:r>
      <w:r w:rsidR="009D7D74" w:rsidRPr="009D7D74">
        <w:rPr>
          <w:i/>
          <w:iCs/>
        </w:rPr>
        <w:instrText xml:space="preserve"> </w:instrText>
      </w:r>
      <w:r w:rsidR="009D7D74">
        <w:rPr>
          <w:i/>
          <w:iCs/>
          <w:lang w:val="en-US"/>
        </w:rPr>
        <w:instrText>cutaneous</w:instrText>
      </w:r>
      <w:r w:rsidR="009D7D74" w:rsidRPr="009D7D74">
        <w:rPr>
          <w:i/>
          <w:iCs/>
        </w:rPr>
        <w:instrText xml:space="preserve"> </w:instrText>
      </w:r>
      <w:r w:rsidR="009D7D74">
        <w:rPr>
          <w:i/>
          <w:iCs/>
          <w:lang w:val="en-US"/>
        </w:rPr>
        <w:instrText>T</w:instrText>
      </w:r>
      <w:r w:rsidR="009D7D74" w:rsidRPr="009D7D74">
        <w:rPr>
          <w:i/>
          <w:iCs/>
        </w:rPr>
        <w:instrText>-</w:instrText>
      </w:r>
      <w:r w:rsidR="009D7D74">
        <w:rPr>
          <w:i/>
          <w:iCs/>
          <w:lang w:val="en-US"/>
        </w:rPr>
        <w:instrText>cell</w:instrText>
      </w:r>
      <w:r w:rsidR="009D7D74" w:rsidRPr="009D7D74">
        <w:rPr>
          <w:i/>
          <w:iCs/>
        </w:rPr>
        <w:instrText xml:space="preserve"> </w:instrText>
      </w:r>
      <w:r w:rsidR="009D7D74">
        <w:rPr>
          <w:i/>
          <w:iCs/>
          <w:lang w:val="en-US"/>
        </w:rPr>
        <w:instrText>lymphoma</w:instrText>
      </w:r>
      <w:r w:rsidR="009D7D74" w:rsidRPr="009D7D74">
        <w:rPr>
          <w:i/>
          <w:iCs/>
        </w:rPr>
        <w:instrText xml:space="preserve"> (</w:instrText>
      </w:r>
      <w:r w:rsidR="009D7D74">
        <w:rPr>
          <w:i/>
          <w:iCs/>
          <w:lang w:val="en-US"/>
        </w:rPr>
        <w:instrText>E</w:instrText>
      </w:r>
      <w:r w:rsidR="009D7D74" w:rsidRPr="009D7D74">
        <w:rPr>
          <w:i/>
          <w:iCs/>
        </w:rPr>
        <w:instrText>-</w:instrText>
      </w:r>
      <w:r w:rsidR="009D7D74">
        <w:rPr>
          <w:i/>
          <w:iCs/>
          <w:lang w:val="en-US"/>
        </w:rPr>
        <w:instrText>CTCL</w:instrText>
      </w:r>
      <w:r w:rsidR="009D7D74" w:rsidRPr="009D7D74">
        <w:rPr>
          <w:i/>
          <w:iCs/>
        </w:rPr>
        <w:instrText xml:space="preserve">) </w:instrText>
      </w:r>
      <w:r w:rsidR="009D7D74">
        <w:rPr>
          <w:i/>
          <w:iCs/>
          <w:lang w:val="en-US"/>
        </w:rPr>
        <w:instrText>is</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cause</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less</w:instrText>
      </w:r>
      <w:r w:rsidR="009D7D74" w:rsidRPr="009D7D74">
        <w:rPr>
          <w:i/>
          <w:iCs/>
        </w:rPr>
        <w:instrText xml:space="preserve"> </w:instrText>
      </w:r>
      <w:r w:rsidR="009D7D74">
        <w:rPr>
          <w:i/>
          <w:iCs/>
          <w:lang w:val="en-US"/>
        </w:rPr>
        <w:instrText>than</w:instrText>
      </w:r>
      <w:r w:rsidR="009D7D74" w:rsidRPr="009D7D74">
        <w:rPr>
          <w:i/>
          <w:iCs/>
        </w:rPr>
        <w:instrText xml:space="preserve"> 5% </w:instrText>
      </w:r>
      <w:r w:rsidR="009D7D74">
        <w:rPr>
          <w:i/>
          <w:iCs/>
          <w:lang w:val="en-US"/>
        </w:rPr>
        <w:instrText>of</w:instrText>
      </w:r>
      <w:r w:rsidR="009D7D74" w:rsidRPr="009D7D74">
        <w:rPr>
          <w:i/>
          <w:iCs/>
        </w:rPr>
        <w:instrText xml:space="preserve"> </w:instrText>
      </w:r>
      <w:r w:rsidR="009D7D74">
        <w:rPr>
          <w:i/>
          <w:iCs/>
          <w:lang w:val="en-US"/>
        </w:rPr>
        <w:instrText>all</w:instrText>
      </w:r>
      <w:r w:rsidR="009D7D74" w:rsidRPr="009D7D74">
        <w:rPr>
          <w:i/>
          <w:iCs/>
        </w:rPr>
        <w:instrText xml:space="preserve"> </w:instrText>
      </w:r>
      <w:r w:rsidR="009D7D74">
        <w:rPr>
          <w:i/>
          <w:iCs/>
          <w:lang w:val="en-US"/>
        </w:rPr>
        <w:instrText>cases</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generalized</w:instrText>
      </w:r>
      <w:r w:rsidR="009D7D74" w:rsidRPr="009D7D74">
        <w:rPr>
          <w:i/>
          <w:iCs/>
        </w:rPr>
        <w:instrText xml:space="preserve"> </w:instrText>
      </w:r>
      <w:r w:rsidR="009D7D74">
        <w:rPr>
          <w:i/>
          <w:iCs/>
          <w:lang w:val="en-US"/>
        </w:rPr>
        <w:instrText>erythroderma</w:instrText>
      </w:r>
      <w:r w:rsidR="009D7D74" w:rsidRPr="009D7D74">
        <w:rPr>
          <w:i/>
          <w:iCs/>
        </w:rPr>
        <w:instrText xml:space="preserve">. </w:instrText>
      </w:r>
      <w:r w:rsidR="009D7D74">
        <w:rPr>
          <w:i/>
          <w:iCs/>
          <w:lang w:val="en-US"/>
        </w:rPr>
        <w:instrText>A</w:instrText>
      </w:r>
      <w:r w:rsidR="009D7D74" w:rsidRPr="009D7D74">
        <w:rPr>
          <w:i/>
          <w:iCs/>
        </w:rPr>
        <w:instrText xml:space="preserve"> </w:instrText>
      </w:r>
      <w:r w:rsidR="009D7D74">
        <w:rPr>
          <w:i/>
          <w:iCs/>
          <w:lang w:val="en-US"/>
        </w:rPr>
        <w:instrText>methodical</w:instrText>
      </w:r>
      <w:r w:rsidR="009D7D74" w:rsidRPr="009D7D74">
        <w:rPr>
          <w:i/>
          <w:iCs/>
        </w:rPr>
        <w:instrText xml:space="preserve"> </w:instrText>
      </w:r>
      <w:r w:rsidR="009D7D74">
        <w:rPr>
          <w:i/>
          <w:iCs/>
          <w:lang w:val="en-US"/>
        </w:rPr>
        <w:instrText>evaluation</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skin</w:instrText>
      </w:r>
      <w:r w:rsidR="009D7D74" w:rsidRPr="009D7D74">
        <w:rPr>
          <w:i/>
          <w:iCs/>
        </w:rPr>
        <w:instrText xml:space="preserve">, </w:instrText>
      </w:r>
      <w:r w:rsidR="009D7D74">
        <w:rPr>
          <w:i/>
          <w:iCs/>
          <w:lang w:val="en-US"/>
        </w:rPr>
        <w:instrText>blood</w:instrText>
      </w:r>
      <w:r w:rsidR="009D7D74" w:rsidRPr="009D7D74">
        <w:rPr>
          <w:i/>
          <w:iCs/>
        </w:rPr>
        <w:instrText xml:space="preserve">, </w:instrText>
      </w:r>
      <w:r w:rsidR="009D7D74">
        <w:rPr>
          <w:i/>
          <w:iCs/>
          <w:lang w:val="en-US"/>
        </w:rPr>
        <w:instrText>and</w:instrText>
      </w:r>
      <w:r w:rsidR="009D7D74" w:rsidRPr="009D7D74">
        <w:rPr>
          <w:i/>
          <w:iCs/>
        </w:rPr>
        <w:instrText xml:space="preserve"> </w:instrText>
      </w:r>
      <w:r w:rsidR="009D7D74">
        <w:rPr>
          <w:i/>
          <w:iCs/>
          <w:lang w:val="en-US"/>
        </w:rPr>
        <w:instrText>lymph</w:instrText>
      </w:r>
      <w:r w:rsidR="009D7D74" w:rsidRPr="009D7D74">
        <w:rPr>
          <w:i/>
          <w:iCs/>
        </w:rPr>
        <w:instrText xml:space="preserve"> </w:instrText>
      </w:r>
      <w:r w:rsidR="009D7D74">
        <w:rPr>
          <w:i/>
          <w:iCs/>
          <w:lang w:val="en-US"/>
        </w:rPr>
        <w:instrText>node</w:instrText>
      </w:r>
      <w:r w:rsidR="009D7D74" w:rsidRPr="009D7D74">
        <w:rPr>
          <w:i/>
          <w:iCs/>
        </w:rPr>
        <w:instrText xml:space="preserve"> </w:instrText>
      </w:r>
      <w:r w:rsidR="009D7D74">
        <w:rPr>
          <w:i/>
          <w:iCs/>
          <w:lang w:val="en-US"/>
        </w:rPr>
        <w:instrText>samples</w:instrText>
      </w:r>
      <w:r w:rsidR="009D7D74" w:rsidRPr="009D7D74">
        <w:rPr>
          <w:i/>
          <w:iCs/>
        </w:rPr>
        <w:instrText xml:space="preserve"> </w:instrText>
      </w:r>
      <w:r w:rsidR="009D7D74">
        <w:rPr>
          <w:i/>
          <w:iCs/>
          <w:lang w:val="en-US"/>
        </w:rPr>
        <w:instrText>using</w:instrText>
      </w:r>
      <w:r w:rsidR="009D7D74" w:rsidRPr="009D7D74">
        <w:rPr>
          <w:i/>
          <w:iCs/>
        </w:rPr>
        <w:instrText xml:space="preserve"> </w:instrText>
      </w:r>
      <w:r w:rsidR="009D7D74">
        <w:rPr>
          <w:i/>
          <w:iCs/>
          <w:lang w:val="en-US"/>
        </w:rPr>
        <w:instrText>standard</w:instrText>
      </w:r>
      <w:r w:rsidR="009D7D74" w:rsidRPr="009D7D74">
        <w:rPr>
          <w:i/>
          <w:iCs/>
        </w:rPr>
        <w:instrText xml:space="preserve"> </w:instrText>
      </w:r>
      <w:r w:rsidR="009D7D74">
        <w:rPr>
          <w:i/>
          <w:iCs/>
          <w:lang w:val="en-US"/>
        </w:rPr>
        <w:instrText>histology</w:instrText>
      </w:r>
      <w:r w:rsidR="009D7D74" w:rsidRPr="009D7D74">
        <w:rPr>
          <w:i/>
          <w:iCs/>
        </w:rPr>
        <w:instrText xml:space="preserve">, </w:instrText>
      </w:r>
      <w:r w:rsidR="009D7D74">
        <w:rPr>
          <w:i/>
          <w:iCs/>
          <w:lang w:val="en-US"/>
        </w:rPr>
        <w:instrText>immunohistochemistry</w:instrText>
      </w:r>
      <w:r w:rsidR="009D7D74" w:rsidRPr="009D7D74">
        <w:rPr>
          <w:i/>
          <w:iCs/>
        </w:rPr>
        <w:instrText xml:space="preserve"> (</w:instrText>
      </w:r>
      <w:r w:rsidR="009D7D74">
        <w:rPr>
          <w:i/>
          <w:iCs/>
          <w:lang w:val="en-US"/>
        </w:rPr>
        <w:instrText>IHC</w:instrText>
      </w:r>
      <w:r w:rsidR="009D7D74" w:rsidRPr="009D7D74">
        <w:rPr>
          <w:i/>
          <w:iCs/>
        </w:rPr>
        <w:instrText xml:space="preserve">), </w:instrText>
      </w:r>
      <w:r w:rsidR="009D7D74">
        <w:rPr>
          <w:i/>
          <w:iCs/>
          <w:lang w:val="en-US"/>
        </w:rPr>
        <w:instrText>flow</w:instrText>
      </w:r>
      <w:r w:rsidR="009D7D74" w:rsidRPr="009D7D74">
        <w:rPr>
          <w:i/>
          <w:iCs/>
        </w:rPr>
        <w:instrText xml:space="preserve"> </w:instrText>
      </w:r>
      <w:r w:rsidR="009D7D74">
        <w:rPr>
          <w:i/>
          <w:iCs/>
          <w:lang w:val="en-US"/>
        </w:rPr>
        <w:instrText>cytometry</w:instrText>
      </w:r>
      <w:r w:rsidR="009D7D74" w:rsidRPr="009D7D74">
        <w:rPr>
          <w:i/>
          <w:iCs/>
        </w:rPr>
        <w:instrText xml:space="preserve"> (</w:instrText>
      </w:r>
      <w:r w:rsidR="009D7D74">
        <w:rPr>
          <w:i/>
          <w:iCs/>
          <w:lang w:val="en-US"/>
        </w:rPr>
        <w:instrText>FC</w:instrText>
      </w:r>
      <w:r w:rsidR="009D7D74" w:rsidRPr="009D7D74">
        <w:rPr>
          <w:i/>
          <w:iCs/>
        </w:rPr>
        <w:instrText xml:space="preserve">), </w:instrText>
      </w:r>
      <w:r w:rsidR="009D7D74">
        <w:rPr>
          <w:i/>
          <w:iCs/>
          <w:lang w:val="en-US"/>
        </w:rPr>
        <w:instrText>and</w:instrText>
      </w:r>
      <w:r w:rsidR="009D7D74" w:rsidRPr="009D7D74">
        <w:rPr>
          <w:i/>
          <w:iCs/>
        </w:rPr>
        <w:instrText xml:space="preserve"> </w:instrText>
      </w:r>
      <w:r w:rsidR="009D7D74">
        <w:rPr>
          <w:i/>
          <w:iCs/>
          <w:lang w:val="en-US"/>
        </w:rPr>
        <w:instrText>molecular</w:instrText>
      </w:r>
      <w:r w:rsidR="009D7D74" w:rsidRPr="009D7D74">
        <w:rPr>
          <w:i/>
          <w:iCs/>
        </w:rPr>
        <w:instrText xml:space="preserve"> </w:instrText>
      </w:r>
      <w:r w:rsidR="009D7D74">
        <w:rPr>
          <w:i/>
          <w:iCs/>
          <w:lang w:val="en-US"/>
        </w:rPr>
        <w:instrText>analysis</w:instrText>
      </w:r>
      <w:r w:rsidR="009D7D74" w:rsidRPr="009D7D74">
        <w:rPr>
          <w:i/>
          <w:iCs/>
        </w:rPr>
        <w:instrText xml:space="preserve"> </w:instrText>
      </w:r>
      <w:r w:rsidR="009D7D74">
        <w:rPr>
          <w:i/>
          <w:iCs/>
          <w:lang w:val="en-US"/>
        </w:rPr>
        <w:instrText>for</w:instrText>
      </w:r>
      <w:r w:rsidR="009D7D74" w:rsidRPr="009D7D74">
        <w:rPr>
          <w:i/>
          <w:iCs/>
        </w:rPr>
        <w:instrText xml:space="preserve"> </w:instrText>
      </w:r>
      <w:r w:rsidR="009D7D74">
        <w:rPr>
          <w:i/>
          <w:iCs/>
          <w:lang w:val="en-US"/>
        </w:rPr>
        <w:instrText>evidence</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a</w:instrText>
      </w:r>
      <w:r w:rsidR="009D7D74" w:rsidRPr="009D7D74">
        <w:rPr>
          <w:i/>
          <w:iCs/>
        </w:rPr>
        <w:instrText xml:space="preserve"> </w:instrText>
      </w:r>
      <w:r w:rsidR="009D7D74">
        <w:rPr>
          <w:i/>
          <w:iCs/>
          <w:lang w:val="en-US"/>
        </w:rPr>
        <w:instrText>dominant</w:instrText>
      </w:r>
      <w:r w:rsidR="009D7D74" w:rsidRPr="009D7D74">
        <w:rPr>
          <w:i/>
          <w:iCs/>
        </w:rPr>
        <w:instrText xml:space="preserve"> </w:instrText>
      </w:r>
      <w:r w:rsidR="009D7D74">
        <w:rPr>
          <w:i/>
          <w:iCs/>
          <w:lang w:val="en-US"/>
        </w:rPr>
        <w:instrText>T</w:instrText>
      </w:r>
      <w:r w:rsidR="009D7D74" w:rsidRPr="009D7D74">
        <w:rPr>
          <w:i/>
          <w:iCs/>
        </w:rPr>
        <w:instrText>-</w:instrText>
      </w:r>
      <w:r w:rsidR="009D7D74">
        <w:rPr>
          <w:i/>
          <w:iCs/>
          <w:lang w:val="en-US"/>
        </w:rPr>
        <w:instrText>cell</w:instrText>
      </w:r>
      <w:r w:rsidR="009D7D74" w:rsidRPr="009D7D74">
        <w:rPr>
          <w:i/>
          <w:iCs/>
        </w:rPr>
        <w:instrText xml:space="preserve"> </w:instrText>
      </w:r>
      <w:r w:rsidR="009D7D74">
        <w:rPr>
          <w:i/>
          <w:iCs/>
          <w:lang w:val="en-US"/>
        </w:rPr>
        <w:instrText>clone</w:instrText>
      </w:r>
      <w:r w:rsidR="009D7D74" w:rsidRPr="009D7D74">
        <w:rPr>
          <w:i/>
          <w:iCs/>
        </w:rPr>
        <w:instrText xml:space="preserve"> </w:instrText>
      </w:r>
      <w:r w:rsidR="009D7D74">
        <w:rPr>
          <w:i/>
          <w:iCs/>
          <w:lang w:val="en-US"/>
        </w:rPr>
        <w:instrText>has</w:instrText>
      </w:r>
      <w:r w:rsidR="009D7D74" w:rsidRPr="009D7D74">
        <w:rPr>
          <w:i/>
          <w:iCs/>
        </w:rPr>
        <w:instrText xml:space="preserve"> </w:instrText>
      </w:r>
      <w:r w:rsidR="009D7D74">
        <w:rPr>
          <w:i/>
          <w:iCs/>
          <w:lang w:val="en-US"/>
        </w:rPr>
        <w:instrText>been</w:instrText>
      </w:r>
      <w:r w:rsidR="009D7D74" w:rsidRPr="009D7D74">
        <w:rPr>
          <w:i/>
          <w:iCs/>
        </w:rPr>
        <w:instrText xml:space="preserve"> </w:instrText>
      </w:r>
      <w:r w:rsidR="009D7D74">
        <w:rPr>
          <w:i/>
          <w:iCs/>
          <w:lang w:val="en-US"/>
        </w:rPr>
        <w:instrText>recommended</w:instrText>
      </w:r>
      <w:r w:rsidR="009D7D74" w:rsidRPr="009D7D74">
        <w:rPr>
          <w:i/>
          <w:iCs/>
        </w:rPr>
        <w:instrText xml:space="preserve"> </w:instrText>
      </w:r>
      <w:r w:rsidR="009D7D74">
        <w:rPr>
          <w:i/>
          <w:iCs/>
          <w:lang w:val="en-US"/>
        </w:rPr>
        <w:instrText>in</w:instrText>
      </w:r>
      <w:r w:rsidR="009D7D74" w:rsidRPr="009D7D74">
        <w:rPr>
          <w:i/>
          <w:iCs/>
        </w:rPr>
        <w:instrText xml:space="preserve"> </w:instrText>
      </w:r>
      <w:r w:rsidR="009D7D74">
        <w:rPr>
          <w:i/>
          <w:iCs/>
          <w:lang w:val="en-US"/>
        </w:rPr>
        <w:instrText>a</w:instrText>
      </w:r>
      <w:r w:rsidR="009D7D74" w:rsidRPr="009D7D74">
        <w:rPr>
          <w:i/>
          <w:iCs/>
        </w:rPr>
        <w:instrText xml:space="preserve"> </w:instrText>
      </w:r>
      <w:r w:rsidR="009D7D74">
        <w:rPr>
          <w:i/>
          <w:iCs/>
          <w:lang w:val="en-US"/>
        </w:rPr>
        <w:instrText>recently</w:instrText>
      </w:r>
      <w:r w:rsidR="009D7D74" w:rsidRPr="009D7D74">
        <w:rPr>
          <w:i/>
          <w:iCs/>
        </w:rPr>
        <w:instrText xml:space="preserve"> </w:instrText>
      </w:r>
      <w:r w:rsidR="009D7D74">
        <w:rPr>
          <w:i/>
          <w:iCs/>
          <w:lang w:val="en-US"/>
        </w:rPr>
        <w:instrText>published</w:instrText>
      </w:r>
      <w:r w:rsidR="009D7D74" w:rsidRPr="009D7D74">
        <w:rPr>
          <w:i/>
          <w:iCs/>
        </w:rPr>
        <w:instrText xml:space="preserve"> </w:instrText>
      </w:r>
      <w:r w:rsidR="009D7D74">
        <w:rPr>
          <w:i/>
          <w:iCs/>
          <w:lang w:val="en-US"/>
        </w:rPr>
        <w:instrText>diagnostic</w:instrText>
      </w:r>
      <w:r w:rsidR="009D7D74" w:rsidRPr="009D7D74">
        <w:rPr>
          <w:i/>
          <w:iCs/>
        </w:rPr>
        <w:instrText xml:space="preserve"> </w:instrText>
      </w:r>
      <w:r w:rsidR="009D7D74">
        <w:rPr>
          <w:i/>
          <w:iCs/>
          <w:lang w:val="en-US"/>
        </w:rPr>
        <w:instrText>algorithm</w:instrText>
      </w:r>
      <w:r w:rsidR="009D7D74" w:rsidRPr="009D7D74">
        <w:rPr>
          <w:i/>
          <w:iCs/>
        </w:rPr>
        <w:instrText xml:space="preserve">. </w:instrText>
      </w:r>
      <w:r w:rsidR="009D7D74">
        <w:rPr>
          <w:i/>
          <w:iCs/>
          <w:lang w:val="en-US"/>
        </w:rPr>
        <w:instrText>In</w:instrText>
      </w:r>
      <w:r w:rsidR="009D7D74" w:rsidRPr="009D7D74">
        <w:rPr>
          <w:i/>
          <w:iCs/>
        </w:rPr>
        <w:instrText xml:space="preserve"> </w:instrText>
      </w:r>
      <w:r w:rsidR="009D7D74">
        <w:rPr>
          <w:i/>
          <w:iCs/>
          <w:lang w:val="en-US"/>
        </w:rPr>
        <w:instrText>this</w:instrText>
      </w:r>
      <w:r w:rsidR="009D7D74" w:rsidRPr="009D7D74">
        <w:rPr>
          <w:i/>
          <w:iCs/>
        </w:rPr>
        <w:instrText xml:space="preserve"> </w:instrText>
      </w:r>
      <w:r w:rsidR="009D7D74">
        <w:rPr>
          <w:i/>
          <w:iCs/>
          <w:lang w:val="en-US"/>
        </w:rPr>
        <w:instrText>commentary</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author</w:instrText>
      </w:r>
      <w:r w:rsidR="009D7D74" w:rsidRPr="009D7D74">
        <w:rPr>
          <w:i/>
          <w:iCs/>
        </w:rPr>
        <w:instrText xml:space="preserve"> </w:instrText>
      </w:r>
      <w:r w:rsidR="009D7D74">
        <w:rPr>
          <w:i/>
          <w:iCs/>
          <w:lang w:val="en-US"/>
        </w:rPr>
        <w:instrText>discusses</w:instrText>
      </w:r>
      <w:r w:rsidR="009D7D74" w:rsidRPr="009D7D74">
        <w:rPr>
          <w:i/>
          <w:iCs/>
        </w:rPr>
        <w:instrText xml:space="preserve"> </w:instrText>
      </w:r>
      <w:r w:rsidR="009D7D74">
        <w:rPr>
          <w:i/>
          <w:iCs/>
          <w:lang w:val="en-US"/>
        </w:rPr>
        <w:instrText>available</w:instrText>
      </w:r>
      <w:r w:rsidR="009D7D74" w:rsidRPr="009D7D74">
        <w:rPr>
          <w:i/>
          <w:iCs/>
        </w:rPr>
        <w:instrText xml:space="preserve"> </w:instrText>
      </w:r>
      <w:r w:rsidR="009D7D74">
        <w:rPr>
          <w:i/>
          <w:iCs/>
          <w:lang w:val="en-US"/>
        </w:rPr>
        <w:instrText>information</w:instrText>
      </w:r>
      <w:r w:rsidR="009D7D74" w:rsidRPr="009D7D74">
        <w:rPr>
          <w:i/>
          <w:iCs/>
        </w:rPr>
        <w:instrText xml:space="preserve"> </w:instrText>
      </w:r>
      <w:r w:rsidR="009D7D74">
        <w:rPr>
          <w:i/>
          <w:iCs/>
          <w:lang w:val="en-US"/>
        </w:rPr>
        <w:instrText>regarding</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role</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these</w:instrText>
      </w:r>
      <w:r w:rsidR="009D7D74" w:rsidRPr="009D7D74">
        <w:rPr>
          <w:i/>
          <w:iCs/>
        </w:rPr>
        <w:instrText xml:space="preserve"> </w:instrText>
      </w:r>
      <w:r w:rsidR="009D7D74">
        <w:rPr>
          <w:i/>
          <w:iCs/>
          <w:lang w:val="en-US"/>
        </w:rPr>
        <w:instrText>diagnostic</w:instrText>
      </w:r>
      <w:r w:rsidR="009D7D74" w:rsidRPr="009D7D74">
        <w:rPr>
          <w:i/>
          <w:iCs/>
        </w:rPr>
        <w:instrText xml:space="preserve"> </w:instrText>
      </w:r>
      <w:r w:rsidR="009D7D74">
        <w:rPr>
          <w:i/>
          <w:iCs/>
          <w:lang w:val="en-US"/>
        </w:rPr>
        <w:instrText>methods</w:instrText>
      </w:r>
      <w:r w:rsidR="009D7D74" w:rsidRPr="009D7D74">
        <w:rPr>
          <w:i/>
          <w:iCs/>
        </w:rPr>
        <w:instrText xml:space="preserve"> </w:instrText>
      </w:r>
      <w:r w:rsidR="009D7D74">
        <w:rPr>
          <w:i/>
          <w:iCs/>
          <w:lang w:val="en-US"/>
        </w:rPr>
        <w:instrText>for</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diagnosis</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E</w:instrText>
      </w:r>
      <w:r w:rsidR="009D7D74" w:rsidRPr="009D7D74">
        <w:rPr>
          <w:i/>
          <w:iCs/>
        </w:rPr>
        <w:instrText>-</w:instrText>
      </w:r>
      <w:r w:rsidR="009D7D74">
        <w:rPr>
          <w:i/>
          <w:iCs/>
          <w:lang w:val="en-US"/>
        </w:rPr>
        <w:instrText>CTCL</w:instrText>
      </w:r>
      <w:r w:rsidR="009D7D74" w:rsidRPr="009D7D74">
        <w:rPr>
          <w:i/>
          <w:iCs/>
        </w:rPr>
        <w:instrText xml:space="preserve"> </w:instrText>
      </w:r>
      <w:r w:rsidR="009D7D74">
        <w:rPr>
          <w:i/>
          <w:iCs/>
          <w:lang w:val="en-US"/>
        </w:rPr>
        <w:instrText>with</w:instrText>
      </w:r>
      <w:r w:rsidR="009D7D74" w:rsidRPr="009D7D74">
        <w:rPr>
          <w:i/>
          <w:iCs/>
        </w:rPr>
        <w:instrText xml:space="preserve"> </w:instrText>
      </w:r>
      <w:r w:rsidR="009D7D74">
        <w:rPr>
          <w:i/>
          <w:iCs/>
          <w:lang w:val="en-US"/>
        </w:rPr>
        <w:instrText>emphasis</w:instrText>
      </w:r>
      <w:r w:rsidR="009D7D74" w:rsidRPr="009D7D74">
        <w:rPr>
          <w:i/>
          <w:iCs/>
        </w:rPr>
        <w:instrText xml:space="preserve"> </w:instrText>
      </w:r>
      <w:r w:rsidR="009D7D74">
        <w:rPr>
          <w:i/>
          <w:iCs/>
          <w:lang w:val="en-US"/>
        </w:rPr>
        <w:instrText>on</w:instrText>
      </w:r>
      <w:r w:rsidR="009D7D74" w:rsidRPr="009D7D74">
        <w:rPr>
          <w:i/>
          <w:iCs/>
        </w:rPr>
        <w:instrText xml:space="preserve"> </w:instrText>
      </w:r>
      <w:r w:rsidR="009D7D74">
        <w:rPr>
          <w:i/>
          <w:iCs/>
          <w:lang w:val="en-US"/>
        </w:rPr>
        <w:instrText>personal</w:instrText>
      </w:r>
      <w:r w:rsidR="009D7D74" w:rsidRPr="009D7D74">
        <w:rPr>
          <w:i/>
          <w:iCs/>
        </w:rPr>
        <w:instrText xml:space="preserve"> </w:instrText>
      </w:r>
      <w:r w:rsidR="009D7D74">
        <w:rPr>
          <w:i/>
          <w:iCs/>
          <w:lang w:val="en-US"/>
        </w:rPr>
        <w:instrText>observations</w:instrText>
      </w:r>
      <w:r w:rsidR="009D7D74" w:rsidRPr="009D7D74">
        <w:rPr>
          <w:i/>
          <w:iCs/>
        </w:rPr>
        <w:instrText xml:space="preserve"> </w:instrText>
      </w:r>
      <w:r w:rsidR="009D7D74">
        <w:rPr>
          <w:i/>
          <w:iCs/>
          <w:lang w:val="en-US"/>
        </w:rPr>
        <w:instrText>regarding</w:instrText>
      </w:r>
      <w:r w:rsidR="009D7D74" w:rsidRPr="009D7D74">
        <w:rPr>
          <w:i/>
          <w:iCs/>
        </w:rPr>
        <w:instrText xml:space="preserve"> </w:instrText>
      </w:r>
      <w:r w:rsidR="009D7D74">
        <w:rPr>
          <w:i/>
          <w:iCs/>
          <w:lang w:val="en-US"/>
        </w:rPr>
        <w:instrText>skin</w:instrText>
      </w:r>
      <w:r w:rsidR="009D7D74" w:rsidRPr="009D7D74">
        <w:rPr>
          <w:i/>
          <w:iCs/>
        </w:rPr>
        <w:instrText xml:space="preserve"> </w:instrText>
      </w:r>
      <w:r w:rsidR="009D7D74">
        <w:rPr>
          <w:i/>
          <w:iCs/>
          <w:lang w:val="en-US"/>
        </w:rPr>
        <w:instrText>IHC</w:instrText>
      </w:r>
      <w:r w:rsidR="009D7D74" w:rsidRPr="009D7D74">
        <w:rPr>
          <w:i/>
          <w:iCs/>
        </w:rPr>
        <w:instrText xml:space="preserve"> </w:instrText>
      </w:r>
      <w:r w:rsidR="009D7D74">
        <w:rPr>
          <w:i/>
          <w:iCs/>
          <w:lang w:val="en-US"/>
        </w:rPr>
        <w:instrText>and</w:instrText>
      </w:r>
      <w:r w:rsidR="009D7D74" w:rsidRPr="009D7D74">
        <w:rPr>
          <w:i/>
          <w:iCs/>
        </w:rPr>
        <w:instrText xml:space="preserve"> </w:instrText>
      </w:r>
      <w:r w:rsidR="009D7D74">
        <w:rPr>
          <w:i/>
          <w:iCs/>
          <w:lang w:val="en-US"/>
        </w:rPr>
        <w:instrText>polymerase</w:instrText>
      </w:r>
      <w:r w:rsidR="009D7D74" w:rsidRPr="009D7D74">
        <w:rPr>
          <w:i/>
          <w:iCs/>
        </w:rPr>
        <w:instrText xml:space="preserve"> </w:instrText>
      </w:r>
      <w:r w:rsidR="009D7D74">
        <w:rPr>
          <w:i/>
          <w:iCs/>
          <w:lang w:val="en-US"/>
        </w:rPr>
        <w:instrText>chain</w:instrText>
      </w:r>
      <w:r w:rsidR="009D7D74" w:rsidRPr="009D7D74">
        <w:rPr>
          <w:i/>
          <w:iCs/>
        </w:rPr>
        <w:instrText xml:space="preserve"> </w:instrText>
      </w:r>
      <w:r w:rsidR="009D7D74">
        <w:rPr>
          <w:i/>
          <w:iCs/>
          <w:lang w:val="en-US"/>
        </w:rPr>
        <w:instrText>reaction</w:instrText>
      </w:r>
      <w:r w:rsidR="009D7D74" w:rsidRPr="009D7D74">
        <w:rPr>
          <w:i/>
          <w:iCs/>
        </w:rPr>
        <w:instrText xml:space="preserve"> (</w:instrText>
      </w:r>
      <w:r w:rsidR="009D7D74">
        <w:rPr>
          <w:i/>
          <w:iCs/>
          <w:lang w:val="en-US"/>
        </w:rPr>
        <w:instrText>PCR</w:instrText>
      </w:r>
      <w:r w:rsidR="009D7D74" w:rsidRPr="009D7D74">
        <w:rPr>
          <w:i/>
          <w:iCs/>
        </w:rPr>
        <w:instrText>)-</w:instrText>
      </w:r>
      <w:r w:rsidR="009D7D74">
        <w:rPr>
          <w:i/>
          <w:iCs/>
          <w:lang w:val="en-US"/>
        </w:rPr>
        <w:instrText>based</w:instrText>
      </w:r>
      <w:r w:rsidR="009D7D74" w:rsidRPr="009D7D74">
        <w:rPr>
          <w:i/>
          <w:iCs/>
        </w:rPr>
        <w:instrText xml:space="preserve"> </w:instrText>
      </w:r>
      <w:r w:rsidR="009D7D74">
        <w:rPr>
          <w:i/>
          <w:iCs/>
          <w:lang w:val="en-US"/>
        </w:rPr>
        <w:instrText>molecular</w:instrText>
      </w:r>
      <w:r w:rsidR="009D7D74" w:rsidRPr="009D7D74">
        <w:rPr>
          <w:i/>
          <w:iCs/>
        </w:rPr>
        <w:instrText xml:space="preserve"> </w:instrText>
      </w:r>
      <w:r w:rsidR="009D7D74">
        <w:rPr>
          <w:i/>
          <w:iCs/>
          <w:lang w:val="en-US"/>
        </w:rPr>
        <w:instrText>studies</w:instrText>
      </w:r>
      <w:r w:rsidR="009D7D74" w:rsidRPr="009D7D74">
        <w:rPr>
          <w:i/>
          <w:iCs/>
        </w:rPr>
        <w:instrText xml:space="preserve"> </w:instrText>
      </w:r>
      <w:r w:rsidR="009D7D74">
        <w:rPr>
          <w:i/>
          <w:iCs/>
          <w:lang w:val="en-US"/>
        </w:rPr>
        <w:instrText>as</w:instrText>
      </w:r>
      <w:r w:rsidR="009D7D74" w:rsidRPr="009D7D74">
        <w:rPr>
          <w:i/>
          <w:iCs/>
        </w:rPr>
        <w:instrText xml:space="preserve"> </w:instrText>
      </w:r>
      <w:r w:rsidR="009D7D74">
        <w:rPr>
          <w:i/>
          <w:iCs/>
          <w:lang w:val="en-US"/>
        </w:rPr>
        <w:instrText>adjunct</w:instrText>
      </w:r>
      <w:r w:rsidR="009D7D74" w:rsidRPr="009D7D74">
        <w:rPr>
          <w:i/>
          <w:iCs/>
        </w:rPr>
        <w:instrText xml:space="preserve"> </w:instrText>
      </w:r>
      <w:r w:rsidR="009D7D74">
        <w:rPr>
          <w:i/>
          <w:iCs/>
          <w:lang w:val="en-US"/>
        </w:rPr>
        <w:instrText>diagnostic</w:instrText>
      </w:r>
      <w:r w:rsidR="009D7D74" w:rsidRPr="009D7D74">
        <w:rPr>
          <w:i/>
          <w:iCs/>
        </w:rPr>
        <w:instrText xml:space="preserve"> </w:instrText>
      </w:r>
      <w:r w:rsidR="009D7D74">
        <w:rPr>
          <w:i/>
          <w:iCs/>
          <w:lang w:val="en-US"/>
        </w:rPr>
        <w:instrText>studies</w:instrText>
      </w:r>
      <w:r w:rsidR="009D7D74" w:rsidRPr="009D7D74">
        <w:rPr>
          <w:i/>
          <w:iCs/>
        </w:rPr>
        <w:instrText xml:space="preserve"> </w:instrText>
      </w:r>
      <w:r w:rsidR="009D7D74">
        <w:rPr>
          <w:i/>
          <w:iCs/>
          <w:lang w:val="en-US"/>
        </w:rPr>
        <w:instrText>on</w:instrText>
      </w:r>
      <w:r w:rsidR="009D7D74" w:rsidRPr="009D7D74">
        <w:rPr>
          <w:i/>
          <w:iCs/>
        </w:rPr>
        <w:instrText xml:space="preserve"> </w:instrText>
      </w:r>
      <w:r w:rsidR="009D7D74">
        <w:rPr>
          <w:i/>
          <w:iCs/>
          <w:lang w:val="en-US"/>
        </w:rPr>
        <w:instrText>a</w:instrText>
      </w:r>
      <w:r w:rsidR="009D7D74" w:rsidRPr="009D7D74">
        <w:rPr>
          <w:i/>
          <w:iCs/>
        </w:rPr>
        <w:instrText xml:space="preserve"> </w:instrText>
      </w:r>
      <w:r w:rsidR="009D7D74">
        <w:rPr>
          <w:i/>
          <w:iCs/>
          <w:lang w:val="en-US"/>
        </w:rPr>
        <w:instrText>series</w:instrText>
      </w:r>
      <w:r w:rsidR="009D7D74" w:rsidRPr="009D7D74">
        <w:rPr>
          <w:i/>
          <w:iCs/>
        </w:rPr>
        <w:instrText xml:space="preserve"> </w:instrText>
      </w:r>
      <w:r w:rsidR="009D7D74">
        <w:rPr>
          <w:i/>
          <w:iCs/>
          <w:lang w:val="en-US"/>
        </w:rPr>
        <w:instrText>of</w:instrText>
      </w:r>
      <w:r w:rsidR="009D7D74" w:rsidRPr="009D7D74">
        <w:rPr>
          <w:i/>
          <w:iCs/>
        </w:rPr>
        <w:instrText xml:space="preserve"> 55 </w:instrText>
      </w:r>
      <w:r w:rsidR="009D7D74">
        <w:rPr>
          <w:i/>
          <w:iCs/>
          <w:lang w:val="en-US"/>
        </w:rPr>
        <w:instrText>patients</w:instrText>
      </w:r>
      <w:r w:rsidR="009D7D74" w:rsidRPr="009D7D74">
        <w:rPr>
          <w:i/>
          <w:iCs/>
        </w:rPr>
        <w:instrText xml:space="preserve"> </w:instrText>
      </w:r>
      <w:r w:rsidR="009D7D74">
        <w:rPr>
          <w:i/>
          <w:iCs/>
          <w:lang w:val="en-US"/>
        </w:rPr>
        <w:instrText>with</w:instrText>
      </w:r>
      <w:r w:rsidR="009D7D74" w:rsidRPr="009D7D74">
        <w:rPr>
          <w:i/>
          <w:iCs/>
        </w:rPr>
        <w:instrText xml:space="preserve"> </w:instrText>
      </w:r>
      <w:r w:rsidR="009D7D74">
        <w:rPr>
          <w:i/>
          <w:iCs/>
          <w:lang w:val="en-US"/>
        </w:rPr>
        <w:instrText>erythrodermic</w:instrText>
      </w:r>
      <w:r w:rsidR="009D7D74" w:rsidRPr="009D7D74">
        <w:rPr>
          <w:i/>
          <w:iCs/>
        </w:rPr>
        <w:instrText xml:space="preserve"> </w:instrText>
      </w:r>
      <w:r w:rsidR="009D7D74">
        <w:rPr>
          <w:i/>
          <w:iCs/>
          <w:lang w:val="en-US"/>
        </w:rPr>
        <w:instrText>mycosis</w:instrText>
      </w:r>
      <w:r w:rsidR="009D7D74" w:rsidRPr="009D7D74">
        <w:rPr>
          <w:i/>
          <w:iCs/>
        </w:rPr>
        <w:instrText xml:space="preserve"> </w:instrText>
      </w:r>
      <w:r w:rsidR="009D7D74">
        <w:rPr>
          <w:i/>
          <w:iCs/>
          <w:lang w:val="en-US"/>
        </w:rPr>
        <w:instrText>fungoides</w:instrText>
      </w:r>
      <w:r w:rsidR="009D7D74" w:rsidRPr="009D7D74">
        <w:rPr>
          <w:i/>
          <w:iCs/>
        </w:rPr>
        <w:instrText xml:space="preserve"> </w:instrText>
      </w:r>
      <w:r w:rsidR="009D7D74">
        <w:rPr>
          <w:i/>
          <w:iCs/>
          <w:lang w:val="en-US"/>
        </w:rPr>
        <w:instrText>and</w:instrText>
      </w:r>
      <w:r w:rsidR="009D7D74" w:rsidRPr="009D7D74">
        <w:rPr>
          <w:i/>
          <w:iCs/>
        </w:rPr>
        <w:instrText xml:space="preserve"> 50 </w:instrText>
      </w:r>
      <w:r w:rsidR="009D7D74">
        <w:rPr>
          <w:i/>
          <w:iCs/>
          <w:lang w:val="en-US"/>
        </w:rPr>
        <w:instrText>patients</w:instrText>
      </w:r>
      <w:r w:rsidR="009D7D74" w:rsidRPr="009D7D74">
        <w:rPr>
          <w:i/>
          <w:iCs/>
        </w:rPr>
        <w:instrText xml:space="preserve"> </w:instrText>
      </w:r>
      <w:r w:rsidR="009D7D74">
        <w:rPr>
          <w:i/>
          <w:iCs/>
          <w:lang w:val="en-US"/>
        </w:rPr>
        <w:instrText>with</w:instrText>
      </w:r>
      <w:r w:rsidR="009D7D74" w:rsidRPr="009D7D74">
        <w:rPr>
          <w:i/>
          <w:iCs/>
        </w:rPr>
        <w:instrText xml:space="preserve"> </w:instrText>
      </w:r>
      <w:r w:rsidR="009D7D74">
        <w:rPr>
          <w:i/>
          <w:iCs/>
          <w:lang w:val="en-US"/>
        </w:rPr>
        <w:instrText>S</w:instrText>
      </w:r>
      <w:r w:rsidR="009D7D74" w:rsidRPr="009D7D74">
        <w:rPr>
          <w:i/>
          <w:iCs/>
        </w:rPr>
        <w:instrText>é</w:instrText>
      </w:r>
      <w:r w:rsidR="009D7D74">
        <w:rPr>
          <w:i/>
          <w:iCs/>
          <w:lang w:val="en-US"/>
        </w:rPr>
        <w:instrText>zary</w:instrText>
      </w:r>
      <w:r w:rsidR="009D7D74" w:rsidRPr="009D7D74">
        <w:rPr>
          <w:i/>
          <w:iCs/>
        </w:rPr>
        <w:instrText xml:space="preserve"> </w:instrText>
      </w:r>
      <w:r w:rsidR="009D7D74">
        <w:rPr>
          <w:i/>
          <w:iCs/>
          <w:lang w:val="en-US"/>
        </w:rPr>
        <w:instrText>syndrome</w:instrText>
      </w:r>
      <w:r w:rsidR="009D7D74" w:rsidRPr="009D7D74">
        <w:rPr>
          <w:i/>
          <w:iCs/>
        </w:rPr>
        <w:instrText xml:space="preserve"> </w:instrText>
      </w:r>
      <w:r w:rsidR="009D7D74">
        <w:rPr>
          <w:i/>
          <w:iCs/>
          <w:lang w:val="en-US"/>
        </w:rPr>
        <w:instrText>compared</w:instrText>
      </w:r>
      <w:r w:rsidR="009D7D74" w:rsidRPr="009D7D74">
        <w:rPr>
          <w:i/>
          <w:iCs/>
        </w:rPr>
        <w:instrText xml:space="preserve"> </w:instrText>
      </w:r>
      <w:r w:rsidR="009D7D74">
        <w:rPr>
          <w:i/>
          <w:iCs/>
          <w:lang w:val="en-US"/>
        </w:rPr>
        <w:instrText>to</w:instrText>
      </w:r>
      <w:r w:rsidR="009D7D74" w:rsidRPr="009D7D74">
        <w:rPr>
          <w:i/>
          <w:iCs/>
        </w:rPr>
        <w:instrText xml:space="preserve"> 50 </w:instrText>
      </w:r>
      <w:r w:rsidR="009D7D74">
        <w:rPr>
          <w:i/>
          <w:iCs/>
          <w:lang w:val="en-US"/>
        </w:rPr>
        <w:instrText>patients</w:instrText>
      </w:r>
      <w:r w:rsidR="009D7D74" w:rsidRPr="009D7D74">
        <w:rPr>
          <w:i/>
          <w:iCs/>
        </w:rPr>
        <w:instrText xml:space="preserve"> </w:instrText>
      </w:r>
      <w:r w:rsidR="009D7D74">
        <w:rPr>
          <w:i/>
          <w:iCs/>
          <w:lang w:val="en-US"/>
        </w:rPr>
        <w:instrText>with</w:instrText>
      </w:r>
      <w:r w:rsidR="009D7D74" w:rsidRPr="009D7D74">
        <w:rPr>
          <w:i/>
          <w:iCs/>
        </w:rPr>
        <w:instrText xml:space="preserve"> </w:instrText>
      </w:r>
      <w:r w:rsidR="009D7D74">
        <w:rPr>
          <w:i/>
          <w:iCs/>
          <w:lang w:val="en-US"/>
        </w:rPr>
        <w:instrText>extensive</w:instrText>
      </w:r>
      <w:r w:rsidR="009D7D74" w:rsidRPr="009D7D74">
        <w:rPr>
          <w:i/>
          <w:iCs/>
        </w:rPr>
        <w:instrText xml:space="preserve"> </w:instrText>
      </w:r>
      <w:r w:rsidR="009D7D74">
        <w:rPr>
          <w:i/>
          <w:iCs/>
          <w:lang w:val="en-US"/>
        </w:rPr>
        <w:instrText>benign</w:instrText>
      </w:r>
      <w:r w:rsidR="009D7D74" w:rsidRPr="009D7D74">
        <w:rPr>
          <w:i/>
          <w:iCs/>
        </w:rPr>
        <w:instrText xml:space="preserve"> </w:instrText>
      </w:r>
      <w:r w:rsidR="009D7D74">
        <w:rPr>
          <w:i/>
          <w:iCs/>
          <w:lang w:val="en-US"/>
        </w:rPr>
        <w:instrText>inflammatory</w:instrText>
      </w:r>
      <w:r w:rsidR="009D7D74" w:rsidRPr="009D7D74">
        <w:rPr>
          <w:i/>
          <w:iCs/>
        </w:rPr>
        <w:instrText xml:space="preserve"> </w:instrText>
      </w:r>
      <w:r w:rsidR="009D7D74">
        <w:rPr>
          <w:i/>
          <w:iCs/>
          <w:lang w:val="en-US"/>
        </w:rPr>
        <w:instrText>skin</w:instrText>
      </w:r>
      <w:r w:rsidR="009D7D74" w:rsidRPr="009D7D74">
        <w:rPr>
          <w:i/>
          <w:iCs/>
        </w:rPr>
        <w:instrText xml:space="preserve"> </w:instrText>
      </w:r>
      <w:r w:rsidR="009D7D74">
        <w:rPr>
          <w:i/>
          <w:iCs/>
          <w:lang w:val="en-US"/>
        </w:rPr>
        <w:instrText>disease</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conclusions</w:instrText>
      </w:r>
      <w:r w:rsidR="009D7D74" w:rsidRPr="009D7D74">
        <w:rPr>
          <w:i/>
          <w:iCs/>
        </w:rPr>
        <w:instrText xml:space="preserve"> </w:instrText>
      </w:r>
      <w:r w:rsidR="009D7D74">
        <w:rPr>
          <w:i/>
          <w:iCs/>
          <w:lang w:val="en-US"/>
        </w:rPr>
        <w:instrText>are</w:instrText>
      </w:r>
      <w:r w:rsidR="009D7D74" w:rsidRPr="009D7D74">
        <w:rPr>
          <w:i/>
          <w:iCs/>
        </w:rPr>
        <w:instrText xml:space="preserve"> (1) </w:instrText>
      </w:r>
      <w:r w:rsidR="009D7D74">
        <w:rPr>
          <w:i/>
          <w:iCs/>
          <w:lang w:val="en-US"/>
        </w:rPr>
        <w:instrText>IHC</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skin</w:instrText>
      </w:r>
      <w:r w:rsidR="009D7D74" w:rsidRPr="009D7D74">
        <w:rPr>
          <w:i/>
          <w:iCs/>
        </w:rPr>
        <w:instrText xml:space="preserve"> </w:instrText>
      </w:r>
      <w:r w:rsidR="009D7D74">
        <w:rPr>
          <w:i/>
          <w:iCs/>
          <w:lang w:val="en-US"/>
        </w:rPr>
        <w:instrText>does</w:instrText>
      </w:r>
      <w:r w:rsidR="009D7D74" w:rsidRPr="009D7D74">
        <w:rPr>
          <w:i/>
          <w:iCs/>
        </w:rPr>
        <w:instrText xml:space="preserve"> </w:instrText>
      </w:r>
      <w:r w:rsidR="009D7D74">
        <w:rPr>
          <w:i/>
          <w:iCs/>
          <w:lang w:val="en-US"/>
        </w:rPr>
        <w:instrText>not</w:instrText>
      </w:r>
      <w:r w:rsidR="009D7D74" w:rsidRPr="009D7D74">
        <w:rPr>
          <w:i/>
          <w:iCs/>
        </w:rPr>
        <w:instrText xml:space="preserve"> </w:instrText>
      </w:r>
      <w:r w:rsidR="009D7D74">
        <w:rPr>
          <w:i/>
          <w:iCs/>
          <w:lang w:val="en-US"/>
        </w:rPr>
        <w:instrText>reliably</w:instrText>
      </w:r>
      <w:r w:rsidR="009D7D74" w:rsidRPr="009D7D74">
        <w:rPr>
          <w:i/>
          <w:iCs/>
        </w:rPr>
        <w:instrText xml:space="preserve"> </w:instrText>
      </w:r>
      <w:r w:rsidR="009D7D74">
        <w:rPr>
          <w:i/>
          <w:iCs/>
          <w:lang w:val="en-US"/>
        </w:rPr>
        <w:instrText>differentiate</w:instrText>
      </w:r>
      <w:r w:rsidR="009D7D74" w:rsidRPr="009D7D74">
        <w:rPr>
          <w:i/>
          <w:iCs/>
        </w:rPr>
        <w:instrText xml:space="preserve"> </w:instrText>
      </w:r>
      <w:r w:rsidR="009D7D74">
        <w:rPr>
          <w:i/>
          <w:iCs/>
          <w:lang w:val="en-US"/>
        </w:rPr>
        <w:instrText>E</w:instrText>
      </w:r>
      <w:r w:rsidR="009D7D74" w:rsidRPr="009D7D74">
        <w:rPr>
          <w:i/>
          <w:iCs/>
        </w:rPr>
        <w:instrText>-</w:instrText>
      </w:r>
      <w:r w:rsidR="009D7D74">
        <w:rPr>
          <w:i/>
          <w:iCs/>
          <w:lang w:val="en-US"/>
        </w:rPr>
        <w:instrText>CTCL</w:instrText>
      </w:r>
      <w:r w:rsidR="009D7D74" w:rsidRPr="009D7D74">
        <w:rPr>
          <w:i/>
          <w:iCs/>
        </w:rPr>
        <w:instrText xml:space="preserve"> </w:instrText>
      </w:r>
      <w:r w:rsidR="009D7D74">
        <w:rPr>
          <w:i/>
          <w:iCs/>
          <w:lang w:val="en-US"/>
        </w:rPr>
        <w:instrText>from</w:instrText>
      </w:r>
      <w:r w:rsidR="009D7D74" w:rsidRPr="009D7D74">
        <w:rPr>
          <w:i/>
          <w:iCs/>
        </w:rPr>
        <w:instrText xml:space="preserve"> </w:instrText>
      </w:r>
      <w:r w:rsidR="009D7D74">
        <w:rPr>
          <w:i/>
          <w:iCs/>
          <w:lang w:val="en-US"/>
        </w:rPr>
        <w:instrText>benign</w:instrText>
      </w:r>
      <w:r w:rsidR="009D7D74" w:rsidRPr="009D7D74">
        <w:rPr>
          <w:i/>
          <w:iCs/>
        </w:rPr>
        <w:instrText xml:space="preserve"> </w:instrText>
      </w:r>
      <w:r w:rsidR="009D7D74">
        <w:rPr>
          <w:i/>
          <w:iCs/>
          <w:lang w:val="en-US"/>
        </w:rPr>
        <w:instrText>simulants</w:instrText>
      </w:r>
      <w:r w:rsidR="009D7D74" w:rsidRPr="009D7D74">
        <w:rPr>
          <w:i/>
          <w:iCs/>
        </w:rPr>
        <w:instrText xml:space="preserve">, (2) </w:instrText>
      </w:r>
      <w:r w:rsidR="009D7D74">
        <w:rPr>
          <w:i/>
          <w:iCs/>
          <w:lang w:val="en-US"/>
        </w:rPr>
        <w:instrText>presence</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phenotypically</w:instrText>
      </w:r>
      <w:r w:rsidR="009D7D74" w:rsidRPr="009D7D74">
        <w:rPr>
          <w:i/>
          <w:iCs/>
        </w:rPr>
        <w:instrText xml:space="preserve"> </w:instrText>
      </w:r>
      <w:r w:rsidR="009D7D74">
        <w:rPr>
          <w:i/>
          <w:iCs/>
          <w:lang w:val="en-US"/>
        </w:rPr>
        <w:instrText>abnormal</w:instrText>
      </w:r>
      <w:r w:rsidR="009D7D74" w:rsidRPr="009D7D74">
        <w:rPr>
          <w:i/>
          <w:iCs/>
        </w:rPr>
        <w:instrText xml:space="preserve"> </w:instrText>
      </w:r>
      <w:r w:rsidR="009D7D74">
        <w:rPr>
          <w:i/>
          <w:iCs/>
          <w:lang w:val="en-US"/>
        </w:rPr>
        <w:instrText>T</w:instrText>
      </w:r>
      <w:r w:rsidR="009D7D74" w:rsidRPr="009D7D74">
        <w:rPr>
          <w:i/>
          <w:iCs/>
        </w:rPr>
        <w:instrText xml:space="preserve"> </w:instrText>
      </w:r>
      <w:r w:rsidR="009D7D74">
        <w:rPr>
          <w:i/>
          <w:iCs/>
          <w:lang w:val="en-US"/>
        </w:rPr>
        <w:instrText>cells</w:instrText>
      </w:r>
      <w:r w:rsidR="009D7D74" w:rsidRPr="009D7D74">
        <w:rPr>
          <w:i/>
          <w:iCs/>
        </w:rPr>
        <w:instrText xml:space="preserve"> </w:instrText>
      </w:r>
      <w:r w:rsidR="009D7D74">
        <w:rPr>
          <w:i/>
          <w:iCs/>
          <w:lang w:val="en-US"/>
        </w:rPr>
        <w:instrText>in</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blood</w:instrText>
      </w:r>
      <w:r w:rsidR="009D7D74" w:rsidRPr="009D7D74">
        <w:rPr>
          <w:i/>
          <w:iCs/>
        </w:rPr>
        <w:instrText xml:space="preserve"> </w:instrText>
      </w:r>
      <w:r w:rsidR="009D7D74">
        <w:rPr>
          <w:i/>
          <w:iCs/>
          <w:lang w:val="en-US"/>
        </w:rPr>
        <w:instrText>or</w:instrText>
      </w:r>
      <w:r w:rsidR="009D7D74" w:rsidRPr="009D7D74">
        <w:rPr>
          <w:i/>
          <w:iCs/>
        </w:rPr>
        <w:instrText xml:space="preserve"> </w:instrText>
      </w:r>
      <w:r w:rsidR="009D7D74">
        <w:rPr>
          <w:i/>
          <w:iCs/>
          <w:lang w:val="en-US"/>
        </w:rPr>
        <w:instrText>expanded</w:instrText>
      </w:r>
      <w:r w:rsidR="009D7D74" w:rsidRPr="009D7D74">
        <w:rPr>
          <w:i/>
          <w:iCs/>
        </w:rPr>
        <w:instrText xml:space="preserve"> </w:instrText>
      </w:r>
      <w:r w:rsidR="009D7D74">
        <w:rPr>
          <w:i/>
          <w:iCs/>
          <w:lang w:val="en-US"/>
        </w:rPr>
        <w:instrText>subsets</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CD</w:instrText>
      </w:r>
      <w:r w:rsidR="009D7D74" w:rsidRPr="009D7D74">
        <w:rPr>
          <w:i/>
          <w:iCs/>
        </w:rPr>
        <w:instrText>4+</w:instrText>
      </w:r>
      <w:r w:rsidR="009D7D74">
        <w:rPr>
          <w:i/>
          <w:iCs/>
          <w:lang w:val="en-US"/>
        </w:rPr>
        <w:instrText>CD</w:instrText>
      </w:r>
      <w:r w:rsidR="009D7D74" w:rsidRPr="009D7D74">
        <w:rPr>
          <w:i/>
          <w:iCs/>
        </w:rPr>
        <w:instrText xml:space="preserve">7- </w:instrText>
      </w:r>
      <w:r w:rsidR="009D7D74">
        <w:rPr>
          <w:i/>
          <w:iCs/>
          <w:lang w:val="en-US"/>
        </w:rPr>
        <w:instrText>or</w:instrText>
      </w:r>
      <w:r w:rsidR="009D7D74" w:rsidRPr="009D7D74">
        <w:rPr>
          <w:i/>
          <w:iCs/>
        </w:rPr>
        <w:instrText xml:space="preserve"> </w:instrText>
      </w:r>
      <w:r w:rsidR="009D7D74">
        <w:rPr>
          <w:i/>
          <w:iCs/>
          <w:lang w:val="en-US"/>
        </w:rPr>
        <w:instrText>CD</w:instrText>
      </w:r>
      <w:r w:rsidR="009D7D74" w:rsidRPr="009D7D74">
        <w:rPr>
          <w:i/>
          <w:iCs/>
        </w:rPr>
        <w:instrText>4 +</w:instrText>
      </w:r>
      <w:r w:rsidR="009D7D74">
        <w:rPr>
          <w:i/>
          <w:iCs/>
          <w:lang w:val="en-US"/>
        </w:rPr>
        <w:instrText>CD</w:instrText>
      </w:r>
      <w:r w:rsidR="009D7D74" w:rsidRPr="009D7D74">
        <w:rPr>
          <w:i/>
          <w:iCs/>
        </w:rPr>
        <w:instrText xml:space="preserve">26- </w:instrText>
      </w:r>
      <w:r w:rsidR="009D7D74">
        <w:rPr>
          <w:i/>
          <w:iCs/>
          <w:lang w:val="en-US"/>
        </w:rPr>
        <w:instrText>cells</w:instrText>
      </w:r>
      <w:r w:rsidR="009D7D74" w:rsidRPr="009D7D74">
        <w:rPr>
          <w:i/>
          <w:iCs/>
        </w:rPr>
        <w:instrText xml:space="preserve"> </w:instrText>
      </w:r>
      <w:r w:rsidR="009D7D74">
        <w:rPr>
          <w:i/>
          <w:iCs/>
          <w:lang w:val="en-US"/>
        </w:rPr>
        <w:instrText>by</w:instrText>
      </w:r>
      <w:r w:rsidR="009D7D74" w:rsidRPr="009D7D74">
        <w:rPr>
          <w:i/>
          <w:iCs/>
        </w:rPr>
        <w:instrText xml:space="preserve"> </w:instrText>
      </w:r>
      <w:r w:rsidR="009D7D74">
        <w:rPr>
          <w:i/>
          <w:iCs/>
          <w:lang w:val="en-US"/>
        </w:rPr>
        <w:instrText>FC</w:instrText>
      </w:r>
      <w:r w:rsidR="009D7D74" w:rsidRPr="009D7D74">
        <w:rPr>
          <w:i/>
          <w:iCs/>
        </w:rPr>
        <w:instrText xml:space="preserve"> </w:instrText>
      </w:r>
      <w:r w:rsidR="009D7D74">
        <w:rPr>
          <w:i/>
          <w:iCs/>
          <w:lang w:val="en-US"/>
        </w:rPr>
        <w:instrText>is</w:instrText>
      </w:r>
      <w:r w:rsidR="009D7D74" w:rsidRPr="009D7D74">
        <w:rPr>
          <w:i/>
          <w:iCs/>
        </w:rPr>
        <w:instrText xml:space="preserve"> </w:instrText>
      </w:r>
      <w:r w:rsidR="009D7D74">
        <w:rPr>
          <w:i/>
          <w:iCs/>
          <w:lang w:val="en-US"/>
        </w:rPr>
        <w:instrText>particularly</w:instrText>
      </w:r>
      <w:r w:rsidR="009D7D74" w:rsidRPr="009D7D74">
        <w:rPr>
          <w:i/>
          <w:iCs/>
        </w:rPr>
        <w:instrText xml:space="preserve"> </w:instrText>
      </w:r>
      <w:r w:rsidR="009D7D74">
        <w:rPr>
          <w:i/>
          <w:iCs/>
          <w:lang w:val="en-US"/>
        </w:rPr>
        <w:instrText>helpful</w:instrText>
      </w:r>
      <w:r w:rsidR="009D7D74" w:rsidRPr="009D7D74">
        <w:rPr>
          <w:i/>
          <w:iCs/>
        </w:rPr>
        <w:instrText xml:space="preserve"> </w:instrText>
      </w:r>
      <w:r w:rsidR="009D7D74">
        <w:rPr>
          <w:i/>
          <w:iCs/>
          <w:lang w:val="en-US"/>
        </w:rPr>
        <w:instrText>as</w:instrText>
      </w:r>
      <w:r w:rsidR="009D7D74" w:rsidRPr="009D7D74">
        <w:rPr>
          <w:i/>
          <w:iCs/>
        </w:rPr>
        <w:instrText xml:space="preserve"> </w:instrText>
      </w:r>
      <w:r w:rsidR="009D7D74">
        <w:rPr>
          <w:i/>
          <w:iCs/>
          <w:lang w:val="en-US"/>
        </w:rPr>
        <w:instrText>a</w:instrText>
      </w:r>
      <w:r w:rsidR="009D7D74" w:rsidRPr="009D7D74">
        <w:rPr>
          <w:i/>
          <w:iCs/>
        </w:rPr>
        <w:instrText xml:space="preserve"> </w:instrText>
      </w:r>
      <w:r w:rsidR="009D7D74">
        <w:rPr>
          <w:i/>
          <w:iCs/>
          <w:lang w:val="en-US"/>
        </w:rPr>
        <w:instrText>diagnostic</w:instrText>
      </w:r>
      <w:r w:rsidR="009D7D74" w:rsidRPr="009D7D74">
        <w:rPr>
          <w:i/>
          <w:iCs/>
        </w:rPr>
        <w:instrText xml:space="preserve"> </w:instrText>
      </w:r>
      <w:r w:rsidR="009D7D74">
        <w:rPr>
          <w:i/>
          <w:iCs/>
          <w:lang w:val="en-US"/>
        </w:rPr>
        <w:instrText>study</w:instrText>
      </w:r>
      <w:r w:rsidR="009D7D74" w:rsidRPr="009D7D74">
        <w:rPr>
          <w:i/>
          <w:iCs/>
        </w:rPr>
        <w:instrText xml:space="preserve">, (3) </w:instrText>
      </w:r>
      <w:r w:rsidR="009D7D74">
        <w:rPr>
          <w:i/>
          <w:iCs/>
          <w:lang w:val="en-US"/>
        </w:rPr>
        <w:instrText>the</w:instrText>
      </w:r>
      <w:r w:rsidR="009D7D74" w:rsidRPr="009D7D74">
        <w:rPr>
          <w:i/>
          <w:iCs/>
        </w:rPr>
        <w:instrText xml:space="preserve"> </w:instrText>
      </w:r>
      <w:r w:rsidR="009D7D74">
        <w:rPr>
          <w:i/>
          <w:iCs/>
          <w:lang w:val="en-US"/>
        </w:rPr>
        <w:instrText>presence</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an</w:instrText>
      </w:r>
      <w:r w:rsidR="009D7D74" w:rsidRPr="009D7D74">
        <w:rPr>
          <w:i/>
          <w:iCs/>
        </w:rPr>
        <w:instrText xml:space="preserve"> </w:instrText>
      </w:r>
      <w:r w:rsidR="009D7D74">
        <w:rPr>
          <w:i/>
          <w:iCs/>
          <w:lang w:val="en-US"/>
        </w:rPr>
        <w:instrText>identical</w:instrText>
      </w:r>
      <w:r w:rsidR="009D7D74" w:rsidRPr="009D7D74">
        <w:rPr>
          <w:i/>
          <w:iCs/>
        </w:rPr>
        <w:instrText xml:space="preserve"> </w:instrText>
      </w:r>
      <w:r w:rsidR="009D7D74">
        <w:rPr>
          <w:i/>
          <w:iCs/>
          <w:lang w:val="en-US"/>
        </w:rPr>
        <w:instrText>T</w:instrText>
      </w:r>
      <w:r w:rsidR="009D7D74" w:rsidRPr="009D7D74">
        <w:rPr>
          <w:i/>
          <w:iCs/>
        </w:rPr>
        <w:instrText>-</w:instrText>
      </w:r>
      <w:r w:rsidR="009D7D74">
        <w:rPr>
          <w:i/>
          <w:iCs/>
          <w:lang w:val="en-US"/>
        </w:rPr>
        <w:instrText>cell</w:instrText>
      </w:r>
      <w:r w:rsidR="009D7D74" w:rsidRPr="009D7D74">
        <w:rPr>
          <w:i/>
          <w:iCs/>
        </w:rPr>
        <w:instrText xml:space="preserve"> </w:instrText>
      </w:r>
      <w:r w:rsidR="009D7D74">
        <w:rPr>
          <w:i/>
          <w:iCs/>
          <w:lang w:val="en-US"/>
        </w:rPr>
        <w:instrText>clone</w:instrText>
      </w:r>
      <w:r w:rsidR="009D7D74" w:rsidRPr="009D7D74">
        <w:rPr>
          <w:i/>
          <w:iCs/>
        </w:rPr>
        <w:instrText xml:space="preserve"> </w:instrText>
      </w:r>
      <w:r w:rsidR="009D7D74">
        <w:rPr>
          <w:i/>
          <w:iCs/>
          <w:lang w:val="en-US"/>
        </w:rPr>
        <w:instrText>in</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skin</w:instrText>
      </w:r>
      <w:r w:rsidR="009D7D74" w:rsidRPr="009D7D74">
        <w:rPr>
          <w:i/>
          <w:iCs/>
        </w:rPr>
        <w:instrText xml:space="preserve"> </w:instrText>
      </w:r>
      <w:r w:rsidR="009D7D74">
        <w:rPr>
          <w:i/>
          <w:iCs/>
          <w:lang w:val="en-US"/>
        </w:rPr>
        <w:instrText>and</w:instrText>
      </w:r>
      <w:r w:rsidR="009D7D74" w:rsidRPr="009D7D74">
        <w:rPr>
          <w:i/>
          <w:iCs/>
        </w:rPr>
        <w:instrText xml:space="preserve"> </w:instrText>
      </w:r>
      <w:r w:rsidR="009D7D74">
        <w:rPr>
          <w:i/>
          <w:iCs/>
          <w:lang w:val="en-US"/>
        </w:rPr>
        <w:instrText>blood</w:instrText>
      </w:r>
      <w:r w:rsidR="009D7D74" w:rsidRPr="009D7D74">
        <w:rPr>
          <w:i/>
          <w:iCs/>
        </w:rPr>
        <w:instrText xml:space="preserve"> </w:instrText>
      </w:r>
      <w:r w:rsidR="009D7D74">
        <w:rPr>
          <w:i/>
          <w:iCs/>
          <w:lang w:val="en-US"/>
        </w:rPr>
        <w:instrText>also</w:instrText>
      </w:r>
      <w:r w:rsidR="009D7D74" w:rsidRPr="009D7D74">
        <w:rPr>
          <w:i/>
          <w:iCs/>
        </w:rPr>
        <w:instrText xml:space="preserve"> </w:instrText>
      </w:r>
      <w:r w:rsidR="009D7D74">
        <w:rPr>
          <w:i/>
          <w:iCs/>
          <w:lang w:val="en-US"/>
        </w:rPr>
        <w:instrText>is</w:instrText>
      </w:r>
      <w:r w:rsidR="009D7D74" w:rsidRPr="009D7D74">
        <w:rPr>
          <w:i/>
          <w:iCs/>
        </w:rPr>
        <w:instrText xml:space="preserve"> </w:instrText>
      </w:r>
      <w:r w:rsidR="009D7D74">
        <w:rPr>
          <w:i/>
          <w:iCs/>
          <w:lang w:val="en-US"/>
        </w:rPr>
        <w:instrText>a</w:instrText>
      </w:r>
      <w:r w:rsidR="009D7D74" w:rsidRPr="009D7D74">
        <w:rPr>
          <w:i/>
          <w:iCs/>
        </w:rPr>
        <w:instrText xml:space="preserve"> </w:instrText>
      </w:r>
      <w:r w:rsidR="009D7D74">
        <w:rPr>
          <w:i/>
          <w:iCs/>
          <w:lang w:val="en-US"/>
        </w:rPr>
        <w:instrText>specific</w:instrText>
      </w:r>
      <w:r w:rsidR="009D7D74" w:rsidRPr="009D7D74">
        <w:rPr>
          <w:i/>
          <w:iCs/>
        </w:rPr>
        <w:instrText xml:space="preserve"> </w:instrText>
      </w:r>
      <w:r w:rsidR="009D7D74">
        <w:rPr>
          <w:i/>
          <w:iCs/>
          <w:lang w:val="en-US"/>
        </w:rPr>
        <w:instrText>diagnostic</w:instrText>
      </w:r>
      <w:r w:rsidR="009D7D74" w:rsidRPr="009D7D74">
        <w:rPr>
          <w:i/>
          <w:iCs/>
        </w:rPr>
        <w:instrText xml:space="preserve"> </w:instrText>
      </w:r>
      <w:r w:rsidR="009D7D74">
        <w:rPr>
          <w:i/>
          <w:iCs/>
          <w:lang w:val="en-US"/>
        </w:rPr>
        <w:instrText>criterion</w:instrText>
      </w:r>
      <w:r w:rsidR="009D7D74" w:rsidRPr="009D7D74">
        <w:rPr>
          <w:i/>
          <w:iCs/>
        </w:rPr>
        <w:instrText xml:space="preserve"> </w:instrText>
      </w:r>
      <w:r w:rsidR="009D7D74">
        <w:rPr>
          <w:i/>
          <w:iCs/>
          <w:lang w:val="en-US"/>
        </w:rPr>
        <w:instrText>for</w:instrText>
      </w:r>
      <w:r w:rsidR="009D7D74" w:rsidRPr="009D7D74">
        <w:rPr>
          <w:i/>
          <w:iCs/>
        </w:rPr>
        <w:instrText xml:space="preserve"> </w:instrText>
      </w:r>
      <w:r w:rsidR="009D7D74">
        <w:rPr>
          <w:i/>
          <w:iCs/>
          <w:lang w:val="en-US"/>
        </w:rPr>
        <w:instrText>E</w:instrText>
      </w:r>
      <w:r w:rsidR="009D7D74" w:rsidRPr="009D7D74">
        <w:rPr>
          <w:i/>
          <w:iCs/>
        </w:rPr>
        <w:instrText>-</w:instrText>
      </w:r>
      <w:r w:rsidR="009D7D74">
        <w:rPr>
          <w:i/>
          <w:iCs/>
          <w:lang w:val="en-US"/>
        </w:rPr>
        <w:instrText>CTCL</w:instrText>
      </w:r>
      <w:r w:rsidR="009D7D74" w:rsidRPr="009D7D74">
        <w:rPr>
          <w:i/>
          <w:iCs/>
        </w:rPr>
        <w:instrText xml:space="preserve">, </w:instrText>
      </w:r>
      <w:r w:rsidR="009D7D74">
        <w:rPr>
          <w:i/>
          <w:iCs/>
          <w:lang w:val="en-US"/>
        </w:rPr>
        <w:instrText>but</w:instrText>
      </w:r>
      <w:r w:rsidR="009D7D74" w:rsidRPr="009D7D74">
        <w:rPr>
          <w:i/>
          <w:iCs/>
        </w:rPr>
        <w:instrText xml:space="preserve"> </w:instrText>
      </w:r>
      <w:r w:rsidR="009D7D74">
        <w:rPr>
          <w:i/>
          <w:iCs/>
          <w:lang w:val="en-US"/>
        </w:rPr>
        <w:instrText>exceptions</w:instrText>
      </w:r>
      <w:r w:rsidR="009D7D74" w:rsidRPr="009D7D74">
        <w:rPr>
          <w:i/>
          <w:iCs/>
        </w:rPr>
        <w:instrText xml:space="preserve"> </w:instrText>
      </w:r>
      <w:r w:rsidR="009D7D74">
        <w:rPr>
          <w:i/>
          <w:iCs/>
          <w:lang w:val="en-US"/>
        </w:rPr>
        <w:instrText>may</w:instrText>
      </w:r>
      <w:r w:rsidR="009D7D74" w:rsidRPr="009D7D74">
        <w:rPr>
          <w:i/>
          <w:iCs/>
        </w:rPr>
        <w:instrText xml:space="preserve"> </w:instrText>
      </w:r>
      <w:r w:rsidR="009D7D74">
        <w:rPr>
          <w:i/>
          <w:iCs/>
          <w:lang w:val="en-US"/>
        </w:rPr>
        <w:instrText>occur</w:instrText>
      </w:r>
      <w:r w:rsidR="009D7D74" w:rsidRPr="009D7D74">
        <w:rPr>
          <w:i/>
          <w:iCs/>
        </w:rPr>
        <w:instrText xml:space="preserve">, </w:instrText>
      </w:r>
      <w:r w:rsidR="009D7D74">
        <w:rPr>
          <w:i/>
          <w:iCs/>
          <w:lang w:val="en-US"/>
        </w:rPr>
        <w:instrText>and</w:instrText>
      </w:r>
      <w:r w:rsidR="009D7D74" w:rsidRPr="009D7D74">
        <w:rPr>
          <w:i/>
          <w:iCs/>
        </w:rPr>
        <w:instrText xml:space="preserve"> (4) </w:instrText>
      </w:r>
      <w:r w:rsidR="009D7D74">
        <w:rPr>
          <w:i/>
          <w:iCs/>
          <w:lang w:val="en-US"/>
        </w:rPr>
        <w:instrText>the</w:instrText>
      </w:r>
      <w:r w:rsidR="009D7D74" w:rsidRPr="009D7D74">
        <w:rPr>
          <w:i/>
          <w:iCs/>
        </w:rPr>
        <w:instrText xml:space="preserve"> </w:instrText>
      </w:r>
      <w:r w:rsidR="009D7D74">
        <w:rPr>
          <w:i/>
          <w:iCs/>
          <w:lang w:val="en-US"/>
        </w:rPr>
        <w:instrText>PCRγ</w:instrText>
      </w:r>
      <w:r w:rsidR="009D7D74" w:rsidRPr="009D7D74">
        <w:rPr>
          <w:i/>
          <w:iCs/>
        </w:rPr>
        <w:instrText>-</w:instrText>
      </w:r>
      <w:r w:rsidR="009D7D74">
        <w:rPr>
          <w:i/>
          <w:iCs/>
          <w:lang w:val="en-US"/>
        </w:rPr>
        <w:instrText>denaturing</w:instrText>
      </w:r>
      <w:r w:rsidR="009D7D74" w:rsidRPr="009D7D74">
        <w:rPr>
          <w:i/>
          <w:iCs/>
        </w:rPr>
        <w:instrText xml:space="preserve"> </w:instrText>
      </w:r>
      <w:r w:rsidR="009D7D74">
        <w:rPr>
          <w:i/>
          <w:iCs/>
          <w:lang w:val="en-US"/>
        </w:rPr>
        <w:instrText>gradient</w:instrText>
      </w:r>
      <w:r w:rsidR="009D7D74" w:rsidRPr="009D7D74">
        <w:rPr>
          <w:i/>
          <w:iCs/>
        </w:rPr>
        <w:instrText xml:space="preserve"> </w:instrText>
      </w:r>
      <w:r w:rsidR="009D7D74">
        <w:rPr>
          <w:i/>
          <w:iCs/>
          <w:lang w:val="en-US"/>
        </w:rPr>
        <w:instrText>gel</w:instrText>
      </w:r>
      <w:r w:rsidR="009D7D74" w:rsidRPr="009D7D74">
        <w:rPr>
          <w:i/>
          <w:iCs/>
        </w:rPr>
        <w:instrText xml:space="preserve"> </w:instrText>
      </w:r>
      <w:r w:rsidR="009D7D74">
        <w:rPr>
          <w:i/>
          <w:iCs/>
          <w:lang w:val="en-US"/>
        </w:rPr>
        <w:instrText>electrophoresis</w:instrText>
      </w:r>
      <w:r w:rsidR="009D7D74" w:rsidRPr="009D7D74">
        <w:rPr>
          <w:i/>
          <w:iCs/>
        </w:rPr>
        <w:instrText xml:space="preserve"> </w:instrText>
      </w:r>
      <w:r w:rsidR="009D7D74">
        <w:rPr>
          <w:i/>
          <w:iCs/>
          <w:lang w:val="en-US"/>
        </w:rPr>
        <w:instrText>technique</w:instrText>
      </w:r>
      <w:r w:rsidR="009D7D74" w:rsidRPr="009D7D74">
        <w:rPr>
          <w:i/>
          <w:iCs/>
        </w:rPr>
        <w:instrText xml:space="preserve"> </w:instrText>
      </w:r>
      <w:r w:rsidR="009D7D74">
        <w:rPr>
          <w:i/>
          <w:iCs/>
          <w:lang w:val="en-US"/>
        </w:rPr>
        <w:instrText>appears</w:instrText>
      </w:r>
      <w:r w:rsidR="009D7D74" w:rsidRPr="009D7D74">
        <w:rPr>
          <w:i/>
          <w:iCs/>
        </w:rPr>
        <w:instrText xml:space="preserve"> </w:instrText>
      </w:r>
      <w:r w:rsidR="009D7D74">
        <w:rPr>
          <w:i/>
          <w:iCs/>
          <w:lang w:val="en-US"/>
        </w:rPr>
        <w:instrText>to</w:instrText>
      </w:r>
      <w:r w:rsidR="009D7D74" w:rsidRPr="009D7D74">
        <w:rPr>
          <w:i/>
          <w:iCs/>
        </w:rPr>
        <w:instrText xml:space="preserve"> </w:instrText>
      </w:r>
      <w:r w:rsidR="009D7D74">
        <w:rPr>
          <w:i/>
          <w:iCs/>
          <w:lang w:val="en-US"/>
        </w:rPr>
        <w:instrText>be</w:instrText>
      </w:r>
      <w:r w:rsidR="009D7D74" w:rsidRPr="009D7D74">
        <w:rPr>
          <w:i/>
          <w:iCs/>
        </w:rPr>
        <w:instrText xml:space="preserve"> </w:instrText>
      </w:r>
      <w:r w:rsidR="009D7D74">
        <w:rPr>
          <w:i/>
          <w:iCs/>
          <w:lang w:val="en-US"/>
        </w:rPr>
        <w:instrText>more</w:instrText>
      </w:r>
      <w:r w:rsidR="009D7D74" w:rsidRPr="009D7D74">
        <w:rPr>
          <w:i/>
          <w:iCs/>
        </w:rPr>
        <w:instrText xml:space="preserve"> </w:instrText>
      </w:r>
      <w:r w:rsidR="009D7D74">
        <w:rPr>
          <w:i/>
          <w:iCs/>
          <w:lang w:val="en-US"/>
        </w:rPr>
        <w:instrText>reliable</w:instrText>
      </w:r>
      <w:r w:rsidR="009D7D74" w:rsidRPr="009D7D74">
        <w:rPr>
          <w:i/>
          <w:iCs/>
        </w:rPr>
        <w:instrText xml:space="preserve"> </w:instrText>
      </w:r>
      <w:r w:rsidR="009D7D74">
        <w:rPr>
          <w:i/>
          <w:iCs/>
          <w:lang w:val="en-US"/>
        </w:rPr>
        <w:instrText>than</w:instrText>
      </w:r>
      <w:r w:rsidR="009D7D74" w:rsidRPr="009D7D74">
        <w:rPr>
          <w:i/>
          <w:iCs/>
        </w:rPr>
        <w:instrText xml:space="preserve"> </w:instrText>
      </w:r>
      <w:r w:rsidR="009D7D74">
        <w:rPr>
          <w:i/>
          <w:iCs/>
          <w:lang w:val="en-US"/>
        </w:rPr>
        <w:instrText>PCRγ</w:instrText>
      </w:r>
      <w:r w:rsidR="009D7D74" w:rsidRPr="009D7D74">
        <w:rPr>
          <w:i/>
          <w:iCs/>
        </w:rPr>
        <w:instrText>-</w:instrText>
      </w:r>
      <w:r w:rsidR="009D7D74">
        <w:rPr>
          <w:i/>
          <w:iCs/>
          <w:lang w:val="en-US"/>
        </w:rPr>
        <w:instrText>single</w:instrText>
      </w:r>
      <w:r w:rsidR="009D7D74" w:rsidRPr="009D7D74">
        <w:rPr>
          <w:i/>
          <w:iCs/>
        </w:rPr>
        <w:instrText>-</w:instrText>
      </w:r>
      <w:r w:rsidR="009D7D74">
        <w:rPr>
          <w:i/>
          <w:iCs/>
          <w:lang w:val="en-US"/>
        </w:rPr>
        <w:instrText>stranded</w:instrText>
      </w:r>
      <w:r w:rsidR="009D7D74" w:rsidRPr="009D7D74">
        <w:rPr>
          <w:i/>
          <w:iCs/>
        </w:rPr>
        <w:instrText xml:space="preserve"> </w:instrText>
      </w:r>
      <w:r w:rsidR="009D7D74">
        <w:rPr>
          <w:i/>
          <w:iCs/>
          <w:lang w:val="en-US"/>
        </w:rPr>
        <w:instrText>conformational</w:instrText>
      </w:r>
      <w:r w:rsidR="009D7D74" w:rsidRPr="009D7D74">
        <w:rPr>
          <w:i/>
          <w:iCs/>
        </w:rPr>
        <w:instrText xml:space="preserve"> </w:instrText>
      </w:r>
      <w:r w:rsidR="009D7D74">
        <w:rPr>
          <w:i/>
          <w:iCs/>
          <w:lang w:val="en-US"/>
        </w:rPr>
        <w:instrText>polymorphism</w:instrText>
      </w:r>
      <w:r w:rsidR="009D7D74" w:rsidRPr="009D7D74">
        <w:rPr>
          <w:i/>
          <w:iCs/>
        </w:rPr>
        <w:instrText xml:space="preserve"> </w:instrText>
      </w:r>
      <w:r w:rsidR="009D7D74">
        <w:rPr>
          <w:i/>
          <w:iCs/>
          <w:lang w:val="en-US"/>
        </w:rPr>
        <w:instrText>for</w:instrText>
      </w:r>
      <w:r w:rsidR="009D7D74" w:rsidRPr="009D7D74">
        <w:rPr>
          <w:i/>
          <w:iCs/>
        </w:rPr>
        <w:instrText xml:space="preserve"> </w:instrText>
      </w:r>
      <w:r w:rsidR="009D7D74">
        <w:rPr>
          <w:i/>
          <w:iCs/>
          <w:lang w:val="en-US"/>
        </w:rPr>
        <w:instrText>diagnostic</w:instrText>
      </w:r>
      <w:r w:rsidR="009D7D74" w:rsidRPr="009D7D74">
        <w:rPr>
          <w:i/>
          <w:iCs/>
        </w:rPr>
        <w:instrText xml:space="preserve"> </w:instrText>
      </w:r>
      <w:r w:rsidR="009D7D74">
        <w:rPr>
          <w:i/>
          <w:iCs/>
          <w:lang w:val="en-US"/>
        </w:rPr>
        <w:instrText>purposes</w:instrText>
      </w:r>
      <w:r w:rsidR="009D7D74" w:rsidRPr="009D7D74">
        <w:rPr>
          <w:i/>
          <w:iCs/>
        </w:rPr>
        <w:instrText xml:space="preserve">. </w:instrText>
      </w:r>
      <w:r w:rsidR="009D7D74">
        <w:rPr>
          <w:i/>
          <w:iCs/>
          <w:lang w:val="en-US"/>
        </w:rPr>
        <w:instrText>Vonderheid</w:instrText>
      </w:r>
      <w:r w:rsidR="009D7D74" w:rsidRPr="009D7D74">
        <w:rPr>
          <w:i/>
          <w:iCs/>
        </w:rPr>
        <w:instrText xml:space="preserve"> </w:instrText>
      </w:r>
      <w:r w:rsidR="009D7D74">
        <w:rPr>
          <w:i/>
          <w:iCs/>
          <w:lang w:val="en-US"/>
        </w:rPr>
        <w:instrText>EC</w:instrText>
      </w:r>
      <w:r w:rsidR="009D7D74" w:rsidRPr="009D7D74">
        <w:rPr>
          <w:i/>
          <w:iCs/>
        </w:rPr>
        <w:instrText xml:space="preserve">. </w:instrText>
      </w:r>
      <w:r w:rsidR="009D7D74">
        <w:rPr>
          <w:i/>
          <w:iCs/>
          <w:lang w:val="en-US"/>
        </w:rPr>
        <w:instrText>On</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diagnosis</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erythrodermic</w:instrText>
      </w:r>
      <w:r w:rsidR="009D7D74" w:rsidRPr="009D7D74">
        <w:rPr>
          <w:i/>
          <w:iCs/>
        </w:rPr>
        <w:instrText xml:space="preserve"> </w:instrText>
      </w:r>
      <w:r w:rsidR="009D7D74">
        <w:rPr>
          <w:i/>
          <w:iCs/>
          <w:lang w:val="en-US"/>
        </w:rPr>
        <w:instrText>cutaneous</w:instrText>
      </w:r>
      <w:r w:rsidR="009D7D74" w:rsidRPr="009D7D74">
        <w:rPr>
          <w:i/>
          <w:iCs/>
        </w:rPr>
        <w:instrText xml:space="preserve"> </w:instrText>
      </w:r>
      <w:r w:rsidR="009D7D74">
        <w:rPr>
          <w:i/>
          <w:iCs/>
          <w:lang w:val="en-US"/>
        </w:rPr>
        <w:instrText>T</w:instrText>
      </w:r>
      <w:r w:rsidR="009D7D74" w:rsidRPr="009D7D74">
        <w:rPr>
          <w:i/>
          <w:iCs/>
        </w:rPr>
        <w:instrText>-</w:instrText>
      </w:r>
      <w:r w:rsidR="009D7D74">
        <w:rPr>
          <w:i/>
          <w:iCs/>
          <w:lang w:val="en-US"/>
        </w:rPr>
        <w:instrText>cell</w:instrText>
      </w:r>
      <w:r w:rsidR="009D7D74" w:rsidRPr="009D7D74">
        <w:rPr>
          <w:i/>
          <w:iCs/>
        </w:rPr>
        <w:instrText xml:space="preserve"> </w:instrText>
      </w:r>
      <w:r w:rsidR="009D7D74">
        <w:rPr>
          <w:i/>
          <w:iCs/>
          <w:lang w:val="en-US"/>
        </w:rPr>
        <w:instrText>lymphoma</w:instrText>
      </w:r>
      <w:r w:rsidR="009D7D74" w:rsidRPr="009D7D74">
        <w:rPr>
          <w:i/>
          <w:iCs/>
        </w:rPr>
        <w:instrText xml:space="preserve">. © </w:instrText>
      </w:r>
      <w:r w:rsidR="009D7D74">
        <w:rPr>
          <w:i/>
          <w:iCs/>
          <w:lang w:val="en-US"/>
        </w:rPr>
        <w:instrText>Blackwell</w:instrText>
      </w:r>
      <w:r w:rsidR="009D7D74" w:rsidRPr="009D7D74">
        <w:rPr>
          <w:i/>
          <w:iCs/>
        </w:rPr>
        <w:instrText xml:space="preserve"> </w:instrText>
      </w:r>
      <w:r w:rsidR="009D7D74">
        <w:rPr>
          <w:i/>
          <w:iCs/>
          <w:lang w:val="en-US"/>
        </w:rPr>
        <w:instrText>Munksgaard</w:instrText>
      </w:r>
      <w:r w:rsidR="009D7D74" w:rsidRPr="009D7D74">
        <w:rPr>
          <w:i/>
          <w:iCs/>
        </w:rPr>
        <w:instrText xml:space="preserve"> 2006.","</w:instrText>
      </w:r>
      <w:r w:rsidR="009D7D74">
        <w:rPr>
          <w:i/>
          <w:iCs/>
          <w:lang w:val="en-US"/>
        </w:rPr>
        <w:instrText>author</w:instrText>
      </w:r>
      <w:r w:rsidR="009D7D74" w:rsidRPr="009D7D74">
        <w:rPr>
          <w:i/>
          <w:iCs/>
        </w:rPr>
        <w:instrText>":[{"</w:instrText>
      </w:r>
      <w:r w:rsidR="009D7D74">
        <w:rPr>
          <w:i/>
          <w:iCs/>
          <w:lang w:val="en-US"/>
        </w:rPr>
        <w:instrText>dropping</w:instrText>
      </w:r>
      <w:r w:rsidR="009D7D74" w:rsidRPr="009D7D74">
        <w:rPr>
          <w:i/>
          <w:iCs/>
        </w:rPr>
        <w:instrText>-</w:instrText>
      </w:r>
      <w:r w:rsidR="009D7D74">
        <w:rPr>
          <w:i/>
          <w:iCs/>
          <w:lang w:val="en-US"/>
        </w:rPr>
        <w:instrText>particle</w:instrText>
      </w:r>
      <w:r w:rsidR="009D7D74" w:rsidRPr="009D7D74">
        <w:rPr>
          <w:i/>
          <w:iCs/>
        </w:rPr>
        <w:instrText>":"","</w:instrText>
      </w:r>
      <w:r w:rsidR="009D7D74">
        <w:rPr>
          <w:i/>
          <w:iCs/>
          <w:lang w:val="en-US"/>
        </w:rPr>
        <w:instrText>family</w:instrText>
      </w:r>
      <w:r w:rsidR="009D7D74" w:rsidRPr="009D7D74">
        <w:rPr>
          <w:i/>
          <w:iCs/>
        </w:rPr>
        <w:instrText>":"</w:instrText>
      </w:r>
      <w:r w:rsidR="009D7D74">
        <w:rPr>
          <w:i/>
          <w:iCs/>
          <w:lang w:val="en-US"/>
        </w:rPr>
        <w:instrText>Vonderheid</w:instrText>
      </w:r>
      <w:r w:rsidR="009D7D74" w:rsidRPr="009D7D74">
        <w:rPr>
          <w:i/>
          <w:iCs/>
        </w:rPr>
        <w:instrText>","</w:instrText>
      </w:r>
      <w:r w:rsidR="009D7D74">
        <w:rPr>
          <w:i/>
          <w:iCs/>
          <w:lang w:val="en-US"/>
        </w:rPr>
        <w:instrText>given</w:instrText>
      </w:r>
      <w:r w:rsidR="009D7D74" w:rsidRPr="009D7D74">
        <w:rPr>
          <w:i/>
          <w:iCs/>
        </w:rPr>
        <w:instrText>":"</w:instrText>
      </w:r>
      <w:r w:rsidR="009D7D74">
        <w:rPr>
          <w:i/>
          <w:iCs/>
          <w:lang w:val="en-US"/>
        </w:rPr>
        <w:instrText>Eric</w:instrText>
      </w:r>
      <w:r w:rsidR="009D7D74" w:rsidRPr="009D7D74">
        <w:rPr>
          <w:i/>
          <w:iCs/>
        </w:rPr>
        <w:instrText xml:space="preserve"> </w:instrText>
      </w:r>
      <w:r w:rsidR="009D7D74">
        <w:rPr>
          <w:i/>
          <w:iCs/>
          <w:lang w:val="en-US"/>
        </w:rPr>
        <w:instrText>C</w:instrText>
      </w:r>
      <w:r w:rsidR="009D7D74" w:rsidRPr="009D7D74">
        <w:rPr>
          <w:i/>
          <w:iCs/>
        </w:rPr>
        <w:instrText>.","</w:instrText>
      </w:r>
      <w:r w:rsidR="009D7D74">
        <w:rPr>
          <w:i/>
          <w:iCs/>
          <w:lang w:val="en-US"/>
        </w:rPr>
        <w:instrText>non</w:instrText>
      </w:r>
      <w:r w:rsidR="009D7D74" w:rsidRPr="009D7D74">
        <w:rPr>
          <w:i/>
          <w:iCs/>
        </w:rPr>
        <w:instrText>-</w:instrText>
      </w:r>
      <w:r w:rsidR="009D7D74">
        <w:rPr>
          <w:i/>
          <w:iCs/>
          <w:lang w:val="en-US"/>
        </w:rPr>
        <w:instrText>dropping</w:instrText>
      </w:r>
      <w:r w:rsidR="009D7D74" w:rsidRPr="009D7D74">
        <w:rPr>
          <w:i/>
          <w:iCs/>
        </w:rPr>
        <w:instrText>-</w:instrText>
      </w:r>
      <w:r w:rsidR="009D7D74">
        <w:rPr>
          <w:i/>
          <w:iCs/>
          <w:lang w:val="en-US"/>
        </w:rPr>
        <w:instrText>particle</w:instrText>
      </w:r>
      <w:r w:rsidR="009D7D74" w:rsidRPr="009D7D74">
        <w:rPr>
          <w:i/>
          <w:iCs/>
        </w:rPr>
        <w:instrText>":"","</w:instrText>
      </w:r>
      <w:r w:rsidR="009D7D74">
        <w:rPr>
          <w:i/>
          <w:iCs/>
          <w:lang w:val="en-US"/>
        </w:rPr>
        <w:instrText>parse</w:instrText>
      </w:r>
      <w:r w:rsidR="009D7D74" w:rsidRPr="009D7D74">
        <w:rPr>
          <w:i/>
          <w:iCs/>
        </w:rPr>
        <w:instrText>-</w:instrText>
      </w:r>
      <w:r w:rsidR="009D7D74">
        <w:rPr>
          <w:i/>
          <w:iCs/>
          <w:lang w:val="en-US"/>
        </w:rPr>
        <w:instrText>names</w:instrText>
      </w:r>
      <w:r w:rsidR="009D7D74" w:rsidRPr="009D7D74">
        <w:rPr>
          <w:i/>
          <w:iCs/>
        </w:rPr>
        <w:instrText>":</w:instrText>
      </w:r>
      <w:r w:rsidR="009D7D74">
        <w:rPr>
          <w:i/>
          <w:iCs/>
          <w:lang w:val="en-US"/>
        </w:rPr>
        <w:instrText>false</w:instrText>
      </w:r>
      <w:r w:rsidR="009D7D74" w:rsidRPr="009D7D74">
        <w:rPr>
          <w:i/>
          <w:iCs/>
        </w:rPr>
        <w:instrText>,"</w:instrText>
      </w:r>
      <w:r w:rsidR="009D7D74">
        <w:rPr>
          <w:i/>
          <w:iCs/>
          <w:lang w:val="en-US"/>
        </w:rPr>
        <w:instrText>suffix</w:instrText>
      </w:r>
      <w:r w:rsidR="009D7D74" w:rsidRPr="009D7D74">
        <w:rPr>
          <w:i/>
          <w:iCs/>
        </w:rPr>
        <w:instrText>":""}],"</w:instrText>
      </w:r>
      <w:r w:rsidR="009D7D74">
        <w:rPr>
          <w:i/>
          <w:iCs/>
          <w:lang w:val="en-US"/>
        </w:rPr>
        <w:instrText>container</w:instrText>
      </w:r>
      <w:r w:rsidR="009D7D74" w:rsidRPr="009D7D74">
        <w:rPr>
          <w:i/>
          <w:iCs/>
        </w:rPr>
        <w:instrText>-</w:instrText>
      </w:r>
      <w:r w:rsidR="009D7D74">
        <w:rPr>
          <w:i/>
          <w:iCs/>
          <w:lang w:val="en-US"/>
        </w:rPr>
        <w:instrText>title</w:instrText>
      </w:r>
      <w:r w:rsidR="009D7D74" w:rsidRPr="009D7D74">
        <w:rPr>
          <w:i/>
          <w:iCs/>
        </w:rPr>
        <w:instrText>":"</w:instrText>
      </w:r>
      <w:r w:rsidR="009D7D74">
        <w:rPr>
          <w:i/>
          <w:iCs/>
          <w:lang w:val="en-US"/>
        </w:rPr>
        <w:instrText>Journal</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Cutaneous</w:instrText>
      </w:r>
      <w:r w:rsidR="009D7D74" w:rsidRPr="009D7D74">
        <w:rPr>
          <w:i/>
          <w:iCs/>
        </w:rPr>
        <w:instrText xml:space="preserve"> </w:instrText>
      </w:r>
      <w:r w:rsidR="009D7D74">
        <w:rPr>
          <w:i/>
          <w:iCs/>
          <w:lang w:val="en-US"/>
        </w:rPr>
        <w:instrText>Pathology</w:instrText>
      </w:r>
      <w:r w:rsidR="009D7D74" w:rsidRPr="009D7D74">
        <w:rPr>
          <w:i/>
          <w:iCs/>
        </w:rPr>
        <w:instrText>","</w:instrText>
      </w:r>
      <w:r w:rsidR="009D7D74">
        <w:rPr>
          <w:i/>
          <w:iCs/>
          <w:lang w:val="en-US"/>
        </w:rPr>
        <w:instrText>id</w:instrText>
      </w:r>
      <w:r w:rsidR="009D7D74" w:rsidRPr="009D7D74">
        <w:rPr>
          <w:i/>
          <w:iCs/>
        </w:rPr>
        <w:instrText>":"</w:instrText>
      </w:r>
      <w:r w:rsidR="009D7D74">
        <w:rPr>
          <w:i/>
          <w:iCs/>
          <w:lang w:val="en-US"/>
        </w:rPr>
        <w:instrText>ITEM</w:instrText>
      </w:r>
      <w:r w:rsidR="009D7D74" w:rsidRPr="009D7D74">
        <w:rPr>
          <w:i/>
          <w:iCs/>
        </w:rPr>
        <w:instrText>-1","</w:instrText>
      </w:r>
      <w:r w:rsidR="009D7D74">
        <w:rPr>
          <w:i/>
          <w:iCs/>
          <w:lang w:val="en-US"/>
        </w:rPr>
        <w:instrText>issue</w:instrText>
      </w:r>
      <w:r w:rsidR="009D7D74" w:rsidRPr="009D7D74">
        <w:rPr>
          <w:i/>
          <w:iCs/>
        </w:rPr>
        <w:instrText>":"</w:instrText>
      </w:r>
      <w:r w:rsidR="009D7D74">
        <w:rPr>
          <w:i/>
          <w:iCs/>
          <w:lang w:val="en-US"/>
        </w:rPr>
        <w:instrText>SUPPL</w:instrText>
      </w:r>
      <w:r w:rsidR="009D7D74" w:rsidRPr="009D7D74">
        <w:rPr>
          <w:i/>
          <w:iCs/>
        </w:rPr>
        <w:instrText>. 1","</w:instrText>
      </w:r>
      <w:r w:rsidR="009D7D74">
        <w:rPr>
          <w:i/>
          <w:iCs/>
          <w:lang w:val="en-US"/>
        </w:rPr>
        <w:instrText>issued</w:instrText>
      </w:r>
      <w:r w:rsidR="009D7D74" w:rsidRPr="009D7D74">
        <w:rPr>
          <w:i/>
          <w:iCs/>
        </w:rPr>
        <w:instrText>":{"</w:instrText>
      </w:r>
      <w:r w:rsidR="009D7D74">
        <w:rPr>
          <w:i/>
          <w:iCs/>
          <w:lang w:val="en-US"/>
        </w:rPr>
        <w:instrText>date</w:instrText>
      </w:r>
      <w:r w:rsidR="009D7D74" w:rsidRPr="009D7D74">
        <w:rPr>
          <w:i/>
          <w:iCs/>
        </w:rPr>
        <w:instrText>-</w:instrText>
      </w:r>
      <w:r w:rsidR="009D7D74">
        <w:rPr>
          <w:i/>
          <w:iCs/>
          <w:lang w:val="en-US"/>
        </w:rPr>
        <w:instrText>parts</w:instrText>
      </w:r>
      <w:r w:rsidR="009D7D74" w:rsidRPr="009D7D74">
        <w:rPr>
          <w:i/>
          <w:iCs/>
        </w:rPr>
        <w:instrText>":[["2006","2"]]},"</w:instrText>
      </w:r>
      <w:r w:rsidR="009D7D74">
        <w:rPr>
          <w:i/>
          <w:iCs/>
          <w:lang w:val="en-US"/>
        </w:rPr>
        <w:instrText>page</w:instrText>
      </w:r>
      <w:r w:rsidR="009D7D74" w:rsidRPr="009D7D74">
        <w:rPr>
          <w:i/>
          <w:iCs/>
        </w:rPr>
        <w:instrText>":"27-42","</w:instrText>
      </w:r>
      <w:r w:rsidR="009D7D74">
        <w:rPr>
          <w:i/>
          <w:iCs/>
          <w:lang w:val="en-US"/>
        </w:rPr>
        <w:instrText>publisher</w:instrText>
      </w:r>
      <w:r w:rsidR="009D7D74" w:rsidRPr="009D7D74">
        <w:rPr>
          <w:i/>
          <w:iCs/>
        </w:rPr>
        <w:instrText>":"</w:instrText>
      </w:r>
      <w:r w:rsidR="009D7D74">
        <w:rPr>
          <w:i/>
          <w:iCs/>
          <w:lang w:val="en-US"/>
        </w:rPr>
        <w:instrText>J</w:instrText>
      </w:r>
      <w:r w:rsidR="009D7D74" w:rsidRPr="009D7D74">
        <w:rPr>
          <w:i/>
          <w:iCs/>
        </w:rPr>
        <w:instrText xml:space="preserve"> </w:instrText>
      </w:r>
      <w:r w:rsidR="009D7D74">
        <w:rPr>
          <w:i/>
          <w:iCs/>
          <w:lang w:val="en-US"/>
        </w:rPr>
        <w:instrText>Cutan</w:instrText>
      </w:r>
      <w:r w:rsidR="009D7D74" w:rsidRPr="009D7D74">
        <w:rPr>
          <w:i/>
          <w:iCs/>
        </w:rPr>
        <w:instrText xml:space="preserve"> </w:instrText>
      </w:r>
      <w:r w:rsidR="009D7D74">
        <w:rPr>
          <w:i/>
          <w:iCs/>
          <w:lang w:val="en-US"/>
        </w:rPr>
        <w:instrText>Pathol</w:instrText>
      </w:r>
      <w:r w:rsidR="009D7D74" w:rsidRPr="009D7D74">
        <w:rPr>
          <w:i/>
          <w:iCs/>
        </w:rPr>
        <w:instrText>","</w:instrText>
      </w:r>
      <w:r w:rsidR="009D7D74">
        <w:rPr>
          <w:i/>
          <w:iCs/>
          <w:lang w:val="en-US"/>
        </w:rPr>
        <w:instrText>title</w:instrText>
      </w:r>
      <w:r w:rsidR="009D7D74" w:rsidRPr="009D7D74">
        <w:rPr>
          <w:i/>
          <w:iCs/>
        </w:rPr>
        <w:instrText>":"</w:instrText>
      </w:r>
      <w:r w:rsidR="009D7D74">
        <w:rPr>
          <w:i/>
          <w:iCs/>
          <w:lang w:val="en-US"/>
        </w:rPr>
        <w:instrText>On</w:instrText>
      </w:r>
      <w:r w:rsidR="009D7D74" w:rsidRPr="009D7D74">
        <w:rPr>
          <w:i/>
          <w:iCs/>
        </w:rPr>
        <w:instrText xml:space="preserve"> </w:instrText>
      </w:r>
      <w:r w:rsidR="009D7D74">
        <w:rPr>
          <w:i/>
          <w:iCs/>
          <w:lang w:val="en-US"/>
        </w:rPr>
        <w:instrText>the</w:instrText>
      </w:r>
      <w:r w:rsidR="009D7D74" w:rsidRPr="009D7D74">
        <w:rPr>
          <w:i/>
          <w:iCs/>
        </w:rPr>
        <w:instrText xml:space="preserve"> </w:instrText>
      </w:r>
      <w:r w:rsidR="009D7D74">
        <w:rPr>
          <w:i/>
          <w:iCs/>
          <w:lang w:val="en-US"/>
        </w:rPr>
        <w:instrText>diagnosis</w:instrText>
      </w:r>
      <w:r w:rsidR="009D7D74" w:rsidRPr="009D7D74">
        <w:rPr>
          <w:i/>
          <w:iCs/>
        </w:rPr>
        <w:instrText xml:space="preserve"> </w:instrText>
      </w:r>
      <w:r w:rsidR="009D7D74">
        <w:rPr>
          <w:i/>
          <w:iCs/>
          <w:lang w:val="en-US"/>
        </w:rPr>
        <w:instrText>of</w:instrText>
      </w:r>
      <w:r w:rsidR="009D7D74" w:rsidRPr="009D7D74">
        <w:rPr>
          <w:i/>
          <w:iCs/>
        </w:rPr>
        <w:instrText xml:space="preserve"> </w:instrText>
      </w:r>
      <w:r w:rsidR="009D7D74">
        <w:rPr>
          <w:i/>
          <w:iCs/>
          <w:lang w:val="en-US"/>
        </w:rPr>
        <w:instrText>erythrodermic</w:instrText>
      </w:r>
      <w:r w:rsidR="009D7D74" w:rsidRPr="009D7D74">
        <w:rPr>
          <w:i/>
          <w:iCs/>
        </w:rPr>
        <w:instrText xml:space="preserve"> </w:instrText>
      </w:r>
      <w:r w:rsidR="009D7D74">
        <w:rPr>
          <w:i/>
          <w:iCs/>
          <w:lang w:val="en-US"/>
        </w:rPr>
        <w:instrText>cutaneous</w:instrText>
      </w:r>
      <w:r w:rsidR="009D7D74" w:rsidRPr="009D7D74">
        <w:rPr>
          <w:i/>
          <w:iCs/>
        </w:rPr>
        <w:instrText xml:space="preserve"> </w:instrText>
      </w:r>
      <w:r w:rsidR="009D7D74">
        <w:rPr>
          <w:i/>
          <w:iCs/>
          <w:lang w:val="en-US"/>
        </w:rPr>
        <w:instrText>T</w:instrText>
      </w:r>
      <w:r w:rsidR="009D7D74" w:rsidRPr="009D7D74">
        <w:rPr>
          <w:i/>
          <w:iCs/>
        </w:rPr>
        <w:instrText>-</w:instrText>
      </w:r>
      <w:r w:rsidR="009D7D74">
        <w:rPr>
          <w:i/>
          <w:iCs/>
          <w:lang w:val="en-US"/>
        </w:rPr>
        <w:instrText>cell</w:instrText>
      </w:r>
      <w:r w:rsidR="009D7D74" w:rsidRPr="009D7D74">
        <w:rPr>
          <w:i/>
          <w:iCs/>
        </w:rPr>
        <w:instrText xml:space="preserve"> </w:instrText>
      </w:r>
      <w:r w:rsidR="009D7D74">
        <w:rPr>
          <w:i/>
          <w:iCs/>
          <w:lang w:val="en-US"/>
        </w:rPr>
        <w:instrText>lymphoma</w:instrText>
      </w:r>
      <w:r w:rsidR="009D7D74" w:rsidRPr="009D7D74">
        <w:rPr>
          <w:i/>
          <w:iCs/>
        </w:rPr>
        <w:instrText>","</w:instrText>
      </w:r>
      <w:r w:rsidR="009D7D74">
        <w:rPr>
          <w:i/>
          <w:iCs/>
          <w:lang w:val="en-US"/>
        </w:rPr>
        <w:instrText>type</w:instrText>
      </w:r>
      <w:r w:rsidR="009D7D74" w:rsidRPr="009D7D74">
        <w:rPr>
          <w:i/>
          <w:iCs/>
        </w:rPr>
        <w:instrText>":"</w:instrText>
      </w:r>
      <w:r w:rsidR="009D7D74">
        <w:rPr>
          <w:i/>
          <w:iCs/>
          <w:lang w:val="en-US"/>
        </w:rPr>
        <w:instrText>article</w:instrText>
      </w:r>
      <w:r w:rsidR="009D7D74" w:rsidRPr="009D7D74">
        <w:rPr>
          <w:i/>
          <w:iCs/>
        </w:rPr>
        <w:instrText>","</w:instrText>
      </w:r>
      <w:r w:rsidR="009D7D74">
        <w:rPr>
          <w:i/>
          <w:iCs/>
          <w:lang w:val="en-US"/>
        </w:rPr>
        <w:instrText>volume</w:instrText>
      </w:r>
      <w:r w:rsidR="009D7D74" w:rsidRPr="009D7D74">
        <w:rPr>
          <w:i/>
          <w:iCs/>
        </w:rPr>
        <w:instrText>":"33"},"</w:instrText>
      </w:r>
      <w:r w:rsidR="009D7D74">
        <w:rPr>
          <w:i/>
          <w:iCs/>
          <w:lang w:val="en-US"/>
        </w:rPr>
        <w:instrText>uris</w:instrText>
      </w:r>
      <w:r w:rsidR="009D7D74" w:rsidRPr="009D7D74">
        <w:rPr>
          <w:i/>
          <w:iCs/>
        </w:rPr>
        <w:instrText>":["</w:instrText>
      </w:r>
      <w:r w:rsidR="009D7D74">
        <w:rPr>
          <w:i/>
          <w:iCs/>
          <w:lang w:val="en-US"/>
        </w:rPr>
        <w:instrText>http</w:instrText>
      </w:r>
      <w:r w:rsidR="009D7D74" w:rsidRPr="009D7D74">
        <w:rPr>
          <w:i/>
          <w:iCs/>
        </w:rPr>
        <w:instrText>://</w:instrText>
      </w:r>
      <w:r w:rsidR="009D7D74">
        <w:rPr>
          <w:i/>
          <w:iCs/>
          <w:lang w:val="en-US"/>
        </w:rPr>
        <w:instrText>www</w:instrText>
      </w:r>
      <w:r w:rsidR="009D7D74" w:rsidRPr="009D7D74">
        <w:rPr>
          <w:i/>
          <w:iCs/>
        </w:rPr>
        <w:instrText>.</w:instrText>
      </w:r>
      <w:r w:rsidR="009D7D74">
        <w:rPr>
          <w:i/>
          <w:iCs/>
          <w:lang w:val="en-US"/>
        </w:rPr>
        <w:instrText>mendeley</w:instrText>
      </w:r>
      <w:r w:rsidR="009D7D74" w:rsidRPr="009D7D74">
        <w:rPr>
          <w:i/>
          <w:iCs/>
        </w:rPr>
        <w:instrText>.</w:instrText>
      </w:r>
      <w:r w:rsidR="009D7D74">
        <w:rPr>
          <w:i/>
          <w:iCs/>
          <w:lang w:val="en-US"/>
        </w:rPr>
        <w:instrText>com</w:instrText>
      </w:r>
      <w:r w:rsidR="009D7D74" w:rsidRPr="009D7D74">
        <w:rPr>
          <w:i/>
          <w:iCs/>
        </w:rPr>
        <w:instrText>/</w:instrText>
      </w:r>
      <w:r w:rsidR="009D7D74">
        <w:rPr>
          <w:i/>
          <w:iCs/>
          <w:lang w:val="en-US"/>
        </w:rPr>
        <w:instrText>documents</w:instrText>
      </w:r>
      <w:r w:rsidR="009D7D74" w:rsidRPr="009D7D74">
        <w:rPr>
          <w:i/>
          <w:iCs/>
        </w:rPr>
        <w:instrText>/?</w:instrText>
      </w:r>
      <w:r w:rsidR="009D7D74">
        <w:rPr>
          <w:i/>
          <w:iCs/>
          <w:lang w:val="en-US"/>
        </w:rPr>
        <w:instrText>uuid</w:instrText>
      </w:r>
      <w:r w:rsidR="009D7D74" w:rsidRPr="009D7D74">
        <w:rPr>
          <w:i/>
          <w:iCs/>
        </w:rPr>
        <w:instrText>=6</w:instrText>
      </w:r>
      <w:r w:rsidR="009D7D74">
        <w:rPr>
          <w:i/>
          <w:iCs/>
          <w:lang w:val="en-US"/>
        </w:rPr>
        <w:instrText>a</w:instrText>
      </w:r>
      <w:r w:rsidR="009D7D74" w:rsidRPr="009D7D74">
        <w:rPr>
          <w:i/>
          <w:iCs/>
        </w:rPr>
        <w:instrText>68051</w:instrText>
      </w:r>
      <w:r w:rsidR="009D7D74">
        <w:rPr>
          <w:i/>
          <w:iCs/>
          <w:lang w:val="en-US"/>
        </w:rPr>
        <w:instrText>d</w:instrText>
      </w:r>
      <w:r w:rsidR="009D7D74" w:rsidRPr="009D7D74">
        <w:rPr>
          <w:i/>
          <w:iCs/>
        </w:rPr>
        <w:instrText>-2</w:instrText>
      </w:r>
      <w:r w:rsidR="009D7D74">
        <w:rPr>
          <w:i/>
          <w:iCs/>
          <w:lang w:val="en-US"/>
        </w:rPr>
        <w:instrText>a</w:instrText>
      </w:r>
      <w:r w:rsidR="009D7D74" w:rsidRPr="009D7D74">
        <w:rPr>
          <w:i/>
          <w:iCs/>
        </w:rPr>
        <w:instrText>70-3369-8294-0</w:instrText>
      </w:r>
      <w:r w:rsidR="009D7D74">
        <w:rPr>
          <w:i/>
          <w:iCs/>
          <w:lang w:val="en-US"/>
        </w:rPr>
        <w:instrText>c</w:instrText>
      </w:r>
      <w:r w:rsidR="009D7D74" w:rsidRPr="009D7D74">
        <w:rPr>
          <w:i/>
          <w:iCs/>
        </w:rPr>
        <w:instrText>4</w:instrText>
      </w:r>
      <w:r w:rsidR="009D7D74">
        <w:rPr>
          <w:i/>
          <w:iCs/>
          <w:lang w:val="en-US"/>
        </w:rPr>
        <w:instrText>d</w:instrText>
      </w:r>
      <w:r w:rsidR="009D7D74" w:rsidRPr="009D7D74">
        <w:rPr>
          <w:i/>
          <w:iCs/>
        </w:rPr>
        <w:instrText>01</w:instrText>
      </w:r>
      <w:r w:rsidR="009D7D74">
        <w:rPr>
          <w:i/>
          <w:iCs/>
          <w:lang w:val="en-US"/>
        </w:rPr>
        <w:instrText>c</w:instrText>
      </w:r>
      <w:r w:rsidR="009D7D74" w:rsidRPr="009D7D74">
        <w:rPr>
          <w:i/>
          <w:iCs/>
        </w:rPr>
        <w:instrText>20</w:instrText>
      </w:r>
      <w:r w:rsidR="009D7D74">
        <w:rPr>
          <w:i/>
          <w:iCs/>
          <w:lang w:val="en-US"/>
        </w:rPr>
        <w:instrText>e</w:instrText>
      </w:r>
      <w:r w:rsidR="009D7D74" w:rsidRPr="009D7D74">
        <w:rPr>
          <w:i/>
          <w:iCs/>
        </w:rPr>
        <w:instrText>36"]}],"</w:instrText>
      </w:r>
      <w:r w:rsidR="009D7D74">
        <w:rPr>
          <w:i/>
          <w:iCs/>
          <w:lang w:val="en-US"/>
        </w:rPr>
        <w:instrText>mendeley</w:instrText>
      </w:r>
      <w:r w:rsidR="009D7D74" w:rsidRPr="009D7D74">
        <w:rPr>
          <w:i/>
          <w:iCs/>
        </w:rPr>
        <w:instrText>":{"</w:instrText>
      </w:r>
      <w:r w:rsidR="009D7D74">
        <w:rPr>
          <w:i/>
          <w:iCs/>
          <w:lang w:val="en-US"/>
        </w:rPr>
        <w:instrText>formattedCitation</w:instrText>
      </w:r>
      <w:r w:rsidR="009D7D74" w:rsidRPr="009D7D74">
        <w:rPr>
          <w:i/>
          <w:iCs/>
        </w:rPr>
        <w:instrText>":"[20]","</w:instrText>
      </w:r>
      <w:r w:rsidR="009D7D74">
        <w:rPr>
          <w:i/>
          <w:iCs/>
          <w:lang w:val="en-US"/>
        </w:rPr>
        <w:instrText>plainTextFormattedCitation</w:instrText>
      </w:r>
      <w:r w:rsidR="009D7D74" w:rsidRPr="009D7D74">
        <w:rPr>
          <w:i/>
          <w:iCs/>
        </w:rPr>
        <w:instrText>":"[20]","</w:instrText>
      </w:r>
      <w:r w:rsidR="009D7D74">
        <w:rPr>
          <w:i/>
          <w:iCs/>
          <w:lang w:val="en-US"/>
        </w:rPr>
        <w:instrText>previouslyFormattedCitation</w:instrText>
      </w:r>
      <w:r w:rsidR="009D7D74" w:rsidRPr="009D7D74">
        <w:rPr>
          <w:i/>
          <w:iCs/>
        </w:rPr>
        <w:instrText>":"[20]"},"</w:instrText>
      </w:r>
      <w:r w:rsidR="009D7D74">
        <w:rPr>
          <w:i/>
          <w:iCs/>
          <w:lang w:val="en-US"/>
        </w:rPr>
        <w:instrText>properties</w:instrText>
      </w:r>
      <w:r w:rsidR="009D7D74" w:rsidRPr="009D7D74">
        <w:rPr>
          <w:i/>
          <w:iCs/>
        </w:rPr>
        <w:instrText>":{"</w:instrText>
      </w:r>
      <w:r w:rsidR="009D7D74">
        <w:rPr>
          <w:i/>
          <w:iCs/>
          <w:lang w:val="en-US"/>
        </w:rPr>
        <w:instrText>noteIndex</w:instrText>
      </w:r>
      <w:r w:rsidR="009D7D74" w:rsidRPr="009D7D74">
        <w:rPr>
          <w:i/>
          <w:iCs/>
        </w:rPr>
        <w:instrText>":0},"</w:instrText>
      </w:r>
      <w:r w:rsidR="009D7D74">
        <w:rPr>
          <w:i/>
          <w:iCs/>
          <w:lang w:val="en-US"/>
        </w:rPr>
        <w:instrText>schema</w:instrText>
      </w:r>
      <w:r w:rsidR="009D7D74" w:rsidRPr="009D7D74">
        <w:rPr>
          <w:i/>
          <w:iCs/>
        </w:rPr>
        <w:instrText>":"</w:instrText>
      </w:r>
      <w:r w:rsidR="009D7D74">
        <w:rPr>
          <w:i/>
          <w:iCs/>
          <w:lang w:val="en-US"/>
        </w:rPr>
        <w:instrText>https</w:instrText>
      </w:r>
      <w:r w:rsidR="009D7D74" w:rsidRPr="009D7D74">
        <w:rPr>
          <w:i/>
          <w:iCs/>
        </w:rPr>
        <w:instrText>://</w:instrText>
      </w:r>
      <w:r w:rsidR="009D7D74">
        <w:rPr>
          <w:i/>
          <w:iCs/>
          <w:lang w:val="en-US"/>
        </w:rPr>
        <w:instrText>github</w:instrText>
      </w:r>
      <w:r w:rsidR="009D7D74" w:rsidRPr="009D7D74">
        <w:rPr>
          <w:i/>
          <w:iCs/>
        </w:rPr>
        <w:instrText>.</w:instrText>
      </w:r>
      <w:r w:rsidR="009D7D74">
        <w:rPr>
          <w:i/>
          <w:iCs/>
          <w:lang w:val="en-US"/>
        </w:rPr>
        <w:instrText>com</w:instrText>
      </w:r>
      <w:r w:rsidR="009D7D74" w:rsidRPr="009D7D74">
        <w:rPr>
          <w:i/>
          <w:iCs/>
        </w:rPr>
        <w:instrText>/</w:instrText>
      </w:r>
      <w:r w:rsidR="009D7D74">
        <w:rPr>
          <w:i/>
          <w:iCs/>
          <w:lang w:val="en-US"/>
        </w:rPr>
        <w:instrText>citation</w:instrText>
      </w:r>
      <w:r w:rsidR="009D7D74" w:rsidRPr="009D7D74">
        <w:rPr>
          <w:i/>
          <w:iCs/>
        </w:rPr>
        <w:instrText>-</w:instrText>
      </w:r>
      <w:r w:rsidR="009D7D74">
        <w:rPr>
          <w:i/>
          <w:iCs/>
          <w:lang w:val="en-US"/>
        </w:rPr>
        <w:instrText>style</w:instrText>
      </w:r>
      <w:r w:rsidR="009D7D74" w:rsidRPr="009D7D74">
        <w:rPr>
          <w:i/>
          <w:iCs/>
        </w:rPr>
        <w:instrText>-</w:instrText>
      </w:r>
      <w:r w:rsidR="009D7D74">
        <w:rPr>
          <w:i/>
          <w:iCs/>
          <w:lang w:val="en-US"/>
        </w:rPr>
        <w:instrText>language</w:instrText>
      </w:r>
      <w:r w:rsidR="009D7D74" w:rsidRPr="009D7D74">
        <w:rPr>
          <w:i/>
          <w:iCs/>
        </w:rPr>
        <w:instrText>/</w:instrText>
      </w:r>
      <w:r w:rsidR="009D7D74">
        <w:rPr>
          <w:i/>
          <w:iCs/>
          <w:lang w:val="en-US"/>
        </w:rPr>
        <w:instrText>schema</w:instrText>
      </w:r>
      <w:r w:rsidR="009D7D74" w:rsidRPr="009D7D74">
        <w:rPr>
          <w:i/>
          <w:iCs/>
        </w:rPr>
        <w:instrText>/</w:instrText>
      </w:r>
      <w:r w:rsidR="009D7D74">
        <w:rPr>
          <w:i/>
          <w:iCs/>
          <w:lang w:val="en-US"/>
        </w:rPr>
        <w:instrText>raw</w:instrText>
      </w:r>
      <w:r w:rsidR="009D7D74" w:rsidRPr="009D7D74">
        <w:rPr>
          <w:i/>
          <w:iCs/>
        </w:rPr>
        <w:instrText>/</w:instrText>
      </w:r>
      <w:r w:rsidR="009D7D74">
        <w:rPr>
          <w:i/>
          <w:iCs/>
          <w:lang w:val="en-US"/>
        </w:rPr>
        <w:instrText>master</w:instrText>
      </w:r>
      <w:r w:rsidR="009D7D74" w:rsidRPr="009D7D74">
        <w:rPr>
          <w:i/>
          <w:iCs/>
        </w:rPr>
        <w:instrText>/</w:instrText>
      </w:r>
      <w:r w:rsidR="009D7D74">
        <w:rPr>
          <w:i/>
          <w:iCs/>
          <w:lang w:val="en-US"/>
        </w:rPr>
        <w:instrText>csl</w:instrText>
      </w:r>
      <w:r w:rsidR="009D7D74" w:rsidRPr="009D7D74">
        <w:rPr>
          <w:i/>
          <w:iCs/>
        </w:rPr>
        <w:instrText>-</w:instrText>
      </w:r>
      <w:r w:rsidR="009D7D74">
        <w:rPr>
          <w:i/>
          <w:iCs/>
          <w:lang w:val="en-US"/>
        </w:rPr>
        <w:instrText>citation</w:instrText>
      </w:r>
      <w:r w:rsidR="009D7D74" w:rsidRPr="009D7D74">
        <w:rPr>
          <w:i/>
          <w:iCs/>
        </w:rPr>
        <w:instrText>.</w:instrText>
      </w:r>
      <w:r w:rsidR="009D7D74">
        <w:rPr>
          <w:i/>
          <w:iCs/>
          <w:lang w:val="en-US"/>
        </w:rPr>
        <w:instrText>json</w:instrText>
      </w:r>
      <w:r w:rsidR="009D7D74" w:rsidRPr="009D7D74">
        <w:rPr>
          <w:i/>
          <w:iCs/>
        </w:rPr>
        <w:instrText>"}</w:instrText>
      </w:r>
      <w:r w:rsidR="00A31D03">
        <w:rPr>
          <w:i/>
          <w:iCs/>
          <w:lang w:val="en-US"/>
        </w:rPr>
        <w:fldChar w:fldCharType="separate"/>
      </w:r>
      <w:r w:rsidR="00A31D03" w:rsidRPr="00A31D03">
        <w:rPr>
          <w:iCs/>
          <w:noProof/>
        </w:rPr>
        <w:t>[20]</w:t>
      </w:r>
      <w:r w:rsidR="00A31D03">
        <w:rPr>
          <w:i/>
          <w:iCs/>
          <w:lang w:val="en-US"/>
        </w:rPr>
        <w:fldChar w:fldCharType="end"/>
      </w:r>
      <w:r w:rsidR="00381F00" w:rsidRPr="00C32FC4">
        <w:rPr>
          <w:i/>
          <w:iCs/>
        </w:rPr>
        <w:t xml:space="preserve">. </w:t>
      </w:r>
    </w:p>
    <w:p w:rsidR="00F9594B" w:rsidRPr="00C32FC4" w:rsidRDefault="00DE7BBA">
      <w:pPr>
        <w:pStyle w:val="afff8"/>
        <w:divId w:val="266810958"/>
      </w:pPr>
      <w:r w:rsidRPr="00C32FC4">
        <w:rPr>
          <w:rFonts w:eastAsia="Calibri"/>
        </w:rPr>
        <w:t>Рекомендуется просмотр мазка крови для анализа аномалий морфологии эритроцитов, тромбоцитов и лейкоцитов с целью подсчета клеток Сезари в мазке крови при необходимости определения их количества в крови в случае невозможности определить клетки Сезари с помощью проточной цитофлуометрии</w:t>
      </w:r>
      <w:r w:rsidR="00A31D03" w:rsidRPr="00A31D03">
        <w:rPr>
          <w:rFonts w:eastAsia="Calibri"/>
        </w:rPr>
        <w:t xml:space="preserve"> </w:t>
      </w:r>
      <w:r w:rsidR="009D7D74">
        <w:rPr>
          <w:rFonts w:eastAsia="Calibri"/>
        </w:rPr>
        <w:fldChar w:fldCharType="begin" w:fldLock="1"/>
      </w:r>
      <w:r w:rsidR="00395D4A">
        <w:rPr>
          <w:rFonts w:eastAsia="Calibri"/>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10.1309/25E9-Y7RR-AY84-HTAT","ISSN":"0002-9173","author":[{"dropping-particle":"","family":"Morice","given":"William G.","non-dropping-particle":"","parse-names":false,"suffix":""},{"dropping-particle":"","family":"Katzmann","given":"Jerry A.","non-dropping-particle":"","parse-names":false,"suffix":""},{"dropping-particle":"","family":"Pittelkow","given":"Mark R.","non-dropping-particle":"","parse-names":false,"suffix":""},{"dropping-particle":"","family":"el-Azhary","given":"Rokea A.","non-dropping-particle":"","parse-names":false,"suffix":""},{"dropping-particle":"","family":"Gibson","given":"Lawrence E.","non-dropping-particle":"","parse-names":false,"suffix":""},{"dropping-particle":"","family":"Hanson","given":"Curtis A.","non-dropping-particle":"","parse-names":false,"suffix":""}],"container-title":"American Journal of Clinical Pathology","id":"ITEM-2","issue":"3","issued":{"date-parts":[["2006","3","1"]]},"page":"364-374","publisher":"Oxford University Press (OUP)","title":"A Comparison of Morphologic Features, Flow Cytometry, TCR-V β Analysis, and TCR-PCR in Qualitative and Quantitative Assessment of Peripheral Blood Involvement by Sézary Syndrome","type":"article-journal","volume":"125"},"uris":["http://www.mendeley.com/documents/?uuid=ed485710-c1a1-39e6-8ee0-4139c035cb3d"]},{"id":"ITEM-3","itemData":{"DOI":"10.1038/modpathol.2009.175","ISSN":"08933952","PMID":"19935642","abstract":"Peripheral blood involvement has been recognized as an adverse prognostic factor in patients with mycosis fungoides and Sézary syndrome. However, accurate identification and enumeration of the neoplastic cells in these diseases can be challenging. We assessed the clinical utility of flow cytometric immunophenotypic analysis of T-cell receptor VΒ expression in 82 mycosis fungoides and 6 Sézary syndrome patients, with an atypical T-cell immunophenotype, or abnormal CD4:CD8 ratio, identified from peripheral blood specimens of 723 patients submitted for routine mycosis fungoides/Sézary syndrome blood staging. To improve detection sensitivity, VΒ expression was analyzed on gated CD3CD4 T cells or T cells with an aberrant immunophenotype, if present. The flow cytometric results were compared with traditional morphologic assessment (n88) and molecular methods to assess the T-cell receptor γ or Β genes (n41 tested in parallel). Flow cytometric immunophenotyping yielded a clonal VΒ pattern in 60/82 mycosis fungoides and 6/6 Sézary syndrome patients. By contrast, flow cytometric VΒ was negative in all 10 healthy donors and 18 control patients, showing a specificity of 100% and concordance with molecular testing of 86%. Using flow cytometric VΒ results instead of morphologic assessment, 12 patients were upstaged from B1 to B2, and 20 patients from B0 to B1 (P&lt;0.0001). The 12 upstaged B2 patients had no morphologic evidence of involvement, but had an aggressive clinical course similar to those staged by traditional morphologic assessment (median survival 27 vs 41 months, log-rank P=0.701). In 30/44 patients with a tumor-associated VΒ expression, a single VΒ tube was used to monitor treatment response. In conclusion, flow cytometric VΒ analysis is rapid and convenient, can assess T-cell clonality and tumor quantity simultaneously, and is useful both in initial blood staging and monitoring tumor burden during therapy in patients with mycosis fungoides or Sézary syndrome. © 2010 USCAP, Inc. All rights reserved.","author":[{"dropping-particle":"","family":"Feng","given":"Bo","non-dropping-particle":"","parse-names":false,"suffix":""},{"dropping-particle":"","family":"Jorgensen","given":"Jeffrey L.","non-dropping-particle":"","parse-names":false,"suffix":""},{"dropping-particle":"","family":"Jones","given":"Dan","non-dropping-particle":"","parse-names":false,"suffix":""},{"dropping-particle":"","family":"Chen","given":"Su S.","non-dropping-particle":"","parse-names":false,"suffix":""},{"dropping-particle":"","family":"Hu","given":"Ying","non-dropping-particle":"","parse-names":false,"suffix":""},{"dropping-particle":"","family":"Medeiros","given":"L. Jeffrey","non-dropping-particle":"","parse-names":false,"suffix":""},{"dropping-particle":"","family":"Wang","given":"Sa A.","non-dropping-particle":"","parse-names":false,"suffix":""}],"container-title":"Modern Pathology","id":"ITEM-3","issue":"2","issued":{"date-parts":[["2010","2"]]},"page":"284-295","publisher":"Mod Pathol","title":"Flow cytometric detection of peripheral blood involvement by mycosis fungoides and Sézary syndrome using T-cell receptor VΒ chain antibodies and its application in blood staging","type":"article-journal","volume":"23"},"uris":["http://www.mendeley.com/documents/?uuid=51d2c269-ba56-35a6-9ef0-1424716f81d5"]}],"mendeley":{"formattedCitation":"[7,11,12]","plainTextFormattedCitation":"[7,11,12]","previouslyFormattedCitation":"[7,11,12]"},"properties":{"noteIndex":0},"schema":"https://github.com/citation-style-language/schema/raw/master/csl-citation.json"}</w:instrText>
      </w:r>
      <w:r w:rsidR="009D7D74">
        <w:rPr>
          <w:rFonts w:eastAsia="Calibri"/>
        </w:rPr>
        <w:fldChar w:fldCharType="separate"/>
      </w:r>
      <w:r w:rsidR="00DE248A" w:rsidRPr="00DE248A">
        <w:rPr>
          <w:rFonts w:eastAsia="Calibri"/>
          <w:noProof/>
        </w:rPr>
        <w:t>[7,11,12]</w:t>
      </w:r>
      <w:r w:rsidR="009D7D74">
        <w:rPr>
          <w:rFonts w:eastAsia="Calibri"/>
        </w:rPr>
        <w:fldChar w:fldCharType="end"/>
      </w:r>
      <w:r w:rsidR="007148B4" w:rsidRPr="00C32FC4">
        <w:rPr>
          <w:rStyle w:val="affc"/>
        </w:rPr>
        <w:t xml:space="preserve">. </w:t>
      </w:r>
    </w:p>
    <w:p w:rsidR="007148B4" w:rsidRPr="00C32FC4" w:rsidRDefault="00DE7BBA" w:rsidP="00920E18">
      <w:pPr>
        <w:pStyle w:val="afd"/>
        <w:spacing w:beforeAutospacing="0" w:afterAutospacing="0" w:line="360" w:lineRule="auto"/>
        <w:ind w:left="709" w:firstLine="0"/>
        <w:divId w:val="266810958"/>
        <w:rPr>
          <w:rFonts w:eastAsiaTheme="minorEastAsia"/>
          <w:b/>
        </w:rPr>
      </w:pPr>
      <w:r w:rsidRPr="00C32FC4">
        <w:rPr>
          <w:rStyle w:val="affb"/>
        </w:rPr>
        <w:t xml:space="preserve">Уровень убедительности рекомендаций </w:t>
      </w:r>
      <w:r w:rsidRPr="00C32FC4">
        <w:rPr>
          <w:rStyle w:val="affb"/>
        </w:rPr>
        <w:softHyphen/>
        <w:t xml:space="preserve">С </w:t>
      </w:r>
      <w:r w:rsidRPr="00C32FC4">
        <w:rPr>
          <w:b/>
        </w:rPr>
        <w:t>(уровень достоверности доказательств – 2)</w:t>
      </w:r>
      <w:r w:rsidR="007148B4" w:rsidRPr="00C32FC4">
        <w:rPr>
          <w:i/>
        </w:rPr>
        <w:t xml:space="preserve"> </w:t>
      </w:r>
    </w:p>
    <w:p w:rsidR="007148B4" w:rsidRPr="00C32FC4" w:rsidRDefault="007148B4" w:rsidP="004F39BB">
      <w:pPr>
        <w:numPr>
          <w:ilvl w:val="0"/>
          <w:numId w:val="8"/>
        </w:numPr>
        <w:ind w:left="709" w:hanging="709"/>
        <w:divId w:val="266810958"/>
        <w:rPr>
          <w:rStyle w:val="affb"/>
          <w:rFonts w:eastAsia="Times New Roman"/>
          <w:b w:val="0"/>
          <w:bCs w:val="0"/>
        </w:rPr>
      </w:pPr>
      <w:r w:rsidRPr="00C32FC4">
        <w:rPr>
          <w:rStyle w:val="affb"/>
        </w:rPr>
        <w:t xml:space="preserve">Комментарии: </w:t>
      </w:r>
      <w:r w:rsidRPr="00C32FC4">
        <w:rPr>
          <w:i/>
        </w:rPr>
        <w:t>Клетки Сезари в мазке крови определяются как клетки, имеющие ядра неправильной формы с множественными инвагинациями ядер, что придает им церебриформный вид. Различают 3 морфологических варианта клеток Сезари: мелкоклеточный (размер клеток от 8 до 11 мкм), крупноклеточный (размер клеток от 12 до 25 мкм) и двуядерный (клетки с двумя ядрами). В мазках крови необходимо определять абсолютное и относительное (процентное) число этих клеток в общей популяции лимфоцитов</w:t>
      </w:r>
      <w:r w:rsidR="00822F2C" w:rsidRPr="00822F2C">
        <w:rPr>
          <w:i/>
        </w:rPr>
        <w:t xml:space="preserve"> </w:t>
      </w:r>
      <w:r w:rsidR="00395D4A">
        <w:rPr>
          <w:i/>
        </w:rPr>
        <w:fldChar w:fldCharType="begin" w:fldLock="1"/>
      </w:r>
      <w:r w:rsidR="00F72C42">
        <w:rPr>
          <w:i/>
        </w:rPr>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[21]","plainTextFormattedCitation":"[21]","previouslyFormattedCitation":"[21]"},"properties":{"noteIndex":0},"schema":"https://github.com/citation-style-language/schema/raw/master/csl-citation.json"}</w:instrText>
      </w:r>
      <w:r w:rsidR="00395D4A">
        <w:rPr>
          <w:i/>
        </w:rPr>
        <w:fldChar w:fldCharType="separate"/>
      </w:r>
      <w:r w:rsidR="00395D4A" w:rsidRPr="00395D4A">
        <w:rPr>
          <w:noProof/>
        </w:rPr>
        <w:t>[21]</w:t>
      </w:r>
      <w:r w:rsidR="00395D4A">
        <w:rPr>
          <w:i/>
        </w:rPr>
        <w:fldChar w:fldCharType="end"/>
      </w:r>
      <w:r w:rsidRPr="00C32FC4">
        <w:rPr>
          <w:i/>
        </w:rPr>
        <w:t xml:space="preserve">. Выявление содержания </w:t>
      </w:r>
      <w:r w:rsidRPr="00C32FC4">
        <w:rPr>
          <w:rFonts w:eastAsia="Times New Roman" w:cs="Calibri"/>
          <w:i/>
          <w:lang w:eastAsia="ru-RU"/>
        </w:rPr>
        <w:t>клеток Сезари в крови ≥ 1000 клеток/мм</w:t>
      </w:r>
      <w:r w:rsidRPr="00C32FC4">
        <w:rPr>
          <w:rFonts w:eastAsia="Times New Roman" w:cs="Calibri"/>
          <w:i/>
          <w:vertAlign w:val="superscript"/>
          <w:lang w:eastAsia="ru-RU"/>
        </w:rPr>
        <w:t>3</w:t>
      </w:r>
      <w:r w:rsidRPr="00C32FC4">
        <w:rPr>
          <w:rFonts w:eastAsia="Times New Roman" w:cs="Calibri"/>
          <w:i/>
          <w:lang w:eastAsia="ru-RU"/>
        </w:rPr>
        <w:t xml:space="preserve"> подтверждает диагноз синдрома Сезари</w:t>
      </w:r>
      <w:r w:rsidR="00F72C42" w:rsidRPr="00F72C42">
        <w:rPr>
          <w:rFonts w:eastAsia="Times New Roman" w:cs="Calibri"/>
          <w:i/>
          <w:lang w:eastAsia="ru-RU"/>
        </w:rPr>
        <w:t xml:space="preserve"> </w:t>
      </w:r>
      <w:r w:rsidR="00F72C42">
        <w:rPr>
          <w:rFonts w:eastAsia="Times New Roman" w:cs="Calibri"/>
          <w:i/>
          <w:lang w:eastAsia="ru-RU"/>
        </w:rPr>
        <w:fldChar w:fldCharType="begin" w:fldLock="1"/>
      </w:r>
      <w:r w:rsidR="00DD6117">
        <w:rPr>
          <w:rFonts w:eastAsia="Times New Roman" w:cs="Calibri"/>
          <w:i/>
          <w:lang w:eastAsia="ru-RU"/>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[13]","plainTextFormattedCitation":"[13]","previouslyFormattedCitation":"[13]"},"properties":{"noteIndex":0},"schema":"https://github.com/citation-style-language/schema/raw/master/csl-citation.json"}</w:instrText>
      </w:r>
      <w:r w:rsidR="00F72C42">
        <w:rPr>
          <w:rFonts w:eastAsia="Times New Roman" w:cs="Calibri"/>
          <w:i/>
          <w:lang w:eastAsia="ru-RU"/>
        </w:rPr>
        <w:fldChar w:fldCharType="separate"/>
      </w:r>
      <w:r w:rsidR="00F72C42" w:rsidRPr="00F72C42">
        <w:rPr>
          <w:rFonts w:eastAsia="Times New Roman" w:cs="Calibri"/>
          <w:noProof/>
          <w:lang w:eastAsia="ru-RU"/>
        </w:rPr>
        <w:t>[13]</w:t>
      </w:r>
      <w:r w:rsidR="00F72C42">
        <w:rPr>
          <w:rFonts w:eastAsia="Times New Roman" w:cs="Calibri"/>
          <w:i/>
          <w:lang w:eastAsia="ru-RU"/>
        </w:rPr>
        <w:fldChar w:fldCharType="end"/>
      </w:r>
      <w:r w:rsidRPr="00C32FC4">
        <w:rPr>
          <w:rFonts w:eastAsia="Times New Roman" w:cs="Calibri"/>
          <w:i/>
          <w:lang w:eastAsia="ru-RU"/>
        </w:rPr>
        <w:t>.</w:t>
      </w:r>
    </w:p>
    <w:p w:rsidR="00125031" w:rsidRPr="00C32FC4" w:rsidRDefault="00DE7BBA" w:rsidP="00F50F81">
      <w:pPr>
        <w:pStyle w:val="afff8"/>
        <w:divId w:val="266810958"/>
      </w:pPr>
      <w:r w:rsidRPr="00C32FC4">
        <w:rPr>
          <w:rFonts w:eastAsia="Calibri"/>
        </w:rPr>
        <w:t xml:space="preserve">Рекомендуется общий (клинический) анализ крови развернутый для выявления заболеваний </w:t>
      </w:r>
      <w:r w:rsidR="00460059" w:rsidRPr="00C32FC4">
        <w:rPr>
          <w:rFonts w:eastAsia="Calibri"/>
        </w:rPr>
        <w:t>и состояний, являющихся противопоказаниями к проведению системной терапии синдрома Сезари и для контроля безопасности проводимой системной терапии</w:t>
      </w:r>
      <w:r w:rsidR="008C02A7" w:rsidRPr="00C32FC4">
        <w:rPr>
          <w:rFonts w:eastAsia="Calibri"/>
        </w:rPr>
        <w:t xml:space="preserve"> </w:t>
      </w:r>
      <w:r w:rsidR="005B4D31" w:rsidRPr="00C32FC4">
        <w:rPr>
          <w:rFonts w:eastAsia="Calibri"/>
        </w:rPr>
        <w:t xml:space="preserve">метотрексатом, </w:t>
      </w:r>
      <w:r w:rsidR="00495193" w:rsidRPr="00C32FC4">
        <w:rPr>
          <w:rFonts w:eastAsia="Calibri"/>
        </w:rPr>
        <w:t>интерферонами</w:t>
      </w:r>
      <w:r w:rsidR="00472D64" w:rsidRPr="00C32FC4">
        <w:rPr>
          <w:rFonts w:eastAsia="Calibri"/>
        </w:rPr>
        <w:t xml:space="preserve">, </w:t>
      </w:r>
      <w:r w:rsidR="003865DD" w:rsidRPr="00C32FC4">
        <w:rPr>
          <w:rFonts w:eastAsia="Calibri"/>
        </w:rPr>
        <w:t xml:space="preserve">вориностатом, </w:t>
      </w:r>
      <w:r w:rsidR="009519AB" w:rsidRPr="00C32FC4">
        <w:rPr>
          <w:rFonts w:eastAsia="Calibri"/>
        </w:rPr>
        <w:t>хлорамбуцилом, преднизолоном</w:t>
      </w:r>
      <w:r w:rsidR="001225F3" w:rsidRPr="00C32FC4">
        <w:rPr>
          <w:rFonts w:eastAsia="Calibri"/>
        </w:rPr>
        <w:t>, доксорубицином</w:t>
      </w:r>
      <w:r w:rsidR="008C2A15" w:rsidRPr="00C32FC4">
        <w:rPr>
          <w:rFonts w:eastAsia="Calibri"/>
        </w:rPr>
        <w:t>, г</w:t>
      </w:r>
      <w:r w:rsidR="008C2A15" w:rsidRPr="00C32FC4">
        <w:rPr>
          <w:color w:val="000000"/>
          <w:spacing w:val="2"/>
          <w:szCs w:val="24"/>
          <w:lang w:eastAsia="zh-CN"/>
        </w:rPr>
        <w:t>емцитабином</w:t>
      </w:r>
      <w:r w:rsidR="0055709B" w:rsidRPr="00C32FC4">
        <w:rPr>
          <w:color w:val="000000"/>
          <w:spacing w:val="2"/>
          <w:szCs w:val="24"/>
          <w:lang w:eastAsia="zh-CN"/>
        </w:rPr>
        <w:t xml:space="preserve">, </w:t>
      </w:r>
      <w:r w:rsidR="00423E16" w:rsidRPr="00C32FC4">
        <w:rPr>
          <w:color w:val="000000"/>
          <w:spacing w:val="2"/>
          <w:szCs w:val="24"/>
          <w:lang w:eastAsia="zh-CN"/>
        </w:rPr>
        <w:t>брентуксимабом ведотином</w:t>
      </w:r>
      <w:r w:rsidR="009519AB" w:rsidRPr="00C32FC4">
        <w:rPr>
          <w:color w:val="000000"/>
          <w:spacing w:val="2"/>
          <w:szCs w:val="24"/>
          <w:lang w:eastAsia="zh-CN"/>
        </w:rPr>
        <w:t xml:space="preserve"> </w:t>
      </w:r>
      <w:r w:rsidR="00460059" w:rsidRPr="00C32FC4">
        <w:t xml:space="preserve">или </w:t>
      </w:r>
      <w:r w:rsidR="00064888" w:rsidRPr="00C32FC4">
        <w:t>ультрафиолетового облучения кожи</w:t>
      </w:r>
      <w:r w:rsidR="00F72C42" w:rsidRPr="00F72C42">
        <w:t xml:space="preserve"> </w:t>
      </w:r>
      <w:r w:rsidR="00DD6117">
        <w:fldChar w:fldCharType="begin" w:fldLock="1"/>
      </w:r>
      <w:r w:rsidR="002607CA">
        <w:instrText>ADDIN CSL_CITATION {"citationItems":[{"id":"ITEM-1","itemData":{"DOI":"10.1634/theoncologist.12-10-1247","ISSN":"1083-7159","PMID":"17962618","abstract":"On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Oncologist","id":"ITEM-1","issue":"10","issued":{"date-parts":[["2007","10"]]},"page":"1247-1252","publisher":"Wiley","title":"FDA Approval Summary: Vorinostat for Treatment of Advanced Primary Cutaneous T‐Cell Lymphoma","type":"article-journal","volume":"12"},"uris":["http://www.mendeley.com/documents/?uuid=06d55968-0a58-3fe0-b758-b48bfd9e87a8"]},{"id":"ITEM-2","itemData":{"author":[{"dropping-particle":"","family":"Лезвинская","given":"Е.М.","non-dropping-particle":"","parse-names":false,"suffix":""},{"dropping-particle":"","family":"Вавилов","given":"А.М.","non-dropping-particle":"","parse-names":false,"suffix":""}],"id":"ITEM-2","issued":{"date-parts":[["2010"]]},"number-of-pages":"366","publisher":"М.: Практическая медицина","title":"Лимфопролиферативные опухоли кожи: руководство для врачей","type":"book"},"uris":["http://www.mendeley.com/documents/?uuid=72f335e8-58c7-4f5a-b0b3-08e9384bcef7"]},{"id":"ITEM-3","itemData":{"ISSN":"0315162X","PMID":"7674222","author":[{"dropping-particle":"","family":"Wallace","given":"C. A.","non-dropping-particle":"","parse-names":false,"suffix":""},{"dropping-particle":"","family":"Sherry","given":"D. D.","non-dropping-particle":"","parse-names":false,"suffix":""}],"container-title":"Journal of Rheumatology","id":"ITEM-3","issue":"6","issued":{"date-parts":[["1995","6","1"]]},"page":"1009-1012","title":"A practical approach to avoidance of methotrexate toxicity","type":"article","volume":"22"},"uris":["http://www.mendeley.com/documents/?uuid=3b0f34e1-6b9f-33fa-a6aa-be3dc3e2bbed"]},{"id":"ITEM-4","itemData":{"DOI":"10.1016/j.det.2015.05.009","ISSN":"15580520","PMID":"26433846","author":[{"dropping-particle":"","family":"Wood","given":"Gary S.","non-dropping-particle":"","parse-names":false,"suffix":""},{"dropping-particle":"","family":"Wu","given":"Jianqiang","non-dropping-particle":"","parse-names":false,"suffix":""}],"container-title":"Dermatologic Clinics","id":"ITEM-4","issue":"4","issued":{"date-parts":[["2015","10","1"]]},"page":"747-755","publisher":"W.B. Saunders","title":"Methotrexate and Pralatrexate","type":"article","volume":"33"},"uris":["http://www.mendeley.com/documents/?uuid=c232b263-ce44-3575-8dd3-b008c9d9e521"]},{"id":"ITEM-5","itemData":{"DOI":"10.1371/journal.pone.0194401","ISBN":"1111111111","abstract":"Background","author":[{"dropping-particle":"","family":"M Busger op Vollenbroek","given":"Felien T","non-dropping-particle":"","parse-names":false,"suffix":""},{"dropping-particle":"","family":"M Doggen","given":"Carine J","non-dropping-particle":"","parse-names":false,"suffix":""},{"dropping-particle":"","family":"A Janssens","given":"René W","non-dropping-particle":"","parse-names":false,"suffix":""},{"dropping-particle":"","family":"Bernelot Moens","given":"Hein J","non-dropping-particle":"","parse-names":false,"suffix":""}],"id":"ITEM-5","issued":{"date-parts":[["2018"]]},"title":"Dermatological guidelines for monitoring methotrexate treatment reduce drug-survival compared to rheumatological guidelines","type":"article-journal"},"uris":["http://www.mendeley.com/documents/?uuid=75effbb6-ac1c-364b-89ca-ab27d0e9e01f"]},{"id":"ITEM-6","itemData":{"DOI":"10.1186/s40360-019-0316-8","ISSN":"20506511","PMID":"31269977","abstract":"Background: Data is limited on comparison of acute and chronic methotrexate (MTX) poisoning. Methotrexate is an anti-folate drug that may be prescribed in some malignant or chronic inflammatory conditions. The aim of the current study was to compare signs and symptoms, complications, treatment and final outcome of acute and chronic MTX toxicity. Method: In a retrospective study in a referral center between March 2010 and March 2018, all patients who had been referred with the history of MTX poisoning and hospitalized due to acute or chronic poisoning were evaluated and compared. Results: Of the total 27 patients admitted during the study period, 13 had referred with acute (group 1; consumption of MTX for less than 7 days) and 14 had referred with chronic toxicity (group 2; consumption of MTX for more than 7 days). Mean age was significantly higher in the second group (P &lt; 0.001). Median total dose of MTX was similar between the groups (P = 0.90). Mucosal ulcers and skin lesions (P &lt; 0.001 and 0.02, respectively) were the only symptoms significantly different between the two groups. Leukopenia (P &lt; 0.001), thrombocytopenia (P &lt; 0.001), and anemia (P = 0.04) were significantly more common in the second group. Blood urea nitrogen and creatinine were also significantly higher in the second group of the patients (P &lt; 0.001 and P = 0.048). Median leucovorin administered dose was 200 mg [14, 480] versus 150 mg [75, 187] (P = 0.69) in groups 1 and 2, respectively. Conclusions: Chronic MTX poisoning is more serious than acute toxicity and accompanies higher dermatologic, hematologic, and hepatic complications necessitating more aggressive treatments including administration of higher doses of leucovorin or bone marrow stimulants such as G-CSF. This may be attributable to the underlying diseases and features (including older ages) which predispose these patients to complications.","author":[{"dropping-particle":"","family":"Ahmadzadeh","given":"Arman","non-dropping-particle":"","parse-names":false,"suffix":""},{"dropping-particle":"","family":"Zamani","given":"Nasim","non-dropping-particle":"","parse-names":false,"suffix":""},{"dropping-particle":"","family":"Hassanian-Moghaddam","given":"Hossein","non-dropping-particle":"","parse-names":false,"suffix":""},{"dropping-particle":"","family":"Hadeiy","given":"Seyed Kaveh","non-dropping-particle":"","parse-names":false,"suffix":""},{"dropping-particle":"","family":"Parhizgar","given":"Parinaz","non-dropping-particle":"","parse-names":false,"suffix":""}],"container-title":"BMC Pharmacology and Toxicology","id":"ITEM-6","issue":"1","issued":{"date-parts":[["2019","7","3"]]},"publisher":"BioMed Central Ltd.","title":"Acute versus chronic methotrexate poisoning; A cross-sectional study","type":"article-journal","volume":"20"},"uris":["http://www.mendeley.com/documents/?uuid=f4985c58-2253-3aac-871b-df6b5a3d605a"]},{"id":"ITEM-7","itemData":{"DOI":"10.1111/j.1396-0296.2003.01643.x","ISSN":"13960296","PMID":"14686974","abstract":"Interferons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Therapy","id":"ITEM-7","issue":"4","issued":{"date-parts":[["2003"]]},"page":"311-321","publisher":"Dermatol Ther","title":"Interferon in the treatment of cutaneous T-cell lymphoma","type":"article","volume":"16"},"uris":["http://www.mendeley.com/documents/?uuid=ab8a433e-5050-333a-88f9-6308f8021cb6"]},{"id":"ITEM-8","itemData":{"DOI":"10.1200/JCO.2014.60.3969","ISSN":"15277755","PMID":"26195720","abstract":"Purpose: In contrast to Hodgkin lymphoma and systemic anaplastic large-cell lymphoma, CD30 expression of malignant lymphocytes in mycosis fungoides (MF) and Sézary syndrome (SS) is quite variable. Clinical activity and safety of brentuximab vedotin, a CD30 targeting antibody-drug conjugate, was evaluated in MF and SS. Tissue and blood biomarkers of clinical response were explored Patients and Methods: In this phase II study, patients with MF or SS with negligible to 100% CD30 expression levels were treated with brentuximab vedotin (1.8 mg/kg) every 3 weeks for a maximum of sixteen doses. The primary end point was overall global response rate. Secondary end points included correlation of tissue CD30 expression level with clinical response, time to response, duration of response, progression-free and event-free survivals, and safety. Results: Of the 32 patients enrolled and treated, 30 patients had available efficacy evaluations. Objective global response was observed in 21 (70%) of 30 patients (90% CI, 53% to 83%). CD30 expression assessed by immunohistochemistry was highly variable, with a median CD30max of 13% (range, 0% to 100%). Those with &lt;5% CD30 expression had a lower likelihood of global response than did those with 5% or greater CD30 expression (P &lt;.005). CD163 positive tumor-associated macrophages, many of which coexpress CD30, were abundant in tissue. Peripheral neuropathy was the most common adverse event Conclusion: Brentuximab vedotin demonstrated significant clinical activity in treatment-refractory or advanced MF or SS with a wide range of CD30 expression levels. Additional biomarker studies may help optimize rational design of combination therapies with brentuximab vedotin.","author":[{"dropping-particle":"","family":"Kim","given":"Youn H.","non-dropping-particle":"","parse-names":false,"suffix":""},{"dropping-particle":"","family":"Tavallaee","given":"Mahkam","non-dropping-particle":"","parse-names":false,"suffix":""},{"dropping-particle":"","family":"Sundram","given":"Uma","non-dropping-particle":"","parse-names":false,"suffix":""},{"dropping-particle":"","family":"Salva","given":"Katrin A.","non-dropping-particle":"","parse-names":false,"suffix":""},{"dropping-particle":"","family":"Wood","given":"Gary S.","non-dropping-particle":"","parse-names":false,"suffix":""},{"dropping-particle":"","family":"Li","given":"Shufeng","non-dropping-particle":"","parse-names":false,"suffix":""},{"dropping-particle":"","family":"Rozati","given":"Sima","non-dropping-particle":"","parse-names":false,"suffix":""},{"dropping-particle":"","family":"Nagpal","given":"Seema","non-dropping-particle":"","parse-names":false,"suffix":""},{"dropping-particle":"","family":"Krathen","given":"Michael","non-dropping-particle":"","parse-names":false,"suffix":""},{"dropping-particle":"","family":"Reddy","given":"Sunil","non-dropping-particle":"","parse-names":false,"suffix":""},{"dropping-particle":"","family":"Hoppe","given":"Richard T.","non-dropping-particle":"","parse-names":false,"suffix":""},{"dropping-particle":"","family":"Nguyen-Lin","given":"Annie","non-dropping-particle":"","parse-names":false,"suffix":""},{"dropping-particle":"","family":"Weng","given":"Wen Kai","non-dropping-particle":"","parse-names":false,"suffix":""},{"dropping-particle":"","family":"Armstrong","given":"Randall","non-dropping-particle":"","parse-names":false,"suffix":""},{"dropping-particle":"","family":"Pulitzer","given":"Melissa","non-dropping-particle":"","parse-names":false,"suffix":""},{"dropping-particle":"","family":"Advani","given":"Ranjana H.","non-dropping-particle":"","parse-names":false,"suffix":""},{"dropping-particle":"","family":"Horwitz","given":"Steven M.","non-dropping-particle":"","parse-names":false,"suffix":""}],"container-title":"Journal of Clinical Oncology","id":"ITEM-8","issue":"32","issued":{"date-parts":[["2015","11","10"]]},"page":"3750-3758","publisher":"American Society of Clinical Oncology","title":"Phase II investigator-initiated study of brentuximab vedotin in mycosis fungoides and Sézary syndrome with variable CD30 expression level: A multi-institution collaborative project","type":"article-journal","volume":"33"},"uris":["http://www.mendeley.com/documents/?uuid=6d5c3bf5-28a9-3827-bcec-c70d6141ce1c"]}],"mendeley":{"formattedCitation":"[21–28]","plainTextFormattedCitation":"[21–28]","previouslyFormattedCitation":"[21–28]"},"properties":{"noteIndex":0},"schema":"https://github.com/citation-style-language/schema/raw/master/csl-citation.json"}</w:instrText>
      </w:r>
      <w:r w:rsidR="00DD6117">
        <w:fldChar w:fldCharType="separate"/>
      </w:r>
      <w:r w:rsidR="00AB3023" w:rsidRPr="00AB3023">
        <w:rPr>
          <w:noProof/>
        </w:rPr>
        <w:t>[21–28]</w:t>
      </w:r>
      <w:r w:rsidR="00DD6117">
        <w:fldChar w:fldCharType="end"/>
      </w:r>
      <w:r w:rsidR="00125031" w:rsidRPr="00C32FC4">
        <w:rPr>
          <w:rStyle w:val="affc"/>
        </w:rPr>
        <w:t xml:space="preserve">. </w:t>
      </w:r>
    </w:p>
    <w:p w:rsidR="00F9594B" w:rsidRPr="00C32FC4" w:rsidRDefault="00DE7BBA">
      <w:pPr>
        <w:pStyle w:val="afd"/>
        <w:spacing w:beforeAutospacing="0" w:afterAutospacing="0" w:line="360" w:lineRule="auto"/>
        <w:ind w:left="709" w:firstLine="0"/>
        <w:divId w:val="266810958"/>
        <w:rPr>
          <w:rFonts w:eastAsiaTheme="minorEastAsia"/>
          <w:b/>
        </w:rPr>
      </w:pPr>
      <w:r w:rsidRPr="00C32FC4">
        <w:rPr>
          <w:rStyle w:val="affb"/>
        </w:rPr>
        <w:t xml:space="preserve">Уровень убедительности рекомендаций </w:t>
      </w:r>
      <w:r w:rsidRPr="00C32FC4">
        <w:rPr>
          <w:rStyle w:val="affb"/>
        </w:rPr>
        <w:softHyphen/>
        <w:t xml:space="preserve">С </w:t>
      </w:r>
      <w:r w:rsidR="00297C27" w:rsidRPr="00C32FC4">
        <w:rPr>
          <w:b/>
        </w:rPr>
        <w:t>(уровень достоверности доказательств – 5)</w:t>
      </w:r>
    </w:p>
    <w:p w:rsidR="009519AB" w:rsidRPr="00C32FC4" w:rsidRDefault="00125031" w:rsidP="00125031">
      <w:pPr>
        <w:pStyle w:val="aff3"/>
        <w:divId w:val="266810958"/>
        <w:rPr>
          <w:i/>
        </w:rPr>
      </w:pPr>
      <w:r w:rsidRPr="00C32FC4">
        <w:rPr>
          <w:rStyle w:val="affb"/>
        </w:rPr>
        <w:t xml:space="preserve">Комментарии: </w:t>
      </w:r>
      <w:r w:rsidR="00460059" w:rsidRPr="00C32FC4">
        <w:rPr>
          <w:i/>
        </w:rPr>
        <w:t>Лекарственные препараты, используемые для системной терапии синдрома Сезари, обладают нежелательными эффектами, выявление которых требует проведения обще</w:t>
      </w:r>
      <w:r w:rsidR="007F5462" w:rsidRPr="00C32FC4">
        <w:rPr>
          <w:i/>
        </w:rPr>
        <w:t>го (клинического) анализа крови.</w:t>
      </w:r>
    </w:p>
    <w:p w:rsidR="009519AB" w:rsidRPr="00C32FC4" w:rsidRDefault="00EB7FD8" w:rsidP="00125031">
      <w:pPr>
        <w:pStyle w:val="aff3"/>
        <w:divId w:val="266810958"/>
        <w:rPr>
          <w:i/>
        </w:rPr>
      </w:pPr>
      <w:r w:rsidRPr="00C32FC4">
        <w:rPr>
          <w:i/>
        </w:rPr>
        <w:t>Метотрексат</w:t>
      </w:r>
      <w:r w:rsidR="00495193" w:rsidRPr="00C32FC4">
        <w:rPr>
          <w:i/>
        </w:rPr>
        <w:t>**</w:t>
      </w:r>
      <w:r w:rsidRPr="00C32FC4">
        <w:rPr>
          <w:i/>
        </w:rPr>
        <w:t xml:space="preserve"> даже при применении в обычных терапевтических дозах может вызвать угнетение системы кроветворения (лейкопения, тромбоцитопения, </w:t>
      </w:r>
      <w:r w:rsidRPr="00C32FC4">
        <w:rPr>
          <w:i/>
        </w:rPr>
        <w:lastRenderedPageBreak/>
        <w:t>анемия). Перед началом лечения метотрексатом</w:t>
      </w:r>
      <w:r w:rsidR="00495193" w:rsidRPr="00C32FC4">
        <w:rPr>
          <w:i/>
        </w:rPr>
        <w:t>**</w:t>
      </w:r>
      <w:r w:rsidRPr="00C32FC4">
        <w:rPr>
          <w:i/>
        </w:rPr>
        <w:t xml:space="preserve">, во время терапии или при возобновлении терапии после перерыва необходимо проводить </w:t>
      </w:r>
      <w:r w:rsidR="00552E8B" w:rsidRPr="00C32FC4">
        <w:rPr>
          <w:i/>
        </w:rPr>
        <w:t xml:space="preserve">общий (клинический) </w:t>
      </w:r>
      <w:r w:rsidRPr="00C32FC4">
        <w:rPr>
          <w:i/>
        </w:rPr>
        <w:t>анализ крови с подсчетом лейкоцитарной формулы и количества тромбоцитов. В процессе лечения метотрексатом</w:t>
      </w:r>
      <w:r w:rsidR="00552E8B" w:rsidRPr="00C32FC4">
        <w:rPr>
          <w:i/>
        </w:rPr>
        <w:t>**</w:t>
      </w:r>
      <w:r w:rsidRPr="00C32FC4">
        <w:rPr>
          <w:i/>
        </w:rPr>
        <w:t xml:space="preserve"> анализ </w:t>
      </w:r>
      <w:r w:rsidR="00797BDB" w:rsidRPr="00C32FC4">
        <w:rPr>
          <w:i/>
        </w:rPr>
        <w:t xml:space="preserve">крови </w:t>
      </w:r>
      <w:r w:rsidRPr="00C32FC4">
        <w:rPr>
          <w:i/>
        </w:rPr>
        <w:t xml:space="preserve">проводят ежемесячно в первые 6 месяцев и не реже, чем каждые 3 месяца в дальнейшем, при повышении доз целесообразно повышать частоту обследований. В случае значительного снижения количества лейкоцитов или тромбоцитов лечение метотрексатом немедленно прекращают и назначают симптоматическую поддерживающую терапию. </w:t>
      </w:r>
    </w:p>
    <w:p w:rsidR="009519AB" w:rsidRPr="00C32FC4" w:rsidRDefault="00472D64" w:rsidP="00125031">
      <w:pPr>
        <w:pStyle w:val="aff3"/>
        <w:divId w:val="266810958"/>
        <w:rPr>
          <w:i/>
        </w:rPr>
      </w:pPr>
      <w:r w:rsidRPr="00C32FC4">
        <w:rPr>
          <w:i/>
        </w:rPr>
        <w:t xml:space="preserve">При </w:t>
      </w:r>
      <w:r w:rsidR="00DE7BBA" w:rsidRPr="00C32FC4">
        <w:rPr>
          <w:i/>
        </w:rPr>
        <w:t>применении интерферон</w:t>
      </w:r>
      <w:r w:rsidR="00552E8B" w:rsidRPr="00C32FC4">
        <w:rPr>
          <w:i/>
        </w:rPr>
        <w:t xml:space="preserve">ов </w:t>
      </w:r>
      <w:r w:rsidR="00DE7BBA" w:rsidRPr="00C32FC4">
        <w:rPr>
          <w:i/>
        </w:rPr>
        <w:t>возможны</w:t>
      </w:r>
      <w:r w:rsidRPr="00C32FC4">
        <w:rPr>
          <w:i/>
        </w:rPr>
        <w:t xml:space="preserve"> </w:t>
      </w:r>
      <w:r w:rsidR="00797BDB" w:rsidRPr="00C32FC4">
        <w:rPr>
          <w:i/>
        </w:rPr>
        <w:t>изменения</w:t>
      </w:r>
      <w:r w:rsidRPr="00C32FC4">
        <w:rPr>
          <w:i/>
        </w:rPr>
        <w:t xml:space="preserve"> лабораторных показателей, проявляющиеся лейкопенией, лимфопенией, тромбоцитопенией, анемией. Для своевременного выявления отклонений от нормы лабораторных показателей, которые могут возникнуть в ходе терапии, общий клинический анализ крови необходимо повторять каждые 2 недели. При снижении числа тромбоцитов до значения менее 50х10</w:t>
      </w:r>
      <w:r w:rsidRPr="00C32FC4">
        <w:rPr>
          <w:i/>
          <w:vertAlign w:val="superscript"/>
        </w:rPr>
        <w:t>9</w:t>
      </w:r>
      <w:r w:rsidRPr="00C32FC4">
        <w:rPr>
          <w:i/>
        </w:rPr>
        <w:t>/л, абсолютного числа нейтрофилов менее 0,50х10</w:t>
      </w:r>
      <w:r w:rsidRPr="00C32FC4">
        <w:rPr>
          <w:i/>
          <w:vertAlign w:val="superscript"/>
        </w:rPr>
        <w:t>9</w:t>
      </w:r>
      <w:r w:rsidRPr="00C32FC4">
        <w:rPr>
          <w:i/>
        </w:rPr>
        <w:t xml:space="preserve">/л, лечение интерфероном рекомендуется прекратить. </w:t>
      </w:r>
    </w:p>
    <w:p w:rsidR="009519AB" w:rsidRPr="00C32FC4" w:rsidRDefault="003865DD" w:rsidP="00125031">
      <w:pPr>
        <w:pStyle w:val="aff3"/>
        <w:divId w:val="266810958"/>
        <w:rPr>
          <w:i/>
        </w:rPr>
      </w:pPr>
      <w:r w:rsidRPr="00C32FC4">
        <w:rPr>
          <w:i/>
        </w:rPr>
        <w:t xml:space="preserve">Пациентам, получающим терапию препаратом, из-за возможности развития </w:t>
      </w:r>
      <w:r w:rsidR="008F478F" w:rsidRPr="00C32FC4">
        <w:rPr>
          <w:i/>
        </w:rPr>
        <w:t>лейкопении, нейтропении,</w:t>
      </w:r>
      <w:r w:rsidRPr="00C32FC4">
        <w:rPr>
          <w:i/>
        </w:rPr>
        <w:t xml:space="preserve"> тромбоцитопении и анемии, следует проводить тщательный мониторинг параметров общего (клинического) анализа крови не реже 1 раза в 2 недели в первые 2 месяца лечения, впоследствии – ежемесячно.</w:t>
      </w:r>
      <w:r w:rsidR="009519AB" w:rsidRPr="00C32FC4">
        <w:rPr>
          <w:i/>
        </w:rPr>
        <w:t xml:space="preserve"> </w:t>
      </w:r>
    </w:p>
    <w:p w:rsidR="00125031" w:rsidRPr="00C32FC4" w:rsidRDefault="009519AB" w:rsidP="00125031">
      <w:pPr>
        <w:pStyle w:val="aff3"/>
        <w:divId w:val="266810958"/>
        <w:rPr>
          <w:i/>
        </w:rPr>
      </w:pPr>
      <w:r w:rsidRPr="00C32FC4">
        <w:rPr>
          <w:i/>
        </w:rPr>
        <w:t>Хлорамбуцил</w:t>
      </w:r>
      <w:r w:rsidR="00921FEF" w:rsidRPr="00C32FC4">
        <w:rPr>
          <w:i/>
        </w:rPr>
        <w:t>**</w:t>
      </w:r>
      <w:r w:rsidRPr="00C32FC4">
        <w:rPr>
          <w:i/>
        </w:rPr>
        <w:t xml:space="preserve"> может вызвать угнетение функции костного мозга, и поэтому во время лечения необходимо систематически (не менее 2–3 раз в неделю) производить общий анализ крови с подсчетом форменных элементов периферической крови. При применении в терапевтических дозах препарат угнетает выработку лимфоцитов и в меньшей степени влияет на количество нейтрофилов и тромбоцитов, а также на уровень гемоглобина. Нет необходимости прекращать прием препарата при первых признаках снижения количества нейтрофилов, однако следует помнить, что снижение количества нейтрофилов может продолжаться в течение 10 и более дней после приема последней дозы.</w:t>
      </w:r>
    </w:p>
    <w:p w:rsidR="009519AB" w:rsidRPr="00C32FC4" w:rsidRDefault="009519AB" w:rsidP="00125031">
      <w:pPr>
        <w:pStyle w:val="aff3"/>
        <w:divId w:val="266810958"/>
        <w:rPr>
          <w:i/>
        </w:rPr>
      </w:pPr>
      <w:r w:rsidRPr="00C32FC4">
        <w:rPr>
          <w:i/>
        </w:rPr>
        <w:t>Необходимо контролировать общий анализ крови до начала и во время проведения терапии преднизолоном.</w:t>
      </w:r>
    </w:p>
    <w:p w:rsidR="001225F3" w:rsidRPr="00C32FC4" w:rsidRDefault="001225F3" w:rsidP="00125031">
      <w:pPr>
        <w:pStyle w:val="aff3"/>
        <w:divId w:val="266810958"/>
        <w:rPr>
          <w:i/>
        </w:rPr>
      </w:pPr>
      <w:r w:rsidRPr="00C32FC4">
        <w:rPr>
          <w:i/>
        </w:rPr>
        <w:t>В процессе лечения доксорубицином</w:t>
      </w:r>
      <w:r w:rsidR="00921FEF" w:rsidRPr="00C32FC4">
        <w:rPr>
          <w:i/>
        </w:rPr>
        <w:t>**</w:t>
      </w:r>
      <w:r w:rsidRPr="00C32FC4">
        <w:rPr>
          <w:i/>
        </w:rPr>
        <w:t xml:space="preserve"> необходимо проводить оценку гематологических показателей до и во время каждого цикла терапии, включая определение количества лейкоцитов, тромбоцитов, гемоглобина, форменных элементов крови.</w:t>
      </w:r>
    </w:p>
    <w:p w:rsidR="008C2A15" w:rsidRPr="00C32FC4" w:rsidRDefault="008C2A15" w:rsidP="00125031">
      <w:pPr>
        <w:pStyle w:val="aff3"/>
        <w:divId w:val="266810958"/>
        <w:rPr>
          <w:i/>
        </w:rPr>
      </w:pPr>
      <w:r w:rsidRPr="00C32FC4">
        <w:rPr>
          <w:i/>
        </w:rPr>
        <w:lastRenderedPageBreak/>
        <w:t>Перед каждым введением препарата гемцитабин необходимо контролировать клинический анализ крови с количественным подсчетом форменных элементов крови (тромбоцитов, лейкоцитов, нейтрофилов). При угнетении функции костного мозга необходимо приостановить лечение или скорректировать дозу препарата.</w:t>
      </w:r>
    </w:p>
    <w:p w:rsidR="00423E16" w:rsidRPr="00C32FC4" w:rsidRDefault="00423E16" w:rsidP="00125031">
      <w:pPr>
        <w:pStyle w:val="aff3"/>
        <w:divId w:val="266810958"/>
        <w:rPr>
          <w:i/>
        </w:rPr>
      </w:pPr>
      <w:r w:rsidRPr="00C32FC4">
        <w:rPr>
          <w:i/>
        </w:rPr>
        <w:t>Поскольку при лечении брентуксимабом ведотином</w:t>
      </w:r>
      <w:r w:rsidR="00921FEF" w:rsidRPr="00C32FC4">
        <w:rPr>
          <w:i/>
        </w:rPr>
        <w:t>**</w:t>
      </w:r>
      <w:r w:rsidRPr="00C32FC4">
        <w:rPr>
          <w:i/>
        </w:rPr>
        <w:t xml:space="preserve"> могут развиться анемия, тромбоцитопения и тяжелая нейтропения, перед каждым введением препарата должен проводиться клинический анализ крови. Если в процессе лечения обнаруживается нейтропения, для ее контроля следует увеличить интервалы между дозами. В случае развития нейтропении 3 или 4 степени необходимо </w:t>
      </w:r>
      <w:r w:rsidR="00D0127D" w:rsidRPr="00C32FC4">
        <w:rPr>
          <w:i/>
        </w:rPr>
        <w:t>уменьшить</w:t>
      </w:r>
      <w:r w:rsidRPr="00C32FC4">
        <w:rPr>
          <w:i/>
        </w:rPr>
        <w:t xml:space="preserve"> дозу препарата вплоть до прекращения лечения.</w:t>
      </w:r>
    </w:p>
    <w:p w:rsidR="00460059" w:rsidRPr="00C32FC4" w:rsidRDefault="00DE7BBA" w:rsidP="00F50F81">
      <w:pPr>
        <w:pStyle w:val="afff8"/>
        <w:divId w:val="266810958"/>
        <w:rPr>
          <w:b/>
        </w:rPr>
      </w:pPr>
      <w:r w:rsidRPr="00C32FC4">
        <w:t xml:space="preserve">Рекомендуется анализ крови биохимический общетерапевтический для диагностики заболеваний и состояний, </w:t>
      </w:r>
      <w:r w:rsidR="00460059" w:rsidRPr="00C32FC4">
        <w:t xml:space="preserve">являющихся противопоказаниями к проведению системной терапии синдрома Сезари </w:t>
      </w:r>
      <w:r w:rsidR="008F478F" w:rsidRPr="00C32FC4">
        <w:t>вориностатом</w:t>
      </w:r>
      <w:r w:rsidR="00460059" w:rsidRPr="00C32FC4">
        <w:t xml:space="preserve"> и для контроля безопасности проводимой системной терапии </w:t>
      </w:r>
      <w:r w:rsidR="00EB7FD8" w:rsidRPr="00C32FC4">
        <w:t>метотрексатом</w:t>
      </w:r>
      <w:r w:rsidR="00921FEF" w:rsidRPr="00C32FC4">
        <w:t>**</w:t>
      </w:r>
      <w:r w:rsidR="00EB7FD8" w:rsidRPr="00C32FC4">
        <w:rPr>
          <w:color w:val="000000"/>
          <w:spacing w:val="2"/>
          <w:szCs w:val="24"/>
          <w:lang w:eastAsia="zh-CN"/>
        </w:rPr>
        <w:t xml:space="preserve">, </w:t>
      </w:r>
      <w:r w:rsidR="00921FEF" w:rsidRPr="00C32FC4">
        <w:rPr>
          <w:color w:val="000000"/>
          <w:spacing w:val="2"/>
          <w:szCs w:val="24"/>
          <w:lang w:eastAsia="zh-CN"/>
        </w:rPr>
        <w:t>интерферонами</w:t>
      </w:r>
      <w:r w:rsidR="00472D64" w:rsidRPr="00C32FC4">
        <w:rPr>
          <w:color w:val="000000"/>
          <w:spacing w:val="2"/>
          <w:szCs w:val="24"/>
          <w:lang w:eastAsia="zh-CN"/>
        </w:rPr>
        <w:t xml:space="preserve">, </w:t>
      </w:r>
      <w:r w:rsidR="003865DD" w:rsidRPr="00C32FC4">
        <w:rPr>
          <w:color w:val="000000"/>
          <w:spacing w:val="2"/>
          <w:szCs w:val="24"/>
          <w:lang w:eastAsia="zh-CN"/>
        </w:rPr>
        <w:t>вориностатом</w:t>
      </w:r>
      <w:r w:rsidR="009519AB" w:rsidRPr="00C32FC4">
        <w:rPr>
          <w:color w:val="000000"/>
          <w:spacing w:val="2"/>
          <w:szCs w:val="24"/>
          <w:lang w:eastAsia="zh-CN"/>
        </w:rPr>
        <w:t>, преднизолоном</w:t>
      </w:r>
      <w:r w:rsidR="001225F3" w:rsidRPr="00C32FC4">
        <w:rPr>
          <w:color w:val="000000"/>
          <w:spacing w:val="2"/>
          <w:szCs w:val="24"/>
          <w:lang w:eastAsia="zh-CN"/>
        </w:rPr>
        <w:t>, доксорубицином</w:t>
      </w:r>
      <w:r w:rsidR="008C2A15" w:rsidRPr="00C32FC4">
        <w:rPr>
          <w:color w:val="000000"/>
          <w:spacing w:val="2"/>
          <w:szCs w:val="24"/>
          <w:lang w:eastAsia="zh-CN"/>
        </w:rPr>
        <w:t>, гемцитабином</w:t>
      </w:r>
      <w:r w:rsidR="0055709B" w:rsidRPr="00C32FC4">
        <w:rPr>
          <w:color w:val="000000"/>
          <w:spacing w:val="2"/>
          <w:szCs w:val="24"/>
          <w:lang w:eastAsia="zh-CN"/>
        </w:rPr>
        <w:t xml:space="preserve">, </w:t>
      </w:r>
      <w:r w:rsidR="00423E16" w:rsidRPr="00C32FC4">
        <w:rPr>
          <w:color w:val="000000"/>
          <w:spacing w:val="2"/>
          <w:szCs w:val="24"/>
          <w:lang w:eastAsia="zh-CN"/>
        </w:rPr>
        <w:t>брентуксимабом ведотином</w:t>
      </w:r>
      <w:r w:rsidR="003865DD" w:rsidRPr="00C32FC4">
        <w:rPr>
          <w:color w:val="000000"/>
          <w:spacing w:val="2"/>
          <w:szCs w:val="24"/>
          <w:lang w:eastAsia="zh-CN"/>
        </w:rPr>
        <w:t xml:space="preserve"> </w:t>
      </w:r>
      <w:r w:rsidR="00460059" w:rsidRPr="00C32FC4">
        <w:t>или фототерапии</w:t>
      </w:r>
      <w:r w:rsidR="002607CA" w:rsidRPr="002607CA">
        <w:t xml:space="preserve"> </w:t>
      </w:r>
      <w:r w:rsidR="002607CA">
        <w:fldChar w:fldCharType="begin" w:fldLock="1"/>
      </w:r>
      <w:r w:rsidR="00270660">
        <w:instrText>ADDIN CSL_CITATION {"citationItems":[{"id":"ITEM-1","itemData":{"DOI":"10.1634/theoncologist.12-10-1247","ISSN":"1083-7159","PMID":"17962618","abstract":"On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Oncologist","id":"ITEM-1","issue":"10","issued":{"date-parts":[["2007","10"]]},"page":"1247-1252","publisher":"Wiley","title":"FDA Approval Summary: Vorinostat for Treatment of Advanced Primary Cutaneous T‐Cell Lymphoma","type":"article-journal","volume":"12"},"uris":["http://www.mendeley.com/documents/?uuid=06d55968-0a58-3fe0-b758-b48bfd9e87a8"]},{"id":"ITEM-2","itemData":{"author":[{"dropping-particle":"","family":"Лезвинская","given":"Е.М.","non-dropping-particle":"","parse-names":false,"suffix":""},{"dropping-particle":"","family":"Вавилов","given":"А.М.","non-dropping-particle":"","parse-names":false,"suffix":""}],"id":"ITEM-2","issued":{"date-parts":[["2010"]]},"number-of-pages":"366","publisher":"М.: Практическая медицина","title":"Лимфопролиферативные опухоли кожи: руководство для врачей","type":"book"},"uris":["http://www.mendeley.com/documents/?uuid=72f335e8-58c7-4f5a-b0b3-08e9384bcef7"]},{"id":"ITEM-3","itemData":{"ISSN":"0315162X","PMID":"7674222","author":[{"dropping-particle":"","family":"Wallace","given":"C. A.","non-dropping-particle":"","parse-names":false,"suffix":""},{"dropping-particle":"","family":"Sherry","given":"D. D.","non-dropping-particle":"","parse-names":false,"suffix":""}],"container-title":"Journal of Rheumatology","id":"ITEM-3","issue":"6","issued":{"date-parts":[["1995","6","1"]]},"page":"1009-1012","title":"A practical approach to avoidance of methotrexate toxicity","type":"article","volume":"22"},"uris":["http://www.mendeley.com/documents/?uuid=3b0f34e1-6b9f-33fa-a6aa-be3dc3e2bbed"]},{"id":"ITEM-4","itemData":{"DOI":"10.1016/j.det.2015.05.009","ISSN":"15580520","PMID":"26433846","author":[{"dropping-particle":"","family":"Wood","given":"Gary S.","non-dropping-particle":"","parse-names":false,"suffix":""},{"dropping-particle":"","family":"Wu","given":"Jianqiang","non-dropping-particle":"","parse-names":false,"suffix":""}],"container-title":"Dermatologic Clinics","id":"ITEM-4","issue":"4","issued":{"date-parts":[["2015","10","1"]]},"page":"747-755","publisher":"W.B. Saunders","title":"Methotrexate and Pralatrexate","type":"article","volume":"33"},"uris":["http://www.mendeley.com/documents/?uuid=c232b263-ce44-3575-8dd3-b008c9d9e521"]},{"id":"ITEM-5","itemData":{"DOI":"10.1371/journal.pone.0194401","ISBN":"1111111111","abstract":"Background","author":[{"dropping-particle":"","family":"M Busger op Vollenbroek","given":"Felien T","non-dropping-particle":"","parse-names":false,"suffix":""},{"dropping-particle":"","family":"M Doggen","given":"Carine J","non-dropping-particle":"","parse-names":false,"suffix":""},{"dropping-particle":"","family":"A Janssens","given":"René W","non-dropping-particle":"","parse-names":false,"suffix":""},{"dropping-particle":"","family":"Bernelot Moens","given":"Hein J","non-dropping-particle":"","parse-names":false,"suffix":""}],"id":"ITEM-5","issued":{"date-parts":[["2018"]]},"title":"Dermatological guidelines for monitoring methotrexate treatment reduce drug-survival compared to rheumatological guidelines","type":"article-journal"},"uris":["http://www.mendeley.com/documents/?uuid=75effbb6-ac1c-364b-89ca-ab27d0e9e01f"]},{"id":"ITEM-6","itemData":{"DOI":"10.1186/s40360-019-0316-8","ISSN":"20506511","PMID":"31269977","abstract":"Background: Data is limited on comparison of acute and chronic methotrexate (MTX) poisoning. Methotrexate is an anti-folate drug that may be prescribed in some malignant or chronic inflammatory conditions. The aim of the current study was to compare signs and symptoms, complications, treatment and final outcome of acute and chronic MTX toxicity. Method: In a retrospective study in a referral center between March 2010 and March 2018, all patients who had been referred with the history of MTX poisoning and hospitalized due to acute or chronic poisoning were evaluated and compared. Results: Of the total 27 patients admitted during the study period, 13 had referred with acute (group 1; consumption of MTX for less than 7 days) and 14 had referred with chronic toxicity (group 2; consumption of MTX for more than 7 days). Mean age was significantly higher in the second group (P &lt; 0.001). Median total dose of MTX was similar between the groups (P = 0.90). Mucosal ulcers and skin lesions (P &lt; 0.001 and 0.02, respectively) were the only symptoms significantly different between the two groups. Leukopenia (P &lt; 0.001), thrombocytopenia (P &lt; 0.001), and anemia (P = 0.04) were significantly more common in the second group. Blood urea nitrogen and creatinine were also significantly higher in the second group of the patients (P &lt; 0.001 and P = 0.048). Median leucovorin administered dose was 200 mg [14, 480] versus 150 mg [75, 187] (P = 0.69) in groups 1 and 2, respectively. Conclusions: Chronic MTX poisoning is more serious than acute toxicity and accompanies higher dermatologic, hematologic, and hepatic complications necessitating more aggressive treatments including administration of higher doses of leucovorin or bone marrow stimulants such as G-CSF. This may be attributable to the underlying diseases and features (including older ages) which predispose these patients to complications.","author":[{"dropping-particle":"","family":"Ahmadzadeh","given":"Arman","non-dropping-particle":"","parse-names":false,"suffix":""},{"dropping-particle":"","family":"Zamani","given":"Nasim","non-dropping-particle":"","parse-names":false,"suffix":""},{"dropping-particle":"","family":"Hassanian-Moghaddam","given":"Hossein","non-dropping-particle":"","parse-names":false,"suffix":""},{"dropping-particle":"","family":"Hadeiy","given":"Seyed Kaveh","non-dropping-particle":"","parse-names":false,"suffix":""},{"dropping-particle":"","family":"Parhizgar","given":"Parinaz","non-dropping-particle":"","parse-names":false,"suffix":""}],"container-title":"BMC Pharmacology and Toxicology","id":"ITEM-6","issue":"1","issued":{"date-parts":[["2019","7","3"]]},"publisher":"BioMed Central Ltd.","title":"Acute versus chronic methotrexate poisoning; A cross-sectional study","type":"article-journal","volume":"20"},"uris":["http://www.mendeley.com/documents/?uuid=f4985c58-2253-3aac-871b-df6b5a3d605a"]},{"id":"ITEM-7","itemData":{"DOI":"10.1111/j.1396-0296.2003.01643.x","ISSN":"13960296","PMID":"14686974","abstract":"Interferons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Therapy","id":"ITEM-7","issue":"4","issued":{"date-parts":[["2003"]]},"page":"311-321","publisher":"Dermatol Ther","title":"Interferon in the treatment of cutaneous T-cell lymphoma","type":"article","volume":"16"},"uris":["http://www.mendeley.com/documents/?uuid=ab8a433e-5050-333a-88f9-6308f8021cb6"]}],"mendeley":{"formattedCitation":"[21–27]","plainTextFormattedCitation":"[21–27]","previouslyFormattedCitation":"[21–27]"},"properties":{"noteIndex":0},"schema":"https://github.com/citation-style-language/schema/raw/master/csl-citation.json"}</w:instrText>
      </w:r>
      <w:r w:rsidR="002607CA">
        <w:fldChar w:fldCharType="separate"/>
      </w:r>
      <w:r w:rsidR="002607CA" w:rsidRPr="002607CA">
        <w:rPr>
          <w:noProof/>
        </w:rPr>
        <w:t>[21–27]</w:t>
      </w:r>
      <w:r w:rsidR="002607CA">
        <w:fldChar w:fldCharType="end"/>
      </w:r>
      <w:r w:rsidR="00460059" w:rsidRPr="00C32FC4">
        <w:t>.</w:t>
      </w:r>
    </w:p>
    <w:p w:rsidR="00460059" w:rsidRPr="00C32FC4" w:rsidRDefault="00297C27" w:rsidP="00460059">
      <w:pPr>
        <w:pStyle w:val="10"/>
        <w:numPr>
          <w:ilvl w:val="0"/>
          <w:numId w:val="0"/>
        </w:numPr>
        <w:spacing w:before="0"/>
        <w:ind w:left="709"/>
        <w:divId w:val="266810958"/>
        <w:rPr>
          <w:b/>
        </w:rPr>
      </w:pPr>
      <w:r w:rsidRPr="00C32FC4">
        <w:rPr>
          <w:b/>
        </w:rPr>
        <w:t>Уровень убедительности рекомендаций С (уровень достоверности доказательств – 5)</w:t>
      </w:r>
    </w:p>
    <w:p w:rsidR="001225F3" w:rsidRPr="00C32FC4" w:rsidRDefault="00460059" w:rsidP="00460059">
      <w:pPr>
        <w:pStyle w:val="10"/>
        <w:numPr>
          <w:ilvl w:val="0"/>
          <w:numId w:val="0"/>
        </w:numPr>
        <w:spacing w:before="0"/>
        <w:ind w:left="709"/>
        <w:divId w:val="266810958"/>
        <w:rPr>
          <w:i/>
        </w:rPr>
      </w:pPr>
      <w:r w:rsidRPr="00C32FC4">
        <w:rPr>
          <w:b/>
        </w:rPr>
        <w:t xml:space="preserve">Комментарии: </w:t>
      </w:r>
      <w:r w:rsidRPr="00C32FC4">
        <w:rPr>
          <w:i/>
        </w:rPr>
        <w:t>Лекарственные препараты, используемые для системной терапии синдрома Сезари, обладают нежелательными эффектами, выявление которых требует проведения анализа крови биохимического общетерапевтического.</w:t>
      </w:r>
      <w:r w:rsidR="00EB7FD8" w:rsidRPr="00C32FC4">
        <w:rPr>
          <w:i/>
        </w:rPr>
        <w:t xml:space="preserve"> Перед началом лечения метотрексатом или при возобновлении терапии после перерыва необходимо оценивать активность «печеночных» ферментов</w:t>
      </w:r>
      <w:r w:rsidR="00D0127D" w:rsidRPr="00C32FC4">
        <w:rPr>
          <w:i/>
        </w:rPr>
        <w:t xml:space="preserve"> аланинаминотрансферазы и аспартатаминотрансферазы</w:t>
      </w:r>
      <w:r w:rsidR="00EB7FD8" w:rsidRPr="00C32FC4">
        <w:rPr>
          <w:i/>
        </w:rPr>
        <w:t>, концентрацию билирубина, альбумина сыворотки.</w:t>
      </w:r>
      <w:r w:rsidR="003865DD" w:rsidRPr="00C32FC4">
        <w:rPr>
          <w:i/>
        </w:rPr>
        <w:t xml:space="preserve"> </w:t>
      </w:r>
      <w:r w:rsidR="005621A1" w:rsidRPr="00C32FC4">
        <w:rPr>
          <w:i/>
        </w:rPr>
        <w:t xml:space="preserve">В процессе лечения метотрексатом анализ биохимический общетерапевтический необходимо повторять (ежемесячно в первые 6 месяцев и не реже, чем каждые 3 месяца в дальнейшем, при повышении доз целесообразно повышать частоту обследований). Лечение метотрексатом не следует начинать или необходимо приостанавливать </w:t>
      </w:r>
      <w:r w:rsidR="00D0127D" w:rsidRPr="00C32FC4">
        <w:rPr>
          <w:i/>
        </w:rPr>
        <w:t>в случае наличия или развития любых отклонений от нормальных показателей функциональных печеночных тестов</w:t>
      </w:r>
      <w:r w:rsidR="005621A1" w:rsidRPr="00C32FC4">
        <w:rPr>
          <w:i/>
        </w:rPr>
        <w:t xml:space="preserve">. Обычно показатели нормализуются в течение 2 недель, после чего лечение может быть возобновлено. </w:t>
      </w:r>
      <w:r w:rsidR="006523C6" w:rsidRPr="00C32FC4">
        <w:rPr>
          <w:i/>
        </w:rPr>
        <w:t xml:space="preserve">При применении интерферона возможны отклонения от нормы лабораторных показателей, проявляющиеся повышением активности аланинаминотрансферазы, щелочной фосфатазы, концентрации креатинина. </w:t>
      </w:r>
      <w:r w:rsidR="00472D64" w:rsidRPr="00C32FC4">
        <w:rPr>
          <w:i/>
        </w:rPr>
        <w:t xml:space="preserve">Для </w:t>
      </w:r>
      <w:r w:rsidR="00472D64" w:rsidRPr="00C32FC4">
        <w:rPr>
          <w:i/>
        </w:rPr>
        <w:lastRenderedPageBreak/>
        <w:t xml:space="preserve">своевременного выявления отклонений от нормы лабораторных показателей, которые могут возникнуть в ходе терапии интерфероном, биохимический анализ крови необходимо повторять каждые 4 недели. В случае появления признаков нарушения функции печени за больным необходимо установить тщательное наблюдение. При прогрессировании </w:t>
      </w:r>
      <w:r w:rsidR="00D0127D" w:rsidRPr="00C32FC4">
        <w:rPr>
          <w:i/>
        </w:rPr>
        <w:t>нарушений функции печени</w:t>
      </w:r>
      <w:r w:rsidR="00472D64" w:rsidRPr="00C32FC4">
        <w:rPr>
          <w:i/>
        </w:rPr>
        <w:t xml:space="preserve"> введение препарата следует прекратить. </w:t>
      </w:r>
      <w:r w:rsidR="003865DD" w:rsidRPr="00C32FC4">
        <w:rPr>
          <w:i/>
        </w:rPr>
        <w:t xml:space="preserve">Пациентам, получающим терапию препаратом вориностат, из-за возможности </w:t>
      </w:r>
      <w:r w:rsidR="003865DD" w:rsidRPr="00C32FC4">
        <w:rPr>
          <w:i/>
          <w:szCs w:val="24"/>
        </w:rPr>
        <w:t>увеличения плазменной концентрации креатинина</w:t>
      </w:r>
      <w:r w:rsidR="003865DD" w:rsidRPr="00C32FC4">
        <w:rPr>
          <w:szCs w:val="24"/>
        </w:rPr>
        <w:t xml:space="preserve">. </w:t>
      </w:r>
      <w:r w:rsidR="003865DD" w:rsidRPr="00C32FC4">
        <w:rPr>
          <w:i/>
        </w:rPr>
        <w:t>развития</w:t>
      </w:r>
      <w:r w:rsidR="003865DD" w:rsidRPr="00C32FC4">
        <w:rPr>
          <w:szCs w:val="24"/>
        </w:rPr>
        <w:t xml:space="preserve"> </w:t>
      </w:r>
      <w:r w:rsidR="003865DD" w:rsidRPr="00C32FC4">
        <w:rPr>
          <w:i/>
          <w:szCs w:val="24"/>
        </w:rPr>
        <w:t>гипокалиемия</w:t>
      </w:r>
      <w:r w:rsidR="003865DD" w:rsidRPr="00C32FC4">
        <w:rPr>
          <w:i/>
        </w:rPr>
        <w:t xml:space="preserve">, </w:t>
      </w:r>
      <w:r w:rsidR="008F478F" w:rsidRPr="00C32FC4">
        <w:rPr>
          <w:i/>
        </w:rPr>
        <w:t xml:space="preserve">повышения уровня глюкозы в крови </w:t>
      </w:r>
      <w:r w:rsidR="003865DD" w:rsidRPr="00C32FC4">
        <w:rPr>
          <w:i/>
        </w:rPr>
        <w:t>с</w:t>
      </w:r>
      <w:r w:rsidR="003865DD" w:rsidRPr="00C32FC4">
        <w:rPr>
          <w:i/>
          <w:szCs w:val="24"/>
        </w:rPr>
        <w:t>ледует проводить тщательный мониторинг параметров биохимического анализа крови, включая концентрации электролитов плазмы, глюкозы и креатинина не реже 1 раза в 2 недели в первые 2 месяца лечения, впоследствии – ежемесячно.</w:t>
      </w:r>
      <w:r w:rsidR="006F20EA" w:rsidRPr="00C32FC4">
        <w:rPr>
          <w:szCs w:val="24"/>
        </w:rPr>
        <w:t xml:space="preserve"> </w:t>
      </w:r>
      <w:r w:rsidR="006F20EA" w:rsidRPr="00C32FC4">
        <w:rPr>
          <w:i/>
          <w:szCs w:val="24"/>
        </w:rPr>
        <w:t>Мониторинг плазменного уровня глюкозы в особенности необходим для пациентов с уже имеющимся диабетом или риском развития диабета.</w:t>
      </w:r>
      <w:r w:rsidR="009519AB" w:rsidRPr="00C32FC4">
        <w:rPr>
          <w:i/>
          <w:szCs w:val="24"/>
        </w:rPr>
        <w:t xml:space="preserve"> Необходимо контролировать гликемию и содержание электролитов в плазме до начала и во время проведения терапии преднизолоном.</w:t>
      </w:r>
      <w:r w:rsidR="001225F3" w:rsidRPr="00C32FC4">
        <w:rPr>
          <w:i/>
          <w:szCs w:val="24"/>
        </w:rPr>
        <w:t xml:space="preserve"> </w:t>
      </w:r>
      <w:r w:rsidR="001225F3" w:rsidRPr="00C32FC4">
        <w:rPr>
          <w:i/>
        </w:rPr>
        <w:t xml:space="preserve">В процессе лечения доксорубицином необходимо проводить оценку печеночных функциональных тестов. При применении доксорубицина вследствие быстрого лизиса опухолевых клеток может наблюдаться гиперурикемия, в связи с чем пациентам во время терапии рекомендуется определять концентрацию мочевой кислоты, калия, кальция и </w:t>
      </w:r>
      <w:r w:rsidR="00D0127D" w:rsidRPr="00C32FC4">
        <w:rPr>
          <w:i/>
        </w:rPr>
        <w:t>креатинина и профилактическое использование аллопуринола</w:t>
      </w:r>
      <w:r w:rsidR="001225F3" w:rsidRPr="00C32FC4">
        <w:rPr>
          <w:i/>
        </w:rPr>
        <w:t>.</w:t>
      </w:r>
      <w:r w:rsidR="008C2A15" w:rsidRPr="00C32FC4">
        <w:rPr>
          <w:i/>
        </w:rPr>
        <w:t xml:space="preserve"> У пациентов, получающих терапию гемцитабином, периодически необходимо проводить оценку функции печени.</w:t>
      </w:r>
      <w:r w:rsidR="0055709B" w:rsidRPr="00C32FC4">
        <w:rPr>
          <w:i/>
        </w:rPr>
        <w:t xml:space="preserve"> </w:t>
      </w:r>
      <w:r w:rsidR="00423E16" w:rsidRPr="00C32FC4">
        <w:rPr>
          <w:i/>
        </w:rPr>
        <w:t>У пациентов, проходящих лечение брентуксимабом ведотином, необходимо регулярно контролировать функции печени.</w:t>
      </w:r>
      <w:r w:rsidR="00423E16" w:rsidRPr="00C32FC4">
        <w:rPr>
          <w:rFonts w:eastAsia="SimSun"/>
          <w:color w:val="00000A"/>
          <w:kern w:val="1"/>
          <w:szCs w:val="24"/>
        </w:rPr>
        <w:t xml:space="preserve"> </w:t>
      </w:r>
      <w:r w:rsidR="00423E16" w:rsidRPr="00C32FC4">
        <w:rPr>
          <w:i/>
        </w:rPr>
        <w:t>Вне зависимости от анамнеза, уровень сывороточной глюкозы должен контролироваться у всех получающих брентуксимаб ведотин пациентов с зарегистрированным случаем гипергликемии.</w:t>
      </w:r>
    </w:p>
    <w:p w:rsidR="00460059" w:rsidRPr="00C32FC4" w:rsidRDefault="00DE7BBA" w:rsidP="00F50F81">
      <w:pPr>
        <w:pStyle w:val="afff8"/>
        <w:divId w:val="266810958"/>
      </w:pPr>
      <w:r w:rsidRPr="00C32FC4">
        <w:t xml:space="preserve">Рекомендуется общий (клинический) анализ мочи для диагностики заболеваний и состояний, являющихся противопоказаниями к проведению системной терапии синдрома Сезари и для контроля безопасности проводимой системной терапии </w:t>
      </w:r>
      <w:r w:rsidR="000A7A33" w:rsidRPr="00C32FC4">
        <w:t>метотрексатом</w:t>
      </w:r>
      <w:r w:rsidR="00921FEF" w:rsidRPr="00C32FC4">
        <w:t>**</w:t>
      </w:r>
      <w:r w:rsidR="000A7A33" w:rsidRPr="00C32FC4">
        <w:t xml:space="preserve">, </w:t>
      </w:r>
      <w:r w:rsidR="008F478F" w:rsidRPr="00C32FC4">
        <w:t>вориностатом</w:t>
      </w:r>
      <w:r w:rsidR="00287095" w:rsidRPr="00C32FC4">
        <w:t>, преднизолоном</w:t>
      </w:r>
      <w:r w:rsidR="00921FEF" w:rsidRPr="00C32FC4">
        <w:t>**</w:t>
      </w:r>
      <w:r w:rsidR="008C2A15" w:rsidRPr="00C32FC4">
        <w:t>, гемцитабином</w:t>
      </w:r>
      <w:r w:rsidR="00921FEF" w:rsidRPr="00C32FC4">
        <w:t>**</w:t>
      </w:r>
      <w:r w:rsidR="008F478F" w:rsidRPr="00C32FC4">
        <w:t xml:space="preserve"> </w:t>
      </w:r>
      <w:r w:rsidR="00460059" w:rsidRPr="00C32FC4">
        <w:t>или фототерапии</w:t>
      </w:r>
      <w:r w:rsidR="002607CA" w:rsidRPr="002607CA">
        <w:t xml:space="preserve"> </w:t>
      </w:r>
      <w:r w:rsidR="00270660">
        <w:fldChar w:fldCharType="begin" w:fldLock="1"/>
      </w:r>
      <w:r w:rsidR="00750BBA">
        <w:instrText>ADDIN CSL_CITATION {"citationItems":[{"id":"ITEM-1","itemData":{"DOI":"10.1634/theoncologist.12-10-1247","ISSN":"1083-7159","PMID":"17962618","abstract":"On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Oncologist","id":"ITEM-1","issue":"10","issued":{"date-parts":[["2007","10"]]},"page":"1247-1252","publisher":"Wiley","title":"FDA Approval Summary: Vorinostat for Treatment of Advanced Primary Cutaneous T‐Cell Lymphoma","type":"article-journal","volume":"12"},"uris":["http://www.mendeley.com/documents/?uuid=06d55968-0a58-3fe0-b758-b48bfd9e87a8"]},{"id":"ITEM-2","itemData":{"author":[{"dropping-particle":"","family":"Лезвинская","given":"Е.М.","non-dropping-particle":"","parse-names":false,"suffix":""},{"dropping-particle":"","family":"Вавилов","given":"А.М.","non-dropping-particle":"","parse-names":false,"suffix":""}],"id":"ITEM-2","issued":{"date-parts":[["2010"]]},"number-of-pages":"366","publisher":"М.: Практическая медицина","title":"Лимфопролиферативные опухоли кожи: руководство для врачей","type":"book"},"uris":["http://www.mendeley.com/documents/?uuid=72f335e8-58c7-4f5a-b0b3-08e9384bcef7"]},{"id":"ITEM-3","itemData":{"DOI":"10.1371/journal.pone.0194401","ISBN":"1111111111","abstract":"Background","author":[{"dropping-particle":"","family":"M Busger op Vollenbroek","given":"Felien T","non-dropping-particle":"","parse-names":false,"suffix":""},{"dropping-particle":"","family":"M Doggen","given":"Carine J","non-dropping-particle":"","parse-names":false,"suffix":""},{"dropping-particle":"","family":"A Janssens","given":"René W","non-dropping-particle":"","parse-names":false,"suffix":""},{"dropping-particle":"","family":"Bernelot Moens","given":"Hein J","non-dropping-particle":"","parse-names":false,"suffix":""}],"id":"ITEM-3","issued":{"date-parts":[["2018"]]},"title":"Dermatological guidelines for monitoring methotrexate treatment reduce drug-survival compared to rheumatological guidelines","type":"article-journal"},"uris":["http://www.mendeley.com/documents/?uuid=75effbb6-ac1c-364b-89ca-ab27d0e9e01f"]}],"mendeley":{"formattedCitation":"[21,22,25]","plainTextFormattedCitation":"[21,22,25]","previouslyFormattedCitation":"[21,22,25]"},"properties":{"noteIndex":0},"schema":"https://github.com/citation-style-language/schema/raw/master/csl-citation.json"}</w:instrText>
      </w:r>
      <w:r w:rsidR="00270660">
        <w:fldChar w:fldCharType="separate"/>
      </w:r>
      <w:r w:rsidR="00BC2C9A" w:rsidRPr="00BC2C9A">
        <w:rPr>
          <w:noProof/>
        </w:rPr>
        <w:t>[21,22,25]</w:t>
      </w:r>
      <w:r w:rsidR="00270660">
        <w:fldChar w:fldCharType="end"/>
      </w:r>
      <w:r w:rsidR="00460059" w:rsidRPr="00C32FC4">
        <w:t>.</w:t>
      </w:r>
    </w:p>
    <w:p w:rsidR="00460059" w:rsidRPr="00C32FC4" w:rsidRDefault="00DE7BBA" w:rsidP="00460059">
      <w:pPr>
        <w:pStyle w:val="aff2"/>
        <w:divId w:val="266810958"/>
      </w:pPr>
      <w:r w:rsidRPr="00C32FC4">
        <w:t>Уровень убедительности рекомендаций С (уровень достоверности доказательств – 5)</w:t>
      </w:r>
    </w:p>
    <w:p w:rsidR="00460059" w:rsidRPr="00C32FC4" w:rsidRDefault="00460059" w:rsidP="00460059">
      <w:pPr>
        <w:pStyle w:val="aff3"/>
        <w:divId w:val="266810958"/>
        <w:rPr>
          <w:i/>
        </w:rPr>
      </w:pPr>
      <w:r w:rsidRPr="00C32FC4">
        <w:rPr>
          <w:b/>
        </w:rPr>
        <w:t xml:space="preserve">Комментарии: </w:t>
      </w:r>
      <w:r w:rsidRPr="00C32FC4">
        <w:rPr>
          <w:i/>
        </w:rPr>
        <w:t xml:space="preserve">Лекарственные препараты, используемые для системной терапии синдрома Сезари, обладают нежелательными эффектами, выявление которых </w:t>
      </w:r>
      <w:r w:rsidRPr="00C32FC4">
        <w:rPr>
          <w:i/>
        </w:rPr>
        <w:lastRenderedPageBreak/>
        <w:t>требует проведения общего (клинического) анализа мочи.</w:t>
      </w:r>
      <w:r w:rsidR="008F478F" w:rsidRPr="00C32FC4">
        <w:rPr>
          <w:i/>
        </w:rPr>
        <w:t xml:space="preserve"> </w:t>
      </w:r>
      <w:r w:rsidR="000A7A33" w:rsidRPr="00C32FC4">
        <w:rPr>
          <w:i/>
        </w:rPr>
        <w:t>Поражение почек и мочевыводящих путей может быть обусловлено как пр</w:t>
      </w:r>
      <w:r w:rsidR="00C66945" w:rsidRPr="00C32FC4">
        <w:rPr>
          <w:i/>
        </w:rPr>
        <w:t>я</w:t>
      </w:r>
      <w:r w:rsidR="000A7A33" w:rsidRPr="00C32FC4">
        <w:rPr>
          <w:i/>
        </w:rPr>
        <w:t xml:space="preserve">мым токсическим действием препаратов, так и активацией инфекции на фоне иммуносупрессии. </w:t>
      </w:r>
      <w:r w:rsidR="00C66945" w:rsidRPr="00C32FC4">
        <w:rPr>
          <w:i/>
        </w:rPr>
        <w:t>На фоне терапии метотрексатом возможна активация хронической инфекции, в том числе с поражением мочевыделительной системы</w:t>
      </w:r>
      <w:r w:rsidR="00BC2C9A" w:rsidRPr="00BC2C9A">
        <w:rPr>
          <w:i/>
        </w:rPr>
        <w:t xml:space="preserve"> </w:t>
      </w:r>
      <w:r w:rsidR="00750BBA">
        <w:rPr>
          <w:i/>
        </w:rPr>
        <w:fldChar w:fldCharType="begin" w:fldLock="1"/>
      </w:r>
      <w:r w:rsidR="0029755C">
        <w:rPr>
          <w:i/>
        </w:rPr>
        <w:instrText>ADDIN CSL_CITATION {"citationItems":[{"id":"ITEM-1","itemData":{"DOI":"10.1371/journal.pone.0194401","ISBN":"1111111111","abstract":"Background","author":[{"dropping-particle":"","family":"M Busger op Vollenbroek","given":"Felien T","non-dropping-particle":"","parse-names":false,"suffix":""},{"dropping-particle":"","family":"M Doggen","given":"Carine J","non-dropping-particle":"","parse-names":false,"suffix":""},{"dropping-particle":"","family":"A Janssens","given":"René W","non-dropping-particle":"","parse-names":false,"suffix":""},{"dropping-particle":"","family":"Bernelot Moens","given":"Hein J","non-dropping-particle":"","parse-names":false,"suffix":""}],"id":"ITEM-1","issued":{"date-parts":[["2018"]]},"title":"Dermatological guidelines for monitoring methotrexate treatment reduce drug-survival compared to rheumatological guidelines","type":"article-journal"},"uris":["http://www.mendeley.com/documents/?uuid=75effbb6-ac1c-364b-89ca-ab27d0e9e01f"]}],"mendeley":{"formattedCitation":"[25]","plainTextFormattedCitation":"[25]","previouslyFormattedCitation":"[25]"},"properties":{"noteIndex":0},"schema":"https://github.com/citation-style-language/schema/raw/master/csl-citation.json"}</w:instrText>
      </w:r>
      <w:r w:rsidR="00750BBA">
        <w:rPr>
          <w:i/>
        </w:rPr>
        <w:fldChar w:fldCharType="separate"/>
      </w:r>
      <w:r w:rsidR="00750BBA" w:rsidRPr="00750BBA">
        <w:rPr>
          <w:noProof/>
        </w:rPr>
        <w:t>[25]</w:t>
      </w:r>
      <w:r w:rsidR="00750BBA">
        <w:rPr>
          <w:i/>
        </w:rPr>
        <w:fldChar w:fldCharType="end"/>
      </w:r>
      <w:r w:rsidR="00C66945" w:rsidRPr="00C32FC4">
        <w:rPr>
          <w:i/>
        </w:rPr>
        <w:t>. Поскольку метотрексат</w:t>
      </w:r>
      <w:r w:rsidR="00921FEF" w:rsidRPr="00C32FC4">
        <w:rPr>
          <w:i/>
        </w:rPr>
        <w:t>**</w:t>
      </w:r>
      <w:r w:rsidR="00C66945" w:rsidRPr="00C32FC4">
        <w:rPr>
          <w:i/>
        </w:rPr>
        <w:t xml:space="preserve"> экскретируется преимущественно почками, у пациентов с нарушениями функции почек может наблюдаться повышение концентрации метотрексата в крови, следствием чего могут быть тяжелые побочные реакции. Необходимо тщательно контролировать состояние пациентов, у которых возможны нарушения функции почек (например, пожилых пациентов). </w:t>
      </w:r>
      <w:r w:rsidR="008F478F" w:rsidRPr="00C32FC4">
        <w:rPr>
          <w:i/>
        </w:rPr>
        <w:t>У пациентов, получающих терапию вориностатом, возможно развитие протеинурии и гиперурикемии.</w:t>
      </w:r>
      <w:r w:rsidR="009519AB" w:rsidRPr="00C32FC4">
        <w:rPr>
          <w:i/>
        </w:rPr>
        <w:t xml:space="preserve"> </w:t>
      </w:r>
      <w:r w:rsidR="00461412" w:rsidRPr="00C32FC4">
        <w:rPr>
          <w:i/>
        </w:rPr>
        <w:t xml:space="preserve">Необходимо контролировать </w:t>
      </w:r>
      <w:r w:rsidR="009519AB" w:rsidRPr="00C32FC4">
        <w:rPr>
          <w:i/>
        </w:rPr>
        <w:t>глюкозурию</w:t>
      </w:r>
      <w:r w:rsidR="00461412" w:rsidRPr="00C32FC4">
        <w:rPr>
          <w:i/>
        </w:rPr>
        <w:t xml:space="preserve"> </w:t>
      </w:r>
      <w:r w:rsidR="00287095" w:rsidRPr="00C32FC4">
        <w:rPr>
          <w:i/>
        </w:rPr>
        <w:t xml:space="preserve">и возможность развития лейкоцитурии </w:t>
      </w:r>
      <w:r w:rsidR="00461412" w:rsidRPr="00C32FC4">
        <w:rPr>
          <w:i/>
        </w:rPr>
        <w:t>до начала и во время проведения терапии преднизолоном.</w:t>
      </w:r>
      <w:r w:rsidR="008C2A15" w:rsidRPr="00C32FC4">
        <w:rPr>
          <w:i/>
        </w:rPr>
        <w:t xml:space="preserve"> У пациентов, получающих терапию гемцитабином</w:t>
      </w:r>
      <w:r w:rsidR="00921FEF" w:rsidRPr="00C32FC4">
        <w:rPr>
          <w:i/>
        </w:rPr>
        <w:t>**</w:t>
      </w:r>
      <w:r w:rsidR="008C2A15" w:rsidRPr="00C32FC4">
        <w:rPr>
          <w:i/>
        </w:rPr>
        <w:t>, периодически необходимо проводить оценку функции почек из-за возможности развития острой почечной недостаточности и гемолитического уремического синдрома.</w:t>
      </w:r>
    </w:p>
    <w:p w:rsidR="00E536F0" w:rsidRPr="00C32FC4" w:rsidRDefault="00E536F0" w:rsidP="009119D3">
      <w:pPr>
        <w:pStyle w:val="afff8"/>
        <w:divId w:val="266810958"/>
      </w:pPr>
      <w:r w:rsidRPr="00C32FC4">
        <w:rPr>
          <w:rStyle w:val="affb"/>
          <w:b w:val="0"/>
          <w:bCs w:val="0"/>
        </w:rPr>
        <w:t>Рекомендуется при прогрессировании</w:t>
      </w:r>
      <w:r w:rsidR="0082399D" w:rsidRPr="00C32FC4">
        <w:rPr>
          <w:rStyle w:val="affb"/>
          <w:b w:val="0"/>
          <w:bCs w:val="0"/>
        </w:rPr>
        <w:t xml:space="preserve"> </w:t>
      </w:r>
      <w:r w:rsidRPr="00C32FC4">
        <w:rPr>
          <w:rStyle w:val="affb"/>
          <w:b w:val="0"/>
          <w:bCs w:val="0"/>
        </w:rPr>
        <w:t>патологического процесса определение маркер</w:t>
      </w:r>
      <w:r w:rsidR="00BE7F13" w:rsidRPr="00C32FC4">
        <w:rPr>
          <w:rStyle w:val="affb"/>
          <w:b w:val="0"/>
          <w:bCs w:val="0"/>
        </w:rPr>
        <w:t>а</w:t>
      </w:r>
      <w:r w:rsidR="0082399D" w:rsidRPr="00C32FC4">
        <w:rPr>
          <w:rStyle w:val="affb"/>
          <w:b w:val="0"/>
          <w:bCs w:val="0"/>
        </w:rPr>
        <w:t xml:space="preserve"> </w:t>
      </w:r>
      <w:r w:rsidRPr="00C32FC4">
        <w:t>агрессивного течения заболевания</w:t>
      </w:r>
      <w:r w:rsidR="009119D3" w:rsidRPr="00C32FC4">
        <w:t xml:space="preserve"> </w:t>
      </w:r>
      <w:r w:rsidRPr="00C32FC4">
        <w:t>определение активности лактатдегидрогеназы в крови</w:t>
      </w:r>
      <w:r w:rsidR="0029755C" w:rsidRPr="0029755C">
        <w:t xml:space="preserve"> </w:t>
      </w:r>
      <w:r w:rsidR="0029755C">
        <w:fldChar w:fldCharType="begin" w:fldLock="1"/>
      </w:r>
      <w:r w:rsidR="005F597C">
        <w:instrText>ADDIN CSL_CITATION {"citationItems":[{"id":"ITEM-1","itemData":{"author":[{"dropping-particle":"","family":"Виноградова","given":"Ю.Е.","non-dropping-particle":"","parse-names":false,"suffix":""},{"dropping-particle":"","family":"Цыба","given":"Н.Н.","non-dropping-particle":"","parse-names":false,"suffix":""},{"dropping-particle":"","family":"Гилязитдинова","given":"Е.А.","non-dropping-particle":"","parse-names":false,"suffix":""}],"container-title":"Клиническая онкогематология","id":"ITEM-1","issue":"4","issued":{"date-parts":[["2009"]]},"page":"326-333","title":"Опыт лечения грибовидного микоза и синдрома Сезари в зависимости от стадий заболевания. Результаты собственных исследований и обзор литературы","type":"article-journal","volume":"2"},"uris":["http://www.mendeley.com/documents/?uuid=24439b9c-8da1-47e3-a3e1-021fdcf60a4a"]},{"id":"ITEM-2","itemData":{"DOI":"10.1158/1078-0432.CCR-12-0604","ISSN":"10780432","PMID":"22850569","abstract":"Purpose: The purpose of this prospectively collected single center study cohort of 1,263 patients with mycosis fungoides (MF)/Sézary syndrome (SS) is to evaluate the significance of stage and risk of disease progression from initial presentation and to examine other prognostic factors. Patients and Methods: The prognostic variables effecting overall survival (OS) were examined in a unique prospective cohort of 1,263 patients with MF and SS seen by one investigator at MD Anderson Cancer Center (Houston, TX) from 1982 to 2009. Kaplan-Meier estimates were used to determine median OS, progression-free survival (PFS), and disease-specific survival (DSS). Cox proportional hazards regression model assessed prognostic factors. Results: Mean age at diagnosis was 55.33 years. Early mycosis fungoides (stage IA-IIA) represented 71.5% (903 of 1,263) and advanced (stage IIB-IVB) 28.5% (360 of 1,263) patients. Progression to a higher stage occurred in 147 patients (11.6%) ofwhom112 (12%) were early and 35 (9.7%) advanced. Death from disease occurred in 102 of 1,263 (8.1%) patients. Median OS was 24.44 years, PFS was 16 years, and median DSS was not reached. OS and PFS were significantly better for early-stage patients with patches (T1a/T2a) than with patches/plaques (T1b/T2b). The PFS analyzed in 1,241 patients found that only 337 (27.2%) had disease progression or had died from disease. Risk factors associated with progression or deaths were advanced age, plaque stage, lactate dehydrogenase (LDH) level, and tumor area. Conclusions: Improved outcome of MF/SS, reflected by OS and PFS for all stages, may result from earlier diagnosis, new therapies, and aggressive treatment of infections. ©2012 AACR.","author":[{"dropping-particle":"","family":"Talpur","given":"Rakhshandra","non-dropping-particle":"","parse-names":false,"suffix":""},{"dropping-particle":"","family":"Singh","given":"Lotika","non-dropping-particle":"","parse-names":false,"suffix":""},{"dropping-particle":"","family":"Daulat","given":"Seema","non-dropping-particle":"","parse-names":false,"suffix":""},{"dropping-particle":"","family":"Liu","given":"Ping","non-dropping-particle":"","parse-names":false,"suffix":""},{"dropping-particle":"","family":"Seyfer","given":"Sarah","non-dropping-particle":"","parse-names":false,"suffix":""},{"dropping-particle":"","family":"Trynosky","given":"Tanya","non-dropping-particle":"","parse-names":false,"suffix":""},{"dropping-particle":"","family":"Wei","given":"Wei","non-dropping-particle":"","parse-names":false,"suffix":""},{"dropping-particle":"","family":"Duvic","given":"Madeleine","non-dropping-particle":"","parse-names":false,"suffix":""}],"container-title":"Clinical Cancer Research","id":"ITEM-2","issue":"18","issued":{"date-parts":[["2012","9","15"]]},"page":"5051-5060","publisher":"Clin Cancer Res","title":"Long-term outcomes of 1,263 patients with mycosis fungoides and sézary syndrome from 1982 to 2009","type":"article-journal","volume":"18"},"uris":["http://www.mendeley.com/documents/?uuid=20f36a5b-9a95-3f19-9b21-672741f834df"]}],"mendeley":{"formattedCitation":"[14,29]","plainTextFormattedCitation":"[14,29]","previouslyFormattedCitation":"[14,29]"},"properties":{"noteIndex":0},"schema":"https://github.com/citation-style-language/schema/raw/master/csl-citation.json"}</w:instrText>
      </w:r>
      <w:r w:rsidR="0029755C">
        <w:fldChar w:fldCharType="separate"/>
      </w:r>
      <w:r w:rsidR="004E699D" w:rsidRPr="004E699D">
        <w:rPr>
          <w:noProof/>
        </w:rPr>
        <w:t>[14,29]</w:t>
      </w:r>
      <w:r w:rsidR="0029755C">
        <w:fldChar w:fldCharType="end"/>
      </w:r>
      <w:r w:rsidR="004E699D">
        <w:rPr>
          <w:lang w:val="en-US"/>
        </w:rPr>
        <w:t>.</w:t>
      </w:r>
    </w:p>
    <w:p w:rsidR="00E536F0" w:rsidRPr="00C32FC4" w:rsidRDefault="00DE7BBA" w:rsidP="00E536F0">
      <w:pPr>
        <w:pStyle w:val="afd"/>
        <w:tabs>
          <w:tab w:val="num" w:pos="1134"/>
        </w:tabs>
        <w:spacing w:beforeAutospacing="0" w:afterAutospacing="0" w:line="360" w:lineRule="auto"/>
        <w:ind w:left="709" w:firstLine="0"/>
        <w:divId w:val="266810958"/>
        <w:rPr>
          <w:b/>
        </w:rPr>
      </w:pPr>
      <w:r w:rsidRPr="00C32FC4">
        <w:rPr>
          <w:rStyle w:val="affb"/>
        </w:rPr>
        <w:t xml:space="preserve">Уровень убедительности рекомендаций </w:t>
      </w:r>
      <w:r w:rsidRPr="00C32FC4">
        <w:rPr>
          <w:rStyle w:val="affb"/>
        </w:rPr>
        <w:softHyphen/>
        <w:t>В</w:t>
      </w:r>
      <w:r w:rsidR="0082399D" w:rsidRPr="00C32FC4">
        <w:t xml:space="preserve"> </w:t>
      </w:r>
      <w:r w:rsidR="00E536F0" w:rsidRPr="00C32FC4">
        <w:rPr>
          <w:b/>
        </w:rPr>
        <w:t xml:space="preserve">(уровень достоверности доказательств – </w:t>
      </w:r>
      <w:r w:rsidR="0051477A" w:rsidRPr="00C32FC4">
        <w:rPr>
          <w:b/>
        </w:rPr>
        <w:t>3</w:t>
      </w:r>
      <w:r w:rsidR="00E536F0" w:rsidRPr="00C32FC4">
        <w:rPr>
          <w:b/>
        </w:rPr>
        <w:t>)</w:t>
      </w:r>
    </w:p>
    <w:p w:rsidR="00E536F0" w:rsidRPr="00C32FC4" w:rsidRDefault="00E536F0" w:rsidP="00E536F0">
      <w:pPr>
        <w:pStyle w:val="aff3"/>
        <w:divId w:val="266810958"/>
        <w:rPr>
          <w:i/>
        </w:rPr>
      </w:pPr>
      <w:r w:rsidRPr="00C32FC4">
        <w:rPr>
          <w:b/>
        </w:rPr>
        <w:t xml:space="preserve">Комментарии: </w:t>
      </w:r>
      <w:r w:rsidRPr="00C32FC4">
        <w:rPr>
          <w:i/>
        </w:rPr>
        <w:t>Повышение активности лактатдегидрогеназы в крови указывает на агрессивное течение синдрома Сезари.</w:t>
      </w:r>
    </w:p>
    <w:p w:rsidR="00B46390" w:rsidRPr="00C32FC4" w:rsidRDefault="00B46390" w:rsidP="0021676E">
      <w:pPr>
        <w:pStyle w:val="2"/>
        <w:divId w:val="266810958"/>
      </w:pPr>
      <w:bookmarkStart w:id="40" w:name="_Toc34301085"/>
      <w:bookmarkStart w:id="41" w:name="_Toc67302908"/>
      <w:r w:rsidRPr="00C32FC4">
        <w:t xml:space="preserve">2.4 </w:t>
      </w:r>
      <w:r w:rsidR="00A70F44" w:rsidRPr="00C32FC4">
        <w:t xml:space="preserve">Инструментальные </w:t>
      </w:r>
      <w:r w:rsidRPr="00C32FC4">
        <w:t>диагно</w:t>
      </w:r>
      <w:r w:rsidR="00A70F44" w:rsidRPr="00C32FC4">
        <w:t>стические исследования</w:t>
      </w:r>
      <w:bookmarkEnd w:id="40"/>
      <w:bookmarkEnd w:id="41"/>
    </w:p>
    <w:p w:rsidR="00F418CE" w:rsidRPr="00C32FC4" w:rsidRDefault="00F418CE" w:rsidP="004F39BB">
      <w:pPr>
        <w:pStyle w:val="afd"/>
        <w:numPr>
          <w:ilvl w:val="0"/>
          <w:numId w:val="7"/>
        </w:numPr>
        <w:spacing w:beforeAutospacing="0" w:afterAutospacing="0" w:line="360" w:lineRule="auto"/>
        <w:ind w:left="709" w:hanging="709"/>
        <w:divId w:val="266810958"/>
        <w:rPr>
          <w:rFonts w:eastAsiaTheme="minorEastAsia"/>
        </w:rPr>
      </w:pPr>
      <w:r w:rsidRPr="00E276ED">
        <w:rPr>
          <w:b/>
        </w:rPr>
        <w:t xml:space="preserve">Рекомендуется </w:t>
      </w:r>
      <w:r w:rsidR="00305B97" w:rsidRPr="00E276ED">
        <w:t>при подозрении на поражение лимфатических узлов</w:t>
      </w:r>
      <w:r w:rsidRPr="00C32FC4">
        <w:t xml:space="preserve"> ультразвуковое исследование лимфатических узлов</w:t>
      </w:r>
      <w:r w:rsidR="00964A5E" w:rsidRPr="00964A5E">
        <w:t xml:space="preserve"> </w:t>
      </w:r>
      <w:r w:rsidR="005F597C">
        <w:fldChar w:fldCharType="begin" w:fldLock="1"/>
      </w:r>
      <w:r w:rsidR="00222CD0">
        <w:instrText>ADDIN CSL_CITATION {"citationItems":[{"id":"ITEM-1","itemData":{"author":[{"dropping-particle":"","family":"Gobbi","given":"P.G.","non-dropping-particle":"","parse-names":false,"suffix":""},{"dropping-particle":"","family":"Broglia","given":"C.","non-dropping-particle":"","parse-names":false,"suffix":""},{"dropping-particle":"","family":"Carnevale Maffe","given":"G.","non-dropping-particle":"","parse-names":false,"suffix":""}],"container-title":"Haematologica","id":"ITEM-1","issue":"11","issued":{"date-parts":[["2002"]]},"page":"1151–1156","title":"Lymphomatous superficial lymph nodes: limitations of physical examination for accurate staging and response assessment","type":"article-journal","volume":"87"},"uris":["http://www.mendeley.com/documents/?uuid=57378292-70af-41c6-b0c6-7cf3af4d5ff1"]}],"mendeley":{"formattedCitation":"[30]","plainTextFormattedCitation":"[30]","previouslyFormattedCitation":"[30]"},"properties":{"noteIndex":0},"schema":"https://github.com/citation-style-language/schema/raw/master/csl-citation.json"}</w:instrText>
      </w:r>
      <w:r w:rsidR="005F597C">
        <w:fldChar w:fldCharType="separate"/>
      </w:r>
      <w:r w:rsidR="005F597C" w:rsidRPr="005F597C">
        <w:rPr>
          <w:noProof/>
        </w:rPr>
        <w:t>[30]</w:t>
      </w:r>
      <w:r w:rsidR="005F597C">
        <w:fldChar w:fldCharType="end"/>
      </w:r>
    </w:p>
    <w:p w:rsidR="00F418CE" w:rsidRPr="00C32FC4" w:rsidRDefault="00DE7BBA" w:rsidP="00F418CE">
      <w:pPr>
        <w:pStyle w:val="afd"/>
        <w:tabs>
          <w:tab w:val="num" w:pos="1134"/>
        </w:tabs>
        <w:spacing w:beforeAutospacing="0" w:afterAutospacing="0" w:line="360" w:lineRule="auto"/>
        <w:ind w:left="709" w:firstLine="0"/>
        <w:divId w:val="266810958"/>
        <w:rPr>
          <w:b/>
        </w:rPr>
      </w:pPr>
      <w:r w:rsidRPr="00C32FC4">
        <w:rPr>
          <w:rStyle w:val="affb"/>
        </w:rPr>
        <w:t xml:space="preserve">Уровень убедительности рекомендаций </w:t>
      </w:r>
      <w:r w:rsidRPr="00C32FC4">
        <w:rPr>
          <w:rStyle w:val="affb"/>
        </w:rPr>
        <w:softHyphen/>
        <w:t xml:space="preserve">С </w:t>
      </w:r>
      <w:r w:rsidRPr="00C32FC4">
        <w:rPr>
          <w:b/>
        </w:rPr>
        <w:t>(уровень достоверности доказательств – 5)</w:t>
      </w:r>
    </w:p>
    <w:p w:rsidR="00F9594B" w:rsidRPr="00C32FC4" w:rsidRDefault="00F418CE">
      <w:pPr>
        <w:pStyle w:val="afff8"/>
        <w:divId w:val="266810958"/>
      </w:pPr>
      <w:r w:rsidRPr="00C32FC4">
        <w:t>Рекомендуется пациентам с подозрением на поражение</w:t>
      </w:r>
      <w:r w:rsidR="000E54DB" w:rsidRPr="00C32FC4">
        <w:t xml:space="preserve"> внутренних</w:t>
      </w:r>
      <w:r w:rsidRPr="00C32FC4">
        <w:t xml:space="preserve"> органов </w:t>
      </w:r>
      <w:r w:rsidR="00DE7BBA" w:rsidRPr="00C32FC4">
        <w:t>компьютерная томография органов грудной полости</w:t>
      </w:r>
      <w:r w:rsidR="000E54DB" w:rsidRPr="00C32FC4">
        <w:t>, органов малого таза, органов брюшной полости и забрюшинного пространств</w:t>
      </w:r>
      <w:r w:rsidR="008E3740">
        <w:t xml:space="preserve"> </w:t>
      </w:r>
      <w:r w:rsidR="00222CD0">
        <w:fldChar w:fldCharType="begin" w:fldLock="1"/>
      </w:r>
      <w:r w:rsidR="00D33D3C">
        <w:instrText>ADDIN CSL_CITATION {"citationItems":[{"id":"ITEM-1","itemData":{"DOI":"10.1001/archderm.142.5.577","ISSN":"0003987X","PMID":"16702495","abstract":"Objectives: To evaluate the usefulness of integrated positron emission tomography and computed tomography (PET/CT) in staging mycosis fungoides (MF) and Sézary syndrome and to correlate PET/CT data with histopathologic diagnosis of lymph nodes (LNs). Design: A single-center, prospective cohort analysis. Setting: Academic referral center for cutaneous lymphoma. Patients: Thirteen patients with MF and SS at risk for secondary LN involvement. Interventions: Patients were clinically evaluated based on general physical examination, total body skin examination, and laboratory screening. They underwent integrated PET/CT followed by excisional biopsy of LNs. Main Outcome Measures: We used PET/CT to assess LN size and metabolic activity. Enlarged LNs were defined as axillary or inguinal LNs with a short axis 1.5 cm or larger; or cervical LN, with a short axis 1.0 cm or larger. We classified LN pathologic results according to National Cancer Institute (LN1-4) and World Health Organization (WHO 1-3) criteria. We quantified PET activity using standardized uptake value (SUV) and correlated with LN grade. Results: Based on CT size criteria alone, only 5 patients had enlarged LNs, whereas PET revealed hypermetabolic LNs in all 13 patients. Six patients had LN1-3, and 7 had effacement of LN architecture by lymphoma cells (LN4). Of the 7 patients with LN4 nodes, 4 had SS, and 3 had tumorous MF. Two patients with LN4 nodes had inguinal LNs smaller than 1.5 cm and would have been assigned an N0 classification without the use of integrated PET/CT. Correlation of SUV with LN grade revealed that LN1-3 nodes were associated with a mean SUV of 2.7 (median SUV, 2.2; range, 2.0-4.7) and LN4 nodes were associated with a mean SUV of 5.4 (median SUV, 3.9; range, 2.1-11.8). Patients with large cell transformation had the highest SUVs. Conclusions: For staging MF and SS, PET/CT was more sensitive in detecting LN involved by lymphoma compared with CT data alone and thus may provide more accurate staging and prognostic information. The intensity of PET activity correlated with histologic LN grade. ©2006 American Medical Association. All rights reserved.","author":[{"dropping-particle":"","family":"Tsai","given":"Eunice Y.","non-dropping-particle":"","parse-names":false,"suffix":""},{"dropping-particle":"","family":"Taur","given":"Alan","non-dropping-particle":"","parse-names":false,"suffix":""},{"dropping-particle":"","family":"Espinosa","given":"Leandro","non-dropping-particle":"","parse-names":false,"suffix":""},{"dropping-particle":"","family":"Quon","given":"Andrew","non-dropping-particle":"","parse-names":false,"suffix":""},{"dropping-particle":"","family":"Johnson","given":"Denise","non-dropping-particle":"","parse-names":false,"suffix":""},{"dropping-particle":"","family":"Dick","given":"Sarah","non-dropping-particle":"","parse-names":false,"suffix":""},{"dropping-particle":"","family":"Chow","given":"Steve","non-dropping-particle":"","parse-names":false,"suffix":""},{"dropping-particle":"","family":"Advani","given":"Ranjana","non-dropping-particle":"","parse-names":false,"suffix":""},{"dropping-particle":"","family":"Warnke","given":"Roger","non-dropping-particle":"","parse-names":false,"suffix":""},{"dropping-particle":"","family":"Kohler","given":"Sabine","non-dropping-particle":"","parse-names":false,"suffix":""},{"dropping-particle":"","family":"Hoppe","given":"Richard T.","non-dropping-particle":"","parse-names":false,"suffix":""},{"dropping-particle":"","family":"Kim","given":"Youn H.","non-dropping-particle":"","parse-names":false,"suffix":""}],"container-title":"Archives of Dermatology","id":"ITEM-1","issue":"5","issued":{"date-parts":[["2006","5"]]},"page":"577-584","publisher":"Arch Dermatol","title":"Staging accuracy in mycosis fungoides and sézary syndrome using integrated positron emission tomography and computed tomography","type":"article-journal","volume":"142"},"uris":["http://www.mendeley.com/documents/?uuid=89084ac4-2c56-379d-b82c-1ef253e19cf6"]},{"id":"ITEM-2","itemData":{"DOI":"10.1016/S0190-9622(97)70212-3","ISSN":"01909622","PMID":"9216524","abstract":"Background: Staging evaluations of patients with mycosis fungoides (MF) and Sezary syndrome (SS) are performed to individualize therapy and to predict survival. Objective: Our purpose was to determine the prognostic factors in patients with MF and SS. Methods: A retrospective study of 101 patients was performed. For inclusion in the study, patients had to have been evaluated for MF or SS within 6 months of the initial definitive histologic diagnosis. The evaluation included physical examination, chest radiograph, peripheral blood smear, lymph node biopsy, bone marrow biopsy, gallium 67 scan, liver-spleen scan and computed tomography (CT) of the chest, abdomen, and pelvis. Results: The type of skin disease present at initial diagnosis was a good prognostic indicator of survival and clinical outcome. Univariate adverse prognostic features included hepatosplenomegaly or adenopathy by CT scan, abnormal liver-spleen scan, abnormal gallium scan, adenopathy, and peripheral blood, bone marrow, and lymph node involve merit. Independent prognostic factors in multivariate analysis were the type of skin involvement as well as peripheral blood and visceral involvement. Conclusion: Our study confirms previous reports that type of skin and peripheral blood and visceral involvement are important prognostic factors in patients with MF or SS. Our results support the finding that patients with T1 stage disease have an excellent survival outlook and clinical outcome.","author":[{"dropping-particle":"","family":"Toro","given":"J. R.","non-dropping-particle":"","parse-names":false,"suffix":""},{"dropping-particle":"","family":"Stoll","given":"Jr","non-dropping-particle":"","parse-names":false,"suffix":""},{"dropping-particle":"","family":"Stomper","given":"P. C.","non-dropping-particle":"","parse-names":false,"suffix":""},{"dropping-particle":"","family":"Oseroff","given":"A. R.","non-dropping-particle":"","parse-names":false,"suffix":""}],"container-title":"Journal of the American Academy of Dermatology","id":"ITEM-2","issue":"1","issued":{"date-parts":[["1997"]]},"page":"58-67","publisher":"Mosby Inc.","title":"Prognostic factors and evaluation of mycosis fungoides and Sezary syndrome","type":"article-journal","volume":"37"},"uris":["http://www.mendeley.com/documents/?uuid=6d48abba-ce13-3e8d-8e8e-54dd566f3d6f"]}],"mendeley":{"formattedCitation":"[31,32]","plainTextFormattedCitation":"[31,32]","previouslyFormattedCitation":"[31,32]"},"properties":{"noteIndex":0},"schema":"https://github.com/citation-style-language/schema/raw/master/csl-citation.json"}</w:instrText>
      </w:r>
      <w:r w:rsidR="00222CD0">
        <w:fldChar w:fldCharType="separate"/>
      </w:r>
      <w:r w:rsidR="00452088" w:rsidRPr="00452088">
        <w:rPr>
          <w:noProof/>
        </w:rPr>
        <w:t>[31,32]</w:t>
      </w:r>
      <w:r w:rsidR="00222CD0">
        <w:fldChar w:fldCharType="end"/>
      </w:r>
    </w:p>
    <w:p w:rsidR="00F418CE" w:rsidRPr="00C32FC4" w:rsidRDefault="00297C27" w:rsidP="00F418CE">
      <w:pPr>
        <w:pStyle w:val="afd"/>
        <w:tabs>
          <w:tab w:val="num" w:pos="1134"/>
        </w:tabs>
        <w:spacing w:beforeAutospacing="0" w:afterAutospacing="0" w:line="360" w:lineRule="auto"/>
        <w:ind w:left="709" w:firstLine="0"/>
        <w:divId w:val="266810958"/>
        <w:rPr>
          <w:b/>
        </w:rPr>
      </w:pPr>
      <w:r w:rsidRPr="00C32FC4">
        <w:rPr>
          <w:rStyle w:val="affb"/>
        </w:rPr>
        <w:t xml:space="preserve">Уровень убедительности рекомендаций </w:t>
      </w:r>
      <w:r w:rsidRPr="00C32FC4">
        <w:rPr>
          <w:rStyle w:val="affb"/>
        </w:rPr>
        <w:softHyphen/>
        <w:t>С</w:t>
      </w:r>
      <w:r w:rsidR="00DE7BBA" w:rsidRPr="00C32FC4">
        <w:rPr>
          <w:rStyle w:val="affb"/>
        </w:rPr>
        <w:t xml:space="preserve"> </w:t>
      </w:r>
      <w:r w:rsidRPr="00C32FC4">
        <w:rPr>
          <w:b/>
        </w:rPr>
        <w:t xml:space="preserve">(уровень достоверности доказательств – </w:t>
      </w:r>
      <w:r w:rsidR="00DE7BBA" w:rsidRPr="00C32FC4">
        <w:rPr>
          <w:b/>
        </w:rPr>
        <w:t>4</w:t>
      </w:r>
      <w:r w:rsidRPr="00C32FC4">
        <w:rPr>
          <w:b/>
        </w:rPr>
        <w:t>)</w:t>
      </w:r>
    </w:p>
    <w:p w:rsidR="00F418CE" w:rsidRPr="00C32FC4" w:rsidRDefault="00F418CE" w:rsidP="00F418CE">
      <w:pPr>
        <w:pStyle w:val="afd"/>
        <w:spacing w:beforeAutospacing="0" w:afterAutospacing="0" w:line="360" w:lineRule="auto"/>
        <w:ind w:left="709" w:firstLine="0"/>
        <w:divId w:val="266810958"/>
        <w:rPr>
          <w:i/>
        </w:rPr>
      </w:pPr>
      <w:r w:rsidRPr="00C32FC4">
        <w:rPr>
          <w:b/>
        </w:rPr>
        <w:lastRenderedPageBreak/>
        <w:t xml:space="preserve">Комментарии: </w:t>
      </w:r>
      <w:r w:rsidRPr="00C32FC4">
        <w:rPr>
          <w:i/>
        </w:rPr>
        <w:t>При прогрессировании синдрома Сезари возможно поражение органов грудной клетки</w:t>
      </w:r>
      <w:r w:rsidR="000E54DB" w:rsidRPr="00C32FC4">
        <w:rPr>
          <w:i/>
        </w:rPr>
        <w:t>, поражение органов малого таза, органов брюшной полости и забрюшинного пространства</w:t>
      </w:r>
    </w:p>
    <w:p w:rsidR="00F418CE" w:rsidRPr="00C32FC4" w:rsidRDefault="00F418CE" w:rsidP="007C6EA6">
      <w:pPr>
        <w:pStyle w:val="afff8"/>
        <w:divId w:val="266810958"/>
      </w:pPr>
      <w:r w:rsidRPr="00C32FC4">
        <w:rPr>
          <w:b/>
        </w:rPr>
        <w:t>Рекомендуется</w:t>
      </w:r>
      <w:r w:rsidRPr="00C32FC4">
        <w:t xml:space="preserve"> для выявления пролиферативного поражения лимфатических узлов и внутренних органов при синдроме Сезари</w:t>
      </w:r>
      <w:r w:rsidR="007C6EA6" w:rsidRPr="00C32FC4">
        <w:t xml:space="preserve"> </w:t>
      </w:r>
      <w:r w:rsidR="002B10E8" w:rsidRPr="00C32FC4">
        <w:t>п</w:t>
      </w:r>
      <w:r w:rsidR="002B39E8" w:rsidRPr="00C32FC4">
        <w:t>озитронная эмиссионная томография, совмещенная с компьютерной томографией с туморотропными РФП</w:t>
      </w:r>
      <w:r w:rsidR="00452088">
        <w:t xml:space="preserve"> </w:t>
      </w:r>
      <w:r w:rsidR="00D33D3C">
        <w:fldChar w:fldCharType="begin" w:fldLock="1"/>
      </w:r>
      <w:r w:rsidR="00CE43A5">
        <w:instrText>ADDIN CSL_CITATION {"citationItems":[{"id":"ITEM-1","itemData":{"DOI":"10.1001/archderm.142.5.577","ISSN":"0003987X","PMID":"16702495","abstract":"Objectives: To evaluate the usefulness of integrated positron emission tomography and computed tomography (PET/CT) in staging mycosis fungoides (MF) and Sézary syndrome and to correlate PET/CT data with histopathologic diagnosis of lymph nodes (LNs). Design: A single-center, prospective cohort analysis. Setting: Academic referral center for cutaneous lymphoma. Patients: Thirteen patients with MF and SS at risk for secondary LN involvement. Interventions: Patients were clinically evaluated based on general physical examination, total body skin examination, and laboratory screening. They underwent integrated PET/CT followed by excisional biopsy of LNs. Main Outcome Measures: We used PET/CT to assess LN size and metabolic activity. Enlarged LNs were defined as axillary or inguinal LNs with a short axis 1.5 cm or larger; or cervical LN, with a short axis 1.0 cm or larger. We classified LN pathologic results according to National Cancer Institute (LN1-4) and World Health Organization (WHO 1-3) criteria. We quantified PET activity using standardized uptake value (SUV) and correlated with LN grade. Results: Based on CT size criteria alone, only 5 patients had enlarged LNs, whereas PET revealed hypermetabolic LNs in all 13 patients. Six patients had LN1-3, and 7 had effacement of LN architecture by lymphoma cells (LN4). Of the 7 patients with LN4 nodes, 4 had SS, and 3 had tumorous MF. Two patients with LN4 nodes had inguinal LNs smaller than 1.5 cm and would have been assigned an N0 classification without the use of integrated PET/CT. Correlation of SUV with LN grade revealed that LN1-3 nodes were associated with a mean SUV of 2.7 (median SUV, 2.2; range, 2.0-4.7) and LN4 nodes were associated with a mean SUV of 5.4 (median SUV, 3.9; range, 2.1-11.8). Patients with large cell transformation had the highest SUVs. Conclusions: For staging MF and SS, PET/CT was more sensitive in detecting LN involved by lymphoma compared with CT data alone and thus may provide more accurate staging and prognostic information. The intensity of PET activity correlated with histologic LN grade. ©2006 American Medical Association. All rights reserved.","author":[{"dropping-particle":"","family":"Tsai","given":"Eunice Y.","non-dropping-particle":"","parse-names":false,"suffix":""},{"dropping-particle":"","family":"Taur","given":"Alan","non-dropping-particle":"","parse-names":false,"suffix":""},{"dropping-particle":"","family":"Espinosa","given":"Leandro","non-dropping-particle":"","parse-names":false,"suffix":""},{"dropping-particle":"","family":"Quon","given":"Andrew","non-dropping-particle":"","parse-names":false,"suffix":""},{"dropping-particle":"","family":"Johnson","given":"Denise","non-dropping-particle":"","parse-names":false,"suffix":""},{"dropping-particle":"","family":"Dick","given":"Sarah","non-dropping-particle":"","parse-names":false,"suffix":""},{"dropping-particle":"","family":"Chow","given":"Steve","non-dropping-particle":"","parse-names":false,"suffix":""},{"dropping-particle":"","family":"Advani","given":"Ranjana","non-dropping-particle":"","parse-names":false,"suffix":""},{"dropping-particle":"","family":"Warnke","given":"Roger","non-dropping-particle":"","parse-names":false,"suffix":""},{"dropping-particle":"","family":"Kohler","given":"Sabine","non-dropping-particle":"","parse-names":false,"suffix":""},{"dropping-particle":"","family":"Hoppe","given":"Richard T.","non-dropping-particle":"","parse-names":false,"suffix":""},{"dropping-particle":"","family":"Kim","given":"Youn H.","non-dropping-particle":"","parse-names":false,"suffix":""}],"container-title":"Archives of Dermatology","id":"ITEM-1","issue":"5","issued":{"date-parts":[["2006","5"]]},"page":"577-584","publisher":"Arch Dermatol","title":"Staging accuracy in mycosis fungoides and sézary syndrome using integrated positron emission tomography and computed tomography","type":"article-journal","volume":"142"},"uris":["http://www.mendeley.com/documents/?uuid=89084ac4-2c56-379d-b82c-1ef253e19cf6"]}],"mendeley":{"formattedCitation":"[31]","plainTextFormattedCitation":"[31]","previouslyFormattedCitation":"[31]"},"properties":{"noteIndex":0},"schema":"https://github.com/citation-style-language/schema/raw/master/csl-citation.json"}</w:instrText>
      </w:r>
      <w:r w:rsidR="00D33D3C">
        <w:fldChar w:fldCharType="separate"/>
      </w:r>
      <w:r w:rsidR="00D33D3C" w:rsidRPr="00D33D3C">
        <w:rPr>
          <w:noProof/>
        </w:rPr>
        <w:t>[31]</w:t>
      </w:r>
      <w:r w:rsidR="00D33D3C">
        <w:fldChar w:fldCharType="end"/>
      </w:r>
    </w:p>
    <w:p w:rsidR="00F9594B" w:rsidRPr="00C32FC4" w:rsidRDefault="00DE7BBA">
      <w:pPr>
        <w:pStyle w:val="afd"/>
        <w:tabs>
          <w:tab w:val="num" w:pos="1134"/>
        </w:tabs>
        <w:spacing w:beforeAutospacing="0" w:afterAutospacing="0" w:line="360" w:lineRule="auto"/>
        <w:ind w:left="709" w:firstLine="0"/>
        <w:divId w:val="266810958"/>
      </w:pPr>
      <w:r w:rsidRPr="00C32FC4">
        <w:rPr>
          <w:rStyle w:val="affb"/>
        </w:rPr>
        <w:t xml:space="preserve">Уровень убедительности рекомендаций С </w:t>
      </w:r>
      <w:r w:rsidRPr="00C32FC4">
        <w:rPr>
          <w:b/>
        </w:rPr>
        <w:t xml:space="preserve">(уровень достоверности доказательств – </w:t>
      </w:r>
      <w:r w:rsidR="00F50F81" w:rsidRPr="00C32FC4">
        <w:rPr>
          <w:b/>
        </w:rPr>
        <w:t>2</w:t>
      </w:r>
      <w:r w:rsidRPr="00C32FC4">
        <w:rPr>
          <w:b/>
        </w:rPr>
        <w:t>)</w:t>
      </w:r>
    </w:p>
    <w:p w:rsidR="00F418CE" w:rsidRPr="00C32FC4" w:rsidRDefault="00F418CE" w:rsidP="00F418CE">
      <w:pPr>
        <w:pStyle w:val="aff3"/>
        <w:divId w:val="266810958"/>
      </w:pPr>
      <w:r w:rsidRPr="00C32FC4">
        <w:rPr>
          <w:b/>
        </w:rPr>
        <w:t xml:space="preserve">Комментарии: </w:t>
      </w:r>
      <w:r w:rsidRPr="00C32FC4">
        <w:rPr>
          <w:i/>
        </w:rPr>
        <w:t>Выявление изменений лимфатических узлов</w:t>
      </w:r>
      <w:r w:rsidR="00DE7BBA" w:rsidRPr="00C32FC4">
        <w:rPr>
          <w:i/>
        </w:rPr>
        <w:t xml:space="preserve"> </w:t>
      </w:r>
      <w:r w:rsidRPr="00C32FC4">
        <w:rPr>
          <w:i/>
        </w:rPr>
        <w:t>или внутренних органов, обусловленных патологической пролиферацией Т-лимфоцитов, свидетельствует о прогрессировании синдрома Сезари.</w:t>
      </w:r>
    </w:p>
    <w:p w:rsidR="00B46390" w:rsidRPr="00C32FC4" w:rsidRDefault="00B46390" w:rsidP="00B104EF">
      <w:pPr>
        <w:pStyle w:val="2"/>
        <w:divId w:val="266810958"/>
      </w:pPr>
      <w:bookmarkStart w:id="42" w:name="_Toc34301086"/>
      <w:bookmarkStart w:id="43" w:name="_Toc67302909"/>
      <w:r w:rsidRPr="00C32FC4">
        <w:t>2.5 Ин</w:t>
      </w:r>
      <w:r w:rsidR="00A70F44" w:rsidRPr="00C32FC4">
        <w:t>ые диагностические исследования</w:t>
      </w:r>
      <w:bookmarkEnd w:id="42"/>
      <w:bookmarkEnd w:id="43"/>
    </w:p>
    <w:p w:rsidR="00F756F0" w:rsidRPr="00C32FC4" w:rsidRDefault="001A0D28" w:rsidP="00E30C99">
      <w:pPr>
        <w:pStyle w:val="2-6"/>
        <w:ind w:left="709" w:firstLine="0"/>
        <w:rPr>
          <w:rFonts w:eastAsia="Times New Roman" w:cs="Calibri"/>
          <w:lang w:eastAsia="ru-RU"/>
        </w:rPr>
      </w:pPr>
      <w:bookmarkStart w:id="44" w:name="__RefHeading___doc_3"/>
      <w:r w:rsidRPr="00C32FC4">
        <w:rPr>
          <w:rStyle w:val="affc"/>
          <w:i w:val="0"/>
          <w:iCs w:val="0"/>
        </w:rPr>
        <w:t>При обследовании</w:t>
      </w:r>
      <w:r w:rsidR="002B10E8" w:rsidRPr="00C32FC4">
        <w:rPr>
          <w:rStyle w:val="affc"/>
          <w:i w:val="0"/>
        </w:rPr>
        <w:t xml:space="preserve"> </w:t>
      </w:r>
      <w:r w:rsidRPr="00C32FC4">
        <w:rPr>
          <w:rFonts w:eastAsia="Times New Roman" w:cs="Calibri"/>
          <w:lang w:eastAsia="ru-RU"/>
        </w:rPr>
        <w:t xml:space="preserve">пациентов с синдромом Сезари проводится стадирование заболевания согласно рекомендациям </w:t>
      </w:r>
      <w:r w:rsidRPr="00C32FC4">
        <w:rPr>
          <w:rFonts w:eastAsia="Times New Roman" w:cs="Calibri"/>
          <w:lang w:val="en-US" w:eastAsia="ru-RU"/>
        </w:rPr>
        <w:t>ISLE</w:t>
      </w:r>
      <w:r w:rsidRPr="00C32FC4">
        <w:rPr>
          <w:rFonts w:eastAsia="Times New Roman" w:cs="Calibri"/>
          <w:lang w:eastAsia="ru-RU"/>
        </w:rPr>
        <w:t>-</w:t>
      </w:r>
      <w:r w:rsidRPr="00C32FC4">
        <w:rPr>
          <w:rFonts w:eastAsia="Times New Roman" w:cs="Calibri"/>
          <w:lang w:val="en-US" w:eastAsia="ru-RU"/>
        </w:rPr>
        <w:t>EORTC</w:t>
      </w:r>
      <w:r w:rsidRPr="00C32FC4">
        <w:rPr>
          <w:rFonts w:eastAsia="Times New Roman" w:cs="Calibri"/>
          <w:lang w:eastAsia="ru-RU"/>
        </w:rPr>
        <w:t xml:space="preserve"> (Приложение Г1)</w:t>
      </w:r>
      <w:r w:rsidR="00CE43A5">
        <w:rPr>
          <w:rFonts w:eastAsia="Times New Roman" w:cs="Calibri"/>
          <w:lang w:eastAsia="ru-RU"/>
        </w:rPr>
        <w:t xml:space="preserve"> </w:t>
      </w:r>
      <w:r w:rsidR="00CE43A5">
        <w:rPr>
          <w:rFonts w:eastAsia="Times New Roman" w:cs="Calibri"/>
          <w:lang w:eastAsia="ru-RU"/>
        </w:rPr>
        <w:fldChar w:fldCharType="begin" w:fldLock="1"/>
      </w:r>
      <w:r w:rsidR="004076A0">
        <w:rPr>
          <w:rFonts w:eastAsia="Times New Roman" w:cs="Calibri"/>
          <w:lang w:eastAsia="ru-RU"/>
        </w:rPr>
        <w:instrText>ADDIN CSL_CITATION {"citationItems":[{"id":"ITEM-1","itemData":{"DOI":"10.1182/blood-2004-09-3502","ISSN":"00064971","PMID":"15692063","abstract":"Primary cutaneous lymphomas are currently classified by the European Organization for Research and Treatment of Cancer (EORTC) classification or the World Health Organization (WHO) classification, but both systems have shortcomings. In particular, differences in the classification of cutaneous T-cell lymphomas other than mycosis fungoides, Sézary syndrome, and the group of primary cutaneous CD30+ lymphoproliferative disorders and the classification and terminology of different types of cutaneous B-cell lymphomas have resulted in considerable debate and confusion. During recent consensus meetings representatives of both systems reached agreement on a new classification, which is now called the WHO-EORTC classification. In this paper we describe the characteristic features of the different primary cutaneous lymphomas and other hematologic neoplasms frequently presenting in the skin, and discuss differences with the previous classification schemes. In addition, the relative frequency and survival data of 1905 patients with primary cutaneous lymphomas derived from Dutch and Austrian registries for primary cutaneous lymphomas are presented to illustrate the clinical significance of this new classification. © 2005 by The American Society of Hematology.","author":[{"dropping-particle":"","family":"Willemze","given":"Rein","non-dropping-particle":"","parse-names":false,"suffix":""},{"dropping-particle":"","family":"Jaffe","given":"Elaine S.","non-dropping-particle":"","parse-names":false,"suffix":""},{"dropping-particle":"","family":"Burg","given":"Günter","non-dropping-particle":"","parse-names":false,"suffix":""},{"dropping-particle":"","family":"Cerroni","given":"Lorenzo","non-dropping-particle":"","parse-names":false,"suffix":""},{"dropping-particle":"","family":"Berti","given":"Emilio","non-dropping-particle":"","parse-names":false,"suffix":""},{"dropping-particle":"","family":"Swerdlow","given":"Steven H.","non-dropping-particle":"","parse-names":false,"suffix":""},{"dropping-particle":"","family":"Ralfkiaer","given":"Elisabeth","non-dropping-particle":"","parse-names":false,"suffix":""},{"dropping-particle":"","family":"Chimenti","given":"Sergio","non-dropping-particle":"","parse-names":false,"suffix":""},{"dropping-particle":"","family":"Diaz-Perez","given":"José L.","non-dropping-particle":"","parse-names":false,"suffix":""},{"dropping-particle":"","family":"Duncan","given":"Lyn M.","non-dropping-particle":"","parse-names":false,"suffix":""},{"dropping-particle":"","family":"Grange","given":"Florent","non-dropping-particle":"","parse-names":false,"suffix":""},{"dropping-particle":"","family":"Harris","given":"Nancy Lee","non-dropping-particle":"","parse-names":false,"suffix":""},{"dropping-particle":"","family":"Kempf","given":"Werner","non-dropping-particle":"","parse-names":false,"suffix":""},{"dropping-particle":"","family":"Kerl","given":"Helmut","non-dropping-particle":"","parse-names":false,"suffix":""},{"dropping-particle":"","family":"Kurrer","given":"Michael","non-dropping-particle":"","parse-names":false,"suffix":""},{"dropping-particle":"","family":"Knobler","given":"Robert","non-dropping-particle":"","parse-names":false,"suffix":""},{"dropping-particle":"","family":"Pimpinelli","given":"Nicola","non-dropping-particle":"","parse-names":false,"suffix":""},{"dropping-particle":"","family":"Sander","given":"Christian","non-dropping-particle":"","parse-names":false,"suffix":""},{"dropping-particle":"","family":"Santucci","given":"Marco","non-dropping-particle":"","parse-names":false,"suffix":""},{"dropping-particle":"","family":"Sterry","given":"Wolfram","non-dropping-particle":"","parse-names":false,"suffix":""},{"dropping-particle":"","family":"Vermeer","given":"Maarten H.","non-dropping-particle":"","parse-names":false,"suffix":""},{"dropping-particle":"","family":"Wechsler","given":"Janine","non-dropping-particle":"","parse-names":false,"suffix":""},{"dropping-particle":"","family":"Whittaker","given":"Sean","non-dropping-particle":"","parse-names":false,"suffix":""},{"dropping-particle":"","family":"Meijer","given":"Chris J.L.M.","non-dropping-particle":"","parse-names":false,"suffix":""}],"container-title":"Blood","id":"ITEM-1","issue":"10","issued":{"date-parts":[["2005","5","15"]]},"page":"3768-3785","publisher":"Blood","title":"WHO-EORTC classification for cutaneous lymphomas","type":"article","volume":"105"},"uris":["http://www.mendeley.com/documents/?uuid=8e52eb31-994e-32c0-a00f-5f8ccad0aba0"]}],"mendeley":{"formattedCitation":"[9]","plainTextFormattedCitation":"[9]","previouslyFormattedCitation":"[9]"},"properties":{"noteIndex":0},"schema":"https://github.com/citation-style-language/schema/raw/master/csl-citation.json"}</w:instrText>
      </w:r>
      <w:r w:rsidR="00CE43A5">
        <w:rPr>
          <w:rFonts w:eastAsia="Times New Roman" w:cs="Calibri"/>
          <w:lang w:eastAsia="ru-RU"/>
        </w:rPr>
        <w:fldChar w:fldCharType="separate"/>
      </w:r>
      <w:r w:rsidR="00CE43A5" w:rsidRPr="00CE43A5">
        <w:rPr>
          <w:rFonts w:eastAsia="Times New Roman" w:cs="Calibri"/>
          <w:noProof/>
          <w:lang w:eastAsia="ru-RU"/>
        </w:rPr>
        <w:t>[9]</w:t>
      </w:r>
      <w:r w:rsidR="00CE43A5">
        <w:rPr>
          <w:rFonts w:eastAsia="Times New Roman" w:cs="Calibri"/>
          <w:lang w:eastAsia="ru-RU"/>
        </w:rPr>
        <w:fldChar w:fldCharType="end"/>
      </w:r>
      <w:r w:rsidRPr="00C32FC4">
        <w:rPr>
          <w:rFonts w:eastAsia="Times New Roman" w:cs="Calibri"/>
          <w:lang w:eastAsia="ru-RU"/>
        </w:rPr>
        <w:t>.</w:t>
      </w:r>
    </w:p>
    <w:p w:rsidR="007C6EA6" w:rsidRPr="00C32FC4" w:rsidRDefault="007C6EA6" w:rsidP="00E30C99">
      <w:pPr>
        <w:pStyle w:val="afff8"/>
        <w:rPr>
          <w:rStyle w:val="affb"/>
        </w:rPr>
      </w:pPr>
      <w:r w:rsidRPr="00C32FC4">
        <w:rPr>
          <w:b/>
        </w:rPr>
        <w:t xml:space="preserve">Рекомендуется </w:t>
      </w:r>
      <w:r w:rsidRPr="00C32FC4">
        <w:rPr>
          <w:rStyle w:val="affb"/>
          <w:b w:val="0"/>
        </w:rPr>
        <w:t xml:space="preserve">всем пациентам для верификации диагноза синдрома Сезари, а также при необходимости контроля эффективности терапии, </w:t>
      </w:r>
      <w:r w:rsidRPr="00C32FC4">
        <w:t>патолого-анатомическое исследование биопсийного (операционного) материала кожи</w:t>
      </w:r>
      <w:r w:rsidR="004076A0">
        <w:t xml:space="preserve"> </w:t>
      </w:r>
      <w:r w:rsidR="004076A0">
        <w:fldChar w:fldCharType="begin" w:fldLock="1"/>
      </w:r>
      <w:r w:rsidR="00104005">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treatment","type":"article-journal","volume":"37"},"uris":["http://www.mendeley.com/documents/?uuid=789da34a-52f5-334d-89ab-ada602da3b00"]},{"id":"ITEM-2","itemData":{"DOI":"10.1002/ajh.25577","ISSN":"10968652","PMID":"31313347","abstract":"Disease Overview: Cutaneous T-cell lymphomas (CTCL) are a heterogenous group of T-cell neoplasms involving the skin, the majority of which may be classified as Mycosis fungoides (MF) or Sézary syndrome (SS). Diagnosis: The diagnosis of MF or SS requires the integration of clinical and histopathologic data. Risk-Adapted Therapy: TNMB (tumor, node, metastasis, blood) staging remains the most important prognostic factor in MF/SS and forms the basis for a “risk-adapted,” multi-disciplinary approach to treatment. For patients with disease limited to the skin, skin-directed therapies are preferred, as both disease-specific and overall survival for these patients is favorable. In contrast, patients with advanced-stage disease with significant nodal, visceral or blood involvement are generally approached with systemic therapies. These include biologic-response modifiers, histone deacetylase (HDAC) inhibitors, or antibody-based strategies, in an escalating fashion. In highly-selected patients, allogeneic stem-cell transplantation may be considered, as this may be curative in some patients.","author":[{"dropping-particle":"","family":"Hristov","given":"Alexandra C.","non-dropping-particle":"","parse-names":false,"suffix":""},{"dropping-particle":"","family":"Tejasvi","given":"Trilokraj","non-dropping-particle":"","parse-names":false,"suffix":""},{"dropping-particle":"","family":"Wilcox","given":"Ryan A.","non-dropping-particle":"","parse-names":false,"suffix":""}],"container-title":"American Journal of Hematology","id":"ITEM-2","issue":"9","issued":{"date-parts":[["2019","9","1"]]},"page":"1027-1041","publisher":"Wiley-Liss Inc.","title":"Mycosis fungoides and Sézary syndrome: 2019 update on diagnosis, risk-stratification, and management","type":"article-journal","volume":"94"},"uris":["http://www.mendeley.com/documents/?uuid=6ef39660-9eb9-3819-8b01-3b6b5ad401b7"]}],"mendeley":{"formattedCitation":"[7,15]","plainTextFormattedCitation":"[7,15]","previouslyFormattedCitation":"[7,15]"},"properties":{"noteIndex":0},"schema":"https://github.com/citation-style-language/schema/raw/master/csl-citation.json"}</w:instrText>
      </w:r>
      <w:r w:rsidR="004076A0">
        <w:fldChar w:fldCharType="separate"/>
      </w:r>
      <w:r w:rsidR="006040CB" w:rsidRPr="006040CB">
        <w:rPr>
          <w:noProof/>
        </w:rPr>
        <w:t>[7,15]</w:t>
      </w:r>
      <w:r w:rsidR="004076A0">
        <w:fldChar w:fldCharType="end"/>
      </w:r>
      <w:r w:rsidR="006040CB">
        <w:t>.</w:t>
      </w:r>
    </w:p>
    <w:p w:rsidR="007C6EA6" w:rsidRPr="00C32FC4" w:rsidRDefault="007C6EA6" w:rsidP="007C6EA6">
      <w:pPr>
        <w:pStyle w:val="afff8"/>
        <w:numPr>
          <w:ilvl w:val="0"/>
          <w:numId w:val="0"/>
        </w:numPr>
        <w:spacing w:before="0"/>
        <w:ind w:left="709"/>
      </w:pPr>
      <w:r w:rsidRPr="00C32FC4">
        <w:rPr>
          <w:rStyle w:val="affb"/>
        </w:rPr>
        <w:t>Уровень убедительности рекомендаций</w:t>
      </w:r>
      <w:r w:rsidRPr="00C32FC4">
        <w:rPr>
          <w:rStyle w:val="affb"/>
        </w:rPr>
        <w:softHyphen/>
        <w:t xml:space="preserve"> С </w:t>
      </w:r>
      <w:r w:rsidRPr="00C32FC4">
        <w:rPr>
          <w:b/>
        </w:rPr>
        <w:t>(уровень достоверности доказательств – 5)</w:t>
      </w:r>
    </w:p>
    <w:p w:rsidR="007C6EA6" w:rsidRPr="00C32FC4" w:rsidRDefault="007C6EA6" w:rsidP="007C6EA6">
      <w:pPr>
        <w:pStyle w:val="aff3"/>
        <w:rPr>
          <w:i/>
        </w:rPr>
      </w:pPr>
      <w:r w:rsidRPr="00C32FC4">
        <w:rPr>
          <w:b/>
        </w:rPr>
        <w:t xml:space="preserve">Комментарии: </w:t>
      </w:r>
      <w:r w:rsidRPr="00C32FC4">
        <w:rPr>
          <w:i/>
        </w:rPr>
        <w:t>Наиболее часто встречающимся морфологическим признаком синдрома Сезари является поверхностный периваскулярный или полосовидный инфильтрат из крупных лимфоцитов, которые могут проявлять признаки атипии (крупные, гиперхромные или конволютивные ядра)</w:t>
      </w:r>
      <w:r w:rsidR="006040CB">
        <w:rPr>
          <w:i/>
        </w:rPr>
        <w:t xml:space="preserve"> </w:t>
      </w:r>
      <w:r w:rsidR="00104005">
        <w:rPr>
          <w:i/>
        </w:rPr>
        <w:fldChar w:fldCharType="begin" w:fldLock="1"/>
      </w:r>
      <w:r w:rsidR="00964481">
        <w:rPr>
          <w:i/>
        </w:rPr>
        <w:instrText>ADDIN CSL_CITATION {"citationItems":[{"id":"ITEM-1","itemData":{"DOI":"10.1016/S0190-9622(86)70294-6","ISSN":"01909622","PMID":"2948972","abstract":"Histologic sections from eleven patients with Sézary syndrome were reviewed and compared with those of four patients with erythrodermic mycosis fungoides and twenty-four patients with a benign form of erythroderma, including fifteen patients with chronic dermatitis, four with a generalized drug eruption, and five with an erythrodermic psoriasis. The most important discriminating histologic feature in patients with Sézary syndrome was the presence of a monotonous bandlike or perivascular infiltrate in the papillary dermis, mainly composed of large cerebriform-mononuclear cells, as seen in seven of eleven Sézary syndrome patients. Pautrier's microabscesses were observed in seven of eleven Sézary syndrome patients, two of four patients with erythrodermic mycosis fungoides, but not in any of the patients with a benign form of erythroderma; their presence was therefore considered a reliable criterion in differentiating erythrodermic cutaneous T cell lymphoma from benign forms of erythroderma. However, features of chronic dermatitis were often found superimposed on those of Sézary syndrome and were even predominating in four of eleven Sézary syndrome patients, Moreover, four patients with a benign form of erythroderma showed a histologic picture suggestive of cutaneous T cell lymphoma. Therefore, in dubious cases repeated skin biopsies, additional investigations of lymph nodes and peripheral blood, and careful follow-up are mandatory for the achievement of a correct diagnosis. © 1986, American Academy of Dermatology, Inc.. All rights reserved.","author":[{"dropping-particle":"","family":"Sentis","given":"Henry J.","non-dropping-particle":"","parse-names":false,"suffix":""},{"dropping-particle":"","family":"Willemze","given":"Rein","non-dropping-particle":"","parse-names":false,"suffix":""},{"dropping-particle":"","family":"Scheffer","given":"Erik","non-dropping-particle":"","parse-names":false,"suffix":""}],"container-title":"Journal of the American Academy of Dermatology","id":"ITEM-1","issue":"6","issued":{"date-parts":[["1986"]]},"page":"1217-1226","publisher":"J Am Acad Dermatol","title":"Histopathologic studies in Sézary syndrome and erythrodermic mycosis fungoides: A comparison with benign forms of erythroderma","type":"article-journal","volume":"15"},"uris":["http://www.mendeley.com/documents/?uuid=63122fcd-e5b1-3ce0-adbf-1d990ee06603"]},{"id":"ITEM-2","itemData":{"DOI":"10.1111/j.1600-0560.1997.tb00793.x","ISSN":"03036987","PMID":"9194581","abstract":"Sézary syndrome is an uncommon variant of cutaneous T-cell lymphoma (CTCL) characterized by erythroderma, pruritus, adenopathy, and circulating atypical T-lymphocytes with cerebriform nuclei. The definition of Sézary syndrome can be further refined by including only patients with a circulating peripheral blood population of clonal T-cells. We have evaluated 79 skin biopsies from such a group of 41 erythrodermic patients with circulating Sézary cells and a clonal population of T-cells detected by T-cell receptor-β gene rearrangement on Southern analysis of peripheral blood mononuclear cells. Histopathologic features consistent with chronic dermatitis were observed in 26/79 (33%) skin biopsy specimens, emphasizing that a non-specific histologic appearance is common. Evidence of CTCL was lacking in 11/41 patients on biopsy of their erythrodermic skin. The survival of these patients was not significantly different from 30/ 41 patients in whom skin biopsies revealed changes diagnostic of CTCL, such as a dermal lymphocytic band with atypical lymphocytes (18/79, 23%) or a mycosis fungoides-like infiltrate (30/79, 38%). This study confirms that non-specific cutaneous histopathologic findings are common in Sézary syndrome, even when a circulating T-cell clone is present. This stresses the need for peripheral blood genetic analysis and for multiple or repeat skin biopsies in erythrodermic patients when there is high clinical suspicion of CTCL. © Munksgaard 1997.","author":[{"dropping-particle":"","family":"Trotter","given":"M. J.","non-dropping-particle":"","parse-names":false,"suffix":""},{"dropping-particle":"","family":"Whittaker","given":"S. J.","non-dropping-particle":"","parse-names":false,"suffix":""},{"dropping-particle":"","family":"Orchard","given":"G. E.","non-dropping-particle":"","parse-names":false,"suffix":""},{"dropping-particle":"","family":"Smith","given":"N. P.","non-dropping-particle":"","parse-names":false,"suffix":""}],"container-title":"Journal of Cutaneous Pathology","id":"ITEM-2","issue":"5","issued":{"date-parts":[["1997"]]},"page":"286-291","publisher":"Blackwell Publishing Ltd","title":"Cutaneous histopathology of Sézary syndrome: A study of 41 cases with a proven circulating T-cell clone","type":"article-journal","volume":"24"},"uris":["http://www.mendeley.com/documents/?uuid=e9c6e3e2-67e2-3020-b80b-5001fae6d560"]}],"mendeley":{"formattedCitation":"[33,34]","plainTextFormattedCitation":"[33,34]","previouslyFormattedCitation":"[33,34]"},"properties":{"noteIndex":0},"schema":"https://github.com/citation-style-language/schema/raw/master/csl-citation.json"}</w:instrText>
      </w:r>
      <w:r w:rsidR="00104005">
        <w:rPr>
          <w:i/>
        </w:rPr>
        <w:fldChar w:fldCharType="separate"/>
      </w:r>
      <w:r w:rsidR="0029291E" w:rsidRPr="0029291E">
        <w:rPr>
          <w:noProof/>
        </w:rPr>
        <w:t>[33,34]</w:t>
      </w:r>
      <w:r w:rsidR="00104005">
        <w:rPr>
          <w:i/>
        </w:rPr>
        <w:fldChar w:fldCharType="end"/>
      </w:r>
      <w:r w:rsidRPr="00C32FC4">
        <w:rPr>
          <w:i/>
        </w:rPr>
        <w:t>.  Может присутствовать эпидермотропизм</w:t>
      </w:r>
      <w:r w:rsidR="0029291E">
        <w:rPr>
          <w:i/>
        </w:rPr>
        <w:t xml:space="preserve"> </w:t>
      </w:r>
      <w:r w:rsidR="00964481">
        <w:rPr>
          <w:i/>
        </w:rPr>
        <w:fldChar w:fldCharType="begin" w:fldLock="1"/>
      </w:r>
      <w:r w:rsidR="00FB3772">
        <w:rPr>
          <w:i/>
        </w:rPr>
        <w:instrText>ADDIN CSL_CITATION {"citationItems":[{"id":"ITEM-1","itemData":{"DOI":"10.1111/j.1600-0560.1997.tb00793.x","ISSN":"03036987","PMID":"9194581","abstract":"Sézary syndrome is an uncommon variant of cutaneous T-cell lymphoma (CTCL) characterized by erythroderma, pruritus, adenopathy, and circulating atypical T-lymphocytes with cerebriform nuclei. The definition of Sézary syndrome can be further refined by including only patients with a circulating peripheral blood population of clonal T-cells. We have evaluated 79 skin biopsies from such a group of 41 erythrodermic patients with circulating Sézary cells and a clonal population of T-cells detected by T-cell receptor-β gene rearrangement on Southern analysis of peripheral blood mononuclear cells. Histopathologic features consistent with chronic dermatitis were observed in 26/79 (33%) skin biopsy specimens, emphasizing that a non-specific histologic appearance is common. Evidence of CTCL was lacking in 11/41 patients on biopsy of their erythrodermic skin. The survival of these patients was not significantly different from 30/ 41 patients in whom skin biopsies revealed changes diagnostic of CTCL, such as a dermal lymphocytic band with atypical lymphocytes (18/79, 23%) or a mycosis fungoides-like infiltrate (30/79, 38%). This study confirms that non-specific cutaneous histopathologic findings are common in Sézary syndrome, even when a circulating T-cell clone is present. This stresses the need for peripheral blood genetic analysis and for multiple or repeat skin biopsies in erythrodermic patients when there is high clinical suspicion of CTCL. © Munksgaard 1997.","author":[{"dropping-particle":"","family":"Trotter","given":"M. J.","non-dropping-particle":"","parse-names":false,"suffix":""},{"dropping-particle":"","family":"Whittaker","given":"S. J.","non-dropping-particle":"","parse-names":false,"suffix":""},{"dropping-particle":"","family":"Orchard","given":"G. E.","non-dropping-particle":"","parse-names":false,"suffix":""},{"dropping-particle":"","family":"Smith","given":"N. P.","non-dropping-particle":"","parse-names":false,"suffix":""}],"container-title":"Journal of Cutaneous Pathology","id":"ITEM-1","issue":"5","issued":{"date-parts":[["1997"]]},"page":"286-291","publisher":"Blackwell Publishing Ltd","title":"Cutaneous histopathology of Sézary syndrome: A study of 41 cases with a proven circulating T-cell clone","type":"article-journal","volume":"24"},"uris":["http://www.mendeley.com/documents/?uuid=e9c6e3e2-67e2-3020-b80b-5001fae6d560"]},{"id":"ITEM-2","itemData":{"DOI":"10.1111/bjd.13832","ISSN":"13652133","PMID":"25864856","abstract":"Background Patients with erythrodermic disease are a diagnostic challenge regarding the clinical and histological differential diagnosis. Objectives To evaluate histopathological and immunohistochemical diagnostic markers for Sézary syndrome. Methods Ninety-seven erythrodermic cases [Sézary syndrome (SS), n = 57; erythrodermic inflammatory dermatoses (EIDs), n = 40] were collected by the EORTC Cutaneous Lymphoma Task Force histopathology group. Evaluation criteria were (i) epidermal and dermal changes; (ii) morphology of the infiltrate; (iii) immunohistochemical analysis of marker loss (CD2, CD3, CD4, CD5 and CD7); (iv) bystander infiltrate by staining for CD8, FOXP3 and CD25; and (v) expression of Ki-67, CD30, PD-1 and MUM-1. Results The workshop panel made a correct diagnosis of SS in 51% of cases (cutaneous T-cell lymphoma 81%) and of EID in 80% without clinical or laboratory data. Histology revealed a significantly increased degree of epidermotropism (P &lt; 0·001) and more intraepidermal atypical lymphocytes (P = 0·0014) in SS biopsies compared with EID. Pautrier microabscesses were seen only in SS (23%) and not in EID (P = 0·0012). SS showed significantly more dermal cerebriform and blastic lymphocytes than EID. Immunohistochemistry revealed a significant loss of CD7 expression (&lt; 50%) in 33 of 51 (65%) cases of SS compared with two of 35 (6%) EID (P &lt; 0·001). The lymphocytic infiltrate in SS skin samples was found significantly to express PD-1 (P = 0·0053), MUM-1 (P = 0·0017) and Ki-67 (P &lt; 0·001), and showed less infiltration of CD8+ lymphocytes (P &lt; 0·001). A multivariate analysis identified CD7 loss, increased numbers of small cerebriform lymphocytes, low numbers of CD8+ lymphocytes and increased proliferation (Ki-67+ lymphocytes) as the strongest indicators for the diagnosis of SS. Conclusions A number of different histological and immunophenotypical criteria are required to differentiate between SS and EIDs. What's already known about this topic? Several small, single-centre studies have reported histopathological criteria for Sézary syndrome (SS) that allow differentiation from erythrodermic inflammatory dermatoses (EIDs). Most histopathological and immunohistochemical criteria have never been evaluated in a multicentre study. What does this study add? Histology of SS skin biopsies revealed a significantly increased degree of epidermotropism and more intraepidermal atypical lymphocytes compared with EID, and Pautrier microabscesses were seen o…","author":[{"dropping-particle":"","family":"Klemke","given":"C. D.","non-dropping-particle":"","parse-names":false,"suffix":""},{"dropping-particle":"","family":"Booken","given":"N.","non-dropping-particle":"","parse-names":false,"suffix":""},{"dropping-particle":"","family":"Weiss","given":"C.","non-dropping-particle":"","parse-names":false,"suffix":""},{"dropping-particle":"","family":"Nicolay","given":"J. P.","non-dropping-particle":"","parse-names":false,"suffix":""},{"dropping-particle":"","family":"Goerdt","given":"S.","non-dropping-particle":"","parse-names":false,"suffix":""},{"dropping-particle":"","family":"Felcht","given":"M.","non-dropping-particle":"","parse-names":false,"suffix":""},{"dropping-particle":"","family":"Géraud","given":"C.","non-dropping-particle":"","parse-names":false,"suffix":""},{"dropping-particle":"","family":"Kempf","given":"W.","non-dropping-particle":"","parse-names":false,"suffix":""},{"dropping-particle":"","family":"Assaf","given":"C.","non-dropping-particle":"","parse-names":false,"suffix":""},{"dropping-particle":"","family":"Ortonne","given":"N.","non-dropping-particle":"","parse-names":false,"suffix":""},{"dropping-particle":"","family":"Battistella","given":"M.","non-dropping-particle":"","parse-names":false,"suffix":""},{"dropping-particle":"","family":"Bagot","given":"M.","non-dropping-particle":"","parse-names":false,"suffix":""},{"dropping-particle":"","family":"Knobler","given":"R.","non-dropping-particle":"","parse-names":false,"suffix":""},{"dropping-particle":"","family":"Quaglino","given":"P.","non-dropping-particle":"","parse-names":false,"suffix":""},{"dropping-particle":"","family":"Arheiliger","given":"B.","non-dropping-particle":"","parse-names":false,"suffix":""},{"dropping-particle":"","family":"Santucci","given":"M.","non-dropping-particle":"","parse-names":false,"suffix":""},{"dropping-particle":"","family":"Jansen","given":"P.","non-dropping-particle":"","parse-names":false,"suffix":""},{"dropping-particle":"","family":"Vermeer","given":"M. H.","non-dropping-particle":"","parse-names":false,"suffix":""},{"dropping-particle":"","family":"Willemze","given":"R.","non-dropping-particle":"","parse-names":false,"suffix":""}],"container-title":"British Journal of Dermatology","id":"ITEM-2","issue":"1","issued":{"date-parts":[["2015","7","1"]]},"page":"93-105","publisher":"Blackwell Publishing Ltd","title":"Histopathological and immunophenotypical criteria for the diagnosis of Sézary syndrome in differentiation from other erythrodermic skin diseases: A European Organisation for Research and Treatment of Cancer (EORTC) Cutaneous Lymphoma Task Force Study of 97 cases","type":"article-journal","volume":"173"},"uris":["http://www.mendeley.com/documents/?uuid=ba0a088f-ff2b-3b30-adc5-0b17cfbc73e8"]}],"mendeley":{"formattedCitation":"[17,34]","plainTextFormattedCitation":"[17,34]","previouslyFormattedCitation":"[17,34]"},"properties":{"noteIndex":0},"schema":"https://github.com/citation-style-language/schema/raw/master/csl-citation.json"}</w:instrText>
      </w:r>
      <w:r w:rsidR="00964481">
        <w:rPr>
          <w:i/>
        </w:rPr>
        <w:fldChar w:fldCharType="separate"/>
      </w:r>
      <w:r w:rsidR="00EB6E60" w:rsidRPr="00EB6E60">
        <w:rPr>
          <w:noProof/>
        </w:rPr>
        <w:t>[17,34]</w:t>
      </w:r>
      <w:r w:rsidR="00964481">
        <w:rPr>
          <w:i/>
        </w:rPr>
        <w:fldChar w:fldCharType="end"/>
      </w:r>
      <w:r w:rsidRPr="00C32FC4">
        <w:rPr>
          <w:i/>
        </w:rPr>
        <w:t>. Тем не менее, при синдроме Сезари гистологические признаки, позволяющие установить диагноз, часто отсутствуют. Гистологические признаки синдрома Сезари отсутствовали в 39% образцов, полученных от 41 пациента</w:t>
      </w:r>
      <w:r w:rsidR="00964481">
        <w:rPr>
          <w:i/>
        </w:rPr>
        <w:t xml:space="preserve"> </w:t>
      </w:r>
      <w:r w:rsidR="00964481">
        <w:rPr>
          <w:i/>
        </w:rPr>
        <w:fldChar w:fldCharType="begin" w:fldLock="1"/>
      </w:r>
      <w:r w:rsidR="00EB6E60">
        <w:rPr>
          <w:i/>
        </w:rPr>
        <w:instrText>ADDIN CSL_CITATION {"citationItems":[{"id":"ITEM-1","itemData":{"DOI":"10.1111/j.1600-0560.1997.tb00793.x","ISSN":"03036987","PMID":"9194581","abstract":"Sézary syndrome is an uncommon variant of cutaneous T-cell lymphoma (CTCL) characterized by erythroderma, pruritus, adenopathy, and circulating atypical T-lymphocytes with cerebriform nuclei. The definition of Sézary syndrome can be further refined by including only patients with a circulating peripheral blood population of clonal T-cells. We have evaluated 79 skin biopsies from such a group of 41 erythrodermic patients with circulating Sézary cells and a clonal population of T-cells detected by T-cell receptor-β gene rearrangement on Southern analysis of peripheral blood mononuclear cells. Histopathologic features consistent with chronic dermatitis were observed in 26/79 (33%) skin biopsy specimens, emphasizing that a non-specific histologic appearance is common. Evidence of CTCL was lacking in 11/41 patients on biopsy of their erythrodermic skin. The survival of these patients was not significantly different from 30/ 41 patients in whom skin biopsies revealed changes diagnostic of CTCL, such as a dermal lymphocytic band with atypical lymphocytes (18/79, 23%) or a mycosis fungoides-like infiltrate (30/79, 38%). This study confirms that non-specific cutaneous histopathologic findings are common in Sézary syndrome, even when a circulating T-cell clone is present. This stresses the need for peripheral blood genetic analysis and for multiple or repeat skin biopsies in erythrodermic patients when there is high clinical suspicion of CTCL. © Munksgaard 1997.","author":[{"dropping-particle":"","family":"Trotter","given":"M. J.","non-dropping-particle":"","parse-names":false,"suffix":""},{"dropping-particle":"","family":"Whittaker","given":"S. J.","non-dropping-particle":"","parse-names":false,"suffix":""},{"dropping-particle":"","family":"Orchard","given":"G. E.","non-dropping-particle":"","parse-names":false,"suffix":""},{"dropping-particle":"","family":"Smith","given":"N. P.","non-dropping-particle":"","parse-names":false,"suffix":""}],"container-title":"Journal of Cutaneous Pathology","id":"ITEM-1","issue":"5","issued":{"date-parts":[["1997"]]},"page":"286-291","publisher":"Blackwell Publishing Ltd","title":"Cutaneous histopathology of Sézary syndrome: A study of 41 cases with a proven circulating T-cell clone","type":"article-journal","volume":"24"},"uris":["http://www.mendeley.com/documents/?uuid=e9c6e3e2-67e2-3020-b80b-5001fae6d560"]}],"mendeley":{"formattedCitation":"[34]","plainTextFormattedCitation":"[34]","previouslyFormattedCitation":"[34]"},"properties":{"noteIndex":0},"schema":"https://github.com/citation-style-language/schema/raw/master/csl-citation.json"}</w:instrText>
      </w:r>
      <w:r w:rsidR="00964481">
        <w:rPr>
          <w:i/>
        </w:rPr>
        <w:fldChar w:fldCharType="separate"/>
      </w:r>
      <w:r w:rsidR="00964481" w:rsidRPr="00964481">
        <w:rPr>
          <w:noProof/>
        </w:rPr>
        <w:t>[34]</w:t>
      </w:r>
      <w:r w:rsidR="00964481">
        <w:rPr>
          <w:i/>
        </w:rPr>
        <w:fldChar w:fldCharType="end"/>
      </w:r>
      <w:r w:rsidRPr="00C32FC4">
        <w:rPr>
          <w:i/>
        </w:rPr>
        <w:t>. В другом исследовании эпидермотропизм отсутствовал или был минимально выражен у 19 из 31 пациентов с синдромом Сезари</w:t>
      </w:r>
      <w:r w:rsidR="00FB3772">
        <w:rPr>
          <w:i/>
        </w:rPr>
        <w:t xml:space="preserve"> </w:t>
      </w:r>
      <w:r w:rsidR="00FB3772">
        <w:rPr>
          <w:i/>
        </w:rPr>
        <w:fldChar w:fldCharType="begin" w:fldLock="1"/>
      </w:r>
      <w:r w:rsidR="00E85FD1">
        <w:rPr>
          <w:i/>
        </w:rPr>
        <w:instrText>ADDIN CSL_CITATION {"citationItems":[{"id":"ITEM-1","itemData":{"DOI":"10.1309/yb79-jg4t-mjer-q7pv","ISSN":"0002-9173","abstract":"The dermatopathologic findings in cases of Sézary syndrome (SS) that arise in patients without a previous diagnosis of mycosis fungoides have not been well characterized. We evaluated the histologic findings in skin biopsy specimens from 31 patients with such primary SS and correlated them with clinical and hematologic parameters at the time of biopsy. The most characteristic histologic finding was the presence of a dermal perivascular lymphoid infiltrate, usually with mild to moderate cytologic atypia and variable numbers of eosinophils; epidermotropism was absent or minimal in 19 cases (61%). Reactive epidermal changes such as spongiosis, parakeratosis, and acanthosis also were present frequently (27 [87%], 17 [55%] , 19 [61%] cases, respectively). The number of eosinophils present in skin biopsy specimens correlated with the level of peripheral blood lymphocytosis. In erythrodermic patients or patients with persistent xerosis and pruritus, it is important to carefully evaluate the degree of lymphocyte atypia in the dermal perivascular infiltrate and correlate with blood flow cytometric findings to diagnose primary SS. Many cases will lack the epidermotropism usually seen in mycosis fungoides.","author":[{"dropping-particle":"","family":"Diwan","given":"A. Hafeez","non-dropping-particle":"","parse-names":false,"suffix":""},{"dropping-particle":"","family":"Prieto","given":"Victor G.","non-dropping-particle":"","parse-names":false,"suffix":""},{"dropping-particle":"","family":"Herling","given":"Marco","non-dropping-particle":"","parse-names":false,"suffix":""},{"dropping-particle":"","family":"Duvic","given":"Madeleine","non-dropping-particle":"","parse-names":false,"suffix":""},{"dropping-particle":"","family":"Jone","given":"Dan","non-dropping-particle":"","parse-names":false,"suffix":""}],"container-title":"American Journal of Clinical Pathology","id":"ITEM-1","issue":"4","issued":{"date-parts":[["2005","4","1"]]},"page":"510-515","publisher":"Oxford University Press (OUP)","title":"Primary Sézary Syndrome Commonly Shows Low-Grade Cytologic Atypia and an Absence of Epidermotropism","type":"article-journal","volume":"123"},"uris":["http://www.mendeley.com/documents/?uuid=0dc1b6b1-e46c-35cb-91b5-adb742191b78"]}],"mendeley":{"formattedCitation":"[35]","plainTextFormattedCitation":"[35]","previouslyFormattedCitation":"[35]"},"properties":{"noteIndex":0},"schema":"https://github.com/citation-style-language/schema/raw/master/csl-citation.json"}</w:instrText>
      </w:r>
      <w:r w:rsidR="00FB3772">
        <w:rPr>
          <w:i/>
        </w:rPr>
        <w:fldChar w:fldCharType="separate"/>
      </w:r>
      <w:r w:rsidR="00FB3772" w:rsidRPr="00FB3772">
        <w:rPr>
          <w:noProof/>
        </w:rPr>
        <w:t>[35]</w:t>
      </w:r>
      <w:r w:rsidR="00FB3772">
        <w:rPr>
          <w:i/>
        </w:rPr>
        <w:fldChar w:fldCharType="end"/>
      </w:r>
      <w:r w:rsidRPr="00C32FC4">
        <w:rPr>
          <w:i/>
        </w:rPr>
        <w:t xml:space="preserve">.  </w:t>
      </w:r>
    </w:p>
    <w:p w:rsidR="005F6A9B" w:rsidRPr="00C32FC4" w:rsidRDefault="005F6A9B" w:rsidP="00E30C99">
      <w:pPr>
        <w:pStyle w:val="afff8"/>
      </w:pPr>
      <w:r w:rsidRPr="00C32FC4">
        <w:rPr>
          <w:b/>
        </w:rPr>
        <w:t xml:space="preserve">Рекомендуется </w:t>
      </w:r>
      <w:r w:rsidR="00DE7BBA" w:rsidRPr="00C32FC4">
        <w:rPr>
          <w:rFonts w:eastAsia="Calibri"/>
        </w:rPr>
        <w:t>при выявлении во время ультразвукового исследования признаков поражения лимфатических узлов патолого-анатомическое исследование биопсийного (операционного) материала лимфоузла</w:t>
      </w:r>
      <w:r w:rsidR="00E85FD1">
        <w:rPr>
          <w:rFonts w:eastAsia="Calibri"/>
        </w:rPr>
        <w:t xml:space="preserve"> </w:t>
      </w:r>
      <w:r w:rsidR="00E85FD1">
        <w:rPr>
          <w:rFonts w:eastAsia="Calibri"/>
        </w:rPr>
        <w:fldChar w:fldCharType="begin" w:fldLock="1"/>
      </w:r>
      <w:r w:rsidR="00964BE0">
        <w:rPr>
          <w:rFonts w:eastAsia="Calibri"/>
        </w:rPr>
        <w:instrText>ADDIN CSL_CITATION {"citationItems":[{"id":"ITEM-1","itemData":{"DOI":"10.1016/j.jaad.2012.04.043","ISSN":"01909622","PMID":"22640839","abstract":"Background: Sézary syndrome (SS), a leukemic variant of cutaneous T-cell lymphoma, is characterized by erythroderma and by atypical lymphocytes (Sézary cells) in peripheral blood. Although numerous studies have examined the range of disease in cutaneous T-cell lymphoma, a relative paucity of data exists to describe the long-term outcome of patients with SS. Objective: We sought to study long-term survival and prognostic factors of patients with SS. Methods: A retrospective chart review was conducted to identify patients with SS seen at Mayo Clinic from 1976 to 2010. Cox proportional hazards regression models, adjusted for age, were fit to evaluate factors associated with overall survival. Results: In total, 176 patients were identified with a clinicopathologic diagnosis of SS. Overall survival was 86.1% and 42.3% at 1 and 5 years, respectively, after diagnosis (median survival, 4.0 years). After adjustment for age, potential predictors of worse survival included lactate dehydrogenase level at presentation (hazard ratio [HR] 1.71; 95% confidence interval [CI] 1.18-2.47 per doubling), prior diagnosis of mycosis fungoides (HR 2.68; 95% CI 1.44-4.98), and the presence of T-cell receptor gene rearrangements in skin (HR 2.59; 95% CI 1.38-4.87) and in blood (HR 2.05; 95% CI 1.00-4.21). Limitations: This study is retrospective and represents a single academic center population. Conclusions: To our knowledge, this research evaluated the largest population of patients with SS studied to date. It shows that overall survival continues to be poor, with a median survival of 4.0 years after diagnosis.","author":[{"dropping-particle":"","family":"Kubica","given":"Agnieszka W.","non-dropping-particle":"","parse-names":false,"suffix":""},{"dropping-particle":"","family":"Davis","given":"Mark D.P.","non-dropping-particle":"","parse-names":false,"suffix":""},{"dropping-particle":"","family":"Weaver","given":"Amy L.","non-dropping-particle":"","parse-names":false,"suffix":""},{"dropping-particle":"","family":"Killian","given":"Jill M.","non-dropping-particle":"","parse-names":false,"suffix":""},{"dropping-particle":"","family":"Pittelkow","given":"Mark R.","non-dropping-particle":"","parse-names":false,"suffix":""}],"container-title":"Journal of the American Academy of Dermatology","id":"ITEM-1","issue":"6","issued":{"date-parts":[["2012","12"]]},"page":"1189-1199","publisher":"J Am Acad Dermatol","title":"Sézary syndrome: A study of 176 patients at Mayo Clinic","type":"article-journal","volume":"67"},"uris":["http://www.mendeley.com/documents/?uuid=252e7b34-91ab-3854-be81-4f49ca9b9b67"]}],"mendeley":{"formattedCitation":"[10]","plainTextFormattedCitation":"[10]","previouslyFormattedCitation":"[10]"},"properties":{"noteIndex":0},"schema":"https://github.com/citation-style-language/schema/raw/master/csl-citation.json"}</w:instrText>
      </w:r>
      <w:r w:rsidR="00E85FD1">
        <w:rPr>
          <w:rFonts w:eastAsia="Calibri"/>
        </w:rPr>
        <w:fldChar w:fldCharType="separate"/>
      </w:r>
      <w:r w:rsidR="00E85FD1" w:rsidRPr="00E85FD1">
        <w:rPr>
          <w:rFonts w:eastAsia="Calibri"/>
          <w:noProof/>
        </w:rPr>
        <w:t>[10]</w:t>
      </w:r>
      <w:r w:rsidR="00E85FD1">
        <w:rPr>
          <w:rFonts w:eastAsia="Calibri"/>
        </w:rPr>
        <w:fldChar w:fldCharType="end"/>
      </w:r>
      <w:r w:rsidR="00E85FD1">
        <w:rPr>
          <w:rFonts w:eastAsia="Calibri"/>
        </w:rPr>
        <w:t>.</w:t>
      </w:r>
    </w:p>
    <w:p w:rsidR="005F6A9B" w:rsidRPr="00C32FC4" w:rsidRDefault="005F6A9B" w:rsidP="00305BCA">
      <w:pPr>
        <w:pStyle w:val="afd"/>
        <w:tabs>
          <w:tab w:val="num" w:pos="1134"/>
        </w:tabs>
        <w:spacing w:beforeAutospacing="0" w:afterAutospacing="0" w:line="360" w:lineRule="auto"/>
        <w:ind w:left="709" w:firstLine="0"/>
        <w:rPr>
          <w:b/>
        </w:rPr>
      </w:pPr>
      <w:r w:rsidRPr="00C32FC4">
        <w:rPr>
          <w:rStyle w:val="affb"/>
        </w:rPr>
        <w:lastRenderedPageBreak/>
        <w:t xml:space="preserve">Уровень убедительности рекомендаций </w:t>
      </w:r>
      <w:r w:rsidRPr="00C32FC4">
        <w:rPr>
          <w:rStyle w:val="affb"/>
        </w:rPr>
        <w:softHyphen/>
        <w:t>С</w:t>
      </w:r>
      <w:r w:rsidR="002B10E8" w:rsidRPr="00C32FC4">
        <w:rPr>
          <w:rStyle w:val="affb"/>
        </w:rPr>
        <w:t xml:space="preserve"> </w:t>
      </w:r>
      <w:r w:rsidRPr="00C32FC4">
        <w:rPr>
          <w:b/>
        </w:rPr>
        <w:t>(уровень достоверности доказательств – 4)</w:t>
      </w:r>
    </w:p>
    <w:p w:rsidR="005F6A9B" w:rsidRPr="00C32FC4" w:rsidRDefault="005F6A9B" w:rsidP="005F6A9B">
      <w:pPr>
        <w:pStyle w:val="aff3"/>
        <w:rPr>
          <w:rStyle w:val="affc"/>
        </w:rPr>
      </w:pPr>
      <w:r w:rsidRPr="00C32FC4">
        <w:rPr>
          <w:b/>
        </w:rPr>
        <w:t xml:space="preserve">Комментарии: </w:t>
      </w:r>
      <w:r w:rsidRPr="00C32FC4">
        <w:rPr>
          <w:rStyle w:val="affc"/>
        </w:rPr>
        <w:t>Для проведения биопсии выбирают лимфатические узлы размером 1,5 см и более  с плотной, неравномерной консистенцией (гистологическое исследование, проточная цитометрия, определение реарранжировки гена ТКР), биопсия выполняется врачами-специалистами с хирургической специализацией, в том числе врачом-онколого</w:t>
      </w:r>
      <w:r w:rsidR="009F7DA5" w:rsidRPr="00C32FC4">
        <w:rPr>
          <w:rStyle w:val="affc"/>
        </w:rPr>
        <w:t>м</w:t>
      </w:r>
      <w:r w:rsidRPr="00C32FC4">
        <w:rPr>
          <w:rStyle w:val="affc"/>
        </w:rPr>
        <w:t xml:space="preserve">/гематологом. </w:t>
      </w:r>
      <w:r w:rsidRPr="00C32FC4">
        <w:rPr>
          <w:i/>
        </w:rPr>
        <w:t>Патолого-анатомическое исследование биопсийного (операционного) материала лимфоузла</w:t>
      </w:r>
      <w:r w:rsidR="00305BCA" w:rsidRPr="00C32FC4">
        <w:rPr>
          <w:i/>
        </w:rPr>
        <w:t xml:space="preserve"> </w:t>
      </w:r>
      <w:r w:rsidRPr="00C32FC4">
        <w:rPr>
          <w:i/>
        </w:rPr>
        <w:t>позволяет определить наличие специфического поражения лимфоузлов.</w:t>
      </w:r>
      <w:r w:rsidRPr="00C32FC4">
        <w:rPr>
          <w:rStyle w:val="affc"/>
        </w:rPr>
        <w:t>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w:t>
      </w:r>
    </w:p>
    <w:p w:rsidR="005F6A9B" w:rsidRPr="00C32FC4" w:rsidRDefault="005F6A9B" w:rsidP="00305BCA">
      <w:pPr>
        <w:pStyle w:val="afff8"/>
      </w:pPr>
      <w:r w:rsidRPr="00C32FC4">
        <w:t>Рекомендуется пациентам с подозрением на поражение костного мозга</w:t>
      </w:r>
      <w:r w:rsidR="00305BCA" w:rsidRPr="00C32FC4">
        <w:t xml:space="preserve"> </w:t>
      </w:r>
      <w:r w:rsidRPr="00C32FC4">
        <w:t>патолого-анатомическое исследование биопсийного (операционного) материала костного мозга</w:t>
      </w:r>
      <w:r w:rsidR="00E85FD1">
        <w:t xml:space="preserve"> </w:t>
      </w:r>
      <w:r w:rsidR="00E85FD1">
        <w:rPr>
          <w:rFonts w:eastAsia="Calibri"/>
        </w:rPr>
        <w:fldChar w:fldCharType="begin" w:fldLock="1"/>
      </w:r>
      <w:r w:rsidR="004B795F">
        <w:rPr>
          <w:rFonts w:eastAsia="Calibri"/>
        </w:rPr>
        <w:instrText>ADDIN CSL_CITATION {"citationItems":[{"id":"ITEM-1","itemData":{"DOI":"10.1016/j.jaad.2012.04.043","ISSN":"01909622","PMID":"22640839","abstract":"Background: Sézary syndrome (SS), a leukemic variant of cutaneous T-cell lymphoma, is characterized by erythroderma and by atypical lymphocytes (Sézary cells) in peripheral blood. Although numerous studies have examined the range of disease in cutaneous T-cell lymphoma, a relative paucity of data exists to describe the long-term outcome of patients with SS. Objective: We sought to study long-term survival and prognostic factors of patients with SS. Methods: A retrospective chart review was conducted to identify patients with SS seen at Mayo Clinic from 1976 to 2010. Cox proportional hazards regression models, adjusted for age, were fit to evaluate factors associated with overall survival. Results: In total, 176 patients were identified with a clinicopathologic diagnosis of SS. Overall survival was 86.1% and 42.3% at 1 and 5 years, respectively, after diagnosis (median survival, 4.0 years). After adjustment for age, potential predictors of worse survival included lactate dehydrogenase level at presentation (hazard ratio [HR] 1.71; 95% confidence interval [CI] 1.18-2.47 per doubling), prior diagnosis of mycosis fungoides (HR 2.68; 95% CI 1.44-4.98), and the presence of T-cell receptor gene rearrangements in skin (HR 2.59; 95% CI 1.38-4.87) and in blood (HR 2.05; 95% CI 1.00-4.21). Limitations: This study is retrospective and represents a single academic center population. Conclusions: To our knowledge, this research evaluated the largest population of patients with SS studied to date. It shows that overall survival continues to be poor, with a median survival of 4.0 years after diagnosis.","author":[{"dropping-particle":"","family":"Kubica","given":"Agnieszka W.","non-dropping-particle":"","parse-names":false,"suffix":""},{"dropping-particle":"","family":"Davis","given":"Mark D.P.","non-dropping-particle":"","parse-names":false,"suffix":""},{"dropping-particle":"","family":"Weaver","given":"Amy L.","non-dropping-particle":"","parse-names":false,"suffix":""},{"dropping-particle":"","family":"Killian","given":"Jill M.","non-dropping-particle":"","parse-names":false,"suffix":""},{"dropping-particle":"","family":"Pittelkow","given":"Mark R.","non-dropping-particle":"","parse-names":false,"suffix":""}],"container-title":"Journal of the American Academy of Dermatology","id":"ITEM-1","issue":"6","issued":{"date-parts":[["2012","12"]]},"page":"1189-1199","publisher":"J Am Acad Dermatol","title":"Sézary syndrome: A study of 176 patients at Mayo Clinic","type":"article-journal","volume":"67"},"uris":["http://www.mendeley.com/documents/?uuid=252e7b34-91ab-3854-be81-4f49ca9b9b67"]},{"id":"ITEM-2","itemData":{"author":[{"dropping-particle":"","family":"Виноградова","given":"Ю.Е.","non-dropping-particle":"","parse-names":false,"suffix":""},{"dropping-particle":"","family":"Цыба","given":"Н.Н.","non-dropping-particle":"","parse-names":false,"suffix":""},{"dropping-particle":"","family":"Гилязитдинова","given":"Е.А.","non-dropping-particle":"","parse-names":false,"suffix":""}],"container-title":"Клиническая онкогематология","id":"ITEM-2","issue":"4","issued":{"date-parts":[["2009"]]},"page":"326-333","title":"Опыт лечения грибовидного микоза и синдрома Сезари в зависимости от стадий заболевания. Результаты собственных исследований и обзор литературы","type":"article-journal","volume":"2"},"uris":["http://www.mendeley.com/documents/?uuid=24439b9c-8da1-47e3-a3e1-021fdcf60a4a"]}],"mendeley":{"formattedCitation":"[10,14]","plainTextFormattedCitation":"[10,14]","previouslyFormattedCitation":"[10,14]"},"properties":{"noteIndex":0},"schema":"https://github.com/citation-style-language/schema/raw/master/csl-citation.json"}</w:instrText>
      </w:r>
      <w:r w:rsidR="00E85FD1">
        <w:rPr>
          <w:rFonts w:eastAsia="Calibri"/>
        </w:rPr>
        <w:fldChar w:fldCharType="separate"/>
      </w:r>
      <w:r w:rsidR="00964BE0" w:rsidRPr="00964BE0">
        <w:rPr>
          <w:rFonts w:eastAsia="Calibri"/>
          <w:noProof/>
        </w:rPr>
        <w:t>[10,14]</w:t>
      </w:r>
      <w:r w:rsidR="00E85FD1">
        <w:rPr>
          <w:rFonts w:eastAsia="Calibri"/>
        </w:rPr>
        <w:fldChar w:fldCharType="end"/>
      </w:r>
      <w:r w:rsidR="00964BE0">
        <w:t>.</w:t>
      </w:r>
    </w:p>
    <w:p w:rsidR="005F6A9B" w:rsidRPr="00C32FC4" w:rsidRDefault="005F6A9B" w:rsidP="005F6A9B">
      <w:pPr>
        <w:pStyle w:val="aff3"/>
      </w:pPr>
      <w:r w:rsidRPr="00C32FC4">
        <w:rPr>
          <w:rStyle w:val="affb"/>
        </w:rPr>
        <w:t>Уровень убедительности рекомендаций С</w:t>
      </w:r>
      <w:r w:rsidR="002B10E8" w:rsidRPr="00C32FC4">
        <w:rPr>
          <w:rStyle w:val="affb"/>
        </w:rPr>
        <w:t xml:space="preserve"> </w:t>
      </w:r>
      <w:r w:rsidRPr="00C32FC4">
        <w:rPr>
          <w:b/>
        </w:rPr>
        <w:t>(уровень достоверности доказательств – 4)</w:t>
      </w:r>
    </w:p>
    <w:p w:rsidR="005F6A9B" w:rsidRPr="00C32FC4" w:rsidRDefault="005F6A9B" w:rsidP="005F6A9B">
      <w:pPr>
        <w:pStyle w:val="aff3"/>
        <w:rPr>
          <w:rStyle w:val="affc"/>
        </w:rPr>
      </w:pPr>
      <w:r w:rsidRPr="00C32FC4">
        <w:rPr>
          <w:b/>
        </w:rPr>
        <w:t xml:space="preserve">Комментарии: </w:t>
      </w:r>
      <w:r w:rsidRPr="00C32FC4">
        <w:rPr>
          <w:rStyle w:val="affc"/>
        </w:rPr>
        <w:t>Трепанобиопсия костного мозга выполняется врачами-специалистами, владеющими методикой забора трепанобиоптата костного мозга (врачами-хирургами, врачами-гематологами или врачами-онкологами</w:t>
      </w:r>
      <w:r w:rsidRPr="00C32FC4">
        <w:t xml:space="preserve">). </w:t>
      </w:r>
      <w:r w:rsidRPr="00C32FC4">
        <w:rPr>
          <w:i/>
        </w:rPr>
        <w:t>Патолого-анатомическое исследование биопсийного (операционного) материала костного мозга</w:t>
      </w:r>
      <w:r w:rsidR="00305BCA" w:rsidRPr="00C32FC4">
        <w:rPr>
          <w:i/>
        </w:rPr>
        <w:t xml:space="preserve"> </w:t>
      </w:r>
      <w:r w:rsidRPr="00C32FC4">
        <w:rPr>
          <w:i/>
        </w:rPr>
        <w:t xml:space="preserve">позволяет определить наличие специфического поражения костного мозга. </w:t>
      </w:r>
      <w:r w:rsidRPr="00C32FC4">
        <w:rPr>
          <w:rStyle w:val="affc"/>
        </w:rPr>
        <w:t>При выявлении специфического поражения костного мозга пациент направляется для дальнейшего ведения и лечения к врачу-гематологу или врачу-онкологу.</w:t>
      </w:r>
    </w:p>
    <w:p w:rsidR="000414F6" w:rsidRPr="00C32FC4" w:rsidRDefault="00CB71DA" w:rsidP="00C4630C">
      <w:pPr>
        <w:pStyle w:val="afff2"/>
      </w:pPr>
      <w:bookmarkStart w:id="45" w:name="_Toc34301087"/>
      <w:bookmarkStart w:id="46" w:name="_Toc67302910"/>
      <w:r w:rsidRPr="00C32FC4">
        <w:t>3. Лечение</w:t>
      </w:r>
      <w:bookmarkEnd w:id="44"/>
      <w:r w:rsidR="0038545E" w:rsidRPr="00C32FC4">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45"/>
      <w:bookmarkEnd w:id="46"/>
    </w:p>
    <w:p w:rsidR="001A0D28" w:rsidRPr="00C32FC4" w:rsidRDefault="001A0D28" w:rsidP="001A0D28">
      <w:pPr>
        <w:ind w:left="357"/>
        <w:divId w:val="1767193717"/>
        <w:rPr>
          <w:i/>
          <w:color w:val="FF0000"/>
          <w:szCs w:val="24"/>
        </w:rPr>
      </w:pPr>
      <w:bookmarkStart w:id="47" w:name="_Toc469402341"/>
      <w:bookmarkStart w:id="48" w:name="_Toc468273538"/>
      <w:bookmarkStart w:id="49" w:name="_Toc468273456"/>
      <w:bookmarkEnd w:id="47"/>
      <w:bookmarkEnd w:id="48"/>
      <w:bookmarkEnd w:id="49"/>
      <w:r w:rsidRPr="00C32FC4">
        <w:rPr>
          <w:szCs w:val="24"/>
        </w:rPr>
        <w:t>Выбор вида терапии при синдрома Сезари должен базироваться на определении степени тяжести заболевания (учитываются степень инфильтрации кожи, наличие/отсутствие кожных узлов, выраженность лимфаденопатии, степень интенсивности вовлечения крови, уровень лактатдегирогеназы и лейкоцитов в периферической крови), скорости его прогрессирования и влияния на качество жизни пациента. Принципы назначения терапии пациентам с синдромом Сезари:</w:t>
      </w:r>
    </w:p>
    <w:p w:rsidR="001A0D28" w:rsidRPr="00C32FC4" w:rsidRDefault="001A0D28" w:rsidP="004F39BB">
      <w:pPr>
        <w:numPr>
          <w:ilvl w:val="0"/>
          <w:numId w:val="9"/>
        </w:numPr>
        <w:tabs>
          <w:tab w:val="left" w:pos="993"/>
        </w:tabs>
        <w:ind w:left="0" w:firstLine="567"/>
        <w:divId w:val="1767193717"/>
        <w:rPr>
          <w:szCs w:val="24"/>
        </w:rPr>
      </w:pPr>
      <w:r w:rsidRPr="00C32FC4">
        <w:rPr>
          <w:szCs w:val="24"/>
        </w:rPr>
        <w:t>Подходы к лечению определяются массой опухоли и скоростью прогрессии</w:t>
      </w:r>
    </w:p>
    <w:p w:rsidR="001A0D28" w:rsidRPr="00C32FC4" w:rsidRDefault="001A0D28" w:rsidP="004F39BB">
      <w:pPr>
        <w:numPr>
          <w:ilvl w:val="0"/>
          <w:numId w:val="9"/>
        </w:numPr>
        <w:tabs>
          <w:tab w:val="left" w:pos="993"/>
        </w:tabs>
        <w:ind w:left="0" w:firstLine="567"/>
        <w:divId w:val="1767193717"/>
        <w:rPr>
          <w:szCs w:val="24"/>
        </w:rPr>
      </w:pPr>
      <w:r w:rsidRPr="00C32FC4">
        <w:rPr>
          <w:szCs w:val="24"/>
        </w:rPr>
        <w:lastRenderedPageBreak/>
        <w:t>По возможности необходимо избегать подавления иммунного ответа</w:t>
      </w:r>
    </w:p>
    <w:p w:rsidR="001A0D28" w:rsidRPr="00C32FC4" w:rsidRDefault="001A0D28" w:rsidP="004F39BB">
      <w:pPr>
        <w:numPr>
          <w:ilvl w:val="0"/>
          <w:numId w:val="9"/>
        </w:numPr>
        <w:tabs>
          <w:tab w:val="left" w:pos="993"/>
        </w:tabs>
        <w:ind w:left="0" w:firstLine="567"/>
        <w:divId w:val="1767193717"/>
        <w:rPr>
          <w:szCs w:val="24"/>
        </w:rPr>
      </w:pPr>
      <w:r w:rsidRPr="00C32FC4">
        <w:rPr>
          <w:szCs w:val="24"/>
        </w:rPr>
        <w:t>При необходимости системного лечения предпочтительно назначение иммуномодулирующей терапии, а не химиотерапии</w:t>
      </w:r>
    </w:p>
    <w:p w:rsidR="001A0D28" w:rsidRPr="00C32FC4" w:rsidRDefault="001A0D28" w:rsidP="004F39BB">
      <w:pPr>
        <w:numPr>
          <w:ilvl w:val="0"/>
          <w:numId w:val="9"/>
        </w:numPr>
        <w:tabs>
          <w:tab w:val="left" w:pos="993"/>
        </w:tabs>
        <w:ind w:left="0" w:firstLine="567"/>
        <w:divId w:val="1767193717"/>
        <w:rPr>
          <w:szCs w:val="24"/>
        </w:rPr>
      </w:pPr>
      <w:r w:rsidRPr="00C32FC4">
        <w:rPr>
          <w:szCs w:val="24"/>
        </w:rPr>
        <w:t>Комбинированная или мультимодальная (например, сочетание системной иммуномодулирующей и наружной) терапия более эффективна, чем любая монотерапия</w:t>
      </w:r>
    </w:p>
    <w:p w:rsidR="001A0D28" w:rsidRPr="00C32FC4" w:rsidRDefault="001A0D28" w:rsidP="004F39BB">
      <w:pPr>
        <w:numPr>
          <w:ilvl w:val="0"/>
          <w:numId w:val="9"/>
        </w:numPr>
        <w:tabs>
          <w:tab w:val="left" w:pos="993"/>
        </w:tabs>
        <w:ind w:left="0" w:firstLine="567"/>
        <w:divId w:val="1767193717"/>
        <w:rPr>
          <w:szCs w:val="24"/>
        </w:rPr>
      </w:pPr>
      <w:r w:rsidRPr="00C32FC4">
        <w:rPr>
          <w:szCs w:val="24"/>
        </w:rPr>
        <w:t>Своевременная диагностика и лечение инфекционных осложнений (иногда даже при отсутствии клинических признаков инфекционного процесса на коже) приводит к улучшению состояния пациента</w:t>
      </w:r>
    </w:p>
    <w:p w:rsidR="00CC5156" w:rsidRPr="00C32FC4" w:rsidRDefault="001A0D28" w:rsidP="001A0D28">
      <w:pPr>
        <w:pStyle w:val="2-6"/>
        <w:divId w:val="1767193717"/>
      </w:pPr>
      <w:r w:rsidRPr="00C32FC4">
        <w:t>Большое значение имеет лечение зуда, значительно снижающего качество жизни.</w:t>
      </w:r>
    </w:p>
    <w:p w:rsidR="002929B1" w:rsidRPr="00C32FC4" w:rsidRDefault="004E1288" w:rsidP="002929B1">
      <w:pPr>
        <w:pStyle w:val="2"/>
        <w:spacing w:before="0"/>
        <w:divId w:val="1767193717"/>
        <w:rPr>
          <w:rFonts w:eastAsia="Times New Roman"/>
        </w:rPr>
      </w:pPr>
      <w:bookmarkStart w:id="50" w:name="_Toc34301088"/>
      <w:bookmarkStart w:id="51" w:name="_Toc67302911"/>
      <w:r w:rsidRPr="00C32FC4">
        <w:rPr>
          <w:rFonts w:eastAsia="Times New Roman"/>
        </w:rPr>
        <w:t>3.1</w:t>
      </w:r>
      <w:r w:rsidR="00DE7BBA" w:rsidRPr="00C32FC4">
        <w:rPr>
          <w:rFonts w:eastAsia="Times New Roman"/>
        </w:rPr>
        <w:t xml:space="preserve"> </w:t>
      </w:r>
      <w:r w:rsidRPr="00C32FC4">
        <w:rPr>
          <w:rFonts w:eastAsia="Times New Roman"/>
        </w:rPr>
        <w:t>Консервативное лечение</w:t>
      </w:r>
      <w:bookmarkEnd w:id="50"/>
      <w:bookmarkEnd w:id="51"/>
    </w:p>
    <w:p w:rsidR="00E35232" w:rsidRPr="00C32FC4" w:rsidRDefault="00E35232" w:rsidP="00E35232">
      <w:pPr>
        <w:pStyle w:val="2-6"/>
        <w:divId w:val="1767193717"/>
      </w:pPr>
      <w:r w:rsidRPr="00C32FC4">
        <w:t xml:space="preserve">Выделяют </w:t>
      </w:r>
      <w:r w:rsidR="00D649B9" w:rsidRPr="00C32FC4">
        <w:t>терапи</w:t>
      </w:r>
      <w:r w:rsidRPr="00C32FC4">
        <w:t>ю</w:t>
      </w:r>
      <w:r w:rsidR="00D649B9" w:rsidRPr="00C32FC4">
        <w:t xml:space="preserve"> пациентов с синдромом Сезари первой линии и второй линии. Терапевтическими средствами первой линии начинают терапию </w:t>
      </w:r>
      <w:r w:rsidR="00C579D5" w:rsidRPr="00C32FC4">
        <w:t>пациентов с</w:t>
      </w:r>
      <w:r w:rsidR="00187CF9" w:rsidRPr="00C32FC4">
        <w:t xml:space="preserve"> </w:t>
      </w:r>
      <w:r w:rsidR="00D649B9" w:rsidRPr="00C32FC4">
        <w:t xml:space="preserve">синдромом Сезари. </w:t>
      </w:r>
      <w:r w:rsidRPr="00C32FC4">
        <w:t xml:space="preserve">В случае, если средство терапии первой линии недостаточно эффективно, возможна комбинированная терапия средствами первой линии. </w:t>
      </w:r>
    </w:p>
    <w:p w:rsidR="00F756F0" w:rsidRPr="00C32FC4" w:rsidRDefault="00E35232" w:rsidP="00E35232">
      <w:pPr>
        <w:pStyle w:val="2-6"/>
        <w:divId w:val="1767193717"/>
        <w:rPr>
          <w:rStyle w:val="affc"/>
          <w:iCs w:val="0"/>
        </w:rPr>
      </w:pPr>
      <w:r w:rsidRPr="00C32FC4">
        <w:t>Вторая линия терапии применяется при отсутствии ответа на лечение, рефрактерном течении заболевания или его прогрессировании, несмотря на проведенное лечение первой линии. Выбор лечения зависит от возраста пациента, степени тяжести поражения крови, общего соматического статуса и предыдущих методов терапии.</w:t>
      </w:r>
    </w:p>
    <w:p w:rsidR="00E35232" w:rsidRPr="00C32FC4" w:rsidRDefault="00B104EF" w:rsidP="000334CF">
      <w:pPr>
        <w:pStyle w:val="afff8"/>
        <w:divId w:val="1767193717"/>
        <w:rPr>
          <w:lang w:val="en-US"/>
        </w:rPr>
      </w:pPr>
      <w:r w:rsidRPr="00C32FC4">
        <w:rPr>
          <w:b/>
        </w:rPr>
        <w:t>Рекоменду</w:t>
      </w:r>
      <w:r w:rsidR="00E35232" w:rsidRPr="00C32FC4">
        <w:rPr>
          <w:b/>
        </w:rPr>
        <w:t>ю</w:t>
      </w:r>
      <w:r w:rsidRPr="00C32FC4">
        <w:rPr>
          <w:b/>
        </w:rPr>
        <w:t xml:space="preserve">тся </w:t>
      </w:r>
      <w:r w:rsidR="00E35232" w:rsidRPr="00C32FC4">
        <w:t>для терапии первой линии</w:t>
      </w:r>
      <w:r w:rsidR="00187CF9" w:rsidRPr="00C32FC4">
        <w:t xml:space="preserve"> </w:t>
      </w:r>
      <w:r w:rsidR="00E35232" w:rsidRPr="00C32FC4">
        <w:t>пациентов с синдромом Сезари</w:t>
      </w:r>
      <w:r w:rsidR="00187CF9" w:rsidRPr="00C32FC4">
        <w:t xml:space="preserve"> </w:t>
      </w:r>
      <w:r w:rsidR="00E35232" w:rsidRPr="00C32FC4">
        <w:t>интерферон</w:t>
      </w:r>
      <w:r w:rsidR="00921FEF" w:rsidRPr="00C32FC4">
        <w:t>ов</w:t>
      </w:r>
      <w:r w:rsidR="00E35232" w:rsidRPr="00C32FC4">
        <w:t xml:space="preserve"> </w:t>
      </w:r>
      <w:r w:rsidR="002229C4" w:rsidRPr="00C32FC4">
        <w:t>(</w:t>
      </w:r>
      <w:r w:rsidR="00EB2963" w:rsidRPr="00C32FC4">
        <w:t xml:space="preserve">в дозе 9–18 млн МЕ </w:t>
      </w:r>
      <w:r w:rsidR="002229C4" w:rsidRPr="00C32FC4">
        <w:t>подкожно для интерферона альфа-2</w:t>
      </w:r>
      <w:r w:rsidR="002229C4" w:rsidRPr="00C32FC4">
        <w:rPr>
          <w:lang w:val="en-US"/>
        </w:rPr>
        <w:t>a</w:t>
      </w:r>
      <w:r w:rsidR="00921FEF" w:rsidRPr="00C32FC4">
        <w:t>**</w:t>
      </w:r>
      <w:r w:rsidR="002229C4" w:rsidRPr="00C32FC4">
        <w:t>, внутримышечно или подкожно для интерферона альфа-2</w:t>
      </w:r>
      <w:r w:rsidR="002229C4" w:rsidRPr="00C32FC4">
        <w:rPr>
          <w:lang w:val="en-US"/>
        </w:rPr>
        <w:t>b</w:t>
      </w:r>
      <w:r w:rsidR="00921FEF" w:rsidRPr="00C32FC4">
        <w:t>**</w:t>
      </w:r>
      <w:r w:rsidR="002229C4" w:rsidRPr="00C32FC4">
        <w:t xml:space="preserve">) </w:t>
      </w:r>
      <w:r w:rsidR="00E35232" w:rsidRPr="00C32FC4">
        <w:t>ежедневно в течение 3-х месяцев, затем 3 раза в неделю</w:t>
      </w:r>
      <w:r w:rsidR="00964BE0">
        <w:t xml:space="preserve"> </w:t>
      </w:r>
      <w:r w:rsidR="004B795F">
        <w:fldChar w:fldCharType="begin" w:fldLock="1"/>
      </w:r>
      <w:r w:rsidR="00560480">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Therapy","id":"ITEM-3","issue":"4","issued":{"date-parts":[["2003"]]},"page":"311-321","publisher":"Dermatol Ther","title":"Interferon in the treatment of cutaneous T-cell lymphoma","type":"article","volume":"16"},"uris":["http://www.mendeley.com/documents/?uuid=ab8a433e-5050-333a-88f9-6308f8021cb6"]},{"id":"ITEM-4","itemData":{"DOI":"10.1016/j.ejca.2017.02.027","ISSN":"18790852","PMID":"28365528","abstract":"In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Cancer","id":"ITEM-4","issued":{"date-parts":[["2017","5","1"]]},"page":"57-74","publisher":"Elsevier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-5","itemData":{"author":[{"dropping-particle":"","family":"Виноградова","given":"Ю.Е.","non-dropping-particle":"","parse-names":false,"suffix":""}],"container-title":"Гематология и трансфузиология","id":"ITEM-5","issue":"3","issued":{"date-parts":[["2012"]]},"page":"99-100","title":"Применение интерферона-α при Т-клеточных лимфомах кожи","type":"article-journal","volume":"57"},"uris":["http://www.mendeley.com/documents/?uuid=2c618e7c-af9b-4c53-9c3a-43c591c6e9b4"]}],"mendeley":{"formattedCitation":"[7,8,27,36,37]","plainTextFormattedCitation":"[7,8,27,36,37]","previouslyFormattedCitation":"[7,8,27,36,37]"},"properties":{"noteIndex":0},"schema":"https://github.com/citation-style-language/schema/raw/master/csl-citation.json"}</w:instrText>
      </w:r>
      <w:r w:rsidR="004B795F">
        <w:fldChar w:fldCharType="separate"/>
      </w:r>
      <w:r w:rsidR="00642F6B" w:rsidRPr="00642F6B">
        <w:rPr>
          <w:noProof/>
        </w:rPr>
        <w:t>[7,8,27,36,37]</w:t>
      </w:r>
      <w:r w:rsidR="004B795F">
        <w:fldChar w:fldCharType="end"/>
      </w:r>
      <w:r w:rsidR="00E35232" w:rsidRPr="00C32FC4">
        <w:rPr>
          <w:lang w:val="en-US"/>
        </w:rPr>
        <w:t>.</w:t>
      </w:r>
    </w:p>
    <w:p w:rsidR="00E35232" w:rsidRPr="00C32FC4" w:rsidRDefault="00297C27" w:rsidP="00E35232">
      <w:pPr>
        <w:pStyle w:val="aff2"/>
        <w:divId w:val="1767193717"/>
      </w:pPr>
      <w:r w:rsidRPr="00C32FC4">
        <w:rPr>
          <w:rStyle w:val="affb"/>
          <w:b/>
        </w:rPr>
        <w:t xml:space="preserve">Уровень убедительности рекомендаций </w:t>
      </w:r>
      <w:r w:rsidRPr="00C32FC4">
        <w:rPr>
          <w:rStyle w:val="affb"/>
          <w:b/>
        </w:rPr>
        <w:softHyphen/>
        <w:t>С</w:t>
      </w:r>
      <w:r w:rsidRPr="00C32FC4">
        <w:t xml:space="preserve"> (уровень достоверности доказательств – </w:t>
      </w:r>
      <w:r w:rsidR="000334CF" w:rsidRPr="00C32FC4">
        <w:t>4</w:t>
      </w:r>
      <w:r w:rsidRPr="00C32FC4">
        <w:t>)</w:t>
      </w:r>
    </w:p>
    <w:p w:rsidR="00E35232" w:rsidRPr="00C32FC4" w:rsidRDefault="00E35232" w:rsidP="00E35232">
      <w:pPr>
        <w:pStyle w:val="aff2"/>
        <w:divId w:val="1767193717"/>
        <w:rPr>
          <w:b w:val="0"/>
          <w:i/>
        </w:rPr>
      </w:pPr>
      <w:r w:rsidRPr="00C32FC4">
        <w:t xml:space="preserve">Комментарии: </w:t>
      </w:r>
      <w:r w:rsidRPr="00C32FC4">
        <w:rPr>
          <w:b w:val="0"/>
          <w:i/>
        </w:rPr>
        <w:t>При непереносимости высоких доз интерферона</w:t>
      </w:r>
      <w:r w:rsidRPr="00C32FC4">
        <w:rPr>
          <w:b w:val="0"/>
        </w:rPr>
        <w:t>-α</w:t>
      </w:r>
      <w:r w:rsidRPr="00C32FC4">
        <w:rPr>
          <w:b w:val="0"/>
          <w:i/>
        </w:rPr>
        <w:t xml:space="preserve"> назначают 3–6 </w:t>
      </w:r>
      <w:r w:rsidR="0067265E" w:rsidRPr="00C32FC4">
        <w:rPr>
          <w:b w:val="0"/>
          <w:i/>
        </w:rPr>
        <w:t>млн МЕ</w:t>
      </w:r>
      <w:r w:rsidRPr="00C32FC4">
        <w:rPr>
          <w:b w:val="0"/>
          <w:i/>
        </w:rPr>
        <w:t xml:space="preserve"> ежедневно или 3 раза в неделю.</w:t>
      </w:r>
      <w:r w:rsidR="006523C6" w:rsidRPr="00C32FC4">
        <w:rPr>
          <w:rFonts w:eastAsiaTheme="minorEastAsia"/>
          <w:b w:val="0"/>
          <w:lang w:eastAsia="ru-RU"/>
        </w:rPr>
        <w:t xml:space="preserve"> </w:t>
      </w:r>
      <w:r w:rsidR="006523C6" w:rsidRPr="00C32FC4">
        <w:rPr>
          <w:b w:val="0"/>
          <w:i/>
        </w:rPr>
        <w:t xml:space="preserve">При применении препарата возможны отклонения от нормы лабораторных показателей, проявляющиеся лейкопенией, лимфопенией, тромбоцитопенией, анемией, повышением активности аланинаминотрансферазы, щелочной фосфатазы, концентрации креатинина, мочевой кислоты. В случае появления признаков нарушения функции печени за больным необходимо установить тщательное наблюдение. При прогрессировании симптомов введение препарата следует прекратить. На фоне длительного приема препарата возможны изменения со стороны щитовидной железы. У пациентов с заболеваниями щитовидной железы перед началом лечения необходимо определить </w:t>
      </w:r>
      <w:r w:rsidR="006523C6" w:rsidRPr="00C32FC4">
        <w:rPr>
          <w:b w:val="0"/>
          <w:i/>
        </w:rPr>
        <w:lastRenderedPageBreak/>
        <w:t>концентрацию тиреотропного гормона, рекомендуется контролировать его уровень не реже 1 раза в 6 месяцев. Очень редко – сахарный диабет.</w:t>
      </w:r>
      <w:r w:rsidR="006523C6" w:rsidRPr="00C32FC4">
        <w:rPr>
          <w:rFonts w:eastAsiaTheme="minorEastAsia"/>
          <w:b w:val="0"/>
          <w:lang w:eastAsia="ru-RU"/>
        </w:rPr>
        <w:t xml:space="preserve"> </w:t>
      </w:r>
      <w:r w:rsidR="006523C6" w:rsidRPr="00C32FC4">
        <w:rPr>
          <w:rFonts w:eastAsiaTheme="minorEastAsia"/>
          <w:b w:val="0"/>
          <w:i/>
          <w:lang w:eastAsia="ru-RU"/>
        </w:rPr>
        <w:t>При длительном применении, обычно после нескольких месяцев лечения, возможны нарушения со стороны органа зрения. До начала терапии рекомендуется провести офтальмологическое обследование. При жалобах на любые офтальмологические нарушения необходима немедленная консультация врача-офтальмолога. Пациентам с заболеваниями, при которых могут происходить изменения в сетчатке, например, с сахарным диабетом или артериальной гипертензией, необходимо проходить офтальмологический осмотр не реже 1 раза в 6 месяцев. Пациентам с заболеваниями сердечно-сосудистой системы и/или прогрессирующими онкологическими заболеваниями требуется тщательное наблюдение и мониторинг ЭКГ.</w:t>
      </w:r>
      <w:r w:rsidR="004C041E" w:rsidRPr="00C32FC4">
        <w:rPr>
          <w:rFonts w:eastAsiaTheme="minorEastAsia"/>
          <w:b w:val="0"/>
          <w:lang w:eastAsia="ru-RU"/>
        </w:rPr>
        <w:t xml:space="preserve"> </w:t>
      </w:r>
      <w:r w:rsidR="004C041E" w:rsidRPr="00C32FC4">
        <w:rPr>
          <w:rFonts w:eastAsiaTheme="minorEastAsia"/>
          <w:b w:val="0"/>
          <w:i/>
          <w:lang w:eastAsia="ru-RU"/>
        </w:rPr>
        <w:t>В случае появления изменений со стороны психической сферы и/или ЦНС, включая развитие депрессии, рекомендуется наблюдение психиатра в период лечения, а также в течение 6 месяцев после его окончания.</w:t>
      </w:r>
    </w:p>
    <w:p w:rsidR="00E35232" w:rsidRPr="00C32FC4" w:rsidRDefault="00E35232" w:rsidP="00E35232">
      <w:pPr>
        <w:pStyle w:val="aff2"/>
        <w:divId w:val="1767193717"/>
        <w:rPr>
          <w:b w:val="0"/>
        </w:rPr>
      </w:pPr>
      <w:r w:rsidRPr="00C32FC4">
        <w:rPr>
          <w:b w:val="0"/>
        </w:rPr>
        <w:t>или</w:t>
      </w:r>
    </w:p>
    <w:p w:rsidR="00E35232" w:rsidRPr="008369B1" w:rsidRDefault="00E35232" w:rsidP="00E35232">
      <w:pPr>
        <w:pStyle w:val="aff2"/>
        <w:divId w:val="1767193717"/>
        <w:rPr>
          <w:b w:val="0"/>
        </w:rPr>
      </w:pPr>
      <w:r w:rsidRPr="008369B1">
        <w:rPr>
          <w:b w:val="0"/>
        </w:rPr>
        <w:t xml:space="preserve">метотрексат** </w:t>
      </w:r>
      <w:r w:rsidR="00A1540A" w:rsidRPr="008369B1">
        <w:rPr>
          <w:b w:val="0"/>
        </w:rPr>
        <w:t xml:space="preserve">перорально </w:t>
      </w:r>
      <w:r w:rsidRPr="008369B1">
        <w:rPr>
          <w:b w:val="0"/>
        </w:rPr>
        <w:t>в дозе менее 100 мг в неделю</w:t>
      </w:r>
      <w:r w:rsidR="008369B1" w:rsidRPr="008369B1">
        <w:rPr>
          <w:b w:val="0"/>
        </w:rPr>
        <w:t xml:space="preserve"> </w:t>
      </w:r>
      <w:r w:rsidR="008369B1" w:rsidRPr="008369B1">
        <w:rPr>
          <w:b w:val="0"/>
        </w:rPr>
        <w:fldChar w:fldCharType="begin" w:fldLock="1"/>
      </w:r>
      <w:r w:rsidR="00866148">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2017","type":"article","volume":"77"},"uris":["http://www.mendeley.com/documents/?uuid=4a9bd2c5-8758-30bb-adc5-44f9163e365b"]},{"id":"ITEM-4","itemData":{"DOI":"10.1016/S0190-9622(89)70251-6","ISSN":"01909622","PMID":"2808792","abstract":"Seventeen patients with Sézary syndrome were treated with low-dose methotrexate for periods of up to 5 years (median follow-up 22 months). Seven patients (41%) achieved a complete response, and six patients (35%) achieved a partial response (more than 50% improvement). As of their latest evaluation, 10 of 17 (59%) were in a state of either complete or partial response. The estimated 5-year survival rate was 71% (standard error 13%). Toxicity was minor and self-limiting in only one patient. Clinical improvement was accompanied by a decrease in the circulating Sézary cell count. © 1989, American Academy of Dermatology, Inc. All rights reserved.","author":[{"dropping-particle":"","family":"Zackheim","given":"Herschel S.","non-dropping-particle":"","parse-names":false,"suffix":""},{"dropping-particle":"","family":"Epstein","given":"Ervin H.","non-dropping-particle":"","parse-names":false,"suffix":""}],"container-title":"Journal of the American Academy of Dermatology","id":"ITEM-4","issue":"4","issued":{"date-parts":[["1989"]]},"page":"757-762","publisher":"J Am Acad Dermatol","title":"Low-dose methotrexate for the Sézary syndrome","type":"article-journal","volume":"21"},"uris":["http://www.mendeley.com/documents/?uuid=f31e516a-8976-3d53-a7ca-c9b7116e9996"]}],"mendeley":{"formattedCitation":"[7,8,36,38]","plainTextFormattedCitation":"[7,8,36,38]","previouslyFormattedCitation":"[7,8,36,38]"},"properties":{"noteIndex":0},"schema":"https://github.com/citation-style-language/schema/raw/master/csl-citation.json"}</w:instrText>
      </w:r>
      <w:r w:rsidR="008369B1" w:rsidRPr="008369B1">
        <w:rPr>
          <w:b w:val="0"/>
        </w:rPr>
        <w:fldChar w:fldCharType="separate"/>
      </w:r>
      <w:r w:rsidR="003B4436" w:rsidRPr="003B4436">
        <w:rPr>
          <w:b w:val="0"/>
          <w:noProof/>
        </w:rPr>
        <w:t>[7,8,36,38]</w:t>
      </w:r>
      <w:r w:rsidR="008369B1" w:rsidRPr="008369B1">
        <w:rPr>
          <w:b w:val="0"/>
        </w:rPr>
        <w:fldChar w:fldCharType="end"/>
      </w:r>
    </w:p>
    <w:p w:rsidR="00314152" w:rsidRPr="00C32FC4" w:rsidRDefault="00297C27" w:rsidP="003B7588">
      <w:pPr>
        <w:pStyle w:val="aff2"/>
        <w:divId w:val="1767193717"/>
      </w:pPr>
      <w:r w:rsidRPr="00C32FC4">
        <w:rPr>
          <w:rStyle w:val="affb"/>
          <w:b/>
        </w:rPr>
        <w:t>Уровень убедительности рекомендаций</w:t>
      </w:r>
      <w:r w:rsidRPr="00C32FC4">
        <w:rPr>
          <w:rStyle w:val="affb"/>
          <w:b/>
        </w:rPr>
        <w:softHyphen/>
        <w:t xml:space="preserve"> С</w:t>
      </w:r>
      <w:r w:rsidR="00187CF9" w:rsidRPr="00C32FC4">
        <w:rPr>
          <w:b w:val="0"/>
        </w:rPr>
        <w:t xml:space="preserve"> </w:t>
      </w:r>
      <w:r w:rsidRPr="00C32FC4">
        <w:t>(уровень достоверности доказательств – 5)</w:t>
      </w:r>
    </w:p>
    <w:p w:rsidR="003B7588" w:rsidRPr="00C32FC4" w:rsidRDefault="003B7588" w:rsidP="003B7588">
      <w:pPr>
        <w:pStyle w:val="affff1"/>
        <w:spacing w:after="0" w:line="360" w:lineRule="auto"/>
        <w:ind w:left="709"/>
        <w:jc w:val="both"/>
        <w:divId w:val="1767193717"/>
        <w:rPr>
          <w:i/>
        </w:rPr>
      </w:pPr>
      <w:r w:rsidRPr="00C32FC4">
        <w:rPr>
          <w:rFonts w:ascii="Times New Roman" w:hAnsi="Times New Roman" w:cs="Times New Roman"/>
          <w:b/>
          <w:sz w:val="24"/>
          <w:szCs w:val="24"/>
        </w:rPr>
        <w:t>Комментарии:</w:t>
      </w:r>
      <w:r w:rsidRPr="00C32FC4">
        <w:t xml:space="preserve"> </w:t>
      </w:r>
      <w:r w:rsidRPr="00C32FC4">
        <w:rPr>
          <w:rFonts w:ascii="Times New Roman" w:hAnsi="Times New Roman" w:cs="Times New Roman"/>
          <w:i/>
          <w:sz w:val="24"/>
          <w:szCs w:val="24"/>
        </w:rPr>
        <w:t xml:space="preserve">Перед началом лечения метотрексатом или при возобновлении терапии после перерыва необходимо проводить клинический анализ крови с подсчетом лейкоцитарной формулы и количества тромбоцитов, оценивать активность «печеночных» ферментов, концентрацию билирубина, альбумина сыворотки, а также рентгенографическое исследование органов грудной клетки и функциональные почечные тесты. При наличии клинических показаний назначают исследования с целью исключения и гепатита. </w:t>
      </w:r>
    </w:p>
    <w:p w:rsidR="003B7588" w:rsidRPr="00C32FC4" w:rsidRDefault="003B7588" w:rsidP="003B7588">
      <w:pPr>
        <w:pStyle w:val="affff1"/>
        <w:spacing w:after="0" w:line="360" w:lineRule="auto"/>
        <w:ind w:left="709"/>
        <w:jc w:val="both"/>
        <w:divId w:val="1767193717"/>
        <w:rPr>
          <w:i/>
        </w:rPr>
      </w:pPr>
      <w:r w:rsidRPr="00C32FC4">
        <w:rPr>
          <w:rFonts w:ascii="Times New Roman" w:hAnsi="Times New Roman" w:cs="Times New Roman"/>
          <w:i/>
          <w:sz w:val="24"/>
          <w:szCs w:val="24"/>
        </w:rPr>
        <w:t>В процессе лечения метотрексатом (ежемесячно в первые 6 месяцев и не реже, чем каждые 3 месяца в дальнейшем, при повышении доз целесообразно повышать частоту обследований) проводят следующие исследования:</w:t>
      </w:r>
    </w:p>
    <w:p w:rsidR="003B7588" w:rsidRPr="00C32FC4" w:rsidRDefault="003B7588" w:rsidP="004F39BB">
      <w:pPr>
        <w:pStyle w:val="afe"/>
        <w:numPr>
          <w:ilvl w:val="0"/>
          <w:numId w:val="15"/>
        </w:numPr>
        <w:suppressAutoHyphens/>
        <w:ind w:left="993"/>
        <w:divId w:val="1767193717"/>
        <w:rPr>
          <w:i/>
        </w:rPr>
      </w:pPr>
      <w:r w:rsidRPr="00C32FC4">
        <w:rPr>
          <w:i/>
          <w:szCs w:val="24"/>
        </w:rPr>
        <w:t>Обследование ротовой полости и горла для выявления изменений слизистых оболочек.</w:t>
      </w:r>
    </w:p>
    <w:p w:rsidR="003B7588" w:rsidRPr="00C32FC4" w:rsidRDefault="003B7588" w:rsidP="004F39BB">
      <w:pPr>
        <w:pStyle w:val="afe"/>
        <w:numPr>
          <w:ilvl w:val="0"/>
          <w:numId w:val="15"/>
        </w:numPr>
        <w:suppressAutoHyphens/>
        <w:ind w:left="993"/>
        <w:divId w:val="1767193717"/>
        <w:rPr>
          <w:i/>
        </w:rPr>
      </w:pPr>
      <w:r w:rsidRPr="00C32FC4">
        <w:rPr>
          <w:i/>
          <w:szCs w:val="24"/>
        </w:rPr>
        <w:t xml:space="preserve">Анализ крови с определением лейкоцитарной формулы и количества тромбоцитов. Даже при применении в обычных терапевтических дозах метотрексат может внезапно вызвать угнетение системы кроветворения. В случае значительного снижения количества лейкоцитов или тромбоцитов </w:t>
      </w:r>
      <w:r w:rsidRPr="00C32FC4">
        <w:rPr>
          <w:i/>
          <w:szCs w:val="24"/>
        </w:rPr>
        <w:lastRenderedPageBreak/>
        <w:t>лечение метотрексатом немедленно прекращают и назначают симптоматическую поддерживающую терапию.</w:t>
      </w:r>
    </w:p>
    <w:p w:rsidR="003B7588" w:rsidRPr="00C32FC4" w:rsidRDefault="003B7588" w:rsidP="004F39BB">
      <w:pPr>
        <w:pStyle w:val="afe"/>
        <w:numPr>
          <w:ilvl w:val="0"/>
          <w:numId w:val="15"/>
        </w:numPr>
        <w:suppressAutoHyphens/>
        <w:ind w:left="993"/>
        <w:divId w:val="1767193717"/>
        <w:rPr>
          <w:i/>
        </w:rPr>
      </w:pPr>
      <w:r w:rsidRPr="00C32FC4">
        <w:rPr>
          <w:i/>
          <w:szCs w:val="24"/>
        </w:rPr>
        <w:t xml:space="preserve">Функциональные печеночные пробы. Особое внимание необходимо уделять выявлению признаков повреждения печени. Лечение метотрексатом не следует начинать или необходимо приостанавливать в случае любых отклонений результатов функциональных печеночных тестов или биопсии печени. Обычно показатели нормализуются в течение 2 недель, после чего лечение по решению может быть возобновлено. </w:t>
      </w:r>
    </w:p>
    <w:p w:rsidR="003B7588" w:rsidRPr="00C32FC4" w:rsidRDefault="003B7588" w:rsidP="004F39BB">
      <w:pPr>
        <w:pStyle w:val="afe"/>
        <w:numPr>
          <w:ilvl w:val="0"/>
          <w:numId w:val="15"/>
        </w:numPr>
        <w:suppressAutoHyphens/>
        <w:ind w:left="993"/>
        <w:divId w:val="1767193717"/>
        <w:rPr>
          <w:i/>
        </w:rPr>
      </w:pPr>
      <w:r w:rsidRPr="00C32FC4">
        <w:rPr>
          <w:i/>
          <w:szCs w:val="24"/>
        </w:rPr>
        <w:t xml:space="preserve">Функциональные почечные пробы и исследование мочи. Поскольку метотрексат экскретируется преимущественно почками, у пациентов с нарушениями функции почек может наблюдаться повышение концентрации метотрексата в крови, следствием чего могут быть тяжелые побочные реакции. Необходимо тщательно контролировать состояние пациентов, у которых возможны нарушения функции почек (например, пожилых пациентов). </w:t>
      </w:r>
    </w:p>
    <w:p w:rsidR="003B7588" w:rsidRPr="00C32FC4" w:rsidRDefault="003B7588" w:rsidP="004F39BB">
      <w:pPr>
        <w:pStyle w:val="afe"/>
        <w:numPr>
          <w:ilvl w:val="0"/>
          <w:numId w:val="15"/>
        </w:numPr>
        <w:suppressAutoHyphens/>
        <w:ind w:left="993"/>
        <w:divId w:val="1767193717"/>
        <w:rPr>
          <w:i/>
        </w:rPr>
      </w:pPr>
      <w:r w:rsidRPr="00C32FC4">
        <w:rPr>
          <w:i/>
          <w:szCs w:val="24"/>
        </w:rPr>
        <w:t>Исследование дыхательной системы.</w:t>
      </w:r>
      <w:r w:rsidRPr="00C32FC4">
        <w:rPr>
          <w:b/>
          <w:i/>
          <w:szCs w:val="24"/>
        </w:rPr>
        <w:t xml:space="preserve"> </w:t>
      </w:r>
    </w:p>
    <w:p w:rsidR="004C2673" w:rsidRPr="00C32FC4" w:rsidRDefault="003B7588" w:rsidP="004F39BB">
      <w:pPr>
        <w:pStyle w:val="afe"/>
        <w:numPr>
          <w:ilvl w:val="0"/>
          <w:numId w:val="15"/>
        </w:numPr>
        <w:suppressAutoHyphens/>
        <w:ind w:left="993"/>
        <w:divId w:val="1767193717"/>
        <w:rPr>
          <w:i/>
        </w:rPr>
      </w:pPr>
      <w:r w:rsidRPr="00C32FC4">
        <w:rPr>
          <w:i/>
          <w:szCs w:val="24"/>
        </w:rPr>
        <w:t>Поскольку метотрексат оказывает воздействие на иммунную систему, он может изменять реакцию на вакцинацию и влиять на результаты иммунологических тестов. Особая осторожность необходима при лечении пациентов с неактивными, хроническими инфекциями (такими как опоясывающий лишай, туберкулез, вирусный гепатит В или С) ввиду их возможной активации. В период лечения метотрексатом не следует проводить вакцинацию живыми вакцинами.</w:t>
      </w:r>
      <w:r w:rsidR="004C2673" w:rsidRPr="00C32FC4">
        <w:rPr>
          <w:i/>
          <w:szCs w:val="24"/>
        </w:rPr>
        <w:t xml:space="preserve"> </w:t>
      </w:r>
    </w:p>
    <w:p w:rsidR="003B7588" w:rsidRPr="00C32FC4" w:rsidRDefault="004C2673" w:rsidP="004C2673">
      <w:pPr>
        <w:pStyle w:val="afe"/>
        <w:suppressAutoHyphens/>
        <w:ind w:left="709" w:firstLine="0"/>
        <w:divId w:val="1767193717"/>
        <w:rPr>
          <w:i/>
        </w:rPr>
      </w:pPr>
      <w:r w:rsidRPr="00C32FC4">
        <w:rPr>
          <w:i/>
          <w:szCs w:val="24"/>
        </w:rPr>
        <w:t>В связи с возможностью активации хронической инфекции пациентам, которым планируется или проводится терапия метотрексатом, может потребоваться определение антител к поверхностному антигену (HBsAg) вируса гепатита B (Hepatitis B virus), определение антител к вирусу гепатита C (Hepatitis C virus) в крови</w:t>
      </w:r>
      <w:r w:rsidR="00A1540A" w:rsidRPr="00C32FC4">
        <w:rPr>
          <w:i/>
          <w:szCs w:val="24"/>
        </w:rPr>
        <w:t xml:space="preserve"> с целью выявления противопоказаний к системной терапии метотрексатом</w:t>
      </w:r>
      <w:r w:rsidRPr="00C32FC4">
        <w:rPr>
          <w:i/>
          <w:szCs w:val="24"/>
        </w:rPr>
        <w:t>.</w:t>
      </w:r>
    </w:p>
    <w:p w:rsidR="00E35232" w:rsidRPr="00866148" w:rsidRDefault="00E35232" w:rsidP="000334CF">
      <w:pPr>
        <w:pStyle w:val="afff8"/>
        <w:divId w:val="1767193717"/>
        <w:rPr>
          <w:bCs/>
        </w:rPr>
      </w:pPr>
      <w:r w:rsidRPr="00C32FC4">
        <w:t>Рекомендуется при недостаточной эффективности монотерапии первой линии комбинированная терапия с применением лекарственных средств первой линии</w:t>
      </w:r>
      <w:r w:rsidR="00866148">
        <w:t xml:space="preserve"> </w:t>
      </w:r>
      <w:r w:rsidR="00866148" w:rsidRPr="00866148">
        <w:rPr>
          <w:bCs/>
        </w:rPr>
        <w:fldChar w:fldCharType="begin" w:fldLock="1"/>
      </w:r>
      <w:r w:rsidR="006E0773">
        <w:rPr>
          <w:bCs/>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mendeley":{"formattedCitation":"[7,8,36]","plainTextFormattedCitation":"[7,8,36]","previouslyFormattedCitation":"[7,8,36]"},"properties":{"noteIndex":0},"schema":"https://github.com/citation-style-language/schema/raw/master/csl-citation.json"}</w:instrText>
      </w:r>
      <w:r w:rsidR="00866148" w:rsidRPr="00866148">
        <w:rPr>
          <w:bCs/>
        </w:rPr>
        <w:fldChar w:fldCharType="separate"/>
      </w:r>
      <w:r w:rsidR="00866148" w:rsidRPr="00866148">
        <w:rPr>
          <w:bCs/>
          <w:noProof/>
        </w:rPr>
        <w:t>[7,8,36]</w:t>
      </w:r>
      <w:r w:rsidR="00866148" w:rsidRPr="00866148">
        <w:rPr>
          <w:bCs/>
        </w:rPr>
        <w:fldChar w:fldCharType="end"/>
      </w:r>
      <w:r w:rsidR="00C1211E" w:rsidRPr="00866148">
        <w:rPr>
          <w:bCs/>
        </w:rPr>
        <w:t>:</w:t>
      </w:r>
    </w:p>
    <w:p w:rsidR="00E35232" w:rsidRPr="00C32FC4" w:rsidRDefault="00E35232" w:rsidP="00E90536">
      <w:pPr>
        <w:pStyle w:val="aff2"/>
        <w:divId w:val="1767193717"/>
        <w:rPr>
          <w:b w:val="0"/>
        </w:rPr>
      </w:pPr>
      <w:r w:rsidRPr="00C32FC4">
        <w:rPr>
          <w:b w:val="0"/>
        </w:rPr>
        <w:t>интерферон-α</w:t>
      </w:r>
      <w:r w:rsidR="00A011E7" w:rsidRPr="00C32FC4">
        <w:rPr>
          <w:b w:val="0"/>
        </w:rPr>
        <w:t>**</w:t>
      </w:r>
      <w:r w:rsidRPr="00C32FC4">
        <w:rPr>
          <w:b w:val="0"/>
        </w:rPr>
        <w:t xml:space="preserve"> </w:t>
      </w:r>
      <w:r w:rsidR="00A1540A" w:rsidRPr="00C32FC4">
        <w:rPr>
          <w:b w:val="0"/>
        </w:rPr>
        <w:t>подкожно для интерферона альфа-2</w:t>
      </w:r>
      <w:r w:rsidR="00A1540A" w:rsidRPr="00C32FC4">
        <w:rPr>
          <w:b w:val="0"/>
          <w:lang w:val="en-US"/>
        </w:rPr>
        <w:t>a</w:t>
      </w:r>
      <w:r w:rsidR="00A1540A" w:rsidRPr="00C32FC4">
        <w:rPr>
          <w:b w:val="0"/>
        </w:rPr>
        <w:t>, внутримышечно или подкожно для интерферона альфа-2</w:t>
      </w:r>
      <w:r w:rsidR="00A1540A" w:rsidRPr="00C32FC4">
        <w:rPr>
          <w:b w:val="0"/>
          <w:lang w:val="en-US"/>
        </w:rPr>
        <w:t>b</w:t>
      </w:r>
      <w:r w:rsidR="00A1540A" w:rsidRPr="00C32FC4">
        <w:rPr>
          <w:b w:val="0"/>
        </w:rPr>
        <w:t xml:space="preserve"> </w:t>
      </w:r>
      <w:r w:rsidRPr="00C32FC4">
        <w:rPr>
          <w:b w:val="0"/>
        </w:rPr>
        <w:t>в сочетании с фотохимиотерапией с внутренним применением фотосенсибилизаторов</w:t>
      </w:r>
      <w:r w:rsidR="00866148">
        <w:rPr>
          <w:b w:val="0"/>
        </w:rPr>
        <w:t xml:space="preserve"> </w:t>
      </w:r>
      <w:r w:rsidR="00866148" w:rsidRPr="008369B1">
        <w:rPr>
          <w:b w:val="0"/>
        </w:rPr>
        <w:fldChar w:fldCharType="begin" w:fldLock="1"/>
      </w:r>
      <w:r w:rsidR="003C573A">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2017","type":"article","volume":"77"},"uris":["http://www.mendeley.com/documents/?uuid=4a9bd2c5-8758-30bb-adc5-44f9163e365b"]},{"id":"ITEM-4","itemData":{"DOI":"10.1111/1523-1747.ep12875523","ISSN":"15231747","PMID":"2258636","abstract":"Eighty-two patients with either mycosis fungoides (MF) or parapsoriasis en plaques were treated with psoralens ultraviolet A light (PUVA). Clinical and histologic parameters were followed for a period from 6 months to 10 years. Complete clinical clearing of lesions was observed in 51 patients (62%) and most of them were in limited-plaque MF group or parapsoriasis en plaque. The mean total dose of PUVA for complete clearing was less for early MF. Thirty-one patients (38%) relapsed and responded to additional PUVA. Patients in early stages of the disease remained clear for up to 68 months after the first course of PUVA. Post-treatment skin biopsies with early MF showed histologic clearing. A new combination therapy for MF is presented in 15 patients. Recombinant interferon alpha-2a (Roferon-A), administered intramuscularly combined with PUVA were tested in a phase I trial. Interferon doses were from 6-30 million units three times weekly. Disease stages ranged from I-B to IV-B. Complete responses were obtained in 12 of 15 patients, and partial responses seen in 2 of 15 patients, for an overall response rate of 93%. The median duration of response exceeded 23 months (range, 3 to 25 months). All responding patients have been maintained on therapy. The dose-limiting toxicities were constitutional symptoms such as fevers and malaise (93.3%), leukopenias (40.0%), mental status changes consisting of depression and confusion (33.3%), and photosensitivity (26.6%). Interferon plus PUVA appear to be highly effective regimens for the treatment of patients with cutaneous T-cell lymphomas. © 1990.","author":[{"dropping-particle":"","family":"Roenigk","given":"Henry H.","non-dropping-particle":"","parse-names":false,"suffix":""},{"dropping-particle":"","family":"Kuzel","given":"Timothy M.","non-dropping-particle":"","parse-names":false,"suffix":""},{"dropping-particle":"","family":"Skoutelis","given":"Alexandra P.","non-dropping-particle":"","parse-names":false,"suffix":""},{"dropping-particle":"","family":"Springer","given":"Elizabeth","non-dropping-particle":"","parse-names":false,"suffix":""},{"dropping-particle":"","family":"Yu","given":"Gordon","non-dropping-particle":"","parse-names":false,"suffix":""},{"dropping-particle":"","family":"Caro","given":"William","non-dropping-particle":"","parse-names":false,"suffix":""},{"dropping-particle":"","family":"Gilyon","given":"Kathy","non-dropping-particle":"","parse-names":false,"suffix":""},{"dropping-particle":"","family":"Variakojis","given":"Daina","non-dropping-particle":"","parse-names":false,"suffix":""},{"dropping-particle":"","family":"Kaul","given":"Karen","non-dropping-particle":"","parse-names":false,"suffix":""},{"dropping-particle":"","family":"Bunn","given":"Paul A.","non-dropping-particle":"","parse-names":false,"suffix":""},{"dropping-particle":"","family":"Evans","given":"Lydia","non-dropping-particle":"","parse-names":false,"suffix":""},{"dropping-particle":"","family":"Rosen","given":"Steven T.","non-dropping-particle":"","parse-names":false,"suffix":""}],"container-title":"Journal of Investigative Dermatology","id":"ITEM-4","issue":"6 SUPPL.","issued":{"date-parts":[["1990"]]},"publisher":"J Invest Dermatol","title":"Photochemotherapy alone or combined with interferon alpha-2a in the treatment of cutaneous T-cell lymphoma","type":"article-journal","volume":"95"},"uris":["http://www.mendeley.com/documents/?uuid=628df045-7d82-3309-b8d0-7a60522e8c2c"]},{"id":"ITEM-5","itemData":{"DOI":"10.1093/jnci/82.3.203","ISSN":"00278874","PMID":"2296050","abstract":"Escalating doses of recombinant interferon alfa-2a (Roferon-A), administered intramuscularly three times weekly, combined with psoralen plus ultraviolet light irradiation (PUVA), were tested in a phase I trial for the therapy of patients with cutaneous T-cell lymphomas (CTCL). Interferon doses were escalated in groups of three patients from 6 million to 30 million IUs three times weekly. Disease stages ranged from IB to IVB. Eighty percnt of the patients entered in this trial had failed at least one prior therapy. Complete remissions were obtained in 12 of 15 patients, and partial responses were seen in two of 15 patients, for an overall response rate of 93%. The median duration of response exceeded 13 months (range, 3-15+). All patients who responded have been maintained on therapy. The dose-limiting toxic effects were constitutional symptoms such as fevers and malaise (93.3%), leukopenias (40.0%), mental status changes consisting of depression and confusion (33.3%), and photosensitivity (26.6%). These side effects were reversible with a decrement in dose or discontinuation of the interferon. No patient tolerated 30 million IU of the interferon for extended periods; the maximally tolerated dose was 18 million IU. Interferon plus PUVA appears to be a highly effective regimen for the treatment of patients with CTCL. Phase II studies investigating this combination, using 18 million IU of interferon alfa-2a three times weekly, should be undertaken to expand these findings, and to attempt to reduce the toxic effects associated with this therapy. [J Natl Cancer Inst 82: 203-207, 1990]. © 1990 Oxford University Press.","author":[{"dropping-particle":"","family":"Kuzel","given":"Timothy M.","non-dropping-particle":"","parse-names":false,"suffix":""},{"dropping-particle":"","family":"Gilyon","given":"Kathy","non-dropping-particle":"","parse-names":false,"suffix":""},{"dropping-particle":"","family":"Springer","given":"Elizabeth","non-dropping-particle":"","parse-names":false,"suffix":""},{"dropping-particle":"","family":"Variakojis","given":"Daina","non-dropping-particle":"","parse-names":false,"suffix":""},{"dropping-particle":"","family":"Kaul","given":"Karen","non-dropping-particle":"","parse-names":false,"suffix":""},{"dropping-particle":"","family":"Bunn","given":"Paul A.","non-dropping-particle":"","parse-names":false,"suffix":""},{"dropping-particle":"","family":"Evans","given":"Lydia","non-dropping-particle":"","parse-names":false,"suffix":""},{"dropping-particle":"","family":"Roenigk","given":"Henry H.","non-dropping-particle":"","parse-names":false,"suffix":""},{"dropping-particle":"","family":"Rosen","given":"Steven T.","non-dropping-particle":"","parse-names":false,"suffix":""}],"container-title":"Journal of the National Cancer Institute","id":"ITEM-5","issue":"3","issued":{"date-parts":[["1990","2","7"]]},"page":"203-207","publisher":"J Natl Cancer Inst","title":"Interferon alfa-2a combined with phototherapy in the treatment of cutaneous T-cell lymphoma","type":"article-journal","volume":"82"},"uris":["http://www.mendeley.com/documents/?uuid=1c2fbd31-a539-322d-893b-21701fe11418"]}],"mendeley":{"formattedCitation":"[7,8,36,39,40]","plainTextFormattedCitation":"[7,8,36,39,40]","previouslyFormattedCitation":"[7,8,36,39,40]"},"properties":{"noteIndex":0},"schema":"https://github.com/citation-style-language/schema/raw/master/csl-citation.json"}</w:instrText>
      </w:r>
      <w:r w:rsidR="00866148" w:rsidRPr="008369B1">
        <w:rPr>
          <w:b w:val="0"/>
        </w:rPr>
        <w:fldChar w:fldCharType="separate"/>
      </w:r>
      <w:r w:rsidR="00A55306" w:rsidRPr="00A55306">
        <w:rPr>
          <w:b w:val="0"/>
          <w:noProof/>
        </w:rPr>
        <w:t>[7,8,36,39,40]</w:t>
      </w:r>
      <w:r w:rsidR="00866148" w:rsidRPr="008369B1">
        <w:rPr>
          <w:b w:val="0"/>
        </w:rPr>
        <w:fldChar w:fldCharType="end"/>
      </w:r>
      <w:r w:rsidR="00A55306">
        <w:rPr>
          <w:b w:val="0"/>
        </w:rPr>
        <w:t>.</w:t>
      </w:r>
    </w:p>
    <w:p w:rsidR="00E90536" w:rsidRPr="00C32FC4" w:rsidRDefault="00297C27" w:rsidP="00E90536">
      <w:pPr>
        <w:pStyle w:val="aff2"/>
        <w:divId w:val="1767193717"/>
        <w:rPr>
          <w:b w:val="0"/>
        </w:rPr>
      </w:pPr>
      <w:r w:rsidRPr="00C32FC4">
        <w:rPr>
          <w:rStyle w:val="affb"/>
          <w:b/>
        </w:rPr>
        <w:lastRenderedPageBreak/>
        <w:t>Уровень убедительности рекомендаций</w:t>
      </w:r>
      <w:r w:rsidRPr="00C32FC4">
        <w:rPr>
          <w:rStyle w:val="affb"/>
          <w:b/>
        </w:rPr>
        <w:softHyphen/>
        <w:t xml:space="preserve"> С</w:t>
      </w:r>
      <w:r w:rsidR="00187CF9" w:rsidRPr="00C32FC4">
        <w:rPr>
          <w:rStyle w:val="affb"/>
          <w:b/>
        </w:rPr>
        <w:t xml:space="preserve"> </w:t>
      </w:r>
      <w:r w:rsidRPr="00C32FC4">
        <w:t xml:space="preserve">(уровень достоверности доказательств – </w:t>
      </w:r>
      <w:r w:rsidR="00C263E5" w:rsidRPr="00C32FC4">
        <w:t>4</w:t>
      </w:r>
      <w:r w:rsidRPr="00C32FC4">
        <w:t>)</w:t>
      </w:r>
    </w:p>
    <w:p w:rsidR="00E35232" w:rsidRPr="00C32FC4" w:rsidRDefault="00E35232" w:rsidP="00E90536">
      <w:pPr>
        <w:pStyle w:val="aff2"/>
        <w:divId w:val="1767193717"/>
        <w:rPr>
          <w:b w:val="0"/>
        </w:rPr>
      </w:pPr>
      <w:r w:rsidRPr="00C32FC4">
        <w:rPr>
          <w:b w:val="0"/>
        </w:rPr>
        <w:t>или</w:t>
      </w:r>
    </w:p>
    <w:p w:rsidR="00E35232" w:rsidRPr="00C32FC4" w:rsidRDefault="00E35232" w:rsidP="00E90536">
      <w:pPr>
        <w:pStyle w:val="aff2"/>
        <w:divId w:val="1767193717"/>
        <w:rPr>
          <w:b w:val="0"/>
        </w:rPr>
      </w:pPr>
      <w:r w:rsidRPr="00C32FC4">
        <w:rPr>
          <w:b w:val="0"/>
        </w:rPr>
        <w:t>метотрексат</w:t>
      </w:r>
      <w:r w:rsidR="0068707D" w:rsidRPr="00C32FC4">
        <w:rPr>
          <w:b w:val="0"/>
        </w:rPr>
        <w:t>**</w:t>
      </w:r>
      <w:r w:rsidRPr="00C32FC4">
        <w:rPr>
          <w:b w:val="0"/>
        </w:rPr>
        <w:t xml:space="preserve"> </w:t>
      </w:r>
      <w:r w:rsidR="00844444" w:rsidRPr="00C32FC4">
        <w:rPr>
          <w:b w:val="0"/>
        </w:rPr>
        <w:t xml:space="preserve">перорально в дозе не более 100 мг в неделю </w:t>
      </w:r>
      <w:r w:rsidRPr="00C32FC4">
        <w:rPr>
          <w:b w:val="0"/>
        </w:rPr>
        <w:t>в сочетании с глюкокортико</w:t>
      </w:r>
      <w:r w:rsidR="00E90536" w:rsidRPr="00C32FC4">
        <w:rPr>
          <w:b w:val="0"/>
        </w:rPr>
        <w:t>и</w:t>
      </w:r>
      <w:r w:rsidRPr="00C32FC4">
        <w:rPr>
          <w:b w:val="0"/>
        </w:rPr>
        <w:t>дами, применя</w:t>
      </w:r>
      <w:r w:rsidR="00E90536" w:rsidRPr="00C32FC4">
        <w:rPr>
          <w:b w:val="0"/>
        </w:rPr>
        <w:t>е</w:t>
      </w:r>
      <w:r w:rsidRPr="00C32FC4">
        <w:rPr>
          <w:b w:val="0"/>
        </w:rPr>
        <w:t>мыми в дерматологии</w:t>
      </w:r>
      <w:r w:rsidR="00866148">
        <w:rPr>
          <w:b w:val="0"/>
        </w:rPr>
        <w:t xml:space="preserve"> </w:t>
      </w:r>
      <w:r w:rsidR="00866148" w:rsidRPr="008369B1">
        <w:rPr>
          <w:b w:val="0"/>
        </w:rPr>
        <w:fldChar w:fldCharType="begin" w:fldLock="1"/>
      </w:r>
      <w:r w:rsidR="006E0773">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mendeley":{"formattedCitation":"[7,8,36]","plainTextFormattedCitation":"[7,8,36]","previouslyFormattedCitation":"[7,8,36]"},"properties":{"noteIndex":0},"schema":"https://github.com/citation-style-language/schema/raw/master/csl-citation.json"}</w:instrText>
      </w:r>
      <w:r w:rsidR="00866148" w:rsidRPr="008369B1">
        <w:rPr>
          <w:b w:val="0"/>
        </w:rPr>
        <w:fldChar w:fldCharType="separate"/>
      </w:r>
      <w:r w:rsidR="00866148" w:rsidRPr="00866148">
        <w:rPr>
          <w:b w:val="0"/>
          <w:noProof/>
        </w:rPr>
        <w:t>[7,8,36]</w:t>
      </w:r>
      <w:r w:rsidR="00866148" w:rsidRPr="008369B1">
        <w:rPr>
          <w:b w:val="0"/>
        </w:rPr>
        <w:fldChar w:fldCharType="end"/>
      </w:r>
      <w:r w:rsidR="00A55306">
        <w:rPr>
          <w:b w:val="0"/>
        </w:rPr>
        <w:t>.</w:t>
      </w:r>
    </w:p>
    <w:p w:rsidR="00E90536" w:rsidRPr="00C32FC4" w:rsidRDefault="00297C27" w:rsidP="00E90536">
      <w:pPr>
        <w:pStyle w:val="aff2"/>
        <w:divId w:val="1767193717"/>
        <w:rPr>
          <w:b w:val="0"/>
        </w:rPr>
      </w:pPr>
      <w:r w:rsidRPr="00C32FC4">
        <w:rPr>
          <w:rStyle w:val="affb"/>
          <w:b/>
        </w:rPr>
        <w:t>Уровень убедительности рекомендаций</w:t>
      </w:r>
      <w:r w:rsidRPr="00C32FC4">
        <w:rPr>
          <w:rStyle w:val="affb"/>
          <w:b/>
        </w:rPr>
        <w:softHyphen/>
        <w:t xml:space="preserve"> С</w:t>
      </w:r>
      <w:r w:rsidR="00187CF9" w:rsidRPr="00C32FC4">
        <w:rPr>
          <w:rStyle w:val="affb"/>
          <w:b/>
        </w:rPr>
        <w:t xml:space="preserve"> </w:t>
      </w:r>
      <w:r w:rsidRPr="00C32FC4">
        <w:t>(уровень достоверности доказательств – 5)</w:t>
      </w:r>
    </w:p>
    <w:p w:rsidR="00E90536" w:rsidRPr="00C32FC4" w:rsidRDefault="00E90536" w:rsidP="00E90536">
      <w:pPr>
        <w:pStyle w:val="aff2"/>
        <w:divId w:val="1767193717"/>
        <w:rPr>
          <w:b w:val="0"/>
        </w:rPr>
      </w:pPr>
      <w:r w:rsidRPr="00C32FC4">
        <w:rPr>
          <w:b w:val="0"/>
        </w:rPr>
        <w:t>или</w:t>
      </w:r>
    </w:p>
    <w:p w:rsidR="00E90536" w:rsidRPr="00C32FC4" w:rsidRDefault="00E90536" w:rsidP="00E90536">
      <w:pPr>
        <w:pStyle w:val="aff2"/>
        <w:divId w:val="1767193717"/>
        <w:rPr>
          <w:b w:val="0"/>
        </w:rPr>
      </w:pPr>
      <w:r w:rsidRPr="00C32FC4">
        <w:rPr>
          <w:b w:val="0"/>
        </w:rPr>
        <w:t>интерферон-α</w:t>
      </w:r>
      <w:r w:rsidR="00A011E7" w:rsidRPr="00C32FC4">
        <w:rPr>
          <w:b w:val="0"/>
        </w:rPr>
        <w:t>**</w:t>
      </w:r>
      <w:r w:rsidRPr="00C32FC4">
        <w:rPr>
          <w:b w:val="0"/>
        </w:rPr>
        <w:t xml:space="preserve"> </w:t>
      </w:r>
      <w:r w:rsidR="00A1540A" w:rsidRPr="00C32FC4">
        <w:rPr>
          <w:b w:val="0"/>
        </w:rPr>
        <w:t>подкожно для интерферона альфа-2</w:t>
      </w:r>
      <w:r w:rsidR="00A1540A" w:rsidRPr="00C32FC4">
        <w:rPr>
          <w:b w:val="0"/>
          <w:lang w:val="en-US"/>
        </w:rPr>
        <w:t>a</w:t>
      </w:r>
      <w:r w:rsidR="00A1540A" w:rsidRPr="00C32FC4">
        <w:rPr>
          <w:b w:val="0"/>
        </w:rPr>
        <w:t>, внутримышечно или подкожно для интерферона альфа-2</w:t>
      </w:r>
      <w:r w:rsidR="00A1540A" w:rsidRPr="00C32FC4">
        <w:rPr>
          <w:b w:val="0"/>
          <w:lang w:val="en-US"/>
        </w:rPr>
        <w:t>b</w:t>
      </w:r>
      <w:r w:rsidR="00A1540A" w:rsidRPr="00C32FC4">
        <w:rPr>
          <w:b w:val="0"/>
        </w:rPr>
        <w:t xml:space="preserve"> </w:t>
      </w:r>
      <w:r w:rsidRPr="00C32FC4">
        <w:rPr>
          <w:b w:val="0"/>
        </w:rPr>
        <w:t>в сочетании с</w:t>
      </w:r>
      <w:r w:rsidR="00575315" w:rsidRPr="00C32FC4">
        <w:rPr>
          <w:b w:val="0"/>
        </w:rPr>
        <w:t xml:space="preserve"> </w:t>
      </w:r>
      <w:r w:rsidRPr="00C32FC4">
        <w:rPr>
          <w:b w:val="0"/>
        </w:rPr>
        <w:t xml:space="preserve">метотрексатом </w:t>
      </w:r>
      <w:r w:rsidR="00A1540A" w:rsidRPr="00C32FC4">
        <w:rPr>
          <w:b w:val="0"/>
        </w:rPr>
        <w:t>перорально</w:t>
      </w:r>
      <w:r w:rsidR="00866148">
        <w:rPr>
          <w:b w:val="0"/>
        </w:rPr>
        <w:t xml:space="preserve"> </w:t>
      </w:r>
      <w:r w:rsidR="00866148" w:rsidRPr="008369B1">
        <w:rPr>
          <w:b w:val="0"/>
        </w:rPr>
        <w:fldChar w:fldCharType="begin" w:fldLock="1"/>
      </w:r>
      <w:r w:rsidR="00EF3B09">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2017","type":"article","volume":"77"},"uris":["http://www.mendeley.com/documents/?uuid=4a9bd2c5-8758-30bb-adc5-44f9163e365b"]},{"id":"ITEM-4","itemData":{"DOI":"10.1089/cbr.2007.0402","ISSN":"10849785","PMID":"18158775","abstract":"Treatment of refractory mycosis fungoides and Sézary syndrome remain unsatisfactory. In this study, we assessed the efficacy and toxicity of low-dose methotrexate (10 mg/m2, biweekly) and interferon (9.0 MU, three times a week) as induction therapy by 6 or 12 months, followed, if patients achieved a complete remission, by interferon maintenance until toxicity or relapse. In an intent-to-treat analysis, 158 patients were considered evaluable. Complete response (biopsy proven) was observed in 112 patients (49 [31%] at 6 months and 63 [49%] at 12 months); thus, the complete response rate was 74%. With a median follow-up of 155 months (range, 62-181), progression-free disease was 71% and overall survival was 69%. Acute toxicity was mild, treatment was well tolerated, and to date no late toxicity has been observed. We conclude that this regimen is a benefit to this setting of patients, with excellent outcome and mild toxicity. © Mary Ann Liebert, Inc. 2007.","author":[{"dropping-particle":"","family":"Avilés","given":"Agustin","non-dropping-particle":"","parse-names":false,"suffix":""},{"dropping-particle":"","family":"Nambo","given":"M. Jesús","non-dropping-particle":"","parse-names":false,"suffix":""},{"dropping-particle":"","family":"Neri","given":"Natividad","non-dropping-particle":"","parse-names":false,"suffix":""},{"dropping-particle":"","family":"Castañeda","given":"Claudia","non-dropping-particle":"","parse-names":false,"suffix":""},{"dropping-particle":"","family":"Cleto","given":"Sergio","non-dropping-particle":"","parse-names":false,"suffix":""},{"dropping-particle":"","family":"Gonzalez","given":"Martha","non-dropping-particle":"","parse-names":false,"suffix":""},{"dropping-particle":"","family":"Huerta-Guzmán","given":"Judith","non-dropping-particle":"","parse-names":false,"suffix":""}],"container-title":"Cancer Biotherapy and Radiopharmaceuticals","id":"ITEM-4","issue":"6","issued":{"date-parts":[["2007","12","1"]]},"page":"836-840","publisher":"Cancer Biother Radiopharm","title":"Interferon and low dose methotrexate improve outcome in refractory mycosis fungoides/Sézary syndrome","type":"article-journal","volume":"22"},"uris":["http://www.mendeley.com/documents/?uuid=418b9ba5-80b5-3919-bc2c-2157721ea022"]}],"mendeley":{"formattedCitation":"[7,8,36,41]","plainTextFormattedCitation":"[7,8,36,41]","previouslyFormattedCitation":"[7,8,36,41]"},"properties":{"noteIndex":0},"schema":"https://github.com/citation-style-language/schema/raw/master/csl-citation.json"}</w:instrText>
      </w:r>
      <w:r w:rsidR="00866148" w:rsidRPr="008369B1">
        <w:rPr>
          <w:b w:val="0"/>
        </w:rPr>
        <w:fldChar w:fldCharType="separate"/>
      </w:r>
      <w:r w:rsidR="003C573A" w:rsidRPr="003C573A">
        <w:rPr>
          <w:b w:val="0"/>
          <w:noProof/>
        </w:rPr>
        <w:t>[7,8,36,41]</w:t>
      </w:r>
      <w:r w:rsidR="00866148" w:rsidRPr="008369B1">
        <w:rPr>
          <w:b w:val="0"/>
        </w:rPr>
        <w:fldChar w:fldCharType="end"/>
      </w:r>
      <w:r w:rsidR="003C573A">
        <w:rPr>
          <w:b w:val="0"/>
        </w:rPr>
        <w:t>.</w:t>
      </w:r>
    </w:p>
    <w:p w:rsidR="00E90536" w:rsidRPr="00C32FC4" w:rsidRDefault="00297C27" w:rsidP="00E90536">
      <w:pPr>
        <w:pStyle w:val="aff2"/>
        <w:divId w:val="1767193717"/>
      </w:pPr>
      <w:r w:rsidRPr="00C32FC4">
        <w:rPr>
          <w:rStyle w:val="affb"/>
          <w:b/>
        </w:rPr>
        <w:t>Уровень убедительности рекомендаций</w:t>
      </w:r>
      <w:r w:rsidRPr="00C32FC4">
        <w:rPr>
          <w:rStyle w:val="affb"/>
          <w:b/>
        </w:rPr>
        <w:softHyphen/>
        <w:t xml:space="preserve"> С</w:t>
      </w:r>
      <w:r w:rsidR="00DE7BBA" w:rsidRPr="00C32FC4">
        <w:rPr>
          <w:rStyle w:val="affb"/>
        </w:rPr>
        <w:t xml:space="preserve"> </w:t>
      </w:r>
      <w:r w:rsidRPr="00C32FC4">
        <w:t xml:space="preserve">(уровень достоверности доказательств – </w:t>
      </w:r>
      <w:r w:rsidR="00C263E5" w:rsidRPr="00C32FC4">
        <w:t>4</w:t>
      </w:r>
      <w:r w:rsidRPr="00C32FC4">
        <w:t>)</w:t>
      </w:r>
    </w:p>
    <w:p w:rsidR="00E90536" w:rsidRPr="00C32FC4" w:rsidRDefault="00E90536" w:rsidP="000334CF">
      <w:pPr>
        <w:pStyle w:val="afff8"/>
        <w:divId w:val="1767193717"/>
      </w:pPr>
      <w:r w:rsidRPr="00C32FC4">
        <w:t>Рекомендуется при неэффективности монотерапии первой линии или пр</w:t>
      </w:r>
      <w:r w:rsidR="00044192" w:rsidRPr="00C32FC4">
        <w:t>и</w:t>
      </w:r>
      <w:r w:rsidRPr="00C32FC4">
        <w:t xml:space="preserve"> неэффективности комбинированной терапии с применением средств первой линии терапия второй линии:</w:t>
      </w:r>
    </w:p>
    <w:p w:rsidR="00E90536" w:rsidRPr="00C32FC4" w:rsidRDefault="00E90536" w:rsidP="00314152">
      <w:pPr>
        <w:pStyle w:val="aff2"/>
        <w:divId w:val="1767193717"/>
        <w:rPr>
          <w:b w:val="0"/>
        </w:rPr>
      </w:pPr>
      <w:r w:rsidRPr="00C32FC4">
        <w:rPr>
          <w:b w:val="0"/>
        </w:rPr>
        <w:t>противоопухолевые препараты в сочетании с кортикостероидами системного действия</w:t>
      </w:r>
      <w:r w:rsidR="00866148">
        <w:rPr>
          <w:b w:val="0"/>
        </w:rPr>
        <w:t xml:space="preserve"> </w:t>
      </w:r>
      <w:r w:rsidR="00866148" w:rsidRPr="008369B1">
        <w:rPr>
          <w:b w:val="0"/>
        </w:rPr>
        <w:fldChar w:fldCharType="begin" w:fldLock="1"/>
      </w:r>
      <w:r w:rsidR="006E0773">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mendeley":{"formattedCitation":"[7,8,36]","plainTextFormattedCitation":"[7,8,36]","previouslyFormattedCitation":"[7,8,36]"},"properties":{"noteIndex":0},"schema":"https://github.com/citation-style-language/schema/raw/master/csl-citation.json"}</w:instrText>
      </w:r>
      <w:r w:rsidR="00866148" w:rsidRPr="008369B1">
        <w:rPr>
          <w:b w:val="0"/>
        </w:rPr>
        <w:fldChar w:fldCharType="separate"/>
      </w:r>
      <w:r w:rsidR="00866148" w:rsidRPr="00866148">
        <w:rPr>
          <w:b w:val="0"/>
          <w:noProof/>
        </w:rPr>
        <w:t>[7,8,36]</w:t>
      </w:r>
      <w:r w:rsidR="00866148" w:rsidRPr="008369B1">
        <w:rPr>
          <w:b w:val="0"/>
        </w:rPr>
        <w:fldChar w:fldCharType="end"/>
      </w:r>
      <w:r w:rsidRPr="00C32FC4">
        <w:rPr>
          <w:b w:val="0"/>
        </w:rPr>
        <w:t>:</w:t>
      </w:r>
    </w:p>
    <w:p w:rsidR="00E90536" w:rsidRPr="00C32FC4" w:rsidRDefault="00E90536" w:rsidP="00E90536">
      <w:pPr>
        <w:pStyle w:val="aff2"/>
        <w:divId w:val="1767193717"/>
        <w:rPr>
          <w:b w:val="0"/>
        </w:rPr>
      </w:pPr>
      <w:r w:rsidRPr="00C32FC4">
        <w:rPr>
          <w:b w:val="0"/>
        </w:rPr>
        <w:t>хлорамбуцил</w:t>
      </w:r>
      <w:r w:rsidR="00A011E7" w:rsidRPr="00C32FC4">
        <w:rPr>
          <w:b w:val="0"/>
        </w:rPr>
        <w:t>**</w:t>
      </w:r>
      <w:r w:rsidRPr="00C32FC4">
        <w:rPr>
          <w:b w:val="0"/>
        </w:rPr>
        <w:t xml:space="preserve"> 2–12 мг в сутки </w:t>
      </w:r>
      <w:r w:rsidR="00A011E7" w:rsidRPr="00C32FC4">
        <w:rPr>
          <w:b w:val="0"/>
        </w:rPr>
        <w:t xml:space="preserve">перорально </w:t>
      </w:r>
      <w:r w:rsidRPr="00C32FC4">
        <w:rPr>
          <w:b w:val="0"/>
        </w:rPr>
        <w:t xml:space="preserve">+ </w:t>
      </w:r>
      <w:r w:rsidR="00DE7BBA" w:rsidRPr="00C32FC4">
        <w:rPr>
          <w:b w:val="0"/>
        </w:rPr>
        <w:t>#</w:t>
      </w:r>
      <w:r w:rsidRPr="00C32FC4">
        <w:rPr>
          <w:b w:val="0"/>
        </w:rPr>
        <w:t>преднизолон</w:t>
      </w:r>
      <w:r w:rsidR="00A011E7" w:rsidRPr="00C32FC4">
        <w:rPr>
          <w:b w:val="0"/>
        </w:rPr>
        <w:t>**</w:t>
      </w:r>
      <w:r w:rsidRPr="00C32FC4">
        <w:rPr>
          <w:b w:val="0"/>
        </w:rPr>
        <w:t xml:space="preserve"> 20 мг в сутки</w:t>
      </w:r>
      <w:r w:rsidR="00A011E7" w:rsidRPr="00C32FC4">
        <w:rPr>
          <w:b w:val="0"/>
        </w:rPr>
        <w:t xml:space="preserve"> перорально</w:t>
      </w:r>
      <w:r w:rsidR="00866148">
        <w:rPr>
          <w:b w:val="0"/>
        </w:rPr>
        <w:t xml:space="preserve"> </w:t>
      </w:r>
      <w:r w:rsidR="00866148" w:rsidRPr="008369B1">
        <w:rPr>
          <w:b w:val="0"/>
        </w:rPr>
        <w:fldChar w:fldCharType="begin" w:fldLock="1"/>
      </w:r>
      <w:r w:rsidR="006E0773">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mendeley":{"formattedCitation":"[7,8,36]","plainTextFormattedCitation":"[7,8,36]","previouslyFormattedCitation":"[7,8,36]"},"properties":{"noteIndex":0},"schema":"https://github.com/citation-style-language/schema/raw/master/csl-citation.json"}</w:instrText>
      </w:r>
      <w:r w:rsidR="00866148" w:rsidRPr="008369B1">
        <w:rPr>
          <w:b w:val="0"/>
        </w:rPr>
        <w:fldChar w:fldCharType="separate"/>
      </w:r>
      <w:r w:rsidR="00866148" w:rsidRPr="00866148">
        <w:rPr>
          <w:b w:val="0"/>
          <w:noProof/>
        </w:rPr>
        <w:t>[7,8,36]</w:t>
      </w:r>
      <w:r w:rsidR="00866148" w:rsidRPr="008369B1">
        <w:rPr>
          <w:b w:val="0"/>
        </w:rPr>
        <w:fldChar w:fldCharType="end"/>
      </w:r>
    </w:p>
    <w:p w:rsidR="00E90536" w:rsidRPr="00C32FC4" w:rsidRDefault="00297C27" w:rsidP="00E90536">
      <w:pPr>
        <w:pStyle w:val="aff2"/>
        <w:divId w:val="1767193717"/>
      </w:pPr>
      <w:r w:rsidRPr="00C32FC4">
        <w:rPr>
          <w:rStyle w:val="affb"/>
          <w:b/>
        </w:rPr>
        <w:t>Уровень убедительности рекомендаций</w:t>
      </w:r>
      <w:r w:rsidRPr="00C32FC4">
        <w:rPr>
          <w:rStyle w:val="affb"/>
          <w:b/>
        </w:rPr>
        <w:softHyphen/>
        <w:t xml:space="preserve"> С</w:t>
      </w:r>
      <w:r w:rsidR="00575315" w:rsidRPr="00C32FC4">
        <w:rPr>
          <w:rStyle w:val="affb"/>
          <w:b/>
        </w:rPr>
        <w:t xml:space="preserve"> </w:t>
      </w:r>
      <w:r w:rsidRPr="00C32FC4">
        <w:t>(уровень достоверности доказательств – 5)</w:t>
      </w:r>
    </w:p>
    <w:p w:rsidR="009519AB" w:rsidRPr="00C32FC4" w:rsidRDefault="009519AB" w:rsidP="00E90536">
      <w:pPr>
        <w:pStyle w:val="aff2"/>
        <w:divId w:val="1767193717"/>
        <w:rPr>
          <w:b w:val="0"/>
          <w:i/>
        </w:rPr>
      </w:pPr>
      <w:r w:rsidRPr="00C32FC4">
        <w:t xml:space="preserve">Комментарии: </w:t>
      </w:r>
      <w:r w:rsidRPr="00C32FC4">
        <w:rPr>
          <w:b w:val="0"/>
          <w:i/>
        </w:rPr>
        <w:t>Во время терапии хлорамбуцилом следует учитывать возможность развития нежелательных явлений со стороны</w:t>
      </w:r>
      <w:r w:rsidRPr="00C32FC4">
        <w:t xml:space="preserve"> </w:t>
      </w:r>
      <w:r w:rsidRPr="00C32FC4">
        <w:rPr>
          <w:b w:val="0"/>
          <w:i/>
        </w:rPr>
        <w:t>системы кроветворения, желудочно-кишечного тракта, мочевыделительной системы и прочие. Наиболее частыми нежелательными эффектами терапии хлорамбуцилом являются лейкопения (обратима, если прием препарата прекращен своевременно), тромбоцитопения, лимфопения, нейтропения, снижение содержания гемоглобина Необратимое угнетение функции костного мозга развивается крайне редко. Редко отмечаются гепатотоксическое действие токсико-аллергического генеза (гепатонекроз или цирроз, холестаз, желтуха), гиперурикемия или нефропатия, обусловленная повышенным образованием мочевой кислоты.</w:t>
      </w:r>
    </w:p>
    <w:p w:rsidR="00287095" w:rsidRPr="00C32FC4" w:rsidRDefault="00287095" w:rsidP="00E90536">
      <w:pPr>
        <w:pStyle w:val="aff2"/>
        <w:divId w:val="1767193717"/>
        <w:rPr>
          <w:b w:val="0"/>
          <w:i/>
        </w:rPr>
      </w:pPr>
      <w:r w:rsidRPr="00C32FC4">
        <w:rPr>
          <w:b w:val="0"/>
          <w:i/>
        </w:rPr>
        <w:t xml:space="preserve">Во время терапии преднизолоном возможно развитие нежелательных явлений, требующих контроля, – снижение толерантности к глюкозе, «стероидный» </w:t>
      </w:r>
      <w:r w:rsidRPr="00C32FC4">
        <w:rPr>
          <w:b w:val="0"/>
          <w:i/>
        </w:rPr>
        <w:lastRenderedPageBreak/>
        <w:t>сахарный диабет или манифестация латентного сахарного диабета, угнетение функции надпочечников,</w:t>
      </w:r>
      <w:r w:rsidRPr="00C32FC4">
        <w:rPr>
          <w:rFonts w:eastAsia="SimSun"/>
          <w:b w:val="0"/>
          <w:color w:val="00000A"/>
          <w:kern w:val="1"/>
        </w:rPr>
        <w:t xml:space="preserve"> </w:t>
      </w:r>
      <w:r w:rsidRPr="00C32FC4">
        <w:rPr>
          <w:b w:val="0"/>
          <w:i/>
        </w:rPr>
        <w:t>задержка жидкости и ионов натрия (периферические отеки), гипернатриемия, гипокалиемический синдром (гипокалиемия, аритмия, миалгия или спазм мышц, необычная слабость и утомляемость), в редких случаях – повышение активности «печеночных» трансаминаз и щелочной фосфатазы. Возможна также лейкоцитурия.</w:t>
      </w:r>
    </w:p>
    <w:p w:rsidR="00E90536" w:rsidRPr="00C32FC4" w:rsidRDefault="00E90536" w:rsidP="00E90536">
      <w:pPr>
        <w:pStyle w:val="aff2"/>
        <w:divId w:val="1767193717"/>
        <w:rPr>
          <w:b w:val="0"/>
        </w:rPr>
      </w:pPr>
      <w:r w:rsidRPr="00C32FC4">
        <w:rPr>
          <w:b w:val="0"/>
        </w:rPr>
        <w:t xml:space="preserve">или </w:t>
      </w:r>
    </w:p>
    <w:p w:rsidR="00E90536" w:rsidRPr="00C32FC4" w:rsidRDefault="00E90536" w:rsidP="00E90536">
      <w:pPr>
        <w:pStyle w:val="aff2"/>
        <w:divId w:val="1767193717"/>
        <w:rPr>
          <w:b w:val="0"/>
        </w:rPr>
      </w:pPr>
      <w:r w:rsidRPr="00C32FC4">
        <w:rPr>
          <w:b w:val="0"/>
        </w:rPr>
        <w:t>противоопухолевые препараты</w:t>
      </w:r>
      <w:r w:rsidR="00044192" w:rsidRPr="00C32FC4">
        <w:rPr>
          <w:b w:val="0"/>
        </w:rPr>
        <w:t>:</w:t>
      </w:r>
    </w:p>
    <w:p w:rsidR="00314152" w:rsidRPr="00C32FC4" w:rsidRDefault="00E90536" w:rsidP="00314152">
      <w:pPr>
        <w:pStyle w:val="aff2"/>
        <w:divId w:val="1767193717"/>
        <w:rPr>
          <w:b w:val="0"/>
        </w:rPr>
      </w:pPr>
      <w:r w:rsidRPr="00C32FC4">
        <w:rPr>
          <w:b w:val="0"/>
        </w:rPr>
        <w:t>вориностат</w:t>
      </w:r>
      <w:r w:rsidR="00575315" w:rsidRPr="00C32FC4">
        <w:rPr>
          <w:b w:val="0"/>
        </w:rPr>
        <w:t xml:space="preserve"> </w:t>
      </w:r>
      <w:r w:rsidR="00314152" w:rsidRPr="00C32FC4">
        <w:rPr>
          <w:b w:val="0"/>
        </w:rPr>
        <w:t>перорально по 400 мг ежедневно до достижения полного контроля (отсутствие признаков дальнейшего прогрессирования) или же до появления признаков неприемлемой токсичности</w:t>
      </w:r>
      <w:r w:rsidR="00866148">
        <w:rPr>
          <w:b w:val="0"/>
        </w:rPr>
        <w:t xml:space="preserve"> </w:t>
      </w:r>
      <w:r w:rsidR="00866148" w:rsidRPr="008369B1">
        <w:rPr>
          <w:b w:val="0"/>
        </w:rPr>
        <w:fldChar w:fldCharType="begin" w:fldLock="1"/>
      </w:r>
      <w:r w:rsidR="00602315">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-4","itemData":{"author":[{"dropping-particle":"","family":"Чернова","given":"Н.Г.","non-dropping-particle":"","parse-names":false,"suffix":""},{"dropping-particle":"","family":"Коломейцев","given":"О.А.","non-dropping-particle":"","parse-names":false,"suffix":""}],"container-title":"Клиническая онкогематология","id":"ITEM-4","issue":"1","issued":{"date-parts":[["2018"]]},"page":"34-41","title":"Современные возможности оптимизации лечения грибовидного микоза и синдрома Сезари","type":"article-journal","volume":"11"},"uris":["http://www.mendeley.com/documents/?uuid=4136d245-27bd-4598-bda9-a732c563eaf3"]},{"id":"ITEM-5","itemData":{"DOI":"10.1007/s11912-018-0678-x","ISSN":"15346269","PMID":"29572582","abstract":"Purpose of Review: Cutaneous T-cell lymphoma (CTCL) is a rare form of non-Hodgkin lymphoma. Globally, the most common subtypes of CTCL are mycosis fungoides and Sézary syndrome. CTCL can confer significant morbidity and even mortality in advanced disease. Here we review the current and potential future treatments for advanced-stage CTCL. Recent findings: Heterogeneity of treatment choice has been demonstrated both in US and non-US centers. Systemic treatment choice is currently guided by prognostic features, incorporating stage, immunophenotypic and molecular findings, and patient-specific factors such as age and comorbidities. Randomized controlled studies are uncommon, and the literature is composed predominantly of retrospective, cohort, and early-phase studies. International consensus guidelines are available; however, the lack of comparative trials means that there is no clear algorithmic approach to treatment. Summary: This review article reports on the systemic treatment options in current use for advanced CTCL, and on the possible future therapies, acknowledging that an algorithmic approach is not yet forthcoming to guide treatment prioritization.","author":[{"dropping-particle":"","family":"Photiou","given":"Louise","non-dropping-particle":"","parse-names":false,"suffix":""},{"dropping-particle":"","family":"Weyden","given":"Carrie","non-dropping-particle":"van der","parse-names":false,"suffix":""},{"dropping-particle":"","family":"McCormack","given":"Christopher","non-dropping-particle":"","parse-names":false,"suffix":""},{"dropping-particle":"","family":"Miles Prince","given":"H.","non-dropping-particle":"","parse-names":false,"suffix":""}],"container-title":"Current Oncology Reports","id":"ITEM-5","issue":"4","issued":{"date-parts":[["2018","4","1"]]},"publisher":"Current Medicine Group LLC 1","title":"Systemic Treatment Options for Advanced-Stage Mycosis Fungoides and Sézary Syndrome","type":"article","volume":"20"},"uris":["http://www.mendeley.com/documents/?uuid=bdeb8b06-c11c-3477-bf55-d5f1114e08ab"]}],"mendeley":{"formattedCitation":"[7,8,36,42,43]","plainTextFormattedCitation":"[7,8,36,42,43]","previouslyFormattedCitation":"[7,8,36,42,43]"},"properties":{"noteIndex":0},"schema":"https://github.com/citation-style-language/schema/raw/master/csl-citation.json"}</w:instrText>
      </w:r>
      <w:r w:rsidR="00866148" w:rsidRPr="008369B1">
        <w:rPr>
          <w:b w:val="0"/>
        </w:rPr>
        <w:fldChar w:fldCharType="separate"/>
      </w:r>
      <w:r w:rsidR="00FF13CD" w:rsidRPr="00FF13CD">
        <w:rPr>
          <w:b w:val="0"/>
          <w:noProof/>
        </w:rPr>
        <w:t>[7,8,36,42,43]</w:t>
      </w:r>
      <w:r w:rsidR="00866148" w:rsidRPr="008369B1">
        <w:rPr>
          <w:b w:val="0"/>
        </w:rPr>
        <w:fldChar w:fldCharType="end"/>
      </w:r>
    </w:p>
    <w:p w:rsidR="000334CF" w:rsidRPr="00C32FC4" w:rsidRDefault="00DE7BBA" w:rsidP="000334CF">
      <w:pPr>
        <w:pStyle w:val="aff2"/>
        <w:divId w:val="1767193717"/>
      </w:pPr>
      <w:r w:rsidRPr="00C32FC4">
        <w:rPr>
          <w:rStyle w:val="affb"/>
          <w:b/>
        </w:rPr>
        <w:t>Уровень убедительности рекомендаций</w:t>
      </w:r>
      <w:r w:rsidRPr="00C32FC4">
        <w:rPr>
          <w:rStyle w:val="affb"/>
          <w:b/>
        </w:rPr>
        <w:softHyphen/>
        <w:t xml:space="preserve"> С </w:t>
      </w:r>
      <w:r w:rsidRPr="00C32FC4">
        <w:t>(уровень достоверности доказательств – 5)</w:t>
      </w:r>
    </w:p>
    <w:p w:rsidR="008F478F" w:rsidRPr="00C32FC4" w:rsidRDefault="008F478F" w:rsidP="00314152">
      <w:pPr>
        <w:pStyle w:val="aff2"/>
        <w:divId w:val="1767193717"/>
        <w:rPr>
          <w:b w:val="0"/>
        </w:rPr>
      </w:pPr>
      <w:r w:rsidRPr="00C32FC4">
        <w:t>Комментарии:</w:t>
      </w:r>
      <w:r w:rsidRPr="00C32FC4">
        <w:rPr>
          <w:b w:val="0"/>
        </w:rPr>
        <w:t xml:space="preserve"> </w:t>
      </w:r>
      <w:r w:rsidRPr="00C32FC4">
        <w:rPr>
          <w:b w:val="0"/>
          <w:i/>
        </w:rPr>
        <w:t>Противопоказанием является детский возраст до 18 лет.  При приеме вориностата возможн</w:t>
      </w:r>
      <w:r w:rsidR="005530CE" w:rsidRPr="00C32FC4">
        <w:rPr>
          <w:b w:val="0"/>
          <w:i/>
        </w:rPr>
        <w:t>о развитие</w:t>
      </w:r>
      <w:r w:rsidRPr="00C32FC4">
        <w:rPr>
          <w:b w:val="0"/>
          <w:i/>
        </w:rPr>
        <w:t xml:space="preserve"> </w:t>
      </w:r>
      <w:r w:rsidR="005530CE" w:rsidRPr="00C32FC4">
        <w:rPr>
          <w:b w:val="0"/>
          <w:i/>
        </w:rPr>
        <w:t xml:space="preserve">тромбоцитопении и анемии, </w:t>
      </w:r>
      <w:r w:rsidRPr="00C32FC4">
        <w:rPr>
          <w:b w:val="0"/>
          <w:i/>
        </w:rPr>
        <w:t>которые могут потребовать прекращения приема препарата</w:t>
      </w:r>
      <w:r w:rsidR="005530CE" w:rsidRPr="00C32FC4">
        <w:rPr>
          <w:b w:val="0"/>
          <w:i/>
        </w:rPr>
        <w:t xml:space="preserve"> или прекращения лечения</w:t>
      </w:r>
      <w:r w:rsidRPr="00C32FC4">
        <w:rPr>
          <w:b w:val="0"/>
          <w:i/>
        </w:rPr>
        <w:t xml:space="preserve">. Возможно развитие лейкопении и нейтропении, требующих уменьшения дозы препарата. Отмечалось увеличение плазменной концентрации креатинина. </w:t>
      </w:r>
      <w:r w:rsidR="005530CE" w:rsidRPr="00C32FC4">
        <w:rPr>
          <w:b w:val="0"/>
          <w:i/>
        </w:rPr>
        <w:t>Возможно также развитие г</w:t>
      </w:r>
      <w:r w:rsidRPr="00C32FC4">
        <w:rPr>
          <w:b w:val="0"/>
          <w:i/>
        </w:rPr>
        <w:t>ипокалиеми</w:t>
      </w:r>
      <w:r w:rsidR="005530CE" w:rsidRPr="00C32FC4">
        <w:rPr>
          <w:b w:val="0"/>
          <w:i/>
        </w:rPr>
        <w:t>и</w:t>
      </w:r>
      <w:r w:rsidRPr="00C32FC4">
        <w:rPr>
          <w:b w:val="0"/>
          <w:i/>
        </w:rPr>
        <w:t xml:space="preserve"> и увеличени</w:t>
      </w:r>
      <w:r w:rsidR="005530CE" w:rsidRPr="00C32FC4">
        <w:rPr>
          <w:b w:val="0"/>
          <w:i/>
        </w:rPr>
        <w:t>я</w:t>
      </w:r>
      <w:r w:rsidRPr="00C32FC4">
        <w:rPr>
          <w:b w:val="0"/>
          <w:i/>
        </w:rPr>
        <w:t xml:space="preserve"> плазменной концентрации креатинина</w:t>
      </w:r>
      <w:r w:rsidR="005530CE" w:rsidRPr="00C32FC4">
        <w:rPr>
          <w:b w:val="0"/>
          <w:i/>
        </w:rPr>
        <w:t>, что может</w:t>
      </w:r>
      <w:r w:rsidRPr="00C32FC4">
        <w:rPr>
          <w:b w:val="0"/>
          <w:i/>
        </w:rPr>
        <w:t xml:space="preserve"> потребовать снижения дозы препарата. На фоне приема вориностата отмечались гипергликемия</w:t>
      </w:r>
      <w:r w:rsidR="005530CE" w:rsidRPr="00C32FC4">
        <w:rPr>
          <w:b w:val="0"/>
          <w:i/>
        </w:rPr>
        <w:t>, в связи с чем может потребоваться назначение диеты и/или гипогликемической терапии. Возможно развитие протеинурии.</w:t>
      </w:r>
    </w:p>
    <w:p w:rsidR="00684E00" w:rsidRPr="00C32FC4" w:rsidRDefault="00684E00" w:rsidP="00684E00">
      <w:pPr>
        <w:ind w:left="709" w:firstLine="0"/>
        <w:divId w:val="1767193717"/>
        <w:rPr>
          <w:b/>
          <w:szCs w:val="24"/>
        </w:rPr>
      </w:pPr>
      <w:r w:rsidRPr="00C32FC4">
        <w:rPr>
          <w:rStyle w:val="affb"/>
          <w:b w:val="0"/>
        </w:rPr>
        <w:t>или</w:t>
      </w:r>
    </w:p>
    <w:p w:rsidR="00872BDA" w:rsidRPr="00FF13CD" w:rsidRDefault="00872BDA" w:rsidP="000334CF">
      <w:pPr>
        <w:ind w:left="709" w:firstLine="0"/>
        <w:divId w:val="1767193717"/>
        <w:rPr>
          <w:szCs w:val="24"/>
        </w:rPr>
      </w:pPr>
      <w:r w:rsidRPr="00FF13CD">
        <w:t>доксорубицин</w:t>
      </w:r>
      <w:r w:rsidR="00A011E7" w:rsidRPr="00FF13CD">
        <w:t>**</w:t>
      </w:r>
      <w:r w:rsidR="001404A8" w:rsidRPr="00FF13CD">
        <w:t xml:space="preserve"> </w:t>
      </w:r>
      <w:r w:rsidRPr="00FF13CD">
        <w:rPr>
          <w:szCs w:val="24"/>
        </w:rPr>
        <w:t>20</w:t>
      </w:r>
      <w:r w:rsidR="00057A0B" w:rsidRPr="00FF13CD">
        <w:rPr>
          <w:szCs w:val="24"/>
        </w:rPr>
        <w:t>–</w:t>
      </w:r>
      <w:r w:rsidRPr="00FF13CD">
        <w:rPr>
          <w:szCs w:val="24"/>
        </w:rPr>
        <w:t>30 мг/м</w:t>
      </w:r>
      <w:r w:rsidRPr="00FF13CD">
        <w:rPr>
          <w:szCs w:val="24"/>
          <w:vertAlign w:val="superscript"/>
        </w:rPr>
        <w:t>2</w:t>
      </w:r>
      <w:r w:rsidR="008F478F" w:rsidRPr="00FF13CD">
        <w:rPr>
          <w:vertAlign w:val="superscript"/>
        </w:rPr>
        <w:t xml:space="preserve"> </w:t>
      </w:r>
      <w:r w:rsidR="008F6799" w:rsidRPr="00FF13CD">
        <w:rPr>
          <w:szCs w:val="24"/>
        </w:rPr>
        <w:t>внутривенно</w:t>
      </w:r>
      <w:r w:rsidRPr="00FF13CD">
        <w:rPr>
          <w:szCs w:val="24"/>
        </w:rPr>
        <w:t xml:space="preserve"> каждые 2</w:t>
      </w:r>
      <w:r w:rsidR="00057A0B" w:rsidRPr="00FF13CD">
        <w:rPr>
          <w:szCs w:val="24"/>
        </w:rPr>
        <w:t>–</w:t>
      </w:r>
      <w:r w:rsidRPr="00FF13CD">
        <w:rPr>
          <w:szCs w:val="24"/>
        </w:rPr>
        <w:t>4 недели</w:t>
      </w:r>
      <w:r w:rsidR="00866148" w:rsidRPr="00FF13CD">
        <w:rPr>
          <w:szCs w:val="24"/>
        </w:rPr>
        <w:t xml:space="preserve"> </w:t>
      </w:r>
      <w:r w:rsidR="00866148" w:rsidRPr="00FF13CD">
        <w:fldChar w:fldCharType="begin" w:fldLock="1"/>
      </w:r>
      <w:r w:rsidR="00602315">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2017","type":"article","volume":"77"},"uris":["http://www.mendeley.com/documents/?uuid=4a9bd2c5-8758-30bb-adc5-44f9163e365b"]},{"id":"ITEM-4","itemData":{"DOI":"10.1007/s11912-018-0678-x","ISSN":"15346269","PMID":"29572582","abstract":"Purpose of Review: Cutaneous T-cell lymphoma (CTCL) is a rare form of non-Hodgkin lymphoma. Globally, the most common subtypes of CTCL are mycosis fungoides and Sézary syndrome. CTCL can confer significant morbidity and even mortality in advanced disease. Here we review the current and potential future treatments for advanced-stage CTCL. Recent findings: Heterogeneity of treatment choice has been demonstrated both in US and non-US centers. Systemic treatment choice is currently guided by prognostic features, incorporating stage, immunophenotypic and molecular findings, and patient-specific factors such as age and comorbidities. Randomized controlled studies are uncommon, and the literature is composed predominantly of retrospective, cohort, and early-phase studies. International consensus guidelines are available; however, the lack of comparative trials means that there is no clear algorithmic approach to treatment. Summary: This review article reports on the systemic treatment options in current use for advanced CTCL, and on the possible future therapies, acknowledging that an algorithmic approach is not yet forthcoming to guide treatment prioritization.","author":[{"dropping-particle":"","family":"Photiou","given":"Louise","non-dropping-particle":"","parse-names":false,"suffix":""},{"dropping-particle":"","family":"Weyden","given":"Carrie","non-dropping-particle":"van der","parse-names":false,"suffix":""},{"dropping-particle":"","family":"McCormack","given":"Christopher","non-dropping-particle":"","parse-names":false,"suffix":""},{"dropping-particle":"","family":"Miles Prince","given":"H.","non-dropping-particle":"","parse-names":false,"suffix":""}],"container-title":"Current Oncology Reports","id":"ITEM-4","issue":"4","issued":{"date-parts":[["2018","4","1"]]},"publisher":"Current Medicine Group LLC 1","title":"Systemic Treatment Options for Advanced-Stage Mycosis Fungoides and Sézary Syndrome","type":"article","volume":"20"},"uris":["http://www.mendeley.com/documents/?uuid=bdeb8b06-c11c-3477-bf55-d5f1114e08ab"]}],"mendeley":{"formattedCitation":"[7,8,36,43]","plainTextFormattedCitation":"[7,8,36,43]","previouslyFormattedCitation":"[7,8,36,43]"},"properties":{"noteIndex":0},"schema":"https://github.com/citation-style-language/schema/raw/master/csl-citation.json"}</w:instrText>
      </w:r>
      <w:r w:rsidR="00866148" w:rsidRPr="00FF13CD">
        <w:fldChar w:fldCharType="separate"/>
      </w:r>
      <w:r w:rsidR="00602315" w:rsidRPr="00602315">
        <w:rPr>
          <w:noProof/>
        </w:rPr>
        <w:t>[7,8,36,43]</w:t>
      </w:r>
      <w:r w:rsidR="00866148" w:rsidRPr="00FF13CD">
        <w:fldChar w:fldCharType="end"/>
      </w:r>
    </w:p>
    <w:p w:rsidR="00684E00" w:rsidRPr="00C32FC4" w:rsidRDefault="00297C27" w:rsidP="00872BDA">
      <w:pPr>
        <w:pStyle w:val="aff2"/>
        <w:divId w:val="1767193717"/>
      </w:pPr>
      <w:r w:rsidRPr="00C32FC4">
        <w:rPr>
          <w:rStyle w:val="affb"/>
          <w:b/>
        </w:rPr>
        <w:t xml:space="preserve">Уровень убедительности рекомендаций </w:t>
      </w:r>
      <w:r w:rsidRPr="00C32FC4">
        <w:rPr>
          <w:rStyle w:val="affb"/>
          <w:b/>
        </w:rPr>
        <w:softHyphen/>
        <w:t>С</w:t>
      </w:r>
      <w:r w:rsidRPr="00C32FC4">
        <w:t xml:space="preserve"> (уровень достоверности доказательств – </w:t>
      </w:r>
      <w:r w:rsidR="00C263E5" w:rsidRPr="00C32FC4">
        <w:t>5</w:t>
      </w:r>
      <w:r w:rsidRPr="00C32FC4">
        <w:t>)</w:t>
      </w:r>
    </w:p>
    <w:p w:rsidR="00D74783" w:rsidRPr="00C32FC4" w:rsidRDefault="00D74783" w:rsidP="00872BDA">
      <w:pPr>
        <w:pStyle w:val="aff2"/>
        <w:divId w:val="1767193717"/>
        <w:rPr>
          <w:b w:val="0"/>
        </w:rPr>
      </w:pPr>
      <w:r w:rsidRPr="00C32FC4">
        <w:t xml:space="preserve">Комментарии: </w:t>
      </w:r>
      <w:r w:rsidR="008C2A15" w:rsidRPr="00C32FC4">
        <w:rPr>
          <w:b w:val="0"/>
          <w:i/>
        </w:rPr>
        <w:t>С</w:t>
      </w:r>
      <w:r w:rsidRPr="00C32FC4">
        <w:rPr>
          <w:b w:val="0"/>
          <w:i/>
        </w:rPr>
        <w:t>ледует учитывать и контролировать нежелательные явления, которые могут возникнуть во время терапии доксорубицином</w:t>
      </w:r>
      <w:r w:rsidR="001225F3" w:rsidRPr="00C32FC4">
        <w:rPr>
          <w:b w:val="0"/>
          <w:i/>
        </w:rPr>
        <w:t>, – лейкопения, нейтропения, тромбоцитопения и анемия,</w:t>
      </w:r>
      <w:r w:rsidR="001225F3" w:rsidRPr="00C32FC4">
        <w:rPr>
          <w:rFonts w:eastAsia="SimSun"/>
          <w:b w:val="0"/>
          <w:color w:val="00000A"/>
          <w:kern w:val="1"/>
        </w:rPr>
        <w:t xml:space="preserve"> </w:t>
      </w:r>
      <w:r w:rsidR="001225F3" w:rsidRPr="00C32FC4">
        <w:rPr>
          <w:b w:val="0"/>
          <w:i/>
        </w:rPr>
        <w:t>повышение активности «печеночных» трансаминаз, гипербилирубинемия. токсическое поражение сердца. Для снижения риска тяжелого токсического поражения сердца рекомендуется до начала и во время терапии доксорубицином проводить регулярный контроль кардиальных функций, включая оценку фракции выброса левого желудочка с помощью эхокардиографии или многоканальной радиоизотопной ангиографии, а также ЭКГ-</w:t>
      </w:r>
      <w:r w:rsidR="001225F3" w:rsidRPr="00C32FC4">
        <w:rPr>
          <w:b w:val="0"/>
          <w:i/>
        </w:rPr>
        <w:lastRenderedPageBreak/>
        <w:t>контроль. Редким нежелательным явлением терапии доксорубицином является острая почечная недостаточность</w:t>
      </w:r>
    </w:p>
    <w:p w:rsidR="00314152" w:rsidRPr="00C32FC4" w:rsidRDefault="001E1A9A" w:rsidP="00314152">
      <w:pPr>
        <w:pStyle w:val="aff2"/>
        <w:divId w:val="1767193717"/>
        <w:rPr>
          <w:b w:val="0"/>
        </w:rPr>
      </w:pPr>
      <w:r w:rsidRPr="00C32FC4">
        <w:rPr>
          <w:b w:val="0"/>
        </w:rPr>
        <w:t>или</w:t>
      </w:r>
    </w:p>
    <w:p w:rsidR="001E1A9A" w:rsidRPr="00C32FC4" w:rsidRDefault="00DE7BBA" w:rsidP="001E1A9A">
      <w:pPr>
        <w:pStyle w:val="aff2"/>
        <w:divId w:val="1767193717"/>
        <w:rPr>
          <w:b w:val="0"/>
        </w:rPr>
      </w:pPr>
      <w:r w:rsidRPr="00C32FC4">
        <w:rPr>
          <w:b w:val="0"/>
        </w:rPr>
        <w:t>#</w:t>
      </w:r>
      <w:r w:rsidR="001E1A9A" w:rsidRPr="00C32FC4">
        <w:rPr>
          <w:b w:val="0"/>
        </w:rPr>
        <w:t>гемцитабин</w:t>
      </w:r>
      <w:r w:rsidR="00A011E7" w:rsidRPr="00C32FC4">
        <w:rPr>
          <w:b w:val="0"/>
        </w:rPr>
        <w:t>**</w:t>
      </w:r>
      <w:r w:rsidR="001E1A9A" w:rsidRPr="00C32FC4">
        <w:rPr>
          <w:b w:val="0"/>
        </w:rPr>
        <w:t xml:space="preserve"> 1200 мг/м</w:t>
      </w:r>
      <w:r w:rsidR="001E1A9A" w:rsidRPr="00C32FC4">
        <w:rPr>
          <w:b w:val="0"/>
          <w:vertAlign w:val="superscript"/>
        </w:rPr>
        <w:t>2</w:t>
      </w:r>
      <w:r w:rsidR="001E1A9A" w:rsidRPr="00C32FC4">
        <w:rPr>
          <w:b w:val="0"/>
        </w:rPr>
        <w:t xml:space="preserve"> в 1, 8 и 15 день 28-дневного цикла (3</w:t>
      </w:r>
      <w:r w:rsidR="001E1A9A" w:rsidRPr="00C32FC4">
        <w:t>–</w:t>
      </w:r>
      <w:r w:rsidR="001E1A9A" w:rsidRPr="00C32FC4">
        <w:rPr>
          <w:b w:val="0"/>
        </w:rPr>
        <w:t>6 курсов)</w:t>
      </w:r>
      <w:r w:rsidR="00866148">
        <w:rPr>
          <w:b w:val="0"/>
        </w:rPr>
        <w:t xml:space="preserve"> </w:t>
      </w:r>
      <w:r w:rsidR="00866148" w:rsidRPr="008369B1">
        <w:rPr>
          <w:b w:val="0"/>
        </w:rPr>
        <w:fldChar w:fldCharType="begin" w:fldLock="1"/>
      </w:r>
      <w:r w:rsidR="002719C3">
        <w:rPr>
          <w:b w:val="0"/>
        </w:rPr>
        <w:instrText>ADDIN CSL_CITATION {"citationItems":[{"id":"ITEM-1","itemData":{"DOI":"10.12788/j.sder.2018.005","ISSN":"15580768","abstract":"Sézary syndrome (SS) is a rare subtype of cutaneous T-cell lymphoma marked by erythroderma, circulating neoplastic T cells, and poor prognosis. Its low incidence has made the study of its etiology, immunologic/molecular pathways, and effective treatments difficult. Because histopathology may be nonspecific in SS, microscopic findings must be correlated with the clinical presentation and the results of blood evaluation in order to make the diagnosis. Treatments that preserve, rather than compromise, the immune system are preferred.","author":[{"dropping-particle":"","family":"Spicknall","given":"Kerith E.","non-dropping-particle":"","parse-names":false,"suffix":""}],"container-title":"Seminars in Cutaneous Medicine and Surgery","id":"ITEM-1","issue":"1","issued":{"date-parts":[["2018","3","1"]]},"page":"18-23","publisher":"Frontline Medical Communications","title":"Sézary syndrome-clinical and histopathologic features, differential diagnosis, and treatment","type":"article-journal","volume":"37"},"uris":["http://www.mendeley.com/documents/?uuid=789da34a-52f5-334d-89ab-ada602da3b00"]},{"id":"ITEM-2","itemData":{"DOI":"10.1016/j.jaad.2010.08.037","ISSN":"01909622","PMID":"21145619","abstract":"Sézary syndrome (SS) has a poor prognosis and few guidelines for optimizing therapy. The US Cutaneous Lymphoma Consortium, to improve clinical care of patients with SS and encourage controlled clinical trials of promising treatments, undertook a review of the published literature on therapeutic options for SS. An overview of the immunopathogenesis and standardized review of potential current treatment options for SS including metabolism, mechanism of action, overall efficacy in mycosis fungoides and SS, and common or concerning adverse effects is first discussed. The specific efficacy of each treatment for SS, both as monotherapy and combination therapy, is then reported using standardized criteria for both SS and response to therapy with the type of study defined by a modification of the US Preventive Services guidelines for evidence-based medicine. Finally, guidelines for the treatment of SS and suggestions for adjuvant treatment are noted. © 2010 by the American Academy of Dermatology, Inc.","author":[{"dropping-particle":"","family":"Olsen","given":"Elise A.","non-dropping-particle":"","parse-names":false,"suffix":""},{"dropping-particle":"","family":"Rook","given":"Alain H.","non-dropping-particle":"","parse-names":false,"suffix":""},{"dropping-particle":"","family":"Zic","given":"John","non-dropping-particle":"","parse-names":false,"suffix":""},{"dropping-particle":"","family":"Kim","given":"Youn","non-dropping-particle":"","parse-names":false,"suffix":""},{"dropping-particle":"","family":"Porcu","given":"Pierluigi","non-dropping-particle":"","parse-names":false,"suffix":""},{"dropping-particle":"","family":"Querfeld","given":"Christiane","non-dropping-particle":"","parse-names":false,"suffix":""},{"dropping-particle":"","family":"Wood","given":"Gary","non-dropping-particle":"","parse-names":false,"suffix":""},{"dropping-particle":"","family":"Demierre","given":"Marie France","non-dropping-particle":"","parse-names":false,"suffix":""},{"dropping-particle":"","family":"Pittelkow","given":"Mark","non-dropping-particle":"","parse-names":false,"suffix":""},{"dropping-particle":"","family":"Wilson","given":"Lynn D.","non-dropping-particle":"","parse-names":false,"suffix":""},{"dropping-particle":"","family":"Pinter-Brown","given":"Lauren","non-dropping-particle":"","parse-names":false,"suffix":""},{"dropping-particle":"","family":"Advani","given":"Ranjana","non-dropping-particle":"","parse-names":false,"suffix":""},{"dropping-particle":"","family":"Parker","given":"Sareeta","non-dropping-particle":"","parse-names":false,"suffix":""},{"dropping-particle":"","family":"Kim","given":"Ellen J.","non-dropping-particle":"","parse-names":false,"suffix":""},{"dropping-particle":"","family":"Junkins-Hopkins","given":"Jacqueline M.","non-dropping-particle":"","parse-names":false,"suffix":""},{"dropping-particle":"","family":"Foss","given":"Francine","non-dropping-particle":"","parse-names":false,"suffix":""},{"dropping-particle":"","family":"Cacchio","given":"Patrick","non-dropping-particle":"","parse-names":false,"suffix":""},{"dropping-particle":"","family":"Duvic","given":"Madeleine","non-dropping-particle":"","parse-names":false,"suffix":""}],"container-title":"Journal of the American Academy of Dermatology","id":"ITEM-2","issue":"2","issued":{"date-parts":[["2011","2"]]},"page":"352-404","publisher":"J Am Acad Dermatol","title":"Sézary syndrome: Immunopathogenesis, literature review of therapeutic options, and recommendations for therapy by the United States Cutaneous Lymphoma Consortium (USCLC)","type":"article","volume":"64"},"uris":["http://www.mendeley.com/documents/?uuid=8ab74da1-0438-37cb-b7c0-b374be730233"]},{"id":"ITEM-3","itemData":{"DOI":"10.1016/j.ejca.2017.02.027","ISSN":"18790852","PMID":"28365528","abstract":"In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Cancer","id":"ITEM-3","issued":{"date-parts":[["2017","5","1"]]},"page":"57-74","publisher":"Elsevier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2017","type":"article","volume":"77"},"uris":["http://www.mendeley.com/documents/?uuid=4a9bd2c5-8758-30bb-adc5-44f9163e365b"]},{"id":"ITEM-4","itemData":{"DOI":"10.1007/s11912-018-0678-x","ISSN":"15346269","PMID":"29572582","abstract":"Purpose of Review: Cutaneous T-cell lymphoma (CTCL) is a rare form of non-Hodgkin lymphoma. Globally, the most common subtypes of CTCL are mycosis fungoides and Sézary syndrome. CTCL can confer significant morbidity and even mortality in advanced disease. Here we review the current and potential future treatments for advanced-stage CTCL. Recent findings: Heterogeneity of treatment choice has been demonstrated both in US and non-US centers. Systemic treatment choice is currently guided by prognostic features, incorporating stage, immunophenotypic and molecular findings, and patient-specific factors such as age and comorbidities. Randomized controlled studies are uncommon, and the literature is composed predominantly of retrospective, cohort, and early-phase studies. International consensus guidelines are available; however, the lack of comparative trials means that there is no clear algorithmic approach to treatment. Summary: This review article reports on the systemic treatment options in current use for advanced CTCL, and on the possible future therapies, acknowledging that an algorithmic approach is not yet forthcoming to guide treatment prioritization.","author":[{"dropping-particle":"","family":"Photiou","given":"Louise","non-dropping-particle":"","parse-names":false,"suffix":""},{"dropping-particle":"","family":"Weyden","given":"Carrie","non-dropping-particle":"van der","parse-names":false,"suffix":""},{"dropping-particle":"","family":"McCormack","given":"Christopher","non-dropping-particle":"","parse-names":false,"suffix":""},{"dropping-particle":"","family":"Miles Prince","given":"H.","non-dropping-particle":"","parse-names":false,"suffix":""}],"container-title":"Current Oncology Reports","id":"ITEM-4","issue":"4","issued":{"date-parts":[["2018","4","1"]]},"publisher":"Current Medicine Group LLC 1","title":"Systemic Treatment Options for Advanced-Stage Mycosis Fungoides and Sézary Syndrome","type":"article","volume":"20"},"uris":["http://www.mendeley.com/documents/?uuid=bdeb8b06-c11c-3477-bf55-d5f1114e08ab"]}],"mendeley":{"formattedCitation":"[7,8,36,43]","plainTextFormattedCitation":"[7,8,36,43]","previouslyFormattedCitation":"[7,8,36,43]"},"properties":{"noteIndex":0},"schema":"https://github.com/citation-style-language/schema/raw/master/csl-citation.json"}</w:instrText>
      </w:r>
      <w:r w:rsidR="00866148" w:rsidRPr="008369B1">
        <w:rPr>
          <w:b w:val="0"/>
        </w:rPr>
        <w:fldChar w:fldCharType="separate"/>
      </w:r>
      <w:r w:rsidR="00602315" w:rsidRPr="00602315">
        <w:rPr>
          <w:b w:val="0"/>
          <w:noProof/>
        </w:rPr>
        <w:t>[7,8,36,43]</w:t>
      </w:r>
      <w:r w:rsidR="00866148" w:rsidRPr="008369B1">
        <w:rPr>
          <w:b w:val="0"/>
        </w:rPr>
        <w:fldChar w:fldCharType="end"/>
      </w:r>
      <w:r w:rsidR="001E1A9A" w:rsidRPr="00C32FC4">
        <w:rPr>
          <w:b w:val="0"/>
        </w:rPr>
        <w:t xml:space="preserve">. </w:t>
      </w:r>
    </w:p>
    <w:p w:rsidR="00E90536" w:rsidRPr="00C32FC4" w:rsidRDefault="00DE7BBA" w:rsidP="001E1A9A">
      <w:pPr>
        <w:pStyle w:val="aff2"/>
        <w:divId w:val="1767193717"/>
      </w:pPr>
      <w:r w:rsidRPr="00C32FC4">
        <w:rPr>
          <w:rStyle w:val="affb"/>
          <w:b/>
        </w:rPr>
        <w:t>Уровень убедительности рекомендаций</w:t>
      </w:r>
      <w:r w:rsidRPr="00C32FC4">
        <w:rPr>
          <w:rStyle w:val="affb"/>
          <w:b/>
        </w:rPr>
        <w:softHyphen/>
        <w:t xml:space="preserve"> С</w:t>
      </w:r>
      <w:r w:rsidRPr="00C32FC4">
        <w:t xml:space="preserve"> </w:t>
      </w:r>
      <w:r w:rsidR="00297C27" w:rsidRPr="00C32FC4">
        <w:t xml:space="preserve">(уровень достоверности доказательств – </w:t>
      </w:r>
      <w:r w:rsidR="00C263E5" w:rsidRPr="00C32FC4">
        <w:t>5</w:t>
      </w:r>
      <w:r w:rsidR="00297C27" w:rsidRPr="00C32FC4">
        <w:t>)</w:t>
      </w:r>
    </w:p>
    <w:p w:rsidR="008C2A15" w:rsidRPr="00C32FC4" w:rsidRDefault="008C2A15" w:rsidP="001E1A9A">
      <w:pPr>
        <w:pStyle w:val="aff2"/>
        <w:divId w:val="1767193717"/>
        <w:rPr>
          <w:b w:val="0"/>
          <w:i/>
        </w:rPr>
      </w:pPr>
      <w:r w:rsidRPr="00C32FC4">
        <w:t xml:space="preserve">Комментарии: </w:t>
      </w:r>
      <w:r w:rsidRPr="00C32FC4">
        <w:rPr>
          <w:b w:val="0"/>
          <w:i/>
        </w:rPr>
        <w:t>Следует учитывать и контролировать нежелательные явления, которые могут возникнуть во время терапии гемцитабином, – лейкопения (миелосупрессия обычно имеет легкую или умеренную степень и проявляется главным образом изменением концентрации гранулоцитов), тромбоцитопения, анемия, часто — фебрильная нейтропения, очень редко — тромбоцитоз. Возможно гепатотоксическое действие, проявляющееся повышением активности «печеночных» трансаминаз и щелочной фосфатазы, повышением концентрации билирубина, нечасто – с развитием печеночной недостаточности и смерти. Нежелательные явления со стороны мочеполовой системы очень часто – гематурия, протеинурия легкой степени, часто — острая почечная недостаточность, гемолитический уремический синдром.</w:t>
      </w:r>
    </w:p>
    <w:p w:rsidR="008F478F" w:rsidRPr="00C32FC4" w:rsidRDefault="001A5CB2" w:rsidP="000334CF">
      <w:pPr>
        <w:pStyle w:val="afff8"/>
        <w:divId w:val="1767193717"/>
      </w:pPr>
      <w:r w:rsidRPr="00C32FC4">
        <w:rPr>
          <w:b/>
        </w:rPr>
        <w:t>Рекоменду</w:t>
      </w:r>
      <w:r w:rsidR="008F478F" w:rsidRPr="00C32FC4">
        <w:rPr>
          <w:b/>
        </w:rPr>
        <w:t>е</w:t>
      </w:r>
      <w:r w:rsidRPr="00C32FC4">
        <w:rPr>
          <w:b/>
        </w:rPr>
        <w:t>тся</w:t>
      </w:r>
      <w:r w:rsidRPr="00C32FC4">
        <w:t xml:space="preserve"> </w:t>
      </w:r>
      <w:r w:rsidR="00D01F66" w:rsidRPr="00C32FC4">
        <w:t xml:space="preserve">пациентам 18 лет и старше </w:t>
      </w:r>
      <w:r w:rsidRPr="00C32FC4">
        <w:t xml:space="preserve">при отсутствии или недостаточном эффекте </w:t>
      </w:r>
      <w:r w:rsidRPr="00C32FC4">
        <w:rPr>
          <w:szCs w:val="24"/>
        </w:rPr>
        <w:t xml:space="preserve">после минимум одной линии предшествующей системной </w:t>
      </w:r>
      <w:r w:rsidR="0055709B" w:rsidRPr="00C32FC4">
        <w:rPr>
          <w:szCs w:val="24"/>
        </w:rPr>
        <w:t>терапии</w:t>
      </w:r>
      <w:r w:rsidR="0055709B" w:rsidRPr="00C32FC4">
        <w:t xml:space="preserve"> </w:t>
      </w:r>
      <w:r w:rsidRPr="00C32FC4">
        <w:t xml:space="preserve">и </w:t>
      </w:r>
      <w:r w:rsidR="00011901" w:rsidRPr="00C32FC4">
        <w:t>наличии экспрессии</w:t>
      </w:r>
      <w:r w:rsidRPr="00C32FC4">
        <w:t xml:space="preserve"> CD30 + антигена</w:t>
      </w:r>
      <w:r w:rsidR="008F478F" w:rsidRPr="00C32FC4">
        <w:t>:</w:t>
      </w:r>
    </w:p>
    <w:p w:rsidR="001A5CB2" w:rsidRPr="00C32FC4" w:rsidRDefault="001A5CB2" w:rsidP="00305BCA">
      <w:pPr>
        <w:pStyle w:val="afe"/>
        <w:ind w:left="709" w:firstLine="0"/>
        <w:divId w:val="1767193717"/>
      </w:pPr>
      <w:r w:rsidRPr="00C32FC4">
        <w:t>брентуксимаб ведотин</w:t>
      </w:r>
      <w:r w:rsidR="00805285" w:rsidRPr="00C32FC4">
        <w:t>**</w:t>
      </w:r>
      <w:r w:rsidRPr="00C32FC4">
        <w:t xml:space="preserve"> в дозе 1,8 мг/кг внутривенно каждый 21 день. Лечение проводят в течение 8 циклов, при достижении частичного ответа допускается проведение еще 8 циклов</w:t>
      </w:r>
      <w:r w:rsidR="002719C3">
        <w:t xml:space="preserve"> </w:t>
      </w:r>
      <w:r w:rsidR="002719C3">
        <w:fldChar w:fldCharType="begin" w:fldLock="1"/>
      </w:r>
      <w:r w:rsidR="000F6750">
        <w:instrText>ADDIN CSL_CITATION {"citationItems":[{"id":"ITEM-1","itemData":{"DOI":"10.1200/JCO.2014.60.3969","ISSN":"15277755","PMID":"26195720","abstract":"Purpose: In contrast to Hodgkin lymphoma and systemic anaplastic large-cell lymphoma, CD30 expression of malignant lymphocytes in mycosis fungoides (MF) and Sézary syndrome (SS) is quite variable. Clinical activity and safety of brentuximab vedotin, a CD30 targeting antibody-drug conjugate, was evaluated in MF and SS. Tissue and blood biomarkers of clinical response were explored Patients and Methods: In this phase II study, patients with MF or SS with negligible to 100% CD30 expression levels were treated with brentuximab vedotin (1.8 mg/kg) every 3 weeks for a maximum of sixteen doses. The primary end point was overall global response rate. Secondary end points included correlation of tissue CD30 expression level with clinical response, time to response, duration of response, progression-free and event-free survivals, and safety. Results: Of the 32 patients enrolled and treated, 30 patients had available efficacy evaluations. Objective global response was observed in 21 (70%) of 30 patients (90% CI, 53% to 83%). CD30 expression assessed by immunohistochemistry was highly variable, with a median CD30max of 13% (range, 0% to 100%). Those with &lt;5% CD30 expression had a lower likelihood of global response than did those with 5% or greater CD30 expression (P &lt;.005). CD163 positive tumor-associated macrophages, many of which coexpress CD30, were abundant in tissue. Peripheral neuropathy was the most common adverse event Conclusion: Brentuximab vedotin demonstrated significant clinical activity in treatment-refractory or advanced MF or SS with a wide range of CD30 expression levels. Additional biomarker studies may help optimize rational design of combination therapies with brentuximab vedotin.","author":[{"dropping-particle":"","family":"Kim","given":"Youn H.","non-dropping-particle":"","parse-names":false,"suffix":""},{"dropping-particle":"","family":"Tavallaee","given":"Mahkam","non-dropping-particle":"","parse-names":false,"suffix":""},{"dropping-particle":"","family":"Sundram","given":"Uma","non-dropping-particle":"","parse-names":false,"suffix":""},{"dropping-particle":"","family":"Salva","given":"Katrin A.","non-dropping-particle":"","parse-names":false,"suffix":""},{"dropping-particle":"","family":"Wood","given":"Gary S.","non-dropping-particle":"","parse-names":false,"suffix":""},{"dropping-particle":"","family":"Li","given":"Shufeng","non-dropping-particle":"","parse-names":false,"suffix":""},{"dropping-particle":"","family":"Rozati","given":"Sima","non-dropping-particle":"","parse-names":false,"suffix":""},{"dropping-particle":"","family":"Nagpal","given":"Seema","non-dropping-particle":"","parse-names":false,"suffix":""},{"dropping-particle":"","family":"Krathen","given":"Michael","non-dropping-particle":"","parse-names":false,"suffix":""},{"dropping-particle":"","family":"Reddy","given":"Sunil","non-dropping-particle":"","parse-names":false,"suffix":""},{"dropping-particle":"","family":"Hoppe","given":"Richard T.","non-dropping-particle":"","parse-names":false,"suffix":""},{"dropping-particle":"","family":"Nguyen-Lin","given":"Annie","non-dropping-particle":"","parse-names":false,"suffix":""},{"dropping-particle":"","family":"Weng","given":"Wen Kai","non-dropping-particle":"","parse-names":false,"suffix":""},{"dropping-particle":"","family":"Armstrong","given":"Randall","non-dropping-particle":"","parse-names":false,"suffix":""},{"dropping-particle":"","family":"Pulitzer","given":"Melissa","non-dropping-particle":"","parse-names":false,"suffix":""},{"dropping-particle":"","family":"Advani","given":"Ranjana H.","non-dropping-particle":"","parse-names":false,"suffix":""},{"dropping-particle":"","family":"Horwitz","given":"Steven M.","non-dropping-particle":"","parse-names":false,"suffix":""}],"container-title":"Journal of Clinical Oncology","id":"ITEM-1","issue":"32","issued":{"date-parts":[["2015","11","10"]]},"page":"3750-3758","publisher":"American Society of Clinical Oncology","title":"Phase II investigator-initiated study of brentuximab vedotin in mycosis fungoides and Sézary syndrome with variable CD30 expression level: A multi-institution collaborative project","type":"article-journal","volume":"33"},"uris":["http://www.mendeley.com/documents/?uuid=6d5c3bf5-28a9-3827-bcec-c70d6141ce1c"]}],"mendeley":{"formattedCitation":"[28]","plainTextFormattedCitation":"[28]","previouslyFormattedCitation":"[28]"},"properties":{"noteIndex":0},"schema":"https://github.com/citation-style-language/schema/raw/master/csl-citation.json"}</w:instrText>
      </w:r>
      <w:r w:rsidR="002719C3">
        <w:fldChar w:fldCharType="separate"/>
      </w:r>
      <w:r w:rsidR="002719C3" w:rsidRPr="002719C3">
        <w:rPr>
          <w:noProof/>
        </w:rPr>
        <w:t>[28]</w:t>
      </w:r>
      <w:r w:rsidR="002719C3">
        <w:fldChar w:fldCharType="end"/>
      </w:r>
    </w:p>
    <w:p w:rsidR="001A5CB2" w:rsidRPr="00C32FC4" w:rsidRDefault="00297C27" w:rsidP="001A5CB2">
      <w:pPr>
        <w:ind w:left="709" w:firstLine="0"/>
        <w:divId w:val="1767193717"/>
        <w:rPr>
          <w:b/>
        </w:rPr>
      </w:pPr>
      <w:r w:rsidRPr="00C32FC4">
        <w:rPr>
          <w:rStyle w:val="affb"/>
        </w:rPr>
        <w:t>Уровень убедительности рекомендаций</w:t>
      </w:r>
      <w:r w:rsidRPr="00C32FC4">
        <w:rPr>
          <w:rStyle w:val="affb"/>
        </w:rPr>
        <w:softHyphen/>
        <w:t xml:space="preserve"> С</w:t>
      </w:r>
      <w:r w:rsidR="001A6D3E" w:rsidRPr="00C32FC4">
        <w:rPr>
          <w:rStyle w:val="affb"/>
        </w:rPr>
        <w:t xml:space="preserve"> </w:t>
      </w:r>
      <w:r w:rsidRPr="00C32FC4">
        <w:rPr>
          <w:b/>
        </w:rPr>
        <w:t xml:space="preserve">(уровень достоверности доказательств – </w:t>
      </w:r>
      <w:r w:rsidR="00C263E5" w:rsidRPr="00C32FC4">
        <w:rPr>
          <w:b/>
        </w:rPr>
        <w:t>4</w:t>
      </w:r>
      <w:r w:rsidRPr="00C32FC4">
        <w:rPr>
          <w:b/>
        </w:rPr>
        <w:t>)</w:t>
      </w:r>
    </w:p>
    <w:p w:rsidR="001A5CB2" w:rsidRPr="00C32FC4" w:rsidRDefault="001A5CB2" w:rsidP="001A5CB2">
      <w:pPr>
        <w:ind w:left="709" w:firstLine="0"/>
        <w:divId w:val="1767193717"/>
        <w:rPr>
          <w:rStyle w:val="affb"/>
        </w:rPr>
      </w:pPr>
      <w:r w:rsidRPr="00C32FC4">
        <w:rPr>
          <w:b/>
          <w:szCs w:val="24"/>
        </w:rPr>
        <w:t>Комментарии:</w:t>
      </w:r>
      <w:r w:rsidR="00EE06C4" w:rsidRPr="00C32FC4">
        <w:rPr>
          <w:b/>
        </w:rPr>
        <w:t xml:space="preserve"> </w:t>
      </w:r>
      <w:r w:rsidRPr="00C32FC4">
        <w:rPr>
          <w:i/>
          <w:szCs w:val="24"/>
        </w:rPr>
        <w:t>При появлении побочных эффектов (наиболее часто – периферическая полинейропатия) допустимо снижение дозы до 1,2 мг/кг и увеличение интервала между циклами.</w:t>
      </w:r>
      <w:r w:rsidR="0023617B" w:rsidRPr="00C32FC4">
        <w:rPr>
          <w:i/>
        </w:rPr>
        <w:t xml:space="preserve"> </w:t>
      </w:r>
      <w:r w:rsidR="0023617B" w:rsidRPr="00C32FC4">
        <w:rPr>
          <w:i/>
          <w:szCs w:val="24"/>
        </w:rPr>
        <w:t>При лечении брентуксимабом ведотином может развиться анемия, тромбоцитопения и тяжелая пролонгированная (≥1 недели) нейтропения, и это может увеличить риск тяжелых инфекций. Были зарегистрированы случаи повышения уровней аланинаминотрансферазы и аспартатаминотрансферазы. Гипергликемия была зарегистрирована в клинических исследованиях у пациентов с увеличенным индексом массы тела, как с наличием, так и с отсутствием сахарного диабета в анамнезе.</w:t>
      </w:r>
    </w:p>
    <w:p w:rsidR="004E1288" w:rsidRPr="00C32FC4" w:rsidRDefault="004E1288" w:rsidP="00B104EF">
      <w:pPr>
        <w:pStyle w:val="2"/>
        <w:divId w:val="1767193717"/>
        <w:rPr>
          <w:rFonts w:eastAsia="Times New Roman"/>
        </w:rPr>
      </w:pPr>
      <w:bookmarkStart w:id="52" w:name="_Toc67302912"/>
      <w:r w:rsidRPr="00C32FC4">
        <w:rPr>
          <w:rFonts w:eastAsia="Times New Roman"/>
        </w:rPr>
        <w:lastRenderedPageBreak/>
        <w:t>3.</w:t>
      </w:r>
      <w:r w:rsidR="00C66DBC" w:rsidRPr="00C32FC4">
        <w:rPr>
          <w:rFonts w:eastAsia="Times New Roman"/>
        </w:rPr>
        <w:t>2</w:t>
      </w:r>
      <w:r w:rsidR="006D569C" w:rsidRPr="002719C3">
        <w:rPr>
          <w:rFonts w:eastAsia="Times New Roman"/>
        </w:rPr>
        <w:t xml:space="preserve"> </w:t>
      </w:r>
      <w:r w:rsidR="00C66DBC" w:rsidRPr="00C32FC4">
        <w:rPr>
          <w:rFonts w:eastAsia="Times New Roman"/>
        </w:rPr>
        <w:t>Хирургическое лечение</w:t>
      </w:r>
      <w:bookmarkEnd w:id="52"/>
    </w:p>
    <w:p w:rsidR="006425FF" w:rsidRPr="00C32FC4" w:rsidRDefault="00C66DBC" w:rsidP="00507B01">
      <w:pPr>
        <w:pStyle w:val="10"/>
        <w:ind w:hanging="709"/>
        <w:divId w:val="1767193717"/>
        <w:rPr>
          <w:b/>
        </w:rPr>
      </w:pPr>
      <w:r w:rsidRPr="00C32FC4">
        <w:rPr>
          <w:b/>
          <w:szCs w:val="24"/>
        </w:rPr>
        <w:t>Рекомендуется</w:t>
      </w:r>
      <w:r w:rsidR="001A6D3E" w:rsidRPr="00C32FC4">
        <w:rPr>
          <w:b/>
        </w:rPr>
        <w:t xml:space="preserve"> </w:t>
      </w:r>
      <w:r w:rsidR="00CE03FB" w:rsidRPr="00C32FC4">
        <w:rPr>
          <w:szCs w:val="24"/>
        </w:rPr>
        <w:t xml:space="preserve">аллогенная трансплантация костного мозга </w:t>
      </w:r>
      <w:r w:rsidRPr="00C32FC4">
        <w:rPr>
          <w:szCs w:val="24"/>
        </w:rPr>
        <w:t>при агрессивном течении синдрома Сезари и при отсутствии эффекта от стандартных режимов терапии</w:t>
      </w:r>
      <w:r w:rsidR="00B95FD1">
        <w:rPr>
          <w:szCs w:val="24"/>
        </w:rPr>
        <w:t xml:space="preserve"> </w:t>
      </w:r>
      <w:r w:rsidR="000F6750">
        <w:rPr>
          <w:szCs w:val="24"/>
        </w:rPr>
        <w:fldChar w:fldCharType="begin" w:fldLock="1"/>
      </w:r>
      <w:r w:rsidR="00416F8F">
        <w:rPr>
          <w:szCs w:val="24"/>
        </w:rPr>
        <w:instrText>ADDIN CSL_CITATION {"citationItems":[{"id":"ITEM-1","itemData":{"DOI":"10.1002/hon.2162","ISSN":"10991069","PMID":"25312300","abstract":"Advanced-stage mycosis fungoides and Sezary syndrome (MF/SS) have a poor prognosis. Allogeneic hematopoietic stem cell transplantation (HSCT), particularly using a reduced-intensity conditioning (RIC) regimen, is a promising treatment for advanced-stage MF/SS. We performed RIC-HSCT in nine patients with advanced MF/SS. With a median follow-up period of 954days after HSCT, the estimated 3-year overall survival was 85.7% (95% confidence interval, 33.4-97.9%) with no non-relapse mortality. Five patients relapsed after RIC-HSCT; however, in four patients whose relapse was detected only from the skin, persistent complete response was achieved in one patient, and the disease was manageable in other three patients by the tapering of immunosuppressants and donor lymphocyte infusion, suggesting that graft-versus-lymphoma effect and 'down-staging' effect from advanced stage to early stage by HSCT improve the prognosis of advanced-stage MF/SS. These results suggest that RIC-HSCT is an effective treatment for advanced MF/SS.","author":[{"dropping-particle":"","family":"Shiratori","given":"Souichi","non-dropping-particle":"","parse-names":false,"suffix":""},{"dropping-particle":"","family":"Fujimoto","given":"Katsuya","non-dropping-particle":"","parse-names":false,"suffix":""},{"dropping-particle":"","family":"Nishimura","given":"Machiko","non-dropping-particle":"","parse-names":false,"suffix":""},{"dropping-particle":"","family":"Hatanaka","given":"Kanako C.","non-dropping-particle":"","parse-names":false,"suffix":""},{"dropping-particle":"","family":"Kosugi-Kanaya","given":"Mizuha","non-dropping-particle":"","parse-names":false,"suffix":""},{"dropping-particle":"","family":"Okada","given":"Kohei","non-dropping-particle":"","parse-names":false,"suffix":""},{"dropping-particle":"","family":"Sugita","given":"Junichi","non-dropping-particle":"","parse-names":false,"suffix":""},{"dropping-particle":"","family":"Shigematsu","given":"Akio","non-dropping-particle":"","parse-names":false,"suffix":""},{"dropping-particle":"","family":"Hashimoto","given":"Daigo","non-dropping-particle":"","parse-names":false,"suffix":""},{"dropping-particle":"","family":"Endo","given":"Tomoyuki","non-dropping-particle":"","parse-names":false,"suffix":""},{"dropping-particle":"","family":"Kondo","given":"Takeshi","non-dropping-particle":"","parse-names":false,"suffix":""},{"dropping-particle":"","family":"Abe","given":"Riichiro","non-dropping-particle":"","parse-names":false,"suffix":""},{"dropping-particle":"","family":"Hashino","given":"Satoshi","non-dropping-particle":"","parse-names":false,"suffix":""},{"dropping-particle":"","family":"Matsuno","given":"Yoshihiro","non-dropping-particle":"","parse-names":false,"suffix":""},{"dropping-particle":"","family":"Shimizu","given":"Hiroshi","non-dropping-particle":"","parse-names":false,"suffix":""},{"dropping-particle":"","family":"Teshima","given":"Takanori","non-dropping-particle":"","parse-names":false,"suffix":""}],"container-title":"Hematological Oncology","id":"ITEM-1","issue":"1","issued":{"date-parts":[["2016","3","1"]]},"page":"9-16","publisher":"John Wiley and Sons Ltd","title":"Allogeneic hematopoietic stem cell transplantation following reduced-intensity conditioning for mycosis fungoides and Sezary syndrome","type":"article-journal","volume":"34"},"uris":["http://www.mendeley.com/documents/?uuid=ecc76013-5bcc-37ea-8e8a-029fd65dddce"]},{"id":"ITEM-2","itemData":{"DOI":"10.1016/j.bbmt.2009.04.017","ISSN":"10838791","PMID":"19589488","abstract":"The survival outlook in advanced mycosis fungoides (MF) is poor. Autologous and allogeneic stem cell transplants (SCT) have been shown, in small case series and case reports, to have the potential for long-term remission or to alter disease course. Allogeneic SCT is thought to have a curative potential secondary to a graft-versus-lymphoma (GVL) effect. A patient-level meta-analysis was performed to compare the outcome of allogeneic versus autologous SCT in patients with MF/Sézary syndrome (SS) using 39 cases from the literature. There were a total of 20 allogeneic and 19 autologous transplant cases. The gender, age, and stage distribution was similar between the transplant groups. The allogeneic group received significantly more systemic therapies prior to transplant (P &lt; .0005) and had longer follow-up after transplant. Overall survival (OS) results showed a more favorable outcome of patients who received allogeneic SCT (P = .027). Event-free survival (EFS) demonstrated a more durable response in patients who received allogeneic SCT (P = .002). In the allogeneic group, the majority (70%) of patients experienced persistent graft-versus-host disease (GVHD), mostly with mild to moderate severity, and 2 of 4 deaths were related to GVHD. Meanwhile, the majority of the deaths (8 of 10) in the autologous group were because of progressive disease. These results support the belief that allogeneic SCT offers a better survival and disease-free outcome versus autologous SCT in MF/SS, likely because of a GVL effect. © 2009 American Society for Blood and Marrow Transplantation.","author":[{"dropping-particle":"","family":"Wu","given":"Peggy A.","non-dropping-particle":"","parse-names":false,"suffix":""},{"dropping-particle":"","family":"Kim","given":"Youn H.","non-dropping-particle":"","parse-names":false,"suffix":""},{"dropping-particle":"","family":"Lavori","given":"Phillip W.","non-dropping-particle":"","parse-names":false,"suffix":""},{"dropping-particle":"","family":"Hoppe","given":"Richard T.","non-dropping-particle":"","parse-names":false,"suffix":""},{"dropping-particle":"","family":"Stockerl-Goldstein","given":"Keith E.","non-dropping-particle":"","parse-names":false,"suffix":""}],"container-title":"Biology of Blood and Marrow Transplantation","id":"ITEM-2","issue":"8","issued":{"date-parts":[["2009","8"]]},"page":"982-990","publisher":"Biol Blood Marrow Transplant","title":"A Meta-analysis of Patients Receiving Allogeneic or Autologous Hematopoietic Stem Cell Transplant in Mycosis Fungoides and Sézary Syndrome","type":"article-journal","volume":"15"},"uris":["http://www.mendeley.com/documents/?uuid=13138dd9-6784-3f37-811b-82a9e7cbf6fc"]},{"id":"ITEM-3","itemData":{"DOI":"10.1016/j.det.2015.05.014","ISSN":"15580520","PMID":"26433851","author":[{"dropping-particle":"","family":"Virmani","given":"Pooja","non-dropping-particle":"","parse-names":false,"suffix":""},{"dropping-particle":"","family":"Zain","given":"Jasmine","non-dropping-particle":"","parse-names":false,"suffix":""},{"dropping-particle":"","family":"Rosen","given":"Steven T.","non-dropping-particle":"","parse-names":false,"suffix":""},{"dropping-particle":"","family":"Myskowski","given":"Patricia L.","non-dropping-particle":"","parse-names":false,"suffix":""},{"dropping-particle":"","family":"Querfeld","given":"Christiane","non-dropping-particle":"","parse-names":false,"suffix":""}],"container-title":"Dermatologic Clinics","id":"ITEM-3","issue":"4","issued":{"date-parts":[["2015","10","1"]]},"page":"807-818","publisher":"W.B. Saunders","title":"Hematopoietic Stem Cell Transplant for Mycosis Fungoides and Sézary Syndrome","type":"article","volume":"33"},"uris":["http://www.mendeley.com/documents/?uuid=7846a9c5-1e2b-3f34-95f5-f75b731f2f6a"]},{"id":"ITEM-4","itemData":{"DOI":"10.1038/bmt.2014.161","ISSN":"14765365","PMID":"25068422","abstract":"We describe outcomes after allogeneic hematopoietic cell transplantation (HCT) for mycosis fungoides and Sezary syndrome (MF/SS). Outcomes of 129 subjects with MF/SS reported to the Center for the International Blood and Marrow Transplant from 2000-2009. Median time from diagnosis to transplant was 30 (4-206) months and most subjects were with multiply relapsed/ refractory disease. The majority (64%) received non-myeloablative conditioning (NST) or reduced intensity conditioning (RIC). NST/RIC recipients were older in age compared with myeloablative recipients (median age 51 vs 44 years, P=0.005) and transplanted in recent years. Non-relapse mortality (NRM) at 1 and 5 years was 19% (95% confidence interval (CI) 12-27%) and 22% (95% CI 15-31%), respectively. Risk of disease progression was 50% (95% CI 41-60%) at 1 year and 61% (95% CI 50-71%) at 5 years. PFS at 1 and 5 years was 31% (95% CI 22-40%) and 17% (95% CI 9-26%), respectively. OS at 1 and 5 years was 54% (95% CI 45-63%) and 32% (95% CI 22-44%), respectively. Allogeneic HCT in MF/SS results in 5-year survival in approximately one-third of patients and of those, half remain disease-free.","author":[{"dropping-particle":"","family":"Lechowicz","given":"M. J.","non-dropping-particle":"","parse-names":false,"suffix":""},{"dropping-particle":"","family":"Lazarus","given":"H. M.","non-dropping-particle":"","parse-names":false,"suffix":""},{"dropping-particle":"","family":"Carreras","given":"J.","non-dropping-particle":"","parse-names":false,"suffix":""},{"dropping-particle":"","family":"Laport","given":"G. G.","non-dropping-particle":"","parse-names":false,"suffix":""},{"dropping-particle":"","family":"Cutler","given":"C. S.","non-dropping-particle":"","parse-names":false,"suffix":""},{"dropping-particle":"","family":"Wiernik","given":"P. H.","non-dropping-particle":"","parse-names":false,"suffix":""},{"dropping-particle":"","family":"Hale","given":"G. A.","non-dropping-particle":"","parse-names":false,"suffix":""},{"dropping-particle":"","family":"Maharaj","given":"D.","non-dropping-particle":"","parse-names":false,"suffix":""},{"dropping-particle":"","family":"Gale","given":"R. P.","non-dropping-particle":"","parse-names":false,"suffix":""},{"dropping-particle":"","family":"Rowlings","given":"P. A.","non-dropping-particle":"","parse-names":false,"suffix":""},{"dropping-particle":"","family":"Freytes","given":"C. O.","non-dropping-particle":"","parse-names":false,"suffix":""},{"dropping-particle":"","family":"Miller","given":"A. M.","non-dropping-particle":"","parse-names":false,"suffix":""},{"dropping-particle":"","family":"Vose","given":"J. M.","non-dropping-particle":"","parse-names":false,"suffix":""},{"dropping-particle":"","family":"Maziarz","given":"R. T.","non-dropping-particle":"","parse-names":false,"suffix":""},{"dropping-particle":"","family":"Montoto","given":"S.","non-dropping-particle":"","parse-names":false,"suffix":""},{"dropping-particle":"","family":"Maloney","given":"D. G.","non-dropping-particle":"","parse-names":false,"suffix":""},{"dropping-particle":"","family":"Hari","given":"P. N.","non-dropping-particle":"","parse-names":false,"suffix":""}],"container-title":"Bone Marrow Transplantation","id":"ITEM-4","issue":"11","issued":{"date-parts":[["2014","11","13"]]},"page":"1360-1365","publisher":"Nature Publishing Group","title":"Allogeneic hematopoietic cell transplantation for mycosis fungoides and Sezary syndrome","type":"article-journal","volume":"49"},"uris":["http://www.mendeley.com/documents/?uuid=9be07eb5-9f08-30ce-a839-b7813d12325f"]}],"mendeley":{"formattedCitation":"[44–47]","plainTextFormattedCitation":"[44–47]","previouslyFormattedCitation":"[44–47]"},"properties":{"noteIndex":0},"schema":"https://github.com/citation-style-language/schema/raw/master/csl-citation.json"}</w:instrText>
      </w:r>
      <w:r w:rsidR="000F6750">
        <w:rPr>
          <w:szCs w:val="24"/>
        </w:rPr>
        <w:fldChar w:fldCharType="separate"/>
      </w:r>
      <w:r w:rsidR="00DC1576" w:rsidRPr="00DC1576">
        <w:rPr>
          <w:noProof/>
          <w:szCs w:val="24"/>
        </w:rPr>
        <w:t>[44–47]</w:t>
      </w:r>
      <w:r w:rsidR="000F6750">
        <w:rPr>
          <w:szCs w:val="24"/>
        </w:rPr>
        <w:fldChar w:fldCharType="end"/>
      </w:r>
      <w:r w:rsidRPr="00C32FC4">
        <w:rPr>
          <w:szCs w:val="24"/>
        </w:rPr>
        <w:t>.</w:t>
      </w:r>
    </w:p>
    <w:p w:rsidR="006425FF" w:rsidRPr="00C32FC4" w:rsidRDefault="00297C27" w:rsidP="006425FF">
      <w:pPr>
        <w:pStyle w:val="aff2"/>
        <w:divId w:val="1767193717"/>
      </w:pPr>
      <w:r w:rsidRPr="00C32FC4">
        <w:t xml:space="preserve">Уровень убедительности рекомендаций С (уровень достоверности доказательств – </w:t>
      </w:r>
      <w:r w:rsidR="00507B01" w:rsidRPr="00C32FC4">
        <w:t>4</w:t>
      </w:r>
      <w:r w:rsidRPr="00C32FC4">
        <w:t>)</w:t>
      </w:r>
    </w:p>
    <w:p w:rsidR="006425FF" w:rsidRPr="00C32FC4" w:rsidRDefault="006425FF" w:rsidP="006425FF">
      <w:pPr>
        <w:pStyle w:val="aff2"/>
        <w:divId w:val="1767193717"/>
      </w:pPr>
      <w:r w:rsidRPr="00C32FC4">
        <w:t xml:space="preserve">Комментарии: </w:t>
      </w:r>
      <w:r w:rsidR="00C66DBC" w:rsidRPr="00C32FC4">
        <w:rPr>
          <w:b w:val="0"/>
          <w:i/>
        </w:rPr>
        <w:t>Использование</w:t>
      </w:r>
      <w:r w:rsidR="00EE06C4" w:rsidRPr="00C32FC4">
        <w:rPr>
          <w:b w:val="0"/>
          <w:i/>
        </w:rPr>
        <w:t xml:space="preserve"> </w:t>
      </w:r>
      <w:r w:rsidR="00C66DBC" w:rsidRPr="00C32FC4">
        <w:rPr>
          <w:b w:val="0"/>
          <w:i/>
        </w:rPr>
        <w:t>аллогенной трансплантации костного мозга не проводится пациентам пожилого возраста.</w:t>
      </w:r>
    </w:p>
    <w:p w:rsidR="004E1288" w:rsidRPr="00C32FC4" w:rsidRDefault="004E1288" w:rsidP="006425FF">
      <w:pPr>
        <w:pStyle w:val="2"/>
        <w:divId w:val="1767193717"/>
      </w:pPr>
      <w:bookmarkStart w:id="53" w:name="_Toc34301090"/>
      <w:bookmarkStart w:id="54" w:name="_Toc67302913"/>
      <w:r w:rsidRPr="00C32FC4">
        <w:t>3.</w:t>
      </w:r>
      <w:r w:rsidR="00C66DBC" w:rsidRPr="00C32FC4">
        <w:t>3</w:t>
      </w:r>
      <w:r w:rsidRPr="00C32FC4">
        <w:t xml:space="preserve"> Иное лечение</w:t>
      </w:r>
      <w:bookmarkEnd w:id="53"/>
      <w:bookmarkEnd w:id="54"/>
    </w:p>
    <w:p w:rsidR="00C46BCF" w:rsidRPr="00C32FC4" w:rsidRDefault="00C46BCF" w:rsidP="007F7E90">
      <w:pPr>
        <w:pStyle w:val="afff8"/>
        <w:divId w:val="1767193717"/>
      </w:pPr>
      <w:r w:rsidRPr="00C32FC4">
        <w:t>Рекомендуются пациентам с жалобами на зуд для уменьшения интенсивности зуда антигистаминные средства системного действия</w:t>
      </w:r>
      <w:r w:rsidR="00072376">
        <w:t xml:space="preserve"> </w:t>
      </w:r>
      <w:r w:rsidR="00416F8F">
        <w:fldChar w:fldCharType="begin" w:fldLock="1"/>
      </w:r>
      <w:r w:rsidR="00835D5F">
        <w:instrText>ADDIN CSL_CITATION {"citationItems":[{"id":"ITEM-1","itemData":{"DOI":"10.1016/j.det.2018.02.011","ISSN":"15580520","PMID":"29929596","abstract":"Pruritus is a common symptom in cutaneous T-cell lymphoma (CTCL) and critically affects the quality of life of patients. Understanding the pruritogenesis has led to development of new therapeutic agents with promising outcomes in management of this recalcitrant symptom. Clinical assessments are warranted to aid in evaluation of treatment response or disease recurrence. Severe pruritus scores may require further investigation of emotional distress for a better patient approach. Dermatologists play a key role in the treatment of CTCL-pruritus by guiding the patient in the importance of preserving the integrity of the skin barrier.","author":[{"dropping-particle":"","family":"Serrano","given":"Linda","non-dropping-particle":"","parse-names":false,"suffix":""},{"dropping-particle":"","family":"Martinez-Escala","given":"Maria Estela","non-dropping-particle":"","parse-names":false,"suffix":""},{"dropping-particle":"","family":"Zhou","given":"Xiaolong A.","non-dropping-particle":"","parse-names":false,"suffix":""},{"dropping-particle":"","family":"Guitart","given":"Joan","non-dropping-particle":"","parse-names":false,"suffix":""}],"container-title":"Dermatologic Clinics","id":"ITEM-1","issue":"3","issued":{"date-parts":[["2018","7","1"]]},"page":"245-258","publisher":"W.B. Saunders","title":"Pruritus in Cutaneous T-Cell Lymphoma and Its Management","type":"article","volume":"36"},"uris":["http://www.mendeley.com/documents/?uuid=c311458a-6a47-3efd-b372-42ea20898cca"]},{"id":"ITEM-2","itemData":{"DOI":"10.2340/00015555-3164","ISSN":"16512057","PMID":"30931482","abstract":"Pruritus is a frequent symptom in medicine. Population-based studies show that every 5th person in the general population has suffered from chronic pruritus at least once in the lifetime with a 12-month incidence of 7%. In patient populations its frequency is much higher depending on the underlying cause, ranging from around 25% in haemodialysis patients to 100% in skin diseases such as urticaria and atopic dermatitis (AD). Pruritus may be the result of a dermatological or non-dermatological disease. Especially in non-diseased skin it may be caused by systemic, neurological or psychiatric diseases, as well as being a side effect of medications. In a number of cases chronic pruritus may be of multifactorial origin. Pruritus needs a precise diagnostic work-up. Management of chronic pruritus comprises treatment of the underlying disease and topical treatment modalities, including symptomatic antipruritic treatment, ultraviolet phototherapy and systemic treatment. Treating chronic pruritus needs to be targeted, multimodal and performed in a step-wise procedure requiring an interdisciplinary approach. We present the updated and consensus based (S2k) European guideline on chronic pruritus by a team of European pruritus experts from different disciplines. This version is an updated version of the guideline that was published in 2012 and updated in 2014 (www.euroderm.org).","author":[{"dropping-particle":"","family":"Weisshaar","given":"Elke","non-dropping-particle":"","parse-names":false,"suffix":""},{"dropping-particle":"","family":"Szepietowski","given":"Jacek C.","non-dropping-particle":"","parse-names":false,"suffix":""},{"dropping-particle":"","family":"Dalgard","given":"Florence J.","non-dropping-particle":"","parse-names":false,"suffix":""},{"dropping-particle":"","family":"Garcovich","given":"Simone","non-dropping-particle":"","parse-names":false,"suffix":""},{"dropping-particle":"","family":"Gieler","given":"Uwe","non-dropping-particle":"","parse-names":false,"suffix":""},{"dropping-particle":"","family":"Giménez-Arnau","given":"Ana M.","non-dropping-particle":"","parse-names":false,"suffix":""},{"dropping-particle":"","family":"Lambert","given":"Julien","non-dropping-particle":"","parse-names":false,"suffix":""},{"dropping-particle":"","family":"Leslie","given":"Tabi","non-dropping-particle":"","parse-names":false,"suffix":""},{"dropping-particle":"","family":"Mettang","given":"Thomas","non-dropping-particle":"","parse-names":false,"suffix":""},{"dropping-particle":"","family":"Misery","given":"Laurent","non-dropping-particle":"","parse-names":false,"suffix":""},{"dropping-particle":"","family":"Şavk","given":"Ekin","non-dropping-particle":"","parse-names":false,"suffix":""},{"dropping-particle":"","family":"Streit","given":"Markus","non-dropping-particle":"","parse-names":false,"suffix":""},{"dropping-particle":"","family":"Tschachler","given":"Erwin","non-dropping-particle":"","parse-names":false,"suffix":""},{"dropping-particle":"","family":"Wallengren","given":"Joanna","non-dropping-particle":"","parse-names":false,"suffix":""},{"dropping-particle":"","family":"Ständer","given":"Sonja","non-dropping-particle":"","parse-names":false,"suffix":""}],"container-title":"Acta dermato-venereologica","id":"ITEM-2","issue":"5","issued":{"date-parts":[["2019","4","1"]]},"page":"469-506","publisher":"NLM (Medline)","title":"European S2k Guideline on Chronic Pruritus","type":"article-journal","volume":"99"},"uris":["http://www.mendeley.com/documents/?uuid=c22bda22-e03a-3785-812d-aafd47dd4902"]}],"mendeley":{"formattedCitation":"[48,49]","plainTextFormattedCitation":"[48,49]","previouslyFormattedCitation":"[48,49]"},"properties":{"noteIndex":0},"schema":"https://github.com/citation-style-language/schema/raw/master/csl-citation.json"}</w:instrText>
      </w:r>
      <w:r w:rsidR="00416F8F">
        <w:fldChar w:fldCharType="separate"/>
      </w:r>
      <w:r w:rsidR="00513BFE" w:rsidRPr="00513BFE">
        <w:rPr>
          <w:noProof/>
        </w:rPr>
        <w:t>[48,49]</w:t>
      </w:r>
      <w:r w:rsidR="00416F8F">
        <w:fldChar w:fldCharType="end"/>
      </w:r>
      <w:r w:rsidR="00D01F66" w:rsidRPr="00C32FC4">
        <w:t>.</w:t>
      </w:r>
    </w:p>
    <w:p w:rsidR="00C46BCF" w:rsidRPr="00C32FC4" w:rsidRDefault="00DE7BBA" w:rsidP="00C46BCF">
      <w:pPr>
        <w:pStyle w:val="10"/>
        <w:numPr>
          <w:ilvl w:val="0"/>
          <w:numId w:val="0"/>
        </w:numPr>
        <w:spacing w:before="0"/>
        <w:ind w:left="709"/>
        <w:divId w:val="1767193717"/>
        <w:rPr>
          <w:b/>
        </w:rPr>
      </w:pPr>
      <w:r w:rsidRPr="00C32FC4">
        <w:rPr>
          <w:b/>
        </w:rPr>
        <w:t xml:space="preserve">Уровень убедительности рекомендаций </w:t>
      </w:r>
      <w:r w:rsidRPr="00C32FC4">
        <w:rPr>
          <w:b/>
          <w:lang w:val="en-US"/>
        </w:rPr>
        <w:t>C</w:t>
      </w:r>
      <w:r w:rsidRPr="00C32FC4">
        <w:rPr>
          <w:b/>
        </w:rPr>
        <w:t xml:space="preserve"> (уровень достоверности доказательств – 5)</w:t>
      </w:r>
    </w:p>
    <w:p w:rsidR="00376C46" w:rsidRPr="00C32FC4" w:rsidRDefault="00376C46" w:rsidP="00C46BCF">
      <w:pPr>
        <w:pStyle w:val="10"/>
        <w:numPr>
          <w:ilvl w:val="0"/>
          <w:numId w:val="0"/>
        </w:numPr>
        <w:spacing w:before="0"/>
        <w:ind w:left="709"/>
        <w:divId w:val="1767193717"/>
        <w:rPr>
          <w:b/>
        </w:rPr>
      </w:pPr>
      <w:r w:rsidRPr="00C32FC4">
        <w:rPr>
          <w:b/>
        </w:rPr>
        <w:t xml:space="preserve">Комментарии: </w:t>
      </w:r>
      <w:r w:rsidRPr="00C32FC4">
        <w:rPr>
          <w:i/>
        </w:rPr>
        <w:t xml:space="preserve">При интенсивном зуде предпочтительным является парентеральное введение </w:t>
      </w:r>
      <w:r w:rsidRPr="00C32FC4">
        <w:rPr>
          <w:i/>
          <w:szCs w:val="24"/>
        </w:rPr>
        <w:t>антигистаминных средств системного действия</w:t>
      </w:r>
      <w:r w:rsidR="000E54DB" w:rsidRPr="00C32FC4">
        <w:rPr>
          <w:i/>
        </w:rPr>
        <w:t>, согласно инструкции</w:t>
      </w:r>
    </w:p>
    <w:p w:rsidR="00703176" w:rsidRPr="00C32FC4" w:rsidRDefault="00C46BCF" w:rsidP="004F39BB">
      <w:pPr>
        <w:pStyle w:val="10"/>
        <w:numPr>
          <w:ilvl w:val="0"/>
          <w:numId w:val="10"/>
        </w:numPr>
        <w:spacing w:before="0"/>
        <w:ind w:left="709" w:hanging="709"/>
        <w:divId w:val="1767193717"/>
      </w:pPr>
      <w:r w:rsidRPr="00C32FC4">
        <w:rPr>
          <w:b/>
        </w:rPr>
        <w:t xml:space="preserve">Рекомендуются </w:t>
      </w:r>
      <w:r w:rsidRPr="00C32FC4">
        <w:t>пациентам с жалобами на боли анальгетики</w:t>
      </w:r>
      <w:r w:rsidR="00703176" w:rsidRPr="00C32FC4">
        <w:t xml:space="preserve"> или нестероидные противовоспалительные и противоревматические препараты</w:t>
      </w:r>
      <w:r w:rsidR="00835D5F">
        <w:t xml:space="preserve"> </w:t>
      </w:r>
      <w:r w:rsidR="00835D5F">
        <w:fldChar w:fldCharType="begin" w:fldLock="1"/>
      </w:r>
      <w:r w:rsidR="00FF08FA">
        <w:instrText>ADDIN CSL_CITATION {"citationItems":[{"id":"ITEM-1","itemData":{"author":[{"dropping-particle":"","family":"Левченко","given":"О.К.","non-dropping-particle":"","parse-names":false,"suffix":""}],"container-title":"Российский журнал боли","id":"ITEM-1","issue":"1","issued":{"date-parts":[["2019"]]},"page":"47-50","title":"Опыт оказания противоболевой помощи в гематологическом стационаре","type":"article-journal","volume":"17"},"uris":["http://www.mendeley.com/documents/?uuid=84e94833-3237-4175-80a0-344f2e209124"]}],"mendeley":{"formattedCitation":"[50]","plainTextFormattedCitation":"[50]","previouslyFormattedCitation":"[50]"},"properties":{"noteIndex":0},"schema":"https://github.com/citation-style-language/schema/raw/master/csl-citation.json"}</w:instrText>
      </w:r>
      <w:r w:rsidR="00835D5F">
        <w:fldChar w:fldCharType="separate"/>
      </w:r>
      <w:r w:rsidR="00835D5F" w:rsidRPr="00835D5F">
        <w:rPr>
          <w:noProof/>
        </w:rPr>
        <w:t>[50]</w:t>
      </w:r>
      <w:r w:rsidR="00835D5F">
        <w:fldChar w:fldCharType="end"/>
      </w:r>
      <w:r w:rsidR="00703176" w:rsidRPr="00C32FC4">
        <w:t>:</w:t>
      </w:r>
    </w:p>
    <w:p w:rsidR="00C46BCF" w:rsidRPr="00251DF4" w:rsidRDefault="00703176" w:rsidP="00C46BCF">
      <w:pPr>
        <w:pStyle w:val="10"/>
        <w:numPr>
          <w:ilvl w:val="0"/>
          <w:numId w:val="0"/>
        </w:numPr>
        <w:spacing w:before="0"/>
        <w:ind w:left="709"/>
        <w:divId w:val="1767193717"/>
      </w:pPr>
      <w:r>
        <w:t>п</w:t>
      </w:r>
      <w:r w:rsidR="00C46BCF" w:rsidRPr="00C46BCF">
        <w:t>арацетамол</w:t>
      </w:r>
      <w:r w:rsidR="00C46BCF">
        <w:t xml:space="preserve"> перорально детям в возрасте</w:t>
      </w:r>
      <w:r w:rsidR="000E54DB">
        <w:t xml:space="preserve"> от</w:t>
      </w:r>
      <w:r w:rsidR="00C46BCF">
        <w:t xml:space="preserve"> 12 лет и взрослым 500–1000 мг 2–4 раза в сутки</w:t>
      </w:r>
      <w:r w:rsidR="00835D5F">
        <w:t xml:space="preserve"> </w:t>
      </w:r>
      <w:r w:rsidR="00835D5F">
        <w:fldChar w:fldCharType="begin" w:fldLock="1"/>
      </w:r>
      <w:r w:rsidR="00FF08FA">
        <w:instrText>ADDIN CSL_CITATION {"citationItems":[{"id":"ITEM-1","itemData":{"author":[{"dropping-particle":"","family":"Левченко","given":"О.К.","non-dropping-particle":"","parse-names":false,"suffix":""}],"container-title":"Российский журнал боли","id":"ITEM-1","issue":"1","issued":{"date-parts":[["2019"]]},"page":"47-50","title":"Опыт оказания противоболевой помощи в гематологическом стационаре","type":"article-journal","volume":"17"},"uris":["http://www.mendeley.com/documents/?uuid=84e94833-3237-4175-80a0-344f2e209124"]}],"mendeley":{"formattedCitation":"[50]","plainTextFormattedCitation":"[50]","previouslyFormattedCitation":"[50]"},"properties":{"noteIndex":0},"schema":"https://github.com/citation-style-language/schema/raw/master/csl-citation.json"}</w:instrText>
      </w:r>
      <w:r w:rsidR="00835D5F">
        <w:fldChar w:fldCharType="separate"/>
      </w:r>
      <w:r w:rsidR="00835D5F" w:rsidRPr="00835D5F">
        <w:rPr>
          <w:noProof/>
        </w:rPr>
        <w:t>[50]</w:t>
      </w:r>
      <w:r w:rsidR="00835D5F">
        <w:fldChar w:fldCharType="end"/>
      </w:r>
    </w:p>
    <w:p w:rsidR="00703176" w:rsidRDefault="00703176" w:rsidP="00C46BCF">
      <w:pPr>
        <w:pStyle w:val="10"/>
        <w:numPr>
          <w:ilvl w:val="0"/>
          <w:numId w:val="0"/>
        </w:numPr>
        <w:spacing w:before="0"/>
        <w:ind w:left="709"/>
        <w:divId w:val="1767193717"/>
      </w:pPr>
      <w:r w:rsidRPr="00E90536">
        <w:rPr>
          <w:rStyle w:val="affb"/>
        </w:rPr>
        <w:t>Уровень убедительности рекомендаций</w:t>
      </w:r>
      <w:r w:rsidRPr="00EE06C4">
        <w:rPr>
          <w:rStyle w:val="affb"/>
        </w:rPr>
        <w:t xml:space="preserve"> </w:t>
      </w:r>
      <w:r w:rsidRPr="00E90536">
        <w:rPr>
          <w:rStyle w:val="affb"/>
        </w:rPr>
        <w:softHyphen/>
        <w:t>С</w:t>
      </w:r>
      <w:r w:rsidRPr="00EE06C4">
        <w:rPr>
          <w:rStyle w:val="affb"/>
        </w:rPr>
        <w:t xml:space="preserve"> </w:t>
      </w:r>
      <w:r w:rsidRPr="00684E00">
        <w:rPr>
          <w:b/>
        </w:rPr>
        <w:t xml:space="preserve">(уровень достоверности доказательств – </w:t>
      </w:r>
      <w:r>
        <w:rPr>
          <w:b/>
        </w:rPr>
        <w:t>5</w:t>
      </w:r>
      <w:r w:rsidRPr="00684E00">
        <w:rPr>
          <w:b/>
        </w:rPr>
        <w:t>)</w:t>
      </w:r>
    </w:p>
    <w:p w:rsidR="00C46BCF" w:rsidRDefault="00C46BCF" w:rsidP="00C46BCF">
      <w:pPr>
        <w:pStyle w:val="10"/>
        <w:numPr>
          <w:ilvl w:val="0"/>
          <w:numId w:val="0"/>
        </w:numPr>
        <w:spacing w:before="0"/>
        <w:ind w:left="709"/>
        <w:divId w:val="1767193717"/>
      </w:pPr>
      <w:r>
        <w:t xml:space="preserve">или </w:t>
      </w:r>
    </w:p>
    <w:p w:rsidR="00C46BCF" w:rsidRDefault="00C46BCF" w:rsidP="00C46BCF">
      <w:pPr>
        <w:pStyle w:val="10"/>
        <w:numPr>
          <w:ilvl w:val="0"/>
          <w:numId w:val="0"/>
        </w:numPr>
        <w:spacing w:before="0"/>
        <w:ind w:left="709"/>
        <w:divId w:val="1767193717"/>
      </w:pPr>
      <w:r>
        <w:t>целекоксиб</w:t>
      </w:r>
      <w:r w:rsidR="00703176">
        <w:t xml:space="preserve"> </w:t>
      </w:r>
      <w:r w:rsidR="00B81618" w:rsidRPr="00B81618">
        <w:t xml:space="preserve"> </w:t>
      </w:r>
      <w:r w:rsidR="00B81618">
        <w:t xml:space="preserve">перорально </w:t>
      </w:r>
      <w:r w:rsidR="00251DF4">
        <w:t>в начальной дозе</w:t>
      </w:r>
      <w:r w:rsidR="00703176" w:rsidRPr="00B1570A">
        <w:t xml:space="preserve"> 400 мг, с последующим, при необходимости, приемом</w:t>
      </w:r>
      <w:r w:rsidR="00703176">
        <w:t xml:space="preserve"> </w:t>
      </w:r>
      <w:r w:rsidR="00703176" w:rsidRPr="00B1570A">
        <w:t xml:space="preserve">дополнительной дозы в 200 мг в первый день. В последующие дни </w:t>
      </w:r>
      <w:r w:rsidR="00251DF4">
        <w:t>– по</w:t>
      </w:r>
      <w:r w:rsidR="00703176" w:rsidRPr="00B1570A">
        <w:t xml:space="preserve"> 200 мг 2 раза в сутки</w:t>
      </w:r>
      <w:r w:rsidR="00835D5F">
        <w:t xml:space="preserve"> </w:t>
      </w:r>
      <w:r w:rsidR="00835D5F">
        <w:fldChar w:fldCharType="begin" w:fldLock="1"/>
      </w:r>
      <w:r w:rsidR="00FF08FA">
        <w:instrText>ADDIN CSL_CITATION {"citationItems":[{"id":"ITEM-1","itemData":{"author":[{"dropping-particle":"","family":"Левченко","given":"О.К.","non-dropping-particle":"","parse-names":false,"suffix":""}],"container-title":"Российский журнал боли","id":"ITEM-1","issue":"1","issued":{"date-parts":[["2019"]]},"page":"47-50","title":"Опыт оказания противоболевой помощи в гематологическом стационаре","type":"article-journal","volume":"17"},"uris":["http://www.mendeley.com/documents/?uuid=84e94833-3237-4175-80a0-344f2e209124"]}],"mendeley":{"formattedCitation":"[50]","plainTextFormattedCitation":"[50]","previouslyFormattedCitation":"[50]"},"properties":{"noteIndex":0},"schema":"https://github.com/citation-style-language/schema/raw/master/csl-citation.json"}</w:instrText>
      </w:r>
      <w:r w:rsidR="00835D5F">
        <w:fldChar w:fldCharType="separate"/>
      </w:r>
      <w:r w:rsidR="00835D5F" w:rsidRPr="00835D5F">
        <w:rPr>
          <w:noProof/>
        </w:rPr>
        <w:t>[50]</w:t>
      </w:r>
      <w:r w:rsidR="00835D5F">
        <w:fldChar w:fldCharType="end"/>
      </w:r>
      <w:r w:rsidR="00703176" w:rsidRPr="00B1570A">
        <w:t>.</w:t>
      </w:r>
    </w:p>
    <w:p w:rsidR="00703176" w:rsidRDefault="00703176" w:rsidP="00C46BCF">
      <w:pPr>
        <w:pStyle w:val="10"/>
        <w:numPr>
          <w:ilvl w:val="0"/>
          <w:numId w:val="0"/>
        </w:numPr>
        <w:spacing w:before="0"/>
        <w:ind w:left="709"/>
        <w:divId w:val="1767193717"/>
        <w:rPr>
          <w:b/>
        </w:rPr>
      </w:pPr>
      <w:r w:rsidRPr="00E90536">
        <w:rPr>
          <w:rStyle w:val="affb"/>
        </w:rPr>
        <w:t>Уровень убедительности рекомендаций</w:t>
      </w:r>
      <w:r w:rsidRPr="00EE06C4">
        <w:rPr>
          <w:rStyle w:val="affb"/>
        </w:rPr>
        <w:t xml:space="preserve"> </w:t>
      </w:r>
      <w:r w:rsidRPr="00E90536">
        <w:rPr>
          <w:rStyle w:val="affb"/>
        </w:rPr>
        <w:softHyphen/>
        <w:t>С</w:t>
      </w:r>
      <w:r w:rsidRPr="00EE06C4">
        <w:rPr>
          <w:rStyle w:val="affb"/>
        </w:rPr>
        <w:t xml:space="preserve"> </w:t>
      </w:r>
      <w:r w:rsidRPr="00684E00">
        <w:rPr>
          <w:b/>
        </w:rPr>
        <w:t xml:space="preserve">(уровень достоверности доказательств – </w:t>
      </w:r>
      <w:r>
        <w:rPr>
          <w:b/>
        </w:rPr>
        <w:t>5</w:t>
      </w:r>
      <w:r w:rsidRPr="00684E00">
        <w:rPr>
          <w:b/>
        </w:rPr>
        <w:t>)</w:t>
      </w:r>
    </w:p>
    <w:p w:rsidR="00553C9F" w:rsidRPr="00553C9F" w:rsidRDefault="00553C9F" w:rsidP="00C46BCF">
      <w:pPr>
        <w:pStyle w:val="10"/>
        <w:numPr>
          <w:ilvl w:val="0"/>
          <w:numId w:val="0"/>
        </w:numPr>
        <w:spacing w:before="0"/>
        <w:ind w:left="709"/>
        <w:divId w:val="1767193717"/>
        <w:rPr>
          <w:i/>
        </w:rPr>
      </w:pPr>
      <w:r>
        <w:rPr>
          <w:b/>
        </w:rPr>
        <w:t xml:space="preserve">Комментарии: </w:t>
      </w:r>
      <w:r w:rsidRPr="00553C9F">
        <w:rPr>
          <w:i/>
          <w:color w:val="000000"/>
          <w:szCs w:val="24"/>
        </w:rPr>
        <w:t xml:space="preserve">Пациентам с </w:t>
      </w:r>
      <w:r w:rsidRPr="00553C9F">
        <w:rPr>
          <w:i/>
          <w:szCs w:val="24"/>
        </w:rPr>
        <w:t>синдромом Сезари</w:t>
      </w:r>
      <w:r w:rsidRPr="00553C9F">
        <w:rPr>
          <w:i/>
          <w:color w:val="000000"/>
          <w:szCs w:val="24"/>
        </w:rPr>
        <w:t xml:space="preserve"> при возникновении острого или хронического болевого</w:t>
      </w:r>
      <w:r>
        <w:rPr>
          <w:i/>
          <w:color w:val="000000"/>
          <w:szCs w:val="24"/>
        </w:rPr>
        <w:t xml:space="preserve"> </w:t>
      </w:r>
      <w:r w:rsidRPr="00553C9F">
        <w:rPr>
          <w:i/>
          <w:color w:val="000000"/>
          <w:szCs w:val="24"/>
        </w:rPr>
        <w:t>синдрома необходимо провести диагностику причины болевого синдрома и последующую</w:t>
      </w:r>
      <w:r>
        <w:rPr>
          <w:i/>
          <w:color w:val="000000"/>
          <w:szCs w:val="24"/>
        </w:rPr>
        <w:t xml:space="preserve"> </w:t>
      </w:r>
      <w:r w:rsidRPr="00553C9F">
        <w:rPr>
          <w:i/>
          <w:color w:val="000000"/>
          <w:szCs w:val="24"/>
        </w:rPr>
        <w:t>патогенетическую или симптоматическую терапию болевого синдрома в соответствии с существующими профильными рекомендациями</w:t>
      </w:r>
      <w:r w:rsidR="00FF08FA">
        <w:rPr>
          <w:i/>
          <w:color w:val="000000"/>
          <w:szCs w:val="24"/>
        </w:rPr>
        <w:t xml:space="preserve"> </w:t>
      </w:r>
      <w:r w:rsidR="00FF08FA">
        <w:rPr>
          <w:i/>
          <w:color w:val="000000"/>
          <w:szCs w:val="24"/>
        </w:rPr>
        <w:fldChar w:fldCharType="begin" w:fldLock="1"/>
      </w:r>
      <w:r w:rsidR="00054670">
        <w:rPr>
          <w:i/>
          <w:color w:val="000000"/>
          <w:szCs w:val="24"/>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[51,52]","plainTextFormattedCitation":"[51,52]","previouslyFormattedCitation":"[51,52]"},"properties":{"noteIndex":0},"schema":"https://github.com/citation-style-language/schema/raw/master/csl-citation.json"}</w:instrText>
      </w:r>
      <w:r w:rsidR="00FF08FA">
        <w:rPr>
          <w:i/>
          <w:color w:val="000000"/>
          <w:szCs w:val="24"/>
        </w:rPr>
        <w:fldChar w:fldCharType="separate"/>
      </w:r>
      <w:r w:rsidR="00D30352" w:rsidRPr="00D30352">
        <w:rPr>
          <w:noProof/>
          <w:color w:val="000000"/>
          <w:szCs w:val="24"/>
        </w:rPr>
        <w:t>[51,52]</w:t>
      </w:r>
      <w:r w:rsidR="00FF08FA">
        <w:rPr>
          <w:i/>
          <w:color w:val="000000"/>
          <w:szCs w:val="24"/>
        </w:rPr>
        <w:fldChar w:fldCharType="end"/>
      </w:r>
      <w:r w:rsidRPr="00553C9F">
        <w:rPr>
          <w:i/>
          <w:color w:val="000000"/>
          <w:szCs w:val="24"/>
        </w:rPr>
        <w:t>.</w:t>
      </w:r>
    </w:p>
    <w:p w:rsidR="000414F6" w:rsidRDefault="00CB71DA" w:rsidP="00B104EF">
      <w:pPr>
        <w:pStyle w:val="CustomContentNormal"/>
      </w:pPr>
      <w:bookmarkStart w:id="55" w:name="__RefHeading___doc_4"/>
      <w:bookmarkStart w:id="56" w:name="_Toc34301091"/>
      <w:bookmarkStart w:id="57" w:name="_Toc67302914"/>
      <w:r>
        <w:lastRenderedPageBreak/>
        <w:t xml:space="preserve">4. </w:t>
      </w:r>
      <w:bookmarkEnd w:id="55"/>
      <w:bookmarkEnd w:id="56"/>
      <w:r w:rsidR="00B43B37" w:rsidRPr="00915013">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57"/>
    </w:p>
    <w:p w:rsidR="00F9594B" w:rsidRPr="00C32FC4" w:rsidRDefault="007C43A5">
      <w:pPr>
        <w:pStyle w:val="afff8"/>
      </w:pPr>
      <w:bookmarkStart w:id="58" w:name="__RefHeading___doc_5"/>
      <w:r>
        <w:t>М</w:t>
      </w:r>
      <w:r w:rsidR="00FB5F9C" w:rsidRPr="00306BA6">
        <w:t xml:space="preserve">етодов реабилитации при </w:t>
      </w:r>
      <w:r w:rsidR="00FB5F9C">
        <w:t>синдроме Сезари</w:t>
      </w:r>
      <w:r w:rsidR="00FB5F9C" w:rsidRPr="00306BA6">
        <w:t xml:space="preserve"> не существует.</w:t>
      </w:r>
      <w:r w:rsidR="0063655A">
        <w:t xml:space="preserve"> Тем не менее, в</w:t>
      </w:r>
      <w:r w:rsidR="0063655A" w:rsidRPr="0063655A">
        <w:t xml:space="preserve">сем </w:t>
      </w:r>
      <w:r w:rsidR="0063655A" w:rsidRPr="00C32FC4">
        <w:t xml:space="preserve">пациентам с синдромом Сезари на всех этапах терапии заболевания, а также после завершения лекарственного лечения </w:t>
      </w:r>
      <w:r w:rsidR="00495193" w:rsidRPr="00C32FC4">
        <w:t xml:space="preserve">рекомендована </w:t>
      </w:r>
      <w:r w:rsidR="0063655A" w:rsidRPr="00C32FC4">
        <w:t>комплексная реабилитация, а также, при необходимости, поддерживающая терапия</w:t>
      </w:r>
      <w:r w:rsidR="00D30352">
        <w:t xml:space="preserve"> </w:t>
      </w:r>
      <w:r w:rsidR="00054670">
        <w:fldChar w:fldCharType="begin" w:fldLock="1"/>
      </w:r>
      <w:r w:rsidR="00BE5726">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[53]","plainTextFormattedCitation":"[53]","previouslyFormattedCitation":"[53]"},"properties":{"noteIndex":0},"schema":"https://github.com/citation-style-language/schema/raw/master/csl-citation.json"}</w:instrText>
      </w:r>
      <w:r w:rsidR="00054670">
        <w:fldChar w:fldCharType="separate"/>
      </w:r>
      <w:r w:rsidR="00054670" w:rsidRPr="00054670">
        <w:rPr>
          <w:noProof/>
        </w:rPr>
        <w:t>[53]</w:t>
      </w:r>
      <w:r w:rsidR="00054670">
        <w:fldChar w:fldCharType="end"/>
      </w:r>
      <w:r w:rsidR="0063655A" w:rsidRPr="00C32FC4">
        <w:t>.</w:t>
      </w:r>
      <w:r w:rsidR="00495193" w:rsidRPr="00C32FC4">
        <w:t xml:space="preserve"> </w:t>
      </w:r>
    </w:p>
    <w:p w:rsidR="00F9594B" w:rsidRPr="00C32FC4" w:rsidRDefault="00DE7BBA">
      <w:pPr>
        <w:pStyle w:val="afffa"/>
      </w:pPr>
      <w:r w:rsidRPr="00C32FC4">
        <w:t>Уровень убедительности рекомендаций С (уровень достоверности доказательств – 5)</w:t>
      </w:r>
    </w:p>
    <w:p w:rsidR="00495193" w:rsidRPr="00054670" w:rsidRDefault="00495193" w:rsidP="00054670">
      <w:pPr>
        <w:pStyle w:val="2-6"/>
        <w:ind w:left="709" w:firstLine="0"/>
        <w:rPr>
          <w:i/>
        </w:rPr>
      </w:pPr>
      <w:r w:rsidRPr="00054670">
        <w:rPr>
          <w:b/>
          <w:bCs/>
          <w:iCs/>
        </w:rPr>
        <w:t xml:space="preserve">Комментарии: </w:t>
      </w:r>
      <w:r w:rsidRPr="00054670">
        <w:rPr>
          <w:i/>
        </w:rPr>
        <w:t>Реабилитация пациентов с синдромом Сезари должна охватывать не только медицинские, но и социально-психологические аспекты адаптации пациента к нормальной жизни. Такая реабилитация требует, кроме медицинской помощи, обязательного участия социальных работников и психологов. Программы реабилитации разрабатываются индивидуально, в зависимости от выявленных осложнений лекарственного лечения, сопутствующей патологии, социальных и психологических проблем.</w:t>
      </w:r>
    </w:p>
    <w:p w:rsidR="0063655A" w:rsidRPr="00054670" w:rsidRDefault="0063655A" w:rsidP="00054670">
      <w:pPr>
        <w:pStyle w:val="2-6"/>
        <w:ind w:left="709" w:firstLine="0"/>
        <w:rPr>
          <w:i/>
        </w:rPr>
      </w:pPr>
      <w:r w:rsidRPr="00054670">
        <w:rPr>
          <w:i/>
        </w:rPr>
        <w:t xml:space="preserve">Реабилитация при возникновении осложнений в течение заболевания и лечения проводится в рамках соответствующих нозологий. </w:t>
      </w:r>
    </w:p>
    <w:p w:rsidR="001F4BBA" w:rsidRPr="00054670" w:rsidRDefault="0063655A" w:rsidP="00054670">
      <w:pPr>
        <w:pStyle w:val="2-6"/>
        <w:ind w:left="709" w:firstLine="0"/>
        <w:rPr>
          <w:i/>
        </w:rPr>
      </w:pPr>
      <w:r w:rsidRPr="00054670">
        <w:rPr>
          <w:i/>
        </w:rPr>
        <w:t>Пациентам даются рекомендации вести здоровый образ жизни, исключить избыточную инсоляцию и тепловые физиопроцедуры.</w:t>
      </w:r>
    </w:p>
    <w:p w:rsidR="00A43CE5" w:rsidRDefault="00094ED6" w:rsidP="00A43CE5">
      <w:pPr>
        <w:pStyle w:val="CustomContentNormal"/>
      </w:pPr>
      <w:bookmarkStart w:id="59" w:name="_Toc34301092"/>
      <w:bookmarkStart w:id="60" w:name="_Toc67302915"/>
      <w:r>
        <w:t xml:space="preserve">5. </w:t>
      </w:r>
      <w:r w:rsidR="00CB71DA">
        <w:t>Профилактика</w:t>
      </w:r>
      <w:bookmarkEnd w:id="58"/>
      <w:r w:rsidR="00B104EF">
        <w:t xml:space="preserve"> и диспансерное наблюдение</w:t>
      </w:r>
      <w:r w:rsidR="00A43CE5">
        <w:t>,</w:t>
      </w:r>
      <w:r w:rsidR="0063655A">
        <w:t xml:space="preserve"> </w:t>
      </w:r>
      <w:r w:rsidR="00A43CE5">
        <w:t>медицинские показания и противопоказания к применению методов профилактики</w:t>
      </w:r>
      <w:bookmarkEnd w:id="59"/>
      <w:bookmarkEnd w:id="60"/>
    </w:p>
    <w:p w:rsidR="00FB5F9C" w:rsidRPr="00BB7D37" w:rsidRDefault="00FB5F9C" w:rsidP="00FB5F9C">
      <w:pPr>
        <w:pStyle w:val="afd"/>
        <w:tabs>
          <w:tab w:val="left" w:pos="993"/>
        </w:tabs>
        <w:spacing w:beforeAutospacing="0" w:afterAutospacing="0" w:line="360" w:lineRule="auto"/>
        <w:ind w:firstLine="567"/>
      </w:pPr>
      <w:bookmarkStart w:id="61" w:name="__RefHeading___doc_6"/>
      <w:r w:rsidRPr="00BB7D37">
        <w:rPr>
          <w:iCs/>
        </w:rPr>
        <w:t xml:space="preserve">Методов профилактики </w:t>
      </w:r>
      <w:r>
        <w:rPr>
          <w:iCs/>
        </w:rPr>
        <w:t>синдрома Сезари</w:t>
      </w:r>
      <w:r w:rsidRPr="00BB7D37">
        <w:rPr>
          <w:iCs/>
        </w:rPr>
        <w:t xml:space="preserve"> в настоящее время не существует, поскольку неизвестен э</w:t>
      </w:r>
      <w:r w:rsidR="0037705A">
        <w:rPr>
          <w:iCs/>
        </w:rPr>
        <w:t>тиологический фактор(ы), ведущий</w:t>
      </w:r>
      <w:r w:rsidRPr="00BB7D37">
        <w:rPr>
          <w:iCs/>
        </w:rPr>
        <w:t xml:space="preserve"> к развитию заболевания. Диспансерное наблюдение </w:t>
      </w:r>
      <w:r>
        <w:rPr>
          <w:iCs/>
        </w:rPr>
        <w:t>врачом-</w:t>
      </w:r>
      <w:r w:rsidRPr="00BB7D37">
        <w:rPr>
          <w:iCs/>
        </w:rPr>
        <w:t xml:space="preserve">гематологом или </w:t>
      </w:r>
      <w:r>
        <w:rPr>
          <w:iCs/>
        </w:rPr>
        <w:t>врачом-</w:t>
      </w:r>
      <w:r w:rsidRPr="00BB7D37">
        <w:rPr>
          <w:iCs/>
        </w:rPr>
        <w:t>онкологом осуществляется в период лечения и после достижения ремиссии лимфомы.</w:t>
      </w:r>
      <w:r w:rsidR="00553C9F" w:rsidRPr="00553C9F">
        <w:t xml:space="preserve"> </w:t>
      </w:r>
      <w:r w:rsidR="00553C9F" w:rsidRPr="0057361B">
        <w:t>Обезболивание</w:t>
      </w:r>
      <w:r w:rsidR="00553C9F">
        <w:t xml:space="preserve"> </w:t>
      </w:r>
      <w:r w:rsidR="00553C9F" w:rsidRPr="0057361B">
        <w:t>осуществляется в соответстви</w:t>
      </w:r>
      <w:r w:rsidR="00553C9F">
        <w:t>и</w:t>
      </w:r>
      <w:r w:rsidR="00553C9F" w:rsidRPr="0057361B">
        <w:t xml:space="preserve"> с</w:t>
      </w:r>
      <w:r w:rsidR="00553C9F">
        <w:t>о</w:t>
      </w:r>
      <w:r w:rsidR="00553C9F" w:rsidRPr="0057361B">
        <w:t xml:space="preserve"> стандартами оказания паллиативной помощи.</w:t>
      </w:r>
    </w:p>
    <w:p w:rsidR="007C43A5" w:rsidRPr="00C32FC4" w:rsidRDefault="007C43A5" w:rsidP="004F39BB">
      <w:pPr>
        <w:pStyle w:val="afd"/>
        <w:numPr>
          <w:ilvl w:val="0"/>
          <w:numId w:val="10"/>
        </w:numPr>
        <w:tabs>
          <w:tab w:val="left" w:pos="993"/>
        </w:tabs>
        <w:spacing w:beforeAutospacing="0" w:afterAutospacing="0" w:line="360" w:lineRule="auto"/>
        <w:ind w:left="709" w:hanging="709"/>
      </w:pPr>
      <w:r w:rsidRPr="00444EC5">
        <w:rPr>
          <w:b/>
          <w:bCs/>
        </w:rPr>
        <w:t>Рекомен</w:t>
      </w:r>
      <w:r>
        <w:rPr>
          <w:b/>
          <w:bCs/>
        </w:rPr>
        <w:t>дуется</w:t>
      </w:r>
      <w:r>
        <w:t xml:space="preserve"> каждые 6 месяцев проведение обследования (физикальный осмотр с картированием кожи, УЗИ периферических лимфатических узлов, компьютерная </w:t>
      </w:r>
      <w:r w:rsidRPr="00C32FC4">
        <w:t>томография органов грудной клетки, брюшной полости и малого таза)</w:t>
      </w:r>
      <w:r w:rsidR="00BE5726">
        <w:t xml:space="preserve"> </w:t>
      </w:r>
      <w:r w:rsidR="00BE5726">
        <w:fldChar w:fldCharType="begin" w:fldLock="1"/>
      </w:r>
      <w:r w:rsidR="003B2C26">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[21]","plainTextFormattedCitation":"[21]","previouslyFormattedCitation":"[21]"},"properties":{"noteIndex":0},"schema":"https://github.com/citation-style-language/schema/raw/master/csl-citation.json"}</w:instrText>
      </w:r>
      <w:r w:rsidR="00BE5726">
        <w:fldChar w:fldCharType="separate"/>
      </w:r>
      <w:r w:rsidR="00BE5726" w:rsidRPr="00BE5726">
        <w:rPr>
          <w:noProof/>
        </w:rPr>
        <w:t>[21]</w:t>
      </w:r>
      <w:r w:rsidR="00BE5726">
        <w:fldChar w:fldCharType="end"/>
      </w:r>
      <w:r w:rsidRPr="00C32FC4">
        <w:t>.</w:t>
      </w:r>
    </w:p>
    <w:p w:rsidR="007C43A5" w:rsidRPr="003B2C26" w:rsidRDefault="007C43A5" w:rsidP="00305BCA">
      <w:pPr>
        <w:pStyle w:val="afd"/>
        <w:tabs>
          <w:tab w:val="left" w:pos="993"/>
        </w:tabs>
        <w:spacing w:beforeAutospacing="0" w:afterAutospacing="0" w:line="360" w:lineRule="auto"/>
        <w:ind w:left="709" w:firstLine="0"/>
        <w:rPr>
          <w:b/>
          <w:bCs/>
        </w:rPr>
      </w:pPr>
      <w:r w:rsidRPr="003B2C26">
        <w:rPr>
          <w:rStyle w:val="affb"/>
        </w:rPr>
        <w:t xml:space="preserve">Уровень убедительности рекомендаций </w:t>
      </w:r>
      <w:r w:rsidRPr="003B2C26">
        <w:rPr>
          <w:rStyle w:val="affb"/>
        </w:rPr>
        <w:softHyphen/>
        <w:t>С</w:t>
      </w:r>
      <w:r w:rsidRPr="003B2C26">
        <w:rPr>
          <w:b/>
          <w:bCs/>
        </w:rPr>
        <w:t xml:space="preserve"> (уровень достоверности доказательств – 5)</w:t>
      </w:r>
    </w:p>
    <w:p w:rsidR="00CC5156" w:rsidRDefault="007C43A5" w:rsidP="00305BCA">
      <w:pPr>
        <w:pStyle w:val="afd"/>
        <w:tabs>
          <w:tab w:val="left" w:pos="993"/>
        </w:tabs>
        <w:spacing w:beforeAutospacing="0" w:afterAutospacing="0" w:line="360" w:lineRule="auto"/>
        <w:ind w:left="709" w:firstLine="0"/>
      </w:pPr>
      <w:r w:rsidRPr="003B2C26">
        <w:rPr>
          <w:b/>
          <w:bCs/>
        </w:rPr>
        <w:lastRenderedPageBreak/>
        <w:t>Комментарий:</w:t>
      </w:r>
      <w:r w:rsidRPr="003B2C26">
        <w:t xml:space="preserve"> </w:t>
      </w:r>
      <w:r w:rsidRPr="003B2C26">
        <w:rPr>
          <w:i/>
        </w:rPr>
        <w:t>Тактика лечения рецидивов базируется на определении стадии</w:t>
      </w:r>
      <w:r w:rsidRPr="00C32FC4">
        <w:rPr>
          <w:i/>
        </w:rPr>
        <w:t xml:space="preserve"> заболевания, учитывается развитие резистентности к предыдущим видам терапии.</w:t>
      </w:r>
    </w:p>
    <w:p w:rsidR="009B4039" w:rsidRDefault="00C4630C" w:rsidP="00C4630C">
      <w:pPr>
        <w:pStyle w:val="afff2"/>
      </w:pPr>
      <w:bookmarkStart w:id="62" w:name="_Toc34301093"/>
      <w:bookmarkStart w:id="63" w:name="_Toc67302916"/>
      <w:r>
        <w:t xml:space="preserve">6. </w:t>
      </w:r>
      <w:r w:rsidR="009B4039" w:rsidRPr="00BF3A59">
        <w:t xml:space="preserve">Организация </w:t>
      </w:r>
      <w:r w:rsidR="00E40902">
        <w:t xml:space="preserve">оказания </w:t>
      </w:r>
      <w:r w:rsidR="009B4039" w:rsidRPr="00BF3A59">
        <w:t>медицинской помощи</w:t>
      </w:r>
      <w:bookmarkEnd w:id="62"/>
      <w:bookmarkEnd w:id="63"/>
    </w:p>
    <w:p w:rsidR="00FB5F9C" w:rsidRDefault="00FB5F9C" w:rsidP="00FB5F9C">
      <w:pPr>
        <w:pStyle w:val="1f0"/>
        <w:ind w:left="0" w:firstLine="709"/>
      </w:pPr>
      <w:r w:rsidRPr="00844B74">
        <w:t>В рамках оказания первичной врачебной медико-санитарной помо</w:t>
      </w:r>
      <w:r w:rsidR="0037705A">
        <w:t>щи, врачи-терапевты участковые,</w:t>
      </w:r>
      <w:r w:rsidRPr="00844B74">
        <w:t xml:space="preserve"> врачи общей практики (семейные врачи) при выявлении у </w:t>
      </w:r>
      <w:r w:rsidR="00C579D5">
        <w:t>пациентов</w:t>
      </w:r>
      <w:r w:rsidR="001A6D3E" w:rsidRPr="001A6D3E">
        <w:t xml:space="preserve"> </w:t>
      </w:r>
      <w:r w:rsidRPr="00844B74">
        <w:t xml:space="preserve">высыпаний на коже, кожного зуда, выявление симптомов или признаков </w:t>
      </w:r>
      <w:r>
        <w:t>синдрома Сезари</w:t>
      </w:r>
      <w:r w:rsidR="001A6D3E" w:rsidRPr="001A6D3E">
        <w:t xml:space="preserve"> </w:t>
      </w:r>
      <w:r w:rsidRPr="00844B74">
        <w:t xml:space="preserve">направляют </w:t>
      </w:r>
      <w:r w:rsidR="00C579D5">
        <w:t>пац</w:t>
      </w:r>
      <w:r w:rsidR="001A6D3E">
        <w:t>и</w:t>
      </w:r>
      <w:r w:rsidR="00C579D5">
        <w:t>ента</w:t>
      </w:r>
      <w:r w:rsidR="001A6D3E" w:rsidRPr="001A6D3E">
        <w:t xml:space="preserve"> </w:t>
      </w:r>
      <w:r w:rsidRPr="00844B74">
        <w:t>в медицинскую организацию</w:t>
      </w:r>
      <w:r w:rsidR="001A6D3E" w:rsidRPr="001A6D3E">
        <w:t xml:space="preserve"> </w:t>
      </w:r>
      <w:r w:rsidRPr="00844B74">
        <w:t>дерматовенерологического профиля</w:t>
      </w:r>
      <w:r>
        <w:t xml:space="preserve"> или кабинет врача</w:t>
      </w:r>
      <w:r w:rsidR="00C579D5">
        <w:t>-</w:t>
      </w:r>
      <w:r>
        <w:t xml:space="preserve">онколога/ </w:t>
      </w:r>
      <w:r w:rsidR="00C579D5">
        <w:t>врача-</w:t>
      </w:r>
      <w:r>
        <w:t xml:space="preserve">гематолога </w:t>
      </w:r>
      <w:r w:rsidRPr="00844B74">
        <w:t>для оказания ему первичной специализированной медико-санитарной помощи, а также осуществляют оказание медицинской помощи в соответствии с рекомендациями медицинской организации дерматовенерологического профиля</w:t>
      </w:r>
      <w:r>
        <w:t xml:space="preserve"> и/или врача онколога/ гематолога</w:t>
      </w:r>
      <w:r w:rsidR="001A5CB2">
        <w:t>.</w:t>
      </w:r>
    </w:p>
    <w:p w:rsidR="00FB5F9C" w:rsidRPr="000944EE" w:rsidRDefault="00FB5F9C" w:rsidP="00FB5F9C">
      <w:pPr>
        <w:pStyle w:val="aff8"/>
        <w:rPr>
          <w:color w:val="000000"/>
          <w:lang w:bidi="ru-RU"/>
        </w:rPr>
      </w:pPr>
      <w:r w:rsidRPr="000944EE">
        <w:rPr>
          <w:color w:val="000000"/>
          <w:lang w:bidi="ru-RU"/>
        </w:rPr>
        <w:t xml:space="preserve">При невозможности оказания медицинской помощи в рамках первичной специализированной медико-санитарной помощи и наличии медицинских показаний </w:t>
      </w:r>
      <w:r w:rsidR="00C579D5">
        <w:rPr>
          <w:color w:val="000000"/>
          <w:lang w:bidi="ru-RU"/>
        </w:rPr>
        <w:t>пациент</w:t>
      </w:r>
      <w:r w:rsidR="001A6D3E" w:rsidRPr="001A6D3E">
        <w:rPr>
          <w:color w:val="000000"/>
          <w:lang w:bidi="ru-RU"/>
        </w:rPr>
        <w:t xml:space="preserve"> </w:t>
      </w:r>
      <w:r w:rsidRPr="000944EE">
        <w:rPr>
          <w:color w:val="000000"/>
          <w:lang w:bidi="ru-RU"/>
        </w:rPr>
        <w:t>направляется в медицинскую организацию, оказывающую специализированную медицинскую помощь.</w:t>
      </w:r>
    </w:p>
    <w:p w:rsidR="00FB5F9C" w:rsidRPr="000944EE" w:rsidRDefault="00FB5F9C" w:rsidP="00FB5F9C">
      <w:pPr>
        <w:pStyle w:val="aff8"/>
        <w:ind w:firstLine="720"/>
        <w:rPr>
          <w:lang w:bidi="ru-RU"/>
        </w:rPr>
      </w:pPr>
      <w:r w:rsidRPr="000944EE">
        <w:rPr>
          <w:lang w:bidi="ru-RU"/>
        </w:rPr>
        <w:t>Специализированная, в том числе высокотехнологичная, медици</w:t>
      </w:r>
      <w:r w:rsidR="0037705A" w:rsidRPr="000944EE">
        <w:rPr>
          <w:lang w:bidi="ru-RU"/>
        </w:rPr>
        <w:t>нская помощь оказывается врачом</w:t>
      </w:r>
      <w:r w:rsidRPr="000944EE">
        <w:rPr>
          <w:lang w:bidi="ru-RU"/>
        </w:rPr>
        <w:t>-</w:t>
      </w:r>
      <w:r w:rsidR="00F512A6" w:rsidRPr="000944EE">
        <w:rPr>
          <w:lang w:bidi="ru-RU"/>
        </w:rPr>
        <w:t>дерматовенерологом</w:t>
      </w:r>
      <w:r w:rsidRPr="000944EE">
        <w:rPr>
          <w:lang w:bidi="ru-RU"/>
        </w:rPr>
        <w:t xml:space="preserve"> и/или </w:t>
      </w:r>
      <w:r w:rsidRPr="000944EE">
        <w:t>врачом-гематологом</w:t>
      </w:r>
      <w:r w:rsidR="00F512A6" w:rsidRPr="000944EE">
        <w:rPr>
          <w:lang w:bidi="ru-RU"/>
        </w:rPr>
        <w:t>и/или врачом-онкологом</w:t>
      </w:r>
      <w:r w:rsidRPr="000944EE">
        <w:rPr>
          <w:lang w:bidi="ru-RU"/>
        </w:rPr>
        <w:t xml:space="preserve"> в стационарных условиях.</w:t>
      </w:r>
    </w:p>
    <w:p w:rsidR="00FB5F9C" w:rsidRPr="000944EE" w:rsidRDefault="00FB5F9C" w:rsidP="00FB5F9C">
      <w:pPr>
        <w:pStyle w:val="aff8"/>
      </w:pPr>
      <w:r w:rsidRPr="000944EE">
        <w:t>Показания для плановой госпитализации в медицинскую организацию:</w:t>
      </w:r>
    </w:p>
    <w:p w:rsidR="00FB5F9C" w:rsidRPr="000944EE" w:rsidRDefault="00FB5F9C" w:rsidP="00FB5F9C">
      <w:pPr>
        <w:pStyle w:val="1f0"/>
      </w:pPr>
      <w:r w:rsidRPr="000944EE">
        <w:t>1) Показания для оказания медицинской помощи в дневном стационаре:</w:t>
      </w:r>
    </w:p>
    <w:p w:rsidR="00FB5F9C" w:rsidRPr="000944EE" w:rsidRDefault="00FB5F9C" w:rsidP="004F39BB">
      <w:pPr>
        <w:pStyle w:val="1f0"/>
        <w:numPr>
          <w:ilvl w:val="0"/>
          <w:numId w:val="12"/>
        </w:numPr>
      </w:pPr>
      <w:r w:rsidRPr="000944EE">
        <w:t>недостаточная эффективность лечения, проводимого в амбулаторных условиях, у пациентов с ограниченными высыпаниями;</w:t>
      </w:r>
    </w:p>
    <w:p w:rsidR="00FB5F9C" w:rsidRPr="000944EE" w:rsidRDefault="00FB5F9C" w:rsidP="004F39BB">
      <w:pPr>
        <w:pStyle w:val="afe"/>
        <w:widowControl w:val="0"/>
        <w:numPr>
          <w:ilvl w:val="0"/>
          <w:numId w:val="12"/>
        </w:numPr>
        <w:rPr>
          <w:rFonts w:eastAsiaTheme="majorEastAsia"/>
          <w:szCs w:val="24"/>
          <w:lang w:eastAsia="ru-RU"/>
        </w:rPr>
      </w:pPr>
      <w:r w:rsidRPr="000944EE">
        <w:rPr>
          <w:rFonts w:eastAsiaTheme="majorEastAsia"/>
          <w:szCs w:val="24"/>
          <w:lang w:eastAsia="ru-RU"/>
        </w:rPr>
        <w:t xml:space="preserve">Обследование пациента, включающее биопсию и </w:t>
      </w:r>
      <w:r w:rsidR="00F512A6" w:rsidRPr="000944EE">
        <w:rPr>
          <w:rFonts w:eastAsiaTheme="majorEastAsia"/>
          <w:szCs w:val="24"/>
          <w:lang w:eastAsia="ru-RU"/>
        </w:rPr>
        <w:t xml:space="preserve">другие </w:t>
      </w:r>
      <w:r w:rsidRPr="000944EE">
        <w:rPr>
          <w:rFonts w:eastAsiaTheme="majorEastAsia"/>
          <w:szCs w:val="24"/>
          <w:lang w:eastAsia="ru-RU"/>
        </w:rPr>
        <w:t>инвазивные вмешательства, в случаях, когда оно не может быть проведено амбулаторно.</w:t>
      </w:r>
    </w:p>
    <w:p w:rsidR="00FB5F9C" w:rsidRPr="000944EE" w:rsidRDefault="00FB5F9C" w:rsidP="00FB5F9C">
      <w:pPr>
        <w:pStyle w:val="1f0"/>
      </w:pPr>
      <w:r w:rsidRPr="000944EE">
        <w:t>2) Показания для оказания медицинской помощи в стационарных условиях:</w:t>
      </w:r>
    </w:p>
    <w:p w:rsidR="00FB5F9C" w:rsidRPr="000944EE" w:rsidRDefault="00FB5F9C" w:rsidP="004F39BB">
      <w:pPr>
        <w:pStyle w:val="1f0"/>
        <w:numPr>
          <w:ilvl w:val="0"/>
          <w:numId w:val="11"/>
        </w:numPr>
      </w:pPr>
      <w:r w:rsidRPr="000944EE">
        <w:t>отсутствие эффекта от проводимого лечения в амбулаторных условиях;</w:t>
      </w:r>
    </w:p>
    <w:p w:rsidR="00FB5F9C" w:rsidRPr="000944EE" w:rsidRDefault="00FB5F9C" w:rsidP="004F39BB">
      <w:pPr>
        <w:pStyle w:val="1f0"/>
        <w:numPr>
          <w:ilvl w:val="0"/>
          <w:numId w:val="11"/>
        </w:numPr>
      </w:pPr>
      <w:r w:rsidRPr="000944EE">
        <w:t xml:space="preserve"> необходимость системной терапии;</w:t>
      </w:r>
    </w:p>
    <w:p w:rsidR="00FB5F9C" w:rsidRPr="000944EE" w:rsidRDefault="00FB5F9C" w:rsidP="004F39BB">
      <w:pPr>
        <w:pStyle w:val="afe"/>
        <w:widowControl w:val="0"/>
        <w:numPr>
          <w:ilvl w:val="0"/>
          <w:numId w:val="11"/>
        </w:numPr>
        <w:rPr>
          <w:rFonts w:eastAsiaTheme="majorEastAsia"/>
          <w:szCs w:val="28"/>
          <w:lang w:eastAsia="ru-RU"/>
        </w:rPr>
      </w:pPr>
      <w:r w:rsidRPr="000944EE">
        <w:rPr>
          <w:rFonts w:eastAsiaTheme="majorEastAsia"/>
          <w:szCs w:val="28"/>
          <w:lang w:eastAsia="ru-RU"/>
        </w:rPr>
        <w:t xml:space="preserve">Обследование пациента, включающее биопсию и </w:t>
      </w:r>
      <w:r w:rsidR="00F512A6" w:rsidRPr="000944EE">
        <w:rPr>
          <w:rFonts w:eastAsiaTheme="majorEastAsia"/>
          <w:szCs w:val="28"/>
          <w:lang w:eastAsia="ru-RU"/>
        </w:rPr>
        <w:t xml:space="preserve">другие </w:t>
      </w:r>
      <w:r w:rsidRPr="000944EE">
        <w:rPr>
          <w:rFonts w:eastAsiaTheme="majorEastAsia"/>
          <w:szCs w:val="28"/>
          <w:lang w:eastAsia="ru-RU"/>
        </w:rPr>
        <w:t>инвазивные вмешательства, в случаях, когда оно не может быть проведено амбулаторно.</w:t>
      </w:r>
    </w:p>
    <w:p w:rsidR="00FB5F9C" w:rsidRPr="000944EE" w:rsidRDefault="00FB5F9C" w:rsidP="00FB5F9C">
      <w:pPr>
        <w:widowControl w:val="0"/>
        <w:ind w:firstLine="708"/>
        <w:rPr>
          <w:rFonts w:eastAsiaTheme="majorEastAsia"/>
          <w:b/>
          <w:szCs w:val="24"/>
          <w:lang w:eastAsia="ru-RU"/>
        </w:rPr>
      </w:pPr>
      <w:r w:rsidRPr="000944EE">
        <w:rPr>
          <w:rFonts w:eastAsiaTheme="majorEastAsia"/>
          <w:szCs w:val="24"/>
          <w:lang w:eastAsia="ru-RU"/>
        </w:rPr>
        <w:t>3) Показания к экстренной госпитализации</w:t>
      </w:r>
      <w:r w:rsidRPr="000944EE">
        <w:rPr>
          <w:szCs w:val="24"/>
        </w:rPr>
        <w:t xml:space="preserve"> в стационар медицинской организации, оказывающей специализированную, в том числе высокотехнологичную, медицинскую помощь по профилю «гематология» и «онкология»</w:t>
      </w:r>
      <w:r w:rsidRPr="000944EE">
        <w:rPr>
          <w:rFonts w:eastAsiaTheme="majorEastAsia"/>
          <w:b/>
          <w:szCs w:val="24"/>
          <w:lang w:eastAsia="ru-RU"/>
        </w:rPr>
        <w:t xml:space="preserve">: </w:t>
      </w:r>
    </w:p>
    <w:p w:rsidR="00FB5F9C" w:rsidRPr="000944EE" w:rsidRDefault="00FB5F9C" w:rsidP="004F39BB">
      <w:pPr>
        <w:pStyle w:val="afe"/>
        <w:widowControl w:val="0"/>
        <w:numPr>
          <w:ilvl w:val="0"/>
          <w:numId w:val="11"/>
        </w:numPr>
        <w:rPr>
          <w:rFonts w:eastAsiaTheme="majorEastAsia"/>
          <w:szCs w:val="24"/>
          <w:lang w:eastAsia="ru-RU"/>
        </w:rPr>
      </w:pPr>
      <w:r w:rsidRPr="000944EE">
        <w:rPr>
          <w:rFonts w:eastAsiaTheme="majorEastAsia"/>
          <w:szCs w:val="24"/>
          <w:lang w:eastAsia="ru-RU"/>
        </w:rPr>
        <w:lastRenderedPageBreak/>
        <w:t>Развитие тяжелой инфекции (необязательна госпитализация в гематологический стационар).</w:t>
      </w:r>
    </w:p>
    <w:p w:rsidR="00FB5F9C" w:rsidRPr="000944EE" w:rsidRDefault="00FB5F9C" w:rsidP="004F39BB">
      <w:pPr>
        <w:pStyle w:val="afe"/>
        <w:widowControl w:val="0"/>
        <w:numPr>
          <w:ilvl w:val="0"/>
          <w:numId w:val="11"/>
        </w:numPr>
        <w:rPr>
          <w:rFonts w:eastAsiaTheme="majorEastAsia"/>
          <w:szCs w:val="24"/>
          <w:lang w:eastAsia="ru-RU"/>
        </w:rPr>
      </w:pPr>
      <w:r w:rsidRPr="000944EE">
        <w:rPr>
          <w:rFonts w:eastAsiaTheme="majorEastAsia"/>
          <w:szCs w:val="24"/>
          <w:lang w:eastAsia="ru-RU"/>
        </w:rPr>
        <w:t>Развитие угрожающих жизни цитопений (глубокой анемии, геморрагического синдрома, нейтропении).</w:t>
      </w:r>
    </w:p>
    <w:p w:rsidR="00FB5F9C" w:rsidRPr="000944EE" w:rsidRDefault="00FB5F9C" w:rsidP="004F39BB">
      <w:pPr>
        <w:pStyle w:val="afe"/>
        <w:widowControl w:val="0"/>
        <w:numPr>
          <w:ilvl w:val="0"/>
          <w:numId w:val="11"/>
        </w:numPr>
        <w:rPr>
          <w:rFonts w:eastAsiaTheme="majorEastAsia"/>
          <w:szCs w:val="24"/>
          <w:lang w:eastAsia="ru-RU"/>
        </w:rPr>
      </w:pPr>
      <w:r w:rsidRPr="000944EE">
        <w:rPr>
          <w:rFonts w:eastAsiaTheme="majorEastAsia"/>
          <w:szCs w:val="24"/>
          <w:lang w:eastAsia="ru-RU"/>
        </w:rPr>
        <w:t xml:space="preserve">Развитие осложнений синдрома Сезари, угрожающих жизни. </w:t>
      </w:r>
    </w:p>
    <w:p w:rsidR="00FB5F9C" w:rsidRPr="000944EE" w:rsidRDefault="00FB5F9C" w:rsidP="004F39BB">
      <w:pPr>
        <w:pStyle w:val="afe"/>
        <w:widowControl w:val="0"/>
        <w:numPr>
          <w:ilvl w:val="0"/>
          <w:numId w:val="11"/>
        </w:numPr>
        <w:rPr>
          <w:rFonts w:eastAsiaTheme="majorEastAsia"/>
          <w:szCs w:val="24"/>
          <w:lang w:eastAsia="ru-RU"/>
        </w:rPr>
      </w:pPr>
      <w:r w:rsidRPr="000944EE">
        <w:rPr>
          <w:rFonts w:eastAsiaTheme="majorEastAsia"/>
          <w:szCs w:val="24"/>
          <w:lang w:eastAsia="ru-RU"/>
        </w:rPr>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rsidR="00FB5F9C" w:rsidRPr="000944EE" w:rsidRDefault="00FB5F9C" w:rsidP="00FB5F9C">
      <w:pPr>
        <w:pStyle w:val="aff8"/>
      </w:pPr>
      <w:r w:rsidRPr="000944EE">
        <w:t xml:space="preserve">Показания к выписке пациента из </w:t>
      </w:r>
      <w:r w:rsidRPr="000944EE">
        <w:rPr>
          <w:color w:val="000000"/>
          <w:lang w:eastAsia="ru-RU" w:bidi="ru-RU"/>
        </w:rPr>
        <w:t>медицинск</w:t>
      </w:r>
      <w:r w:rsidRPr="000944EE">
        <w:rPr>
          <w:color w:val="000000"/>
          <w:lang w:bidi="ru-RU"/>
        </w:rPr>
        <w:t xml:space="preserve">ой </w:t>
      </w:r>
      <w:r w:rsidRPr="000944EE">
        <w:rPr>
          <w:color w:val="000000"/>
          <w:lang w:eastAsia="ru-RU" w:bidi="ru-RU"/>
        </w:rPr>
        <w:t>организаци</w:t>
      </w:r>
      <w:r w:rsidRPr="000944EE">
        <w:rPr>
          <w:color w:val="000000"/>
          <w:lang w:bidi="ru-RU"/>
        </w:rPr>
        <w:t>и:</w:t>
      </w:r>
    </w:p>
    <w:p w:rsidR="00FB5F9C" w:rsidRPr="000944EE" w:rsidRDefault="00FB5F9C" w:rsidP="004F39BB">
      <w:pPr>
        <w:pStyle w:val="1f0"/>
        <w:numPr>
          <w:ilvl w:val="0"/>
          <w:numId w:val="13"/>
        </w:numPr>
        <w:ind w:left="1134"/>
      </w:pPr>
      <w:r w:rsidRPr="000944EE">
        <w:t>частичный или полный регресс высыпаний.</w:t>
      </w:r>
    </w:p>
    <w:p w:rsidR="009B4039" w:rsidRPr="000944EE" w:rsidRDefault="00FB5F9C" w:rsidP="004F39BB">
      <w:pPr>
        <w:pStyle w:val="1f0"/>
        <w:numPr>
          <w:ilvl w:val="0"/>
          <w:numId w:val="13"/>
        </w:numPr>
        <w:ind w:left="1134"/>
      </w:pPr>
      <w:r w:rsidRPr="000944EE">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rsidR="00CB562F" w:rsidRPr="000944EE" w:rsidRDefault="00C4630C" w:rsidP="00C4630C">
      <w:pPr>
        <w:pStyle w:val="afff2"/>
      </w:pPr>
      <w:bookmarkStart w:id="64" w:name="_Toc34301094"/>
      <w:bookmarkStart w:id="65" w:name="_Toc67302917"/>
      <w:r w:rsidRPr="000944EE">
        <w:t xml:space="preserve">7. </w:t>
      </w:r>
      <w:r w:rsidR="00CB71DA" w:rsidRPr="000944EE">
        <w:t>Дополнительная инфор</w:t>
      </w:r>
      <w:r w:rsidR="009B4039" w:rsidRPr="000944EE">
        <w:t>мация (</w:t>
      </w:r>
      <w:r w:rsidR="00A43CE5" w:rsidRPr="000944EE">
        <w:t>в том числе факторы, влияющие на</w:t>
      </w:r>
      <w:r w:rsidR="00CB71DA" w:rsidRPr="000944EE">
        <w:t xml:space="preserve"> исход заболевания</w:t>
      </w:r>
      <w:bookmarkEnd w:id="61"/>
      <w:r w:rsidR="002F591F">
        <w:t xml:space="preserve"> </w:t>
      </w:r>
      <w:r w:rsidR="00A43CE5" w:rsidRPr="000944EE">
        <w:t>или состояния)</w:t>
      </w:r>
      <w:bookmarkEnd w:id="64"/>
      <w:bookmarkEnd w:id="65"/>
    </w:p>
    <w:p w:rsidR="00B43B37" w:rsidRDefault="00B43B37" w:rsidP="00B43B37">
      <w:pPr>
        <w:pStyle w:val="2"/>
        <w:spacing w:before="0"/>
      </w:pPr>
      <w:bookmarkStart w:id="66" w:name="_Toc65770417"/>
      <w:bookmarkStart w:id="67" w:name="_Toc66176856"/>
      <w:bookmarkStart w:id="68" w:name="_Toc67238428"/>
      <w:bookmarkStart w:id="69" w:name="_Toc67302918"/>
      <w:bookmarkStart w:id="70" w:name="__RefHeading___doc_criteria"/>
      <w:bookmarkStart w:id="71" w:name="_Toc34301095"/>
      <w:r w:rsidRPr="000322E4">
        <w:t>7.</w:t>
      </w:r>
      <w:r>
        <w:t xml:space="preserve">1 </w:t>
      </w:r>
      <w:bookmarkStart w:id="72" w:name="_Toc57985408"/>
      <w:bookmarkStart w:id="73" w:name="_Toc64295959"/>
      <w:r w:rsidRPr="00761653">
        <w:t xml:space="preserve">Диагностика и лечение </w:t>
      </w:r>
      <w:r>
        <w:t xml:space="preserve">бактериальных </w:t>
      </w:r>
      <w:r w:rsidRPr="00761653">
        <w:t>инфекционных осложнений</w:t>
      </w:r>
      <w:bookmarkEnd w:id="66"/>
      <w:bookmarkEnd w:id="67"/>
      <w:bookmarkEnd w:id="68"/>
      <w:bookmarkEnd w:id="69"/>
      <w:bookmarkEnd w:id="72"/>
      <w:bookmarkEnd w:id="73"/>
    </w:p>
    <w:p w:rsidR="00B43B37" w:rsidRDefault="00B43B37" w:rsidP="00B43B37">
      <w:pPr>
        <w:contextualSpacing/>
      </w:pPr>
      <w:r w:rsidRPr="00761653">
        <w:t xml:space="preserve">Инфекции являются ведущими осложнениями при лечении заболеваний системы крови. Наиболее высокая частота определяется у </w:t>
      </w:r>
      <w:r>
        <w:t>пациентов с</w:t>
      </w:r>
      <w:r w:rsidRPr="00761653">
        <w:t xml:space="preserve"> острыми лейкозами и у реципиентов аллогенного трансплантата стволовых гемопоэтических клеток (ТГСК), варьирует от 30 до 90%. </w:t>
      </w:r>
      <w:r>
        <w:t>Так, у</w:t>
      </w:r>
      <w:r w:rsidRPr="00761653">
        <w:t xml:space="preserve"> </w:t>
      </w:r>
      <w:r>
        <w:t>пациентов с</w:t>
      </w:r>
      <w:r w:rsidRPr="00761653">
        <w:t xml:space="preserve"> острыми миелоидными лейкозами инфекционные осложнения составляют 80-90% на этап</w:t>
      </w:r>
      <w:r>
        <w:t>ах</w:t>
      </w:r>
      <w:r w:rsidRPr="00761653">
        <w:t xml:space="preserve"> индукции</w:t>
      </w:r>
      <w:r>
        <w:t xml:space="preserve"> и</w:t>
      </w:r>
      <w:r w:rsidRPr="00761653">
        <w:t xml:space="preserve"> консолидации</w:t>
      </w:r>
      <w:r>
        <w:t xml:space="preserve"> ремиссии</w:t>
      </w:r>
      <w:r w:rsidRPr="00761653">
        <w:t xml:space="preserve">; у </w:t>
      </w:r>
      <w:r>
        <w:t>пациентов</w:t>
      </w:r>
      <w:r w:rsidRPr="00761653">
        <w:t xml:space="preserve">острыми лимфоидными лейкозами </w:t>
      </w:r>
      <w:r>
        <w:t xml:space="preserve">инфекции развиваются </w:t>
      </w:r>
      <w:r w:rsidRPr="00761653">
        <w:t xml:space="preserve">преимущественно </w:t>
      </w:r>
      <w:r>
        <w:t>на этапе</w:t>
      </w:r>
      <w:r w:rsidRPr="00761653">
        <w:t xml:space="preserve"> индукции </w:t>
      </w:r>
      <w:r>
        <w:t xml:space="preserve">ремиссии </w:t>
      </w:r>
      <w:r w:rsidRPr="00761653">
        <w:t xml:space="preserve">(55%), реже – в </w:t>
      </w:r>
      <w:r>
        <w:t xml:space="preserve">период </w:t>
      </w:r>
      <w:r w:rsidRPr="00761653">
        <w:t xml:space="preserve">консолидации </w:t>
      </w:r>
      <w:r>
        <w:t xml:space="preserve">ремиссии </w:t>
      </w:r>
      <w:r w:rsidRPr="00761653">
        <w:t xml:space="preserve">(10%), у реципиентов аллогенных ТГСК </w:t>
      </w:r>
      <w:r>
        <w:t xml:space="preserve">– </w:t>
      </w:r>
      <w:r w:rsidRPr="00761653">
        <w:t>в период гранулоцитопении на этапе приживления гемопоэтических клеток (40-70%) и при развитии реакции “трансплантат против хозяина” (10-70%)</w:t>
      </w:r>
      <w:r>
        <w:t xml:space="preserve"> </w:t>
      </w:r>
      <w:r>
        <w:fldChar w:fldCharType="begin" w:fldLock="1"/>
      </w:r>
      <w:r w:rsidR="003524A5">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[54,55]","plainTextFormattedCitation":"[54,55]","previouslyFormattedCitation":"[54,55]"},"properties":{"noteIndex":0},"schema":"https://github.com/citation-style-language/schema/raw/master/csl-citation.json"}</w:instrText>
      </w:r>
      <w:r>
        <w:fldChar w:fldCharType="separate"/>
      </w:r>
      <w:r w:rsidR="005600FF" w:rsidRPr="005600FF">
        <w:rPr>
          <w:noProof/>
        </w:rPr>
        <w:t>[54,55]</w:t>
      </w:r>
      <w:r>
        <w:fldChar w:fldCharType="end"/>
      </w:r>
      <w:r w:rsidRPr="00761653">
        <w:t xml:space="preserve">. У других категорий </w:t>
      </w:r>
      <w:r>
        <w:t>пациентов</w:t>
      </w:r>
      <w:r w:rsidRPr="00761653">
        <w:t xml:space="preserve"> </w:t>
      </w:r>
      <w:r>
        <w:t xml:space="preserve">с лейкозами и лимфомами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p>
    <w:p w:rsidR="00B43B37" w:rsidRPr="00761653" w:rsidRDefault="00B43B37" w:rsidP="00B43B37">
      <w:r w:rsidRPr="00761653">
        <w:t xml:space="preserve">Инфекционные осложнения у </w:t>
      </w:r>
      <w:r>
        <w:t>пациентов</w:t>
      </w:r>
      <w:r w:rsidRPr="00761653">
        <w:t xml:space="preserve"> с </w:t>
      </w:r>
      <w:r>
        <w:t>лимфомами</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lastRenderedPageBreak/>
        <w:t xml:space="preserve">представлен комплекс лабораторных исследований для диагностики инфекционных осложнений, а также подходы к их терапии, которые отличаются </w:t>
      </w:r>
      <w:r>
        <w:t>в зависимости от наличия/отсутствия</w:t>
      </w:r>
      <w:r w:rsidRPr="00761653">
        <w:t xml:space="preserve"> нейтропении.</w:t>
      </w:r>
    </w:p>
    <w:p w:rsidR="00B43B37" w:rsidRDefault="00B43B37" w:rsidP="00B43B37">
      <w:pPr>
        <w:widowControl w:val="0"/>
        <w:autoSpaceDE w:val="0"/>
        <w:autoSpaceDN w:val="0"/>
        <w:adjustRightInd w:val="0"/>
        <w:ind w:right="49"/>
        <w:contextualSpacing/>
      </w:pPr>
      <w:r w:rsidRPr="00761653">
        <w:t xml:space="preserve">Основным фактором, определяющим развитие инфекционных осложнений у </w:t>
      </w:r>
      <w:r>
        <w:t xml:space="preserve">гематологических пациентов,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rsidR="00B43B37" w:rsidRDefault="00B43B37" w:rsidP="00B43B37">
      <w:pPr>
        <w:widowControl w:val="0"/>
        <w:autoSpaceDE w:val="0"/>
        <w:autoSpaceDN w:val="0"/>
        <w:adjustRightInd w:val="0"/>
        <w:ind w:right="49"/>
        <w:contextualSpacing/>
        <w:rPr>
          <w:b/>
        </w:rPr>
      </w:pPr>
    </w:p>
    <w:p w:rsidR="00B43B37" w:rsidRPr="005A451C" w:rsidRDefault="00B43B37" w:rsidP="00B43B37">
      <w:pPr>
        <w:widowControl w:val="0"/>
        <w:autoSpaceDE w:val="0"/>
        <w:autoSpaceDN w:val="0"/>
        <w:adjustRightInd w:val="0"/>
        <w:ind w:right="49"/>
        <w:contextualSpacing/>
        <w:rPr>
          <w:bCs/>
          <w:i/>
          <w:iCs/>
          <w:u w:val="single"/>
        </w:rPr>
      </w:pPr>
      <w:r w:rsidRPr="005A451C">
        <w:rPr>
          <w:bCs/>
          <w:i/>
          <w:iCs/>
          <w:u w:val="single"/>
        </w:rPr>
        <w:t>Этиология инфекционных осложнений</w:t>
      </w:r>
    </w:p>
    <w:p w:rsidR="00B43B37" w:rsidRPr="00761653" w:rsidRDefault="00B43B37" w:rsidP="00B43B37">
      <w:pPr>
        <w:widowControl w:val="0"/>
        <w:autoSpaceDE w:val="0"/>
        <w:autoSpaceDN w:val="0"/>
        <w:adjustRightInd w:val="0"/>
        <w:ind w:right="49"/>
        <w:contextualSpacing/>
      </w:pPr>
      <w:r w:rsidRPr="00761653">
        <w:t xml:space="preserve">Этиологическая структура возбудителей у </w:t>
      </w:r>
      <w:r>
        <w:t>гематологических пациентов, в том числе, пациентов с лимфомами,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3524A5">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[54]","plainTextFormattedCitation":"[54]","previouslyFormattedCitation":"[54]"},"properties":{"noteIndex":0},"schema":"https://github.com/citation-style-language/schema/raw/master/csl-citation.json"}</w:instrText>
      </w:r>
      <w:r>
        <w:fldChar w:fldCharType="separate"/>
      </w:r>
      <w:r w:rsidR="005600FF" w:rsidRPr="005600FF">
        <w:rPr>
          <w:noProof/>
        </w:rPr>
        <w:t>[54]</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3524A5">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[56]","plainTextFormattedCitation":"[56]","previouslyFormattedCitation":"[56]"},"properties":{"noteIndex":0},"schema":"https://github.com/citation-style-language/schema/raw/master/csl-citation.json"}</w:instrText>
      </w:r>
      <w:r>
        <w:fldChar w:fldCharType="separate"/>
      </w:r>
      <w:r w:rsidR="005600FF" w:rsidRPr="005600FF">
        <w:rPr>
          <w:noProof/>
        </w:rPr>
        <w:t>[56]</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rsidR="00B43B37" w:rsidRPr="00761653" w:rsidRDefault="00B43B37" w:rsidP="00B43B37">
      <w:pPr>
        <w:widowControl w:val="0"/>
        <w:autoSpaceDE w:val="0"/>
        <w:autoSpaceDN w:val="0"/>
        <w:adjustRightInd w:val="0"/>
        <w:ind w:right="4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3524A5">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[57]","plainTextFormattedCitation":"[57]","previouslyFormattedCitation":"[57]"},"properties":{"noteIndex":0},"schema":"https://github.com/citation-style-language/schema/raw/master/csl-citation.json"}</w:instrText>
      </w:r>
      <w:r>
        <w:fldChar w:fldCharType="separate"/>
      </w:r>
      <w:r w:rsidR="005600FF" w:rsidRPr="005600FF">
        <w:rPr>
          <w:noProof/>
        </w:rPr>
        <w:t>[57]</w:t>
      </w:r>
      <w:r>
        <w:fldChar w:fldCharType="end"/>
      </w:r>
      <w:r w:rsidRPr="00761653">
        <w:t xml:space="preserve">. Среди грамположительных бактерий отмечена устойчивость </w:t>
      </w:r>
      <w:r w:rsidRPr="00761653">
        <w:rPr>
          <w:i/>
          <w:iCs/>
        </w:rPr>
        <w:t xml:space="preserve">Enterococcus faecium </w:t>
      </w:r>
      <w:r w:rsidRPr="00761653">
        <w:t xml:space="preserve">к ванкомицину (15%).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w:t>
      </w:r>
      <w:r w:rsidRPr="00761653">
        <w:lastRenderedPageBreak/>
        <w:t>non-</w:t>
      </w:r>
      <w:r w:rsidRPr="00761653">
        <w:rPr>
          <w:i/>
          <w:iCs/>
        </w:rPr>
        <w:t>albicans</w:t>
      </w:r>
      <w:r>
        <w:rPr>
          <w:i/>
          <w:iCs/>
        </w:rPr>
        <w:t xml:space="preserve"> </w:t>
      </w:r>
      <w:r>
        <w:rPr>
          <w:i/>
          <w:iCs/>
        </w:rPr>
        <w:fldChar w:fldCharType="begin" w:fldLock="1"/>
      </w:r>
      <w:r w:rsidR="003524A5">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[56]","plainTextFormattedCitation":"[56]","previouslyFormattedCitation":"[56]"},"properties":{"noteIndex":0},"schema":"https://github.com/citation-style-language/schema/raw/master/csl-citation.json"}</w:instrText>
      </w:r>
      <w:r>
        <w:rPr>
          <w:i/>
          <w:iCs/>
        </w:rPr>
        <w:fldChar w:fldCharType="separate"/>
      </w:r>
      <w:r w:rsidR="005600FF" w:rsidRPr="005600FF">
        <w:rPr>
          <w:iCs/>
          <w:noProof/>
        </w:rPr>
        <w:t>[56]</w:t>
      </w:r>
      <w:r>
        <w:rPr>
          <w:i/>
          <w:iCs/>
        </w:rPr>
        <w:fldChar w:fldCharType="end"/>
      </w:r>
      <w:r w:rsidRPr="00761653">
        <w:t>.</w:t>
      </w:r>
    </w:p>
    <w:p w:rsidR="00B43B37" w:rsidRDefault="00B43B37" w:rsidP="00B43B37">
      <w:pPr>
        <w:widowControl w:val="0"/>
        <w:autoSpaceDE w:val="0"/>
        <w:autoSpaceDN w:val="0"/>
        <w:adjustRightInd w:val="0"/>
        <w:ind w:right="49"/>
        <w:contextualSpacing/>
        <w:rPr>
          <w:b/>
        </w:rPr>
      </w:pPr>
    </w:p>
    <w:p w:rsidR="00B43B37" w:rsidRPr="00CD4DE7" w:rsidRDefault="00B43B37" w:rsidP="00B43B37">
      <w:pPr>
        <w:widowControl w:val="0"/>
        <w:autoSpaceDE w:val="0"/>
        <w:autoSpaceDN w:val="0"/>
        <w:adjustRightInd w:val="0"/>
        <w:ind w:right="49"/>
        <w:contextualSpacing/>
        <w:rPr>
          <w:bCs/>
          <w:i/>
          <w:iCs/>
          <w:u w:val="single"/>
        </w:rPr>
      </w:pPr>
      <w:r w:rsidRPr="00CD4DE7">
        <w:rPr>
          <w:bCs/>
          <w:i/>
          <w:iCs/>
          <w:u w:val="single"/>
        </w:rPr>
        <w:t>Клинические проявления инфекций</w:t>
      </w:r>
    </w:p>
    <w:p w:rsidR="00B43B37" w:rsidRDefault="00B43B37" w:rsidP="00B43B37">
      <w:pPr>
        <w:widowControl w:val="0"/>
        <w:autoSpaceDE w:val="0"/>
        <w:autoSpaceDN w:val="0"/>
        <w:adjustRightInd w:val="0"/>
        <w:ind w:right="49"/>
        <w:contextualSpacing/>
      </w:pPr>
      <w:r w:rsidRPr="00761653">
        <w:t xml:space="preserve">Для инфекций периода нейтропении/лейкопении характерными признаками являются </w:t>
      </w:r>
    </w:p>
    <w:p w:rsidR="00B43B37" w:rsidRDefault="00B43B37" w:rsidP="004F39BB">
      <w:pPr>
        <w:pStyle w:val="afe"/>
        <w:widowControl w:val="0"/>
        <w:numPr>
          <w:ilvl w:val="0"/>
          <w:numId w:val="35"/>
        </w:numPr>
        <w:autoSpaceDE w:val="0"/>
        <w:autoSpaceDN w:val="0"/>
        <w:adjustRightInd w:val="0"/>
        <w:ind w:right="49"/>
      </w:pPr>
      <w:r w:rsidRPr="00940E71">
        <w:t xml:space="preserve">скудность </w:t>
      </w:r>
      <w:r>
        <w:t xml:space="preserve">клинических проявлений; </w:t>
      </w:r>
    </w:p>
    <w:p w:rsidR="00B43B37" w:rsidRDefault="00B43B37" w:rsidP="004F39BB">
      <w:pPr>
        <w:pStyle w:val="afe"/>
        <w:widowControl w:val="0"/>
        <w:numPr>
          <w:ilvl w:val="0"/>
          <w:numId w:val="35"/>
        </w:numPr>
        <w:autoSpaceDE w:val="0"/>
        <w:autoSpaceDN w:val="0"/>
        <w:adjustRightInd w:val="0"/>
        <w:ind w:right="49"/>
      </w:pPr>
      <w:r w:rsidRPr="00940E71">
        <w:t>вероятность наличия одновременно разных возбудителей и разной локал</w:t>
      </w:r>
      <w:r>
        <w:t xml:space="preserve">изации инфекционного процесса; </w:t>
      </w:r>
    </w:p>
    <w:p w:rsidR="00B43B37" w:rsidRPr="00940E71" w:rsidRDefault="00B43B37" w:rsidP="004F39BB">
      <w:pPr>
        <w:pStyle w:val="afe"/>
        <w:widowControl w:val="0"/>
        <w:numPr>
          <w:ilvl w:val="0"/>
          <w:numId w:val="35"/>
        </w:numPr>
        <w:autoSpaceDE w:val="0"/>
        <w:autoSpaceDN w:val="0"/>
        <w:adjustRightInd w:val="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rsidR="00B43B37" w:rsidRPr="00761653" w:rsidRDefault="00B43B37" w:rsidP="00B43B37">
      <w:pPr>
        <w:widowControl w:val="0"/>
        <w:autoSpaceDE w:val="0"/>
        <w:autoSpaceDN w:val="0"/>
        <w:adjustRightInd w:val="0"/>
        <w:ind w:right="4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rsidR="00B43B37" w:rsidRPr="00761653" w:rsidRDefault="00B43B37" w:rsidP="00B43B37">
      <w:pPr>
        <w:widowControl w:val="0"/>
        <w:autoSpaceDE w:val="0"/>
        <w:autoSpaceDN w:val="0"/>
        <w:adjustRightInd w:val="0"/>
        <w:ind w:right="4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rsidR="00B43B37" w:rsidRDefault="00B43B37" w:rsidP="00B43B37">
      <w:pPr>
        <w:widowControl w:val="0"/>
        <w:autoSpaceDE w:val="0"/>
        <w:autoSpaceDN w:val="0"/>
        <w:adjustRightInd w:val="0"/>
        <w:ind w:right="49"/>
        <w:contextualSpacing/>
        <w:rPr>
          <w:b/>
        </w:rPr>
      </w:pPr>
    </w:p>
    <w:p w:rsidR="00B43B37" w:rsidRPr="00CD4DE7" w:rsidRDefault="00B43B37" w:rsidP="00B43B37">
      <w:pPr>
        <w:widowControl w:val="0"/>
        <w:autoSpaceDE w:val="0"/>
        <w:autoSpaceDN w:val="0"/>
        <w:adjustRightInd w:val="0"/>
        <w:ind w:right="49"/>
        <w:contextualSpacing/>
        <w:rPr>
          <w:bCs/>
          <w:i/>
          <w:iCs/>
          <w:u w:val="single"/>
        </w:rPr>
      </w:pPr>
      <w:r w:rsidRPr="00CD4DE7">
        <w:rPr>
          <w:bCs/>
          <w:i/>
          <w:iCs/>
          <w:u w:val="single"/>
        </w:rPr>
        <w:t>Диагностика инфекционных осложнений.</w:t>
      </w:r>
    </w:p>
    <w:p w:rsidR="00B43B37" w:rsidRPr="0076198F" w:rsidRDefault="00B43B37" w:rsidP="00B43B37">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rsidR="00B43B37" w:rsidRPr="0076198F" w:rsidRDefault="00B43B37" w:rsidP="00B43B37">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rsidR="00B43B37" w:rsidRPr="0076198F" w:rsidRDefault="00B43B37" w:rsidP="00B43B37">
      <w:r w:rsidRPr="0076198F">
        <w:lastRenderedPageBreak/>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rsidR="00B43B37" w:rsidRPr="0076198F" w:rsidRDefault="00B43B37" w:rsidP="004F39BB">
      <w:pPr>
        <w:pStyle w:val="afe"/>
        <w:numPr>
          <w:ilvl w:val="0"/>
          <w:numId w:val="46"/>
        </w:numPr>
        <w:tabs>
          <w:tab w:val="left" w:pos="0"/>
          <w:tab w:val="left" w:pos="567"/>
        </w:tabs>
        <w:ind w:left="993" w:hanging="426"/>
        <w:contextualSpacing w:val="0"/>
      </w:pPr>
      <w:r w:rsidRPr="0076198F">
        <w:t>активный опрос больного относительно возможных симптомов инфекции, включая наличие болей по ходу пищевода, в промежности</w:t>
      </w:r>
      <w:r>
        <w:t>;</w:t>
      </w:r>
    </w:p>
    <w:p w:rsidR="00B43B37" w:rsidRPr="0076198F" w:rsidRDefault="00B43B37" w:rsidP="004F39BB">
      <w:pPr>
        <w:pStyle w:val="afe"/>
        <w:numPr>
          <w:ilvl w:val="0"/>
          <w:numId w:val="46"/>
        </w:numPr>
        <w:tabs>
          <w:tab w:val="left" w:pos="0"/>
          <w:tab w:val="left" w:pos="567"/>
        </w:tabs>
        <w:ind w:left="993" w:hanging="426"/>
        <w:contextualSpacing w:val="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rsidR="00B43B37" w:rsidRPr="0076198F" w:rsidRDefault="00B43B37" w:rsidP="004F39BB">
      <w:pPr>
        <w:pStyle w:val="afe"/>
        <w:numPr>
          <w:ilvl w:val="0"/>
          <w:numId w:val="46"/>
        </w:numPr>
        <w:tabs>
          <w:tab w:val="left" w:pos="0"/>
          <w:tab w:val="left" w:pos="567"/>
        </w:tabs>
        <w:ind w:left="993" w:hanging="426"/>
        <w:contextualSpacing w:val="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rsidR="00B43B37" w:rsidRPr="0076198F" w:rsidRDefault="00B43B37" w:rsidP="004F39BB">
      <w:pPr>
        <w:pStyle w:val="afe"/>
        <w:numPr>
          <w:ilvl w:val="0"/>
          <w:numId w:val="46"/>
        </w:numPr>
        <w:tabs>
          <w:tab w:val="left" w:pos="0"/>
          <w:tab w:val="left" w:pos="567"/>
        </w:tabs>
        <w:ind w:left="993" w:hanging="426"/>
        <w:contextualSpacing w:val="0"/>
      </w:pPr>
      <w:r w:rsidRPr="0076198F">
        <w:t>осмотр места установки венозного катетера</w:t>
      </w:r>
      <w:r>
        <w:t>;</w:t>
      </w:r>
      <w:r w:rsidRPr="0076198F">
        <w:t xml:space="preserve"> </w:t>
      </w:r>
    </w:p>
    <w:p w:rsidR="00B43B37" w:rsidRPr="0076198F" w:rsidRDefault="00B43B37" w:rsidP="004F39BB">
      <w:pPr>
        <w:pStyle w:val="afe"/>
        <w:numPr>
          <w:ilvl w:val="0"/>
          <w:numId w:val="46"/>
        </w:numPr>
        <w:tabs>
          <w:tab w:val="left" w:pos="0"/>
          <w:tab w:val="left" w:pos="567"/>
        </w:tabs>
        <w:ind w:left="993" w:hanging="426"/>
        <w:contextualSpacing w:val="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rsidR="00B43B37" w:rsidRPr="0076198F" w:rsidRDefault="00B43B37" w:rsidP="004F39BB">
      <w:pPr>
        <w:pStyle w:val="afe"/>
        <w:numPr>
          <w:ilvl w:val="0"/>
          <w:numId w:val="46"/>
        </w:numPr>
        <w:tabs>
          <w:tab w:val="left" w:pos="0"/>
          <w:tab w:val="left" w:pos="567"/>
        </w:tabs>
        <w:ind w:left="993" w:hanging="426"/>
        <w:contextualSpacing w:val="0"/>
      </w:pPr>
      <w:r w:rsidRPr="0076198F">
        <w:t>тщательная пальпация живота</w:t>
      </w:r>
      <w:r>
        <w:t xml:space="preserve"> (п</w:t>
      </w:r>
      <w:r w:rsidRPr="0076198F">
        <w:t>ервые симптомы псевдомембранозного колита —</w:t>
      </w:r>
      <w:r>
        <w:t xml:space="preserve"> </w:t>
      </w:r>
      <w:r w:rsidRPr="0076198F">
        <w:t>появление боли или «урчание» при пальпации в правой подвздошной области (область слепой кишки).</w:t>
      </w:r>
    </w:p>
    <w:p w:rsidR="00B43B37" w:rsidRDefault="00B43B37" w:rsidP="00B43B37">
      <w:pPr>
        <w:widowControl w:val="0"/>
        <w:autoSpaceDE w:val="0"/>
        <w:autoSpaceDN w:val="0"/>
        <w:adjustRightInd w:val="0"/>
        <w:ind w:right="49"/>
        <w:contextualSpacing/>
      </w:pPr>
      <w:r w:rsidRPr="00761653">
        <w:t xml:space="preserve">Для </w:t>
      </w:r>
      <w:r w:rsidRPr="00284D51">
        <w:rPr>
          <w:i/>
          <w:iCs/>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rsidR="00B43B37" w:rsidRPr="00761653" w:rsidRDefault="00B43B37" w:rsidP="00B43B37">
      <w:pPr>
        <w:widowControl w:val="0"/>
        <w:autoSpaceDE w:val="0"/>
        <w:autoSpaceDN w:val="0"/>
        <w:adjustRightInd w:val="0"/>
        <w:ind w:right="49"/>
        <w:contextualSpacing/>
      </w:pPr>
      <w:r w:rsidRPr="00284D51">
        <w:rPr>
          <w:i/>
          <w:iCs/>
        </w:rPr>
        <w:t xml:space="preserve">Центральный венозный катетер (ЦВК) удаляют и направляют на </w:t>
      </w:r>
      <w:r w:rsidRPr="00284D51">
        <w:rPr>
          <w:i/>
          <w:iCs/>
        </w:rPr>
        <w:lastRenderedPageBreak/>
        <w:t>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rsidR="00B43B37" w:rsidRPr="00761653" w:rsidRDefault="00B43B37" w:rsidP="00B43B37">
      <w:pPr>
        <w:widowControl w:val="0"/>
        <w:autoSpaceDE w:val="0"/>
        <w:autoSpaceDN w:val="0"/>
        <w:adjustRightInd w:val="0"/>
        <w:ind w:right="4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rsidR="00B43B37" w:rsidRPr="00761653" w:rsidRDefault="00B43B37" w:rsidP="00B43B37">
      <w:pPr>
        <w:widowControl w:val="0"/>
        <w:tabs>
          <w:tab w:val="left" w:pos="0"/>
        </w:tabs>
        <w:autoSpaceDE w:val="0"/>
        <w:autoSpaceDN w:val="0"/>
        <w:adjustRightInd w:val="0"/>
        <w:ind w:right="49"/>
        <w:contextualSpacing/>
      </w:pPr>
      <w:r w:rsidRPr="00761653">
        <w:t>Показаниями для</w:t>
      </w:r>
      <w:r>
        <w:t xml:space="preserve"> </w:t>
      </w:r>
      <w:r w:rsidRPr="00284D51">
        <w:rPr>
          <w:i/>
          <w:iCs/>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rsidR="00B43B37" w:rsidRPr="00761653" w:rsidRDefault="00B43B37" w:rsidP="00B43B37">
      <w:pPr>
        <w:widowControl w:val="0"/>
        <w:autoSpaceDE w:val="0"/>
        <w:autoSpaceDN w:val="0"/>
        <w:adjustRightInd w:val="0"/>
        <w:ind w:right="49"/>
        <w:contextualSpacing/>
      </w:pPr>
      <w:r w:rsidRPr="00761653">
        <w:t>Показания к</w:t>
      </w:r>
      <w:r>
        <w:t xml:space="preserve"> </w:t>
      </w:r>
      <w:r w:rsidRPr="00284D51">
        <w:rPr>
          <w:i/>
          <w:iCs/>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w:t>
      </w:r>
      <w:r w:rsidRPr="00761653">
        <w:lastRenderedPageBreak/>
        <w:t xml:space="preserve">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rsidR="00B43B37" w:rsidRPr="00C73751" w:rsidRDefault="00B43B37" w:rsidP="00B43B37">
      <w:pPr>
        <w:widowControl w:val="0"/>
        <w:autoSpaceDE w:val="0"/>
        <w:autoSpaceDN w:val="0"/>
        <w:adjustRightInd w:val="0"/>
        <w:ind w:right="49"/>
        <w:contextualSpacing/>
      </w:pPr>
      <w:r w:rsidRPr="00284D51">
        <w:rPr>
          <w:i/>
          <w:iCs/>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rsidR="00B43B37" w:rsidRPr="00761653" w:rsidRDefault="00B43B37" w:rsidP="00B43B37">
      <w:pPr>
        <w:widowControl w:val="0"/>
        <w:autoSpaceDE w:val="0"/>
        <w:autoSpaceDN w:val="0"/>
        <w:adjustRightInd w:val="0"/>
        <w:ind w:right="49"/>
        <w:contextualSpacing/>
      </w:pPr>
      <w:r w:rsidRPr="00284D51">
        <w:rPr>
          <w:i/>
          <w:iCs/>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rsidR="00B43B37" w:rsidRPr="00761653" w:rsidRDefault="00B43B37" w:rsidP="00B43B37">
      <w:pPr>
        <w:widowControl w:val="0"/>
        <w:autoSpaceDE w:val="0"/>
        <w:autoSpaceDN w:val="0"/>
        <w:adjustRightInd w:val="0"/>
        <w:ind w:right="49"/>
        <w:contextualSpacing/>
      </w:pPr>
      <w:r w:rsidRPr="00284D51">
        <w:rPr>
          <w:i/>
          <w:iCs/>
        </w:rPr>
        <w:t>Микробиологическое исследование соскоба или биоптата со слизистой оболочки пищевода</w:t>
      </w:r>
      <w:r w:rsidRPr="00284D51">
        <w:rPr>
          <w:b/>
          <w:bCs/>
        </w:rPr>
        <w:t xml:space="preserve"> </w:t>
      </w:r>
      <w:r w:rsidRPr="00284D51">
        <w:t>проводят при клиническоой картине эзофагита, боли по ходу пищевода. Во</w:t>
      </w:r>
      <w:r w:rsidRPr="00761653">
        <w:t xml:space="preserve">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w:t>
      </w:r>
      <w:r w:rsidRPr="00761653">
        <w:lastRenderedPageBreak/>
        <w:t xml:space="preserve">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rsidR="00B43B37" w:rsidRPr="00761653" w:rsidRDefault="00B43B37" w:rsidP="00B43B37">
      <w:pPr>
        <w:widowControl w:val="0"/>
        <w:autoSpaceDE w:val="0"/>
        <w:autoSpaceDN w:val="0"/>
        <w:adjustRightInd w:val="0"/>
        <w:ind w:right="49"/>
        <w:contextualSpacing/>
      </w:pPr>
      <w:r w:rsidRPr="00284D51">
        <w:rPr>
          <w:i/>
          <w:iCs/>
        </w:rPr>
        <w:t>Микробиологическое исследование ректальных мазков</w:t>
      </w:r>
      <w:r w:rsidRPr="00284D51">
        <w:rPr>
          <w:b/>
          <w:bCs/>
        </w:rPr>
        <w:t xml:space="preserve"> </w:t>
      </w:r>
      <w:r w:rsidRPr="00284D51">
        <w:t>проводят с целью детекции</w:t>
      </w:r>
      <w:r w:rsidRPr="00761653">
        <w:t xml:space="preserve">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rsidR="00B43B37" w:rsidRDefault="00B43B37" w:rsidP="00B43B37">
      <w:pPr>
        <w:widowControl w:val="0"/>
        <w:autoSpaceDE w:val="0"/>
        <w:autoSpaceDN w:val="0"/>
        <w:adjustRightInd w:val="0"/>
        <w:ind w:right="49"/>
        <w:contextualSpacing/>
      </w:pPr>
      <w:r w:rsidRPr="00761653">
        <w:t xml:space="preserve">Исследование </w:t>
      </w:r>
      <w:r>
        <w:t>показано:</w:t>
      </w:r>
      <w:r w:rsidRPr="00761653">
        <w:t xml:space="preserve"> </w:t>
      </w:r>
    </w:p>
    <w:p w:rsidR="00B43B37" w:rsidRPr="00C73751" w:rsidRDefault="00B43B37" w:rsidP="004F39BB">
      <w:pPr>
        <w:pStyle w:val="afe"/>
        <w:widowControl w:val="0"/>
        <w:numPr>
          <w:ilvl w:val="0"/>
          <w:numId w:val="36"/>
        </w:numPr>
        <w:tabs>
          <w:tab w:val="left" w:pos="0"/>
        </w:tabs>
        <w:autoSpaceDE w:val="0"/>
        <w:autoSpaceDN w:val="0"/>
        <w:adjustRightInd w:val="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rsidR="00B43B37" w:rsidRDefault="00B43B37" w:rsidP="004F39BB">
      <w:pPr>
        <w:pStyle w:val="afe"/>
        <w:widowControl w:val="0"/>
        <w:numPr>
          <w:ilvl w:val="0"/>
          <w:numId w:val="36"/>
        </w:numPr>
        <w:tabs>
          <w:tab w:val="left" w:pos="0"/>
        </w:tabs>
        <w:autoSpaceDE w:val="0"/>
        <w:autoSpaceDN w:val="0"/>
        <w:adjustRightInd w:val="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rsidR="00B43B37" w:rsidRDefault="00B43B37" w:rsidP="004F39BB">
      <w:pPr>
        <w:pStyle w:val="afe"/>
        <w:widowControl w:val="0"/>
        <w:numPr>
          <w:ilvl w:val="0"/>
          <w:numId w:val="36"/>
        </w:numPr>
        <w:tabs>
          <w:tab w:val="left" w:pos="0"/>
        </w:tabs>
        <w:autoSpaceDE w:val="0"/>
        <w:autoSpaceDN w:val="0"/>
        <w:adjustRightInd w:val="0"/>
        <w:ind w:right="49"/>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rsidR="00B43B37" w:rsidRPr="00CB604C" w:rsidRDefault="00B43B37" w:rsidP="00B43B37">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rsidR="00B43B37" w:rsidRDefault="00B43B37" w:rsidP="00B43B37">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носовых ходов</w:t>
      </w:r>
      <w:r w:rsidRPr="00225D7F">
        <w:rPr>
          <w:i/>
          <w:iCs/>
          <w:u w:val="single"/>
        </w:rPr>
        <w:t xml:space="preserve"> </w:t>
      </w:r>
      <w:r>
        <w:t>проводят по следующим показаниям:</w:t>
      </w:r>
    </w:p>
    <w:p w:rsidR="00B43B37" w:rsidRDefault="00B43B37" w:rsidP="004F39BB">
      <w:pPr>
        <w:pStyle w:val="afe"/>
        <w:widowControl w:val="0"/>
        <w:numPr>
          <w:ilvl w:val="0"/>
          <w:numId w:val="37"/>
        </w:numPr>
        <w:tabs>
          <w:tab w:val="left" w:pos="0"/>
        </w:tabs>
        <w:autoSpaceDE w:val="0"/>
        <w:autoSpaceDN w:val="0"/>
        <w:adjustRightInd w:val="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rsidR="00B43B37" w:rsidRPr="00CB604C" w:rsidRDefault="00B43B37" w:rsidP="004F39BB">
      <w:pPr>
        <w:pStyle w:val="afe"/>
        <w:widowControl w:val="0"/>
        <w:numPr>
          <w:ilvl w:val="0"/>
          <w:numId w:val="37"/>
        </w:numPr>
        <w:tabs>
          <w:tab w:val="left" w:pos="0"/>
        </w:tabs>
        <w:autoSpaceDE w:val="0"/>
        <w:autoSpaceDN w:val="0"/>
        <w:adjustRightInd w:val="0"/>
        <w:ind w:right="49"/>
      </w:pPr>
      <w:r w:rsidRPr="00CB604C">
        <w:t xml:space="preserve">исследование колонизации </w:t>
      </w:r>
      <w:r w:rsidRPr="00CB604C">
        <w:rPr>
          <w:i/>
        </w:rPr>
        <w:t>Staphylococcus aureus</w:t>
      </w:r>
      <w:r w:rsidRPr="00CB604C">
        <w:t xml:space="preserve"> у больных с пиодермией.  </w:t>
      </w:r>
    </w:p>
    <w:p w:rsidR="00B43B37" w:rsidRPr="00761653" w:rsidRDefault="00B43B37" w:rsidP="00B43B37">
      <w:pPr>
        <w:widowControl w:val="0"/>
        <w:autoSpaceDE w:val="0"/>
        <w:autoSpaceDN w:val="0"/>
        <w:adjustRightInd w:val="0"/>
        <w:ind w:right="-93"/>
        <w:contextualSpacing/>
        <w:rPr>
          <w:b/>
          <w:bCs/>
        </w:rPr>
      </w:pPr>
      <w:r w:rsidRPr="00284D51">
        <w:rPr>
          <w:i/>
          <w:iCs/>
        </w:rPr>
        <w:t>Микробиологическое исследование биоптатов / соскобов / отделяемого пораженных участков кожи</w:t>
      </w:r>
      <w:r w:rsidRPr="00284D51">
        <w:rPr>
          <w:b/>
          <w:bCs/>
        </w:rPr>
        <w:t xml:space="preserve"> </w:t>
      </w:r>
      <w:r w:rsidRPr="00284D51">
        <w:t>проводят при наличии септикопиемических очагов кожи (инфильтраты в</w:t>
      </w:r>
      <w:r w:rsidRPr="00761653">
        <w:t xml:space="preserve">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rsidR="00B43B37" w:rsidRPr="009F2603" w:rsidRDefault="00B43B37" w:rsidP="00B43B37">
      <w:pPr>
        <w:widowControl w:val="0"/>
        <w:autoSpaceDE w:val="0"/>
        <w:autoSpaceDN w:val="0"/>
        <w:adjustRightInd w:val="0"/>
        <w:contextualSpacing/>
        <w:rPr>
          <w:b/>
          <w:bCs/>
        </w:rPr>
      </w:pPr>
      <w:r w:rsidRPr="00284D51">
        <w:rPr>
          <w:i/>
          <w:iCs/>
        </w:rPr>
        <w:t>Исследование жидкости бронхоальвеолярного лаважа</w:t>
      </w:r>
      <w:r w:rsidRPr="00284D51">
        <w:t xml:space="preserve"> (БАЛ) проводят при наличии</w:t>
      </w:r>
      <w:r w:rsidRPr="00761653">
        <w:t xml:space="preserve"> изменений в легких. Исследование </w:t>
      </w:r>
      <w:r>
        <w:t xml:space="preserve">лаважной </w:t>
      </w:r>
      <w:r w:rsidRPr="00761653">
        <w:t xml:space="preserve">жидкости включает цитологию мазков, </w:t>
      </w:r>
      <w:r w:rsidRPr="00761653">
        <w:lastRenderedPageBreak/>
        <w:t xml:space="preserve">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rsidR="00B43B37" w:rsidRPr="00284D51" w:rsidRDefault="00B43B37" w:rsidP="00B43B37">
      <w:pPr>
        <w:widowControl w:val="0"/>
        <w:tabs>
          <w:tab w:val="left" w:pos="1134"/>
        </w:tabs>
        <w:autoSpaceDE w:val="0"/>
        <w:autoSpaceDN w:val="0"/>
        <w:adjustRightInd w:val="0"/>
        <w:contextualSpacing/>
        <w:rPr>
          <w:b/>
        </w:rPr>
      </w:pPr>
      <w:r w:rsidRPr="00284D51">
        <w:rPr>
          <w:i/>
          <w:iCs/>
        </w:rPr>
        <w:t>Определение антигена Legionella pneumophila в моче</w:t>
      </w:r>
      <w:r w:rsidRPr="00284D51">
        <w:rPr>
          <w:b/>
        </w:rPr>
        <w:t xml:space="preserve"> </w:t>
      </w:r>
      <w:r w:rsidRPr="00284D51">
        <w:t>проводится при наличии</w:t>
      </w:r>
      <w:r w:rsidRPr="00761653">
        <w:t xml:space="preserve"> </w:t>
      </w:r>
      <w:r w:rsidRPr="00284D51">
        <w:t>пневмонии с очагами консолидации.</w:t>
      </w:r>
    </w:p>
    <w:p w:rsidR="00B43B37" w:rsidRPr="00284D51" w:rsidRDefault="00B43B37" w:rsidP="00B43B37">
      <w:pPr>
        <w:widowControl w:val="0"/>
        <w:autoSpaceDE w:val="0"/>
        <w:autoSpaceDN w:val="0"/>
        <w:adjustRightInd w:val="0"/>
        <w:contextualSpacing/>
        <w:rPr>
          <w:bCs/>
        </w:rPr>
      </w:pPr>
      <w:r w:rsidRPr="00284D51">
        <w:rPr>
          <w:i/>
          <w:iCs/>
        </w:rPr>
        <w:t>Исследование антигена Aspergillus (галактоманнан) в сыворотке крови, в жидкости БАЛ, в СМЖ</w:t>
      </w:r>
      <w:r w:rsidRPr="00284D51">
        <w:rPr>
          <w:bCs/>
          <w:iCs/>
        </w:rPr>
        <w:t xml:space="preserve"> показано в следующих клинических ситуациях:</w:t>
      </w:r>
      <w:r w:rsidRPr="00284D51">
        <w:rPr>
          <w:bCs/>
        </w:rPr>
        <w:t xml:space="preserve"> </w:t>
      </w:r>
    </w:p>
    <w:p w:rsidR="00B43B37" w:rsidRPr="00833774" w:rsidRDefault="00B43B37" w:rsidP="004F39BB">
      <w:pPr>
        <w:pStyle w:val="afe"/>
        <w:widowControl w:val="0"/>
        <w:numPr>
          <w:ilvl w:val="0"/>
          <w:numId w:val="38"/>
        </w:numPr>
        <w:tabs>
          <w:tab w:val="left" w:pos="0"/>
        </w:tabs>
        <w:autoSpaceDE w:val="0"/>
        <w:autoSpaceDN w:val="0"/>
        <w:adjustRightInd w:val="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rsidR="00B43B37" w:rsidRDefault="00B43B37" w:rsidP="004F39BB">
      <w:pPr>
        <w:pStyle w:val="afe"/>
        <w:widowControl w:val="0"/>
        <w:numPr>
          <w:ilvl w:val="0"/>
          <w:numId w:val="38"/>
        </w:numPr>
        <w:tabs>
          <w:tab w:val="left" w:pos="0"/>
        </w:tabs>
        <w:autoSpaceDE w:val="0"/>
        <w:autoSpaceDN w:val="0"/>
        <w:adjustRightInd w:val="0"/>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rsidR="00B43B37" w:rsidRDefault="00B43B37" w:rsidP="004F39BB">
      <w:pPr>
        <w:pStyle w:val="afe"/>
        <w:widowControl w:val="0"/>
        <w:numPr>
          <w:ilvl w:val="0"/>
          <w:numId w:val="38"/>
        </w:numPr>
        <w:tabs>
          <w:tab w:val="left" w:pos="0"/>
        </w:tabs>
        <w:autoSpaceDE w:val="0"/>
        <w:autoSpaceDN w:val="0"/>
        <w:adjustRightInd w:val="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rsidR="00B43B37" w:rsidRPr="00761653" w:rsidRDefault="00B43B37" w:rsidP="00B43B37">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3524A5">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[58]","plainTextFormattedCitation":"[58]","previouslyFormattedCitation":"[58]"},"properties":{"noteIndex":0},"schema":"https://github.com/citation-style-language/schema/raw/master/csl-citation.json"}</w:instrText>
      </w:r>
      <w:r>
        <w:fldChar w:fldCharType="separate"/>
      </w:r>
      <w:r w:rsidR="005600FF" w:rsidRPr="005600FF">
        <w:rPr>
          <w:noProof/>
        </w:rPr>
        <w:t>[58]</w:t>
      </w:r>
      <w:r>
        <w:fldChar w:fldCharType="end"/>
      </w:r>
      <w:r w:rsidRPr="00761653">
        <w:t xml:space="preserve">. </w:t>
      </w:r>
    </w:p>
    <w:p w:rsidR="00B43B37" w:rsidRPr="00284D51" w:rsidRDefault="00B43B37" w:rsidP="00B43B37">
      <w:pPr>
        <w:widowControl w:val="0"/>
        <w:autoSpaceDE w:val="0"/>
        <w:autoSpaceDN w:val="0"/>
        <w:adjustRightInd w:val="0"/>
        <w:contextualSpacing/>
      </w:pPr>
      <w:r w:rsidRPr="00284D51">
        <w:rPr>
          <w:i/>
          <w:iCs/>
        </w:rPr>
        <w:t>Исследование антигена Candida (маннан) и антител Candida (антиманнан) в сыворотке крови</w:t>
      </w:r>
      <w:r w:rsidRPr="00284D51">
        <w:t xml:space="preserve"> проводят по следующим показаниям:</w:t>
      </w:r>
    </w:p>
    <w:p w:rsidR="00B43B37" w:rsidRDefault="00B43B37" w:rsidP="004F39BB">
      <w:pPr>
        <w:pStyle w:val="afe"/>
        <w:widowControl w:val="0"/>
        <w:numPr>
          <w:ilvl w:val="0"/>
          <w:numId w:val="39"/>
        </w:numPr>
        <w:tabs>
          <w:tab w:val="left" w:pos="0"/>
        </w:tabs>
        <w:autoSpaceDE w:val="0"/>
        <w:autoSpaceDN w:val="0"/>
        <w:adjustRightInd w:val="0"/>
      </w:pPr>
      <w:r w:rsidRPr="00315F82">
        <w:t xml:space="preserve">множественные очаги в печени и/или селезенке (подозрение на гепатолиенальный кандидоз); </w:t>
      </w:r>
    </w:p>
    <w:p w:rsidR="00B43B37" w:rsidRDefault="00B43B37" w:rsidP="004F39BB">
      <w:pPr>
        <w:pStyle w:val="afe"/>
        <w:widowControl w:val="0"/>
        <w:numPr>
          <w:ilvl w:val="0"/>
          <w:numId w:val="39"/>
        </w:numPr>
        <w:tabs>
          <w:tab w:val="left" w:pos="0"/>
        </w:tabs>
        <w:autoSpaceDE w:val="0"/>
        <w:autoSpaceDN w:val="0"/>
        <w:adjustRightInd w:val="0"/>
      </w:pPr>
      <w:r w:rsidRPr="00315F82">
        <w:t xml:space="preserve">предполагаемый инвазивный кандидоз у больных с длительной (более 7-10 дней) персистирующей температурой. </w:t>
      </w:r>
    </w:p>
    <w:p w:rsidR="00B43B37" w:rsidRPr="00315F82" w:rsidRDefault="00B43B37" w:rsidP="00B43B37">
      <w:pPr>
        <w:widowControl w:val="0"/>
        <w:tabs>
          <w:tab w:val="left" w:pos="0"/>
        </w:tabs>
        <w:autoSpaceDE w:val="0"/>
        <w:autoSpaceDN w:val="0"/>
        <w:adjustRightInd w:val="0"/>
      </w:pPr>
      <w:r>
        <w:lastRenderedPageBreak/>
        <w:tab/>
      </w:r>
      <w:r w:rsidRPr="00315F82">
        <w:t xml:space="preserve">Образец для исследования </w:t>
      </w:r>
      <w:r>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rsidR="00B43B37" w:rsidRPr="00284D51" w:rsidRDefault="00B43B37" w:rsidP="00B43B37">
      <w:pPr>
        <w:widowControl w:val="0"/>
        <w:autoSpaceDE w:val="0"/>
        <w:autoSpaceDN w:val="0"/>
        <w:adjustRightInd w:val="0"/>
        <w:contextualSpacing/>
      </w:pPr>
      <w:r w:rsidRPr="00284D51">
        <w:rPr>
          <w:i/>
          <w:iCs/>
        </w:rPr>
        <w:t>Определение антигена Cryptocococcus (глюкуроноксиломаннан)</w:t>
      </w:r>
      <w:r w:rsidRPr="00284D51">
        <w:t xml:space="preserve"> выполняется при</w:t>
      </w:r>
      <w:r>
        <w:t xml:space="preserve">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xml:space="preserve">.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w:t>
      </w:r>
      <w:r w:rsidRPr="00284D51">
        <w:t>(качественный анализ).</w:t>
      </w:r>
    </w:p>
    <w:p w:rsidR="00B43B37" w:rsidRPr="00284D51" w:rsidRDefault="00B43B37" w:rsidP="00B43B37">
      <w:pPr>
        <w:widowControl w:val="0"/>
        <w:autoSpaceDE w:val="0"/>
        <w:autoSpaceDN w:val="0"/>
        <w:adjustRightInd w:val="0"/>
        <w:contextualSpacing/>
      </w:pPr>
      <w:r w:rsidRPr="00284D51">
        <w:rPr>
          <w:i/>
          <w:iCs/>
        </w:rPr>
        <w:t>Исследование антитела Мycoplasma pneumoniae (IgM, IgG), Chlamydophila pneumoniae (IgM, IgG) в крови выполняется</w:t>
      </w:r>
      <w:r w:rsidRPr="00284D51">
        <w:t xml:space="preserve"> при пневмонии, возникшей амбулаторно.</w:t>
      </w:r>
    </w:p>
    <w:p w:rsidR="00B43B37" w:rsidRPr="00284D51" w:rsidRDefault="00B43B37" w:rsidP="00B43B37">
      <w:pPr>
        <w:widowControl w:val="0"/>
        <w:tabs>
          <w:tab w:val="left" w:pos="0"/>
        </w:tabs>
        <w:autoSpaceDE w:val="0"/>
        <w:autoSpaceDN w:val="0"/>
        <w:adjustRightInd w:val="0"/>
        <w:contextualSpacing/>
      </w:pPr>
      <w:r w:rsidRPr="00284D51">
        <w:t xml:space="preserve">Показаниями к проведению </w:t>
      </w:r>
      <w:r w:rsidRPr="00284D51">
        <w:rPr>
          <w:i/>
          <w:iCs/>
        </w:rPr>
        <w:t>КТ/СКТ органов грудной полости являются:</w:t>
      </w:r>
    </w:p>
    <w:p w:rsidR="00B43B37" w:rsidRDefault="00B43B37" w:rsidP="004F39BB">
      <w:pPr>
        <w:pStyle w:val="afe"/>
        <w:widowControl w:val="0"/>
        <w:numPr>
          <w:ilvl w:val="0"/>
          <w:numId w:val="40"/>
        </w:numPr>
        <w:tabs>
          <w:tab w:val="left" w:pos="0"/>
        </w:tabs>
        <w:autoSpaceDE w:val="0"/>
        <w:autoSpaceDN w:val="0"/>
        <w:adjustRightInd w:val="0"/>
      </w:pPr>
      <w:r w:rsidRPr="00016F8E">
        <w:t xml:space="preserve">пневмония (аускультативные признаки); </w:t>
      </w:r>
    </w:p>
    <w:p w:rsidR="00B43B37" w:rsidRDefault="00B43B37" w:rsidP="004F39BB">
      <w:pPr>
        <w:pStyle w:val="afe"/>
        <w:widowControl w:val="0"/>
        <w:numPr>
          <w:ilvl w:val="0"/>
          <w:numId w:val="40"/>
        </w:numPr>
        <w:tabs>
          <w:tab w:val="left" w:pos="0"/>
        </w:tabs>
        <w:autoSpaceDE w:val="0"/>
        <w:autoSpaceDN w:val="0"/>
        <w:adjustRightInd w:val="0"/>
      </w:pPr>
      <w:r w:rsidRPr="00016F8E">
        <w:t xml:space="preserve">персистирующая фебрильная нейтропения от 3 дней и более, независимо от физикальной картины в легких; </w:t>
      </w:r>
    </w:p>
    <w:p w:rsidR="00B43B37" w:rsidRDefault="00B43B37" w:rsidP="004F39BB">
      <w:pPr>
        <w:pStyle w:val="afe"/>
        <w:widowControl w:val="0"/>
        <w:numPr>
          <w:ilvl w:val="0"/>
          <w:numId w:val="40"/>
        </w:numPr>
        <w:tabs>
          <w:tab w:val="left" w:pos="0"/>
        </w:tabs>
        <w:autoSpaceDE w:val="0"/>
        <w:autoSpaceDN w:val="0"/>
        <w:adjustRightInd w:val="0"/>
      </w:pPr>
      <w:r w:rsidRPr="00016F8E">
        <w:t xml:space="preserve">контроль выявленных изменений в легких через 7-14 дней в зависимости от состояния больного и диагностированной инфекции. </w:t>
      </w:r>
    </w:p>
    <w:p w:rsidR="00B43B37" w:rsidRPr="00761653" w:rsidRDefault="00B43B37" w:rsidP="00B43B37">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rsidR="00B43B37" w:rsidRPr="008572A7" w:rsidRDefault="00B43B37" w:rsidP="00B43B37">
      <w:pPr>
        <w:widowControl w:val="0"/>
        <w:autoSpaceDE w:val="0"/>
        <w:autoSpaceDN w:val="0"/>
        <w:adjustRightInd w:val="0"/>
        <w:contextualSpacing/>
        <w:rPr>
          <w:b/>
          <w:bCs/>
          <w:u w:val="single"/>
        </w:rPr>
      </w:pPr>
      <w:r w:rsidRPr="00284D51">
        <w:rPr>
          <w:i/>
          <w:iCs/>
        </w:rPr>
        <w:t>Ультразвуковое исследование (УЗИ), КТ/СКТ, МРТ органов брюшной полости</w:t>
      </w:r>
      <w:r w:rsidRPr="00284D51">
        <w:rPr>
          <w:b/>
          <w:bCs/>
        </w:rPr>
        <w:t xml:space="preserve"> </w:t>
      </w:r>
      <w:r w:rsidRPr="00284D51">
        <w:t>для</w:t>
      </w:r>
      <w:r>
        <w:t xml:space="preserve"> уточнения инфекционного процесса проводят по клиническим показаниям, в том числе:</w:t>
      </w:r>
    </w:p>
    <w:p w:rsidR="00B43B37" w:rsidRDefault="00B43B37" w:rsidP="004F39BB">
      <w:pPr>
        <w:pStyle w:val="afe"/>
        <w:widowControl w:val="0"/>
        <w:numPr>
          <w:ilvl w:val="0"/>
          <w:numId w:val="41"/>
        </w:numPr>
        <w:tabs>
          <w:tab w:val="left" w:pos="0"/>
        </w:tabs>
        <w:autoSpaceDE w:val="0"/>
        <w:autoSpaceDN w:val="0"/>
        <w:adjustRightInd w:val="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rsidR="00B43B37" w:rsidRDefault="00B43B37" w:rsidP="004F39BB">
      <w:pPr>
        <w:pStyle w:val="afe"/>
        <w:widowControl w:val="0"/>
        <w:numPr>
          <w:ilvl w:val="0"/>
          <w:numId w:val="41"/>
        </w:numPr>
        <w:tabs>
          <w:tab w:val="left" w:pos="0"/>
        </w:tabs>
        <w:autoSpaceDE w:val="0"/>
        <w:autoSpaceDN w:val="0"/>
        <w:adjustRightInd w:val="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rsidR="00B43B37" w:rsidRDefault="00B43B37" w:rsidP="004F39BB">
      <w:pPr>
        <w:pStyle w:val="afe"/>
        <w:widowControl w:val="0"/>
        <w:numPr>
          <w:ilvl w:val="0"/>
          <w:numId w:val="41"/>
        </w:numPr>
        <w:tabs>
          <w:tab w:val="left" w:pos="0"/>
        </w:tabs>
        <w:autoSpaceDE w:val="0"/>
        <w:autoSpaceDN w:val="0"/>
        <w:adjustRightInd w:val="0"/>
      </w:pPr>
      <w:r>
        <w:t xml:space="preserve">для </w:t>
      </w:r>
      <w:r w:rsidRPr="00016F8E">
        <w:t>контрол</w:t>
      </w:r>
      <w:r>
        <w:t>я</w:t>
      </w:r>
      <w:r w:rsidRPr="00016F8E">
        <w:t xml:space="preserve"> выявленных</w:t>
      </w:r>
      <w:r>
        <w:t xml:space="preserve"> ранее</w:t>
      </w:r>
      <w:r w:rsidRPr="00016F8E">
        <w:t xml:space="preserve"> изменений. </w:t>
      </w:r>
    </w:p>
    <w:p w:rsidR="00B43B37" w:rsidRPr="00016F8E" w:rsidRDefault="00B43B37" w:rsidP="00B43B37">
      <w:pPr>
        <w:widowControl w:val="0"/>
        <w:tabs>
          <w:tab w:val="left" w:pos="0"/>
        </w:tabs>
        <w:autoSpaceDE w:val="0"/>
        <w:autoSpaceDN w:val="0"/>
        <w:adjustRightInd w:val="0"/>
      </w:pPr>
      <w:r>
        <w:lastRenderedPageBreak/>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rsidR="00B43B37" w:rsidRPr="008572A7" w:rsidRDefault="00B43B37" w:rsidP="00B43B37">
      <w:pPr>
        <w:widowControl w:val="0"/>
        <w:autoSpaceDE w:val="0"/>
        <w:autoSpaceDN w:val="0"/>
        <w:adjustRightInd w:val="0"/>
        <w:contextualSpacing/>
        <w:rPr>
          <w:b/>
          <w:u w:val="single"/>
        </w:rPr>
      </w:pPr>
      <w:r w:rsidRPr="00284D51">
        <w:rPr>
          <w:i/>
          <w:iCs/>
        </w:rPr>
        <w:t>КТ или МРТ головного мозга</w:t>
      </w:r>
      <w:r w:rsidRPr="00284D51">
        <w:rPr>
          <w:bCs/>
        </w:rPr>
        <w:t xml:space="preserve"> </w:t>
      </w:r>
      <w:r w:rsidRPr="00284D51">
        <w:t>проводят для исключения инфекционного поражения</w:t>
      </w:r>
      <w:r>
        <w:t xml:space="preserve"> головного мозга:</w:t>
      </w:r>
    </w:p>
    <w:p w:rsidR="00B43B37" w:rsidRDefault="00B43B37" w:rsidP="004F39BB">
      <w:pPr>
        <w:pStyle w:val="afe"/>
        <w:widowControl w:val="0"/>
        <w:numPr>
          <w:ilvl w:val="0"/>
          <w:numId w:val="42"/>
        </w:numPr>
        <w:tabs>
          <w:tab w:val="left" w:pos="0"/>
        </w:tabs>
        <w:autoSpaceDE w:val="0"/>
        <w:autoSpaceDN w:val="0"/>
        <w:adjustRightInd w:val="0"/>
      </w:pPr>
      <w:r>
        <w:t>при наличии</w:t>
      </w:r>
      <w:r w:rsidRPr="00016F8E">
        <w:t xml:space="preserve"> симптомов </w:t>
      </w:r>
      <w:r>
        <w:t>поражения</w:t>
      </w:r>
      <w:r w:rsidRPr="00016F8E">
        <w:t xml:space="preserve"> центральной нервной системы (ЦНС)</w:t>
      </w:r>
      <w:r>
        <w:t>;</w:t>
      </w:r>
    </w:p>
    <w:p w:rsidR="00B43B37" w:rsidRPr="00016F8E" w:rsidRDefault="00B43B37" w:rsidP="004F39BB">
      <w:pPr>
        <w:pStyle w:val="afe"/>
        <w:widowControl w:val="0"/>
        <w:numPr>
          <w:ilvl w:val="0"/>
          <w:numId w:val="42"/>
        </w:numPr>
        <w:tabs>
          <w:tab w:val="left" w:pos="0"/>
        </w:tabs>
        <w:autoSpaceDE w:val="0"/>
        <w:autoSpaceDN w:val="0"/>
        <w:adjustRightInd w:val="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rsidR="00B43B37" w:rsidRPr="00284D51" w:rsidRDefault="00B43B37" w:rsidP="00B43B37">
      <w:pPr>
        <w:widowControl w:val="0"/>
        <w:autoSpaceDE w:val="0"/>
        <w:autoSpaceDN w:val="0"/>
        <w:adjustRightInd w:val="0"/>
        <w:contextualSpacing/>
        <w:rPr>
          <w:i/>
          <w:iCs/>
        </w:rPr>
      </w:pPr>
      <w:r w:rsidRPr="00284D51">
        <w:rPr>
          <w:i/>
          <w:iCs/>
        </w:rPr>
        <w:t>Эхокардиография (ЭхоКГ), включая чрезпищеводную ЭхоКГ</w:t>
      </w:r>
    </w:p>
    <w:p w:rsidR="00B43B37" w:rsidRDefault="00B43B37" w:rsidP="00B43B37">
      <w:pPr>
        <w:widowControl w:val="0"/>
        <w:autoSpaceDE w:val="0"/>
        <w:autoSpaceDN w:val="0"/>
        <w:adjustRightInd w:val="0"/>
        <w:contextualSpacing/>
      </w:pPr>
      <w:r>
        <w:t>Проводится для исключения бактериального эндокардита, особенно в случае:</w:t>
      </w:r>
    </w:p>
    <w:p w:rsidR="00B43B37" w:rsidRDefault="00B43B37" w:rsidP="004F39BB">
      <w:pPr>
        <w:pStyle w:val="afe"/>
        <w:widowControl w:val="0"/>
        <w:numPr>
          <w:ilvl w:val="0"/>
          <w:numId w:val="43"/>
        </w:numPr>
        <w:tabs>
          <w:tab w:val="left" w:pos="0"/>
        </w:tabs>
        <w:autoSpaceDE w:val="0"/>
        <w:autoSpaceDN w:val="0"/>
        <w:adjustRightInd w:val="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rsidR="00B43B37" w:rsidRDefault="00B43B37" w:rsidP="004F39BB">
      <w:pPr>
        <w:pStyle w:val="afe"/>
        <w:widowControl w:val="0"/>
        <w:numPr>
          <w:ilvl w:val="0"/>
          <w:numId w:val="43"/>
        </w:numPr>
        <w:tabs>
          <w:tab w:val="left" w:pos="0"/>
        </w:tabs>
        <w:autoSpaceDE w:val="0"/>
        <w:autoSpaceDN w:val="0"/>
        <w:adjustRightInd w:val="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rsidR="00B43B37" w:rsidRPr="00016F8E" w:rsidRDefault="00B43B37" w:rsidP="00B43B37">
      <w:pPr>
        <w:widowControl w:val="0"/>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rsidR="00B43B37" w:rsidRPr="00761653" w:rsidRDefault="00B43B37" w:rsidP="00B43B37">
      <w:pPr>
        <w:widowControl w:val="0"/>
        <w:autoSpaceDE w:val="0"/>
        <w:autoSpaceDN w:val="0"/>
        <w:adjustRightInd w:val="0"/>
        <w:contextualSpacing/>
      </w:pPr>
      <w:r w:rsidRPr="00761653">
        <w:t>В табл. 1 суммированы диагностические исследования у больных с гематологическими заболеваниями и инфекциями.</w:t>
      </w:r>
    </w:p>
    <w:p w:rsidR="00B43B37" w:rsidRDefault="00B43B37" w:rsidP="00B43B37">
      <w:pPr>
        <w:widowControl w:val="0"/>
        <w:autoSpaceDE w:val="0"/>
        <w:autoSpaceDN w:val="0"/>
        <w:adjustRightInd w:val="0"/>
        <w:contextualSpacing/>
      </w:pPr>
    </w:p>
    <w:p w:rsidR="00B43B37" w:rsidRPr="00761653" w:rsidRDefault="00B43B37" w:rsidP="00B43B37">
      <w:pPr>
        <w:widowControl w:val="0"/>
        <w:autoSpaceDE w:val="0"/>
        <w:autoSpaceDN w:val="0"/>
        <w:adjustRightInd w:val="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B43B37" w:rsidRPr="00761653" w:rsidTr="005600FF">
        <w:trPr>
          <w:trHeight w:val="93"/>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jc w:val="center"/>
              <w:rPr>
                <w:b/>
                <w:bCs/>
              </w:rPr>
            </w:pPr>
            <w:r w:rsidRPr="00761653">
              <w:rPr>
                <w:b/>
                <w:bCs/>
              </w:rPr>
              <w:t>Показания</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jc w:val="center"/>
              <w:rPr>
                <w:b/>
                <w:bCs/>
              </w:rPr>
            </w:pPr>
            <w:r w:rsidRPr="00761653">
              <w:rPr>
                <w:b/>
                <w:bCs/>
              </w:rPr>
              <w:t>Исследование</w:t>
            </w:r>
          </w:p>
        </w:tc>
      </w:tr>
      <w:tr w:rsidR="00B43B37" w:rsidRPr="00265B67" w:rsidTr="005600FF">
        <w:trPr>
          <w:trHeight w:val="702"/>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 xml:space="preserve">Температура ≥38°С, </w:t>
            </w:r>
          </w:p>
          <w:p w:rsidR="00B43B37" w:rsidRPr="00761653" w:rsidRDefault="00B43B37" w:rsidP="005600FF">
            <w:pPr>
              <w:widowControl w:val="0"/>
              <w:autoSpaceDE w:val="0"/>
              <w:autoSpaceDN w:val="0"/>
              <w:adjustRightInd w:val="0"/>
              <w:ind w:left="57" w:right="57" w:firstLine="0"/>
            </w:pPr>
            <w:r w:rsidRPr="00761653">
              <w:t>впервые возникшая</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 xml:space="preserve">Взятие крови в 2 флакона для гемокультуры </w:t>
            </w:r>
          </w:p>
          <w:p w:rsidR="00B43B37" w:rsidRPr="00761653" w:rsidRDefault="00B43B37" w:rsidP="005600FF">
            <w:pPr>
              <w:widowControl w:val="0"/>
              <w:autoSpaceDE w:val="0"/>
              <w:autoSpaceDN w:val="0"/>
              <w:adjustRightInd w:val="0"/>
              <w:ind w:left="57" w:right="57" w:firstLine="0"/>
            </w:pPr>
            <w:r w:rsidRPr="00761653">
              <w:t>(вена-катетер или вена-вена)</w:t>
            </w:r>
          </w:p>
        </w:tc>
      </w:tr>
      <w:tr w:rsidR="00B43B37" w:rsidRPr="00265B67" w:rsidTr="005600FF">
        <w:trPr>
          <w:trHeight w:val="841"/>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Температура ≥38°С в течение</w:t>
            </w:r>
          </w:p>
          <w:p w:rsidR="00B43B37" w:rsidRPr="00761653" w:rsidRDefault="00B43B37" w:rsidP="005600FF">
            <w:pPr>
              <w:widowControl w:val="0"/>
              <w:autoSpaceDE w:val="0"/>
              <w:autoSpaceDN w:val="0"/>
              <w:adjustRightInd w:val="0"/>
              <w:ind w:left="57" w:right="57" w:firstLine="0"/>
            </w:pPr>
            <w:r w:rsidRPr="00761653">
              <w:t xml:space="preserve"> ≥ 5 дней и лейкопения </w:t>
            </w:r>
          </w:p>
        </w:tc>
        <w:tc>
          <w:tcPr>
            <w:tcW w:w="6096" w:type="dxa"/>
            <w:tcMar>
              <w:top w:w="100" w:type="nil"/>
              <w:right w:w="100" w:type="nil"/>
            </w:tcMar>
            <w:vAlign w:val="center"/>
          </w:tcPr>
          <w:p w:rsidR="00B43B37" w:rsidRPr="00761653" w:rsidRDefault="00B43B37" w:rsidP="005600FF">
            <w:pPr>
              <w:ind w:left="57" w:right="57" w:firstLine="0"/>
              <w:contextualSpacing/>
              <w:rPr>
                <w:rFonts w:eastAsia="MS Mincho"/>
              </w:rPr>
            </w:pPr>
            <w:r w:rsidRPr="00761653">
              <w:t>Повторное взятие крови для гемокультуры 1 раз в неделю</w:t>
            </w:r>
          </w:p>
          <w:p w:rsidR="00B43B37" w:rsidRPr="00761653" w:rsidRDefault="00B43B37" w:rsidP="005600FF">
            <w:pPr>
              <w:ind w:left="57" w:right="57" w:firstLine="0"/>
              <w:contextualSpacing/>
            </w:pPr>
            <w:r w:rsidRPr="00761653">
              <w:t>Микробиологическое исследование мочи</w:t>
            </w:r>
          </w:p>
          <w:p w:rsidR="00B43B37" w:rsidRPr="00761653" w:rsidRDefault="00B43B37" w:rsidP="005600FF">
            <w:pPr>
              <w:ind w:left="57" w:right="57" w:firstLine="0"/>
              <w:contextualSpacing/>
            </w:pPr>
            <w:r w:rsidRPr="00761653">
              <w:t>Ректальный мазок</w:t>
            </w:r>
          </w:p>
          <w:p w:rsidR="00B43B37" w:rsidRPr="00761653" w:rsidRDefault="00B43B37" w:rsidP="005600FF">
            <w:pPr>
              <w:ind w:left="57" w:right="57" w:firstLine="0"/>
              <w:contextualSpacing/>
            </w:pPr>
            <w:r w:rsidRPr="00761653">
              <w:t>КТВР легких</w:t>
            </w:r>
          </w:p>
        </w:tc>
      </w:tr>
      <w:tr w:rsidR="00B43B37" w:rsidRPr="00975FC1" w:rsidTr="005600FF">
        <w:trPr>
          <w:trHeight w:val="1491"/>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rsidR="00B43B37" w:rsidRPr="00761653" w:rsidRDefault="00B43B37" w:rsidP="005600FF">
            <w:pPr>
              <w:ind w:left="57" w:right="57" w:firstLine="0"/>
              <w:contextualSpacing/>
              <w:rPr>
                <w:rFonts w:eastAsia="MS Mincho"/>
              </w:rPr>
            </w:pPr>
            <w:r w:rsidRPr="00761653">
              <w:t>УЗИ брюшной полости</w:t>
            </w:r>
          </w:p>
          <w:p w:rsidR="00B43B37" w:rsidRPr="00761653" w:rsidRDefault="00B43B37" w:rsidP="005600FF">
            <w:pPr>
              <w:ind w:left="57" w:right="57" w:firstLine="0"/>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rsidR="00B43B37" w:rsidRPr="00761653" w:rsidRDefault="00B43B37" w:rsidP="005600FF">
            <w:pPr>
              <w:ind w:left="57" w:right="57" w:firstLine="0"/>
              <w:contextualSpacing/>
            </w:pPr>
            <w:r w:rsidRPr="00761653">
              <w:t>КТВР или МРТ органов брюшной полости при неинформативном УЗИ</w:t>
            </w:r>
          </w:p>
        </w:tc>
      </w:tr>
      <w:tr w:rsidR="00B43B37" w:rsidRPr="00975FC1" w:rsidTr="005600FF">
        <w:trPr>
          <w:trHeight w:val="1731"/>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lastRenderedPageBreak/>
              <w:t>Катетер-ассоциированная инфекция</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contextualSpacing/>
              <w:rPr>
                <w:rFonts w:eastAsia="MS Mincho"/>
              </w:rPr>
            </w:pPr>
            <w:r w:rsidRPr="00761653">
              <w:t>Взятие одновременно крови из вены и из ЦВК для микробиологического исследования</w:t>
            </w:r>
          </w:p>
          <w:p w:rsidR="00B43B37" w:rsidRPr="00761653" w:rsidRDefault="00B43B37" w:rsidP="005600FF">
            <w:pPr>
              <w:widowControl w:val="0"/>
              <w:autoSpaceDE w:val="0"/>
              <w:autoSpaceDN w:val="0"/>
              <w:adjustRightInd w:val="0"/>
              <w:ind w:left="57" w:right="57" w:firstLine="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B43B37" w:rsidRPr="00265B67" w:rsidTr="005600FF">
        <w:trPr>
          <w:trHeight w:val="698"/>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 xml:space="preserve">Ожидаемая нейтропения (лейкопения) &gt;10 дней </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 xml:space="preserve">Исследование крови на антиген </w:t>
            </w:r>
            <w:r w:rsidRPr="00761653">
              <w:rPr>
                <w:i/>
                <w:iCs/>
              </w:rPr>
              <w:t>Aspergillus</w:t>
            </w:r>
            <w:r w:rsidRPr="00761653">
              <w:t xml:space="preserve"> 2 раза в неделю</w:t>
            </w:r>
          </w:p>
        </w:tc>
      </w:tr>
      <w:tr w:rsidR="00B43B37" w:rsidRPr="00761653" w:rsidTr="005600FF">
        <w:trPr>
          <w:trHeight w:val="556"/>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Стоматит</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Мазок со слизистой ротоглотки</w:t>
            </w:r>
          </w:p>
        </w:tc>
      </w:tr>
      <w:tr w:rsidR="00B43B37" w:rsidRPr="00265B67" w:rsidTr="005600FF">
        <w:trPr>
          <w:trHeight w:val="976"/>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Эзофагит</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Эзофагоскопия (тромбоцитов не менее 50x10</w:t>
            </w:r>
            <w:r w:rsidRPr="00761653">
              <w:rPr>
                <w:vertAlign w:val="superscript"/>
              </w:rPr>
              <w:t>9</w:t>
            </w:r>
            <w:r w:rsidRPr="00761653">
              <w:t>/л)</w:t>
            </w:r>
          </w:p>
          <w:p w:rsidR="00B43B37" w:rsidRPr="00761653" w:rsidRDefault="00B43B37" w:rsidP="005600FF">
            <w:pPr>
              <w:widowControl w:val="0"/>
              <w:autoSpaceDE w:val="0"/>
              <w:autoSpaceDN w:val="0"/>
              <w:adjustRightInd w:val="0"/>
              <w:ind w:left="57" w:right="57" w:firstLine="0"/>
            </w:pPr>
            <w:r w:rsidRPr="00761653">
              <w:t>Исследование - соскоб (браш-метод) со слизистой оболочки или биопсия</w:t>
            </w:r>
          </w:p>
        </w:tc>
      </w:tr>
      <w:tr w:rsidR="00B43B37" w:rsidRPr="00265B67" w:rsidTr="005600FF">
        <w:trPr>
          <w:trHeight w:val="704"/>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Некроз слизистой оболочки носового хода</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Мазок со слизистой оболочки носа</w:t>
            </w:r>
          </w:p>
        </w:tc>
      </w:tr>
      <w:tr w:rsidR="00B43B37" w:rsidRPr="00265B67" w:rsidTr="005600FF">
        <w:trPr>
          <w:trHeight w:val="701"/>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Гайморит</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Исследование содержимого околоносовой пазухи, полученной при пункции</w:t>
            </w:r>
          </w:p>
        </w:tc>
      </w:tr>
      <w:tr w:rsidR="00B43B37" w:rsidRPr="00761653" w:rsidTr="005600FF">
        <w:trPr>
          <w:trHeight w:val="825"/>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Симптомы инфекции мочевыводящих путей</w:t>
            </w:r>
          </w:p>
          <w:p w:rsidR="00B43B37" w:rsidRPr="00761653" w:rsidRDefault="00B43B37" w:rsidP="005600FF">
            <w:pPr>
              <w:widowControl w:val="0"/>
              <w:autoSpaceDE w:val="0"/>
              <w:autoSpaceDN w:val="0"/>
              <w:adjustRightInd w:val="0"/>
              <w:ind w:left="57" w:right="57" w:firstLine="0"/>
            </w:pPr>
            <w:r w:rsidRPr="00761653">
              <w:t>Лейкоцитурия</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Микробиологическое исследование мочи</w:t>
            </w:r>
          </w:p>
        </w:tc>
      </w:tr>
      <w:tr w:rsidR="00B43B37" w:rsidRPr="00265B67" w:rsidTr="005600FF">
        <w:trPr>
          <w:trHeight w:val="1016"/>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Пневмония</w:t>
            </w:r>
          </w:p>
        </w:tc>
        <w:tc>
          <w:tcPr>
            <w:tcW w:w="6096" w:type="dxa"/>
            <w:tcMar>
              <w:top w:w="100" w:type="nil"/>
              <w:right w:w="100" w:type="nil"/>
            </w:tcMar>
          </w:tcPr>
          <w:p w:rsidR="00B43B37" w:rsidRPr="00761653" w:rsidRDefault="00B43B37" w:rsidP="005600FF">
            <w:pPr>
              <w:widowControl w:val="0"/>
              <w:autoSpaceDE w:val="0"/>
              <w:autoSpaceDN w:val="0"/>
              <w:adjustRightInd w:val="0"/>
              <w:ind w:left="57" w:right="57" w:firstLine="0"/>
              <w:contextualSpacing/>
            </w:pPr>
            <w:r w:rsidRPr="00761653">
              <w:t>КТВР легких</w:t>
            </w:r>
          </w:p>
          <w:p w:rsidR="00B43B37" w:rsidRPr="00761653" w:rsidRDefault="00B43B37" w:rsidP="005600FF">
            <w:pPr>
              <w:widowControl w:val="0"/>
              <w:autoSpaceDE w:val="0"/>
              <w:autoSpaceDN w:val="0"/>
              <w:adjustRightInd w:val="0"/>
              <w:ind w:left="57" w:right="57" w:firstLine="0"/>
              <w:contextualSpacing/>
            </w:pPr>
            <w:r w:rsidRPr="00761653">
              <w:t>Бронхоальвеолярный лаваж после КТВР легких</w:t>
            </w:r>
          </w:p>
          <w:p w:rsidR="00B43B37" w:rsidRPr="00761653" w:rsidRDefault="00B43B37" w:rsidP="005600FF">
            <w:pPr>
              <w:widowControl w:val="0"/>
              <w:autoSpaceDE w:val="0"/>
              <w:autoSpaceDN w:val="0"/>
              <w:adjustRightInd w:val="0"/>
              <w:ind w:left="57" w:right="57" w:firstLine="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rsidR="00B43B37" w:rsidRPr="00761653" w:rsidRDefault="00B43B37" w:rsidP="005600FF">
            <w:pPr>
              <w:widowControl w:val="0"/>
              <w:autoSpaceDE w:val="0"/>
              <w:autoSpaceDN w:val="0"/>
              <w:adjustRightInd w:val="0"/>
              <w:ind w:left="57" w:right="57" w:firstLine="0"/>
              <w:contextualSpacing/>
            </w:pPr>
            <w:r w:rsidRPr="00761653">
              <w:t xml:space="preserve">Исследование крови на антиген </w:t>
            </w:r>
            <w:r w:rsidRPr="00761653">
              <w:rPr>
                <w:i/>
                <w:iCs/>
              </w:rPr>
              <w:t>Aspergillus</w:t>
            </w:r>
          </w:p>
        </w:tc>
      </w:tr>
      <w:tr w:rsidR="00B43B37" w:rsidRPr="00265B67" w:rsidTr="005600FF">
        <w:trPr>
          <w:trHeight w:val="360"/>
        </w:trPr>
        <w:tc>
          <w:tcPr>
            <w:tcW w:w="3510" w:type="dxa"/>
            <w:tcMar>
              <w:top w:w="100" w:type="nil"/>
              <w:right w:w="100" w:type="nil"/>
            </w:tcMar>
          </w:tcPr>
          <w:p w:rsidR="00B43B37" w:rsidRPr="00761653" w:rsidRDefault="00B43B37" w:rsidP="005600FF">
            <w:pPr>
              <w:widowControl w:val="0"/>
              <w:autoSpaceDE w:val="0"/>
              <w:autoSpaceDN w:val="0"/>
              <w:adjustRightInd w:val="0"/>
              <w:ind w:left="57" w:right="57" w:firstLine="0"/>
            </w:pPr>
            <w:r w:rsidRPr="00761653">
              <w:t>Cимптомы менингита</w:t>
            </w:r>
          </w:p>
          <w:p w:rsidR="00B43B37" w:rsidRPr="00761653" w:rsidRDefault="00B43B37" w:rsidP="005600FF">
            <w:pPr>
              <w:widowControl w:val="0"/>
              <w:autoSpaceDE w:val="0"/>
              <w:autoSpaceDN w:val="0"/>
              <w:adjustRightInd w:val="0"/>
              <w:ind w:left="57" w:right="57" w:firstLine="0"/>
              <w:rPr>
                <w:rFonts w:eastAsia="MS Mincho"/>
              </w:rPr>
            </w:pPr>
            <w:r w:rsidRPr="00761653">
              <w:t>«Мозговая» симптоматика на фоне лихорадки и нейтропении</w:t>
            </w:r>
          </w:p>
          <w:p w:rsidR="00B43B37" w:rsidRPr="00761653" w:rsidRDefault="00B43B37" w:rsidP="005600FF">
            <w:pPr>
              <w:widowControl w:val="0"/>
              <w:autoSpaceDE w:val="0"/>
              <w:autoSpaceDN w:val="0"/>
              <w:adjustRightInd w:val="0"/>
              <w:ind w:left="57" w:right="57" w:firstLine="0"/>
            </w:pPr>
            <w:r w:rsidRPr="00761653">
              <w:t>Обнаружение очага (очагов) в головном мозге</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contextualSpacing/>
              <w:rPr>
                <w:rFonts w:eastAsia="MS Mincho"/>
              </w:rPr>
            </w:pPr>
            <w:r w:rsidRPr="00761653">
              <w:t>Люмбальная пункция</w:t>
            </w:r>
          </w:p>
          <w:p w:rsidR="00B43B37" w:rsidRPr="00761653" w:rsidRDefault="00B43B37" w:rsidP="005600FF">
            <w:pPr>
              <w:widowControl w:val="0"/>
              <w:autoSpaceDE w:val="0"/>
              <w:autoSpaceDN w:val="0"/>
              <w:adjustRightInd w:val="0"/>
              <w:ind w:left="57" w:right="57" w:firstLine="0"/>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B43B37" w:rsidRPr="00265B67" w:rsidTr="005600FF">
        <w:trPr>
          <w:trHeight w:val="93"/>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t>Диарея</w:t>
            </w:r>
          </w:p>
        </w:tc>
        <w:tc>
          <w:tcPr>
            <w:tcW w:w="6096" w:type="dxa"/>
            <w:tcMar>
              <w:top w:w="100" w:type="nil"/>
              <w:right w:w="100" w:type="nil"/>
            </w:tcMar>
          </w:tcPr>
          <w:p w:rsidR="00B43B37" w:rsidRPr="00761653" w:rsidRDefault="00B43B37" w:rsidP="005600FF">
            <w:pPr>
              <w:widowControl w:val="0"/>
              <w:autoSpaceDE w:val="0"/>
              <w:autoSpaceDN w:val="0"/>
              <w:adjustRightInd w:val="0"/>
              <w:ind w:left="57" w:right="57" w:firstLine="0"/>
            </w:pPr>
            <w:r w:rsidRPr="00761653">
              <w:t xml:space="preserve">Исследование кала на токсин </w:t>
            </w:r>
            <w:r w:rsidRPr="00761653">
              <w:rPr>
                <w:i/>
                <w:iCs/>
              </w:rPr>
              <w:t>C. difficile</w:t>
            </w:r>
          </w:p>
        </w:tc>
      </w:tr>
      <w:tr w:rsidR="00B43B37" w:rsidRPr="00265B67" w:rsidTr="005600FF">
        <w:trPr>
          <w:trHeight w:val="187"/>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contextualSpacing/>
              <w:rPr>
                <w:rFonts w:eastAsia="MS Mincho"/>
              </w:rPr>
            </w:pPr>
            <w:r w:rsidRPr="00761653">
              <w:t>Парапроктит</w:t>
            </w:r>
          </w:p>
          <w:p w:rsidR="00B43B37" w:rsidRPr="00761653" w:rsidRDefault="00B43B37" w:rsidP="005600FF">
            <w:pPr>
              <w:widowControl w:val="0"/>
              <w:autoSpaceDE w:val="0"/>
              <w:autoSpaceDN w:val="0"/>
              <w:adjustRightInd w:val="0"/>
              <w:ind w:left="57" w:right="57" w:firstLine="0"/>
              <w:contextualSpacing/>
            </w:pPr>
            <w:r w:rsidRPr="00761653">
              <w:lastRenderedPageBreak/>
              <w:t>Трещина в области прямой кишки</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pPr>
            <w:r w:rsidRPr="00761653">
              <w:lastRenderedPageBreak/>
              <w:t>Мазок со слизистой оболочки прямой кишки</w:t>
            </w:r>
          </w:p>
        </w:tc>
      </w:tr>
      <w:tr w:rsidR="00B43B37" w:rsidRPr="00265B67" w:rsidTr="005600FF">
        <w:trPr>
          <w:trHeight w:val="200"/>
        </w:trPr>
        <w:tc>
          <w:tcPr>
            <w:tcW w:w="3510"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contextualSpacing/>
            </w:pPr>
            <w:r w:rsidRPr="00761653">
              <w:t>Образования (инфильтраты) на коже</w:t>
            </w:r>
          </w:p>
        </w:tc>
        <w:tc>
          <w:tcPr>
            <w:tcW w:w="6096" w:type="dxa"/>
            <w:tcMar>
              <w:top w:w="100" w:type="nil"/>
              <w:right w:w="100" w:type="nil"/>
            </w:tcMar>
            <w:vAlign w:val="center"/>
          </w:tcPr>
          <w:p w:rsidR="00B43B37" w:rsidRPr="00761653" w:rsidRDefault="00B43B37" w:rsidP="005600FF">
            <w:pPr>
              <w:widowControl w:val="0"/>
              <w:autoSpaceDE w:val="0"/>
              <w:autoSpaceDN w:val="0"/>
              <w:adjustRightInd w:val="0"/>
              <w:ind w:left="57" w:right="57" w:firstLine="0"/>
              <w:contextualSpacing/>
            </w:pPr>
            <w:r w:rsidRPr="00761653">
              <w:t>Биопсия</w:t>
            </w:r>
          </w:p>
          <w:p w:rsidR="00B43B37" w:rsidRPr="00761653" w:rsidRDefault="00B43B37" w:rsidP="005600FF">
            <w:pPr>
              <w:widowControl w:val="0"/>
              <w:autoSpaceDE w:val="0"/>
              <w:autoSpaceDN w:val="0"/>
              <w:adjustRightInd w:val="0"/>
              <w:ind w:left="57" w:right="57" w:firstLine="0"/>
              <w:contextualSpacing/>
            </w:pPr>
            <w:r w:rsidRPr="00761653">
              <w:t>Микробиологическое и гистологическое исследование биоптата</w:t>
            </w:r>
          </w:p>
        </w:tc>
      </w:tr>
    </w:tbl>
    <w:p w:rsidR="00B43B37" w:rsidRDefault="00B43B37" w:rsidP="00B43B37">
      <w:pPr>
        <w:widowControl w:val="0"/>
        <w:tabs>
          <w:tab w:val="left" w:pos="1134"/>
        </w:tabs>
        <w:autoSpaceDE w:val="0"/>
        <w:autoSpaceDN w:val="0"/>
        <w:adjustRightInd w:val="0"/>
        <w:ind w:right="-130"/>
        <w:contextualSpacing/>
        <w:rPr>
          <w:b/>
          <w:bCs/>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Показания к назначению антибактериальной терапии первого этапа</w:t>
      </w:r>
    </w:p>
    <w:p w:rsidR="00B43B37" w:rsidRPr="0076198F" w:rsidRDefault="00B43B37" w:rsidP="00B43B37">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лимфомами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rsidR="00B43B37" w:rsidRDefault="00B43B37" w:rsidP="00B43B37">
      <w:pPr>
        <w:widowControl w:val="0"/>
        <w:tabs>
          <w:tab w:val="left" w:pos="1134"/>
        </w:tabs>
        <w:autoSpaceDE w:val="0"/>
        <w:autoSpaceDN w:val="0"/>
        <w:adjustRightInd w:val="0"/>
        <w:ind w:right="-130"/>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rsidR="00B43B37" w:rsidRPr="00761653" w:rsidRDefault="00B43B37" w:rsidP="00B43B37">
      <w:pPr>
        <w:widowControl w:val="0"/>
        <w:autoSpaceDE w:val="0"/>
        <w:autoSpaceDN w:val="0"/>
        <w:adjustRightInd w:val="0"/>
        <w:ind w:right="-130"/>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rsidR="00B43B37" w:rsidRPr="00761653" w:rsidRDefault="00B43B37" w:rsidP="00B43B37">
      <w:pPr>
        <w:widowControl w:val="0"/>
        <w:autoSpaceDE w:val="0"/>
        <w:autoSpaceDN w:val="0"/>
        <w:adjustRightInd w:val="0"/>
        <w:ind w:right="-220"/>
        <w:contextualSpacing/>
      </w:pPr>
      <w:r w:rsidRPr="00761653">
        <w:t xml:space="preserve">Показаниями к назначению антипсевдомонадных карбапенемов </w:t>
      </w:r>
      <w:r w:rsidRPr="00761653">
        <w:lastRenderedPageBreak/>
        <w:t>(имипенема/циластатина,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rsidR="00B43B37" w:rsidRPr="00761653" w:rsidRDefault="00B43B37" w:rsidP="00B43B37">
      <w:pPr>
        <w:widowControl w:val="0"/>
        <w:autoSpaceDE w:val="0"/>
        <w:autoSpaceDN w:val="0"/>
        <w:adjustRightInd w:val="0"/>
        <w:ind w:right="-220"/>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rsidR="00B43B37" w:rsidRDefault="00B43B37" w:rsidP="00B43B37">
      <w:pPr>
        <w:widowControl w:val="0"/>
        <w:autoSpaceDE w:val="0"/>
        <w:autoSpaceDN w:val="0"/>
        <w:adjustRightInd w:val="0"/>
        <w:ind w:right="49"/>
        <w:contextualSpacing/>
        <w:rPr>
          <w:bCs/>
          <w:u w:val="single"/>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Эмпирическое назначение противогрибковых препаратов</w:t>
      </w:r>
    </w:p>
    <w:p w:rsidR="00B43B37" w:rsidRPr="00761653" w:rsidRDefault="00B43B37" w:rsidP="00B43B37">
      <w:pPr>
        <w:widowControl w:val="0"/>
        <w:autoSpaceDE w:val="0"/>
        <w:autoSpaceDN w:val="0"/>
        <w:adjustRightInd w:val="0"/>
        <w:ind w:right="-211"/>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rsidR="00B43B37" w:rsidRDefault="00B43B37" w:rsidP="00B43B37">
      <w:pPr>
        <w:widowControl w:val="0"/>
        <w:autoSpaceDE w:val="0"/>
        <w:autoSpaceDN w:val="0"/>
        <w:adjustRightInd w:val="0"/>
        <w:ind w:right="49"/>
        <w:contextualSpacing/>
        <w:rPr>
          <w:bCs/>
          <w:u w:val="single"/>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Превентивная терапия инвазивного микоза</w:t>
      </w:r>
    </w:p>
    <w:p w:rsidR="00B43B37" w:rsidRPr="00761653" w:rsidRDefault="00B43B37" w:rsidP="00B43B37">
      <w:pPr>
        <w:widowControl w:val="0"/>
        <w:autoSpaceDE w:val="0"/>
        <w:autoSpaceDN w:val="0"/>
        <w:adjustRightInd w:val="0"/>
        <w:ind w:right="-211"/>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w:t>
      </w:r>
      <w:r w:rsidRPr="00761653">
        <w:lastRenderedPageBreak/>
        <w:t xml:space="preserve">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rsidR="00B43B37" w:rsidRPr="00761653" w:rsidRDefault="00B43B37" w:rsidP="00B43B37">
      <w:pPr>
        <w:widowControl w:val="0"/>
        <w:autoSpaceDE w:val="0"/>
        <w:autoSpaceDN w:val="0"/>
        <w:adjustRightInd w:val="0"/>
        <w:ind w:right="-211"/>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rsidR="00B43B37" w:rsidRDefault="00B43B37" w:rsidP="00B43B37">
      <w:pPr>
        <w:widowControl w:val="0"/>
        <w:tabs>
          <w:tab w:val="left" w:pos="1134"/>
        </w:tabs>
        <w:autoSpaceDE w:val="0"/>
        <w:autoSpaceDN w:val="0"/>
        <w:adjustRightInd w:val="0"/>
        <w:ind w:right="49"/>
        <w:contextualSpacing/>
        <w:rPr>
          <w:b/>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Лечение микробиологически подтвержденных инфекций</w:t>
      </w:r>
    </w:p>
    <w:p w:rsidR="00B43B37" w:rsidRPr="00761653" w:rsidRDefault="00B43B37" w:rsidP="00B43B37">
      <w:pPr>
        <w:widowControl w:val="0"/>
        <w:tabs>
          <w:tab w:val="left" w:pos="1134"/>
        </w:tabs>
        <w:autoSpaceDE w:val="0"/>
        <w:autoSpaceDN w:val="0"/>
        <w:adjustRightInd w:val="0"/>
        <w:ind w:right="49"/>
        <w:contextualSpacing/>
        <w:rPr>
          <w:b/>
        </w:rPr>
      </w:pPr>
      <w:r w:rsidRPr="00761653">
        <w:rPr>
          <w:b/>
        </w:rPr>
        <w:t>Грамотрицательные возбудители</w:t>
      </w:r>
    </w:p>
    <w:p w:rsidR="00B43B37" w:rsidRPr="00284D51" w:rsidRDefault="00B43B37" w:rsidP="00B43B37">
      <w:pPr>
        <w:widowControl w:val="0"/>
        <w:autoSpaceDE w:val="0"/>
        <w:autoSpaceDN w:val="0"/>
        <w:adjustRightInd w:val="0"/>
        <w:ind w:right="49"/>
        <w:contextualSpacing/>
        <w:rPr>
          <w:bCs/>
          <w:i/>
          <w:iCs/>
        </w:rPr>
      </w:pPr>
      <w:r w:rsidRPr="00284D51">
        <w:rPr>
          <w:bCs/>
          <w:i/>
          <w:iCs/>
        </w:rPr>
        <w:t>Энтеробактерии с продукцией БЛРС, Enterobacter spp</w:t>
      </w:r>
    </w:p>
    <w:p w:rsidR="00B43B37" w:rsidRPr="00761653" w:rsidRDefault="00B43B37" w:rsidP="00B43B37">
      <w:pPr>
        <w:widowControl w:val="0"/>
        <w:autoSpaceDE w:val="0"/>
        <w:autoSpaceDN w:val="0"/>
        <w:adjustRightInd w:val="0"/>
        <w:ind w:right="4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rsidR="00B43B37" w:rsidRPr="00284D51" w:rsidRDefault="00B43B37" w:rsidP="00B43B37">
      <w:pPr>
        <w:widowControl w:val="0"/>
        <w:autoSpaceDE w:val="0"/>
        <w:autoSpaceDN w:val="0"/>
        <w:adjustRightInd w:val="0"/>
        <w:ind w:right="49"/>
        <w:contextualSpacing/>
        <w:rPr>
          <w:bCs/>
          <w:i/>
          <w:iCs/>
        </w:rPr>
      </w:pPr>
      <w:r w:rsidRPr="00284D51">
        <w:rPr>
          <w:bCs/>
          <w:i/>
          <w:iCs/>
        </w:rPr>
        <w:t xml:space="preserve">Энтеробактерии с продукцией карбапенемаз </w:t>
      </w:r>
    </w:p>
    <w:p w:rsidR="00B43B37" w:rsidRPr="00761653" w:rsidRDefault="00B43B37" w:rsidP="00B43B37">
      <w:pPr>
        <w:widowControl w:val="0"/>
        <w:autoSpaceDE w:val="0"/>
        <w:autoSpaceDN w:val="0"/>
        <w:adjustRightInd w:val="0"/>
        <w:ind w:right="4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rsidR="00B43B37" w:rsidRDefault="00B43B37" w:rsidP="00B43B37"/>
    <w:p w:rsidR="00B43B37" w:rsidRPr="00761653" w:rsidRDefault="00B43B37" w:rsidP="00B43B37">
      <w:r w:rsidRPr="00761653">
        <w:t>Таблица 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B43B37" w:rsidRPr="00761653" w:rsidTr="005600FF">
        <w:trPr>
          <w:trHeight w:val="555"/>
        </w:trPr>
        <w:tc>
          <w:tcPr>
            <w:tcW w:w="3227" w:type="dxa"/>
            <w:vAlign w:val="center"/>
          </w:tcPr>
          <w:p w:rsidR="00B43B37" w:rsidRPr="00761653" w:rsidRDefault="00B43B37" w:rsidP="005600FF">
            <w:pPr>
              <w:ind w:left="57" w:right="57" w:firstLine="0"/>
              <w:jc w:val="center"/>
              <w:rPr>
                <w:lang w:val="en-US"/>
              </w:rPr>
            </w:pPr>
            <w:r w:rsidRPr="00761653">
              <w:t>Препарат</w:t>
            </w:r>
          </w:p>
        </w:tc>
        <w:tc>
          <w:tcPr>
            <w:tcW w:w="6520" w:type="dxa"/>
            <w:vAlign w:val="center"/>
          </w:tcPr>
          <w:p w:rsidR="00B43B37" w:rsidRPr="00761653" w:rsidRDefault="00B43B37" w:rsidP="005600FF">
            <w:pPr>
              <w:ind w:left="57" w:right="57" w:firstLine="0"/>
              <w:jc w:val="center"/>
              <w:rPr>
                <w:lang w:val="en-US"/>
              </w:rPr>
            </w:pPr>
            <w:r w:rsidRPr="00761653">
              <w:t>Доза</w:t>
            </w:r>
          </w:p>
        </w:tc>
      </w:tr>
      <w:tr w:rsidR="00B43B37" w:rsidRPr="00265B67" w:rsidTr="005600FF">
        <w:trPr>
          <w:trHeight w:val="421"/>
        </w:trPr>
        <w:tc>
          <w:tcPr>
            <w:tcW w:w="3227" w:type="dxa"/>
          </w:tcPr>
          <w:p w:rsidR="00B43B37" w:rsidRPr="00761653" w:rsidRDefault="00B43B37" w:rsidP="005600FF">
            <w:pPr>
              <w:ind w:left="57" w:right="57" w:firstLine="0"/>
            </w:pPr>
            <w:r w:rsidRPr="00761653">
              <w:t>Цефтазидим-авибактам</w:t>
            </w:r>
          </w:p>
        </w:tc>
        <w:tc>
          <w:tcPr>
            <w:tcW w:w="6520" w:type="dxa"/>
          </w:tcPr>
          <w:p w:rsidR="00B43B37" w:rsidRPr="00761653" w:rsidRDefault="00B43B37" w:rsidP="005600FF">
            <w:pPr>
              <w:ind w:left="57" w:right="57" w:firstLine="0"/>
            </w:pPr>
            <w:r w:rsidRPr="00761653">
              <w:t>2,5 г каждые 8 часов, длительность инфузии 2 часа</w:t>
            </w:r>
          </w:p>
        </w:tc>
      </w:tr>
      <w:tr w:rsidR="00B43B37" w:rsidRPr="00975FC1" w:rsidTr="005600FF">
        <w:trPr>
          <w:trHeight w:val="825"/>
        </w:trPr>
        <w:tc>
          <w:tcPr>
            <w:tcW w:w="3227" w:type="dxa"/>
          </w:tcPr>
          <w:p w:rsidR="00B43B37" w:rsidRPr="00761653" w:rsidRDefault="00B43B37" w:rsidP="005600FF">
            <w:pPr>
              <w:ind w:left="57" w:right="57" w:firstLine="0"/>
              <w:rPr>
                <w:lang w:val="en-US"/>
              </w:rPr>
            </w:pPr>
            <w:r w:rsidRPr="00761653">
              <w:t>Меропенем</w:t>
            </w:r>
          </w:p>
        </w:tc>
        <w:tc>
          <w:tcPr>
            <w:tcW w:w="6520" w:type="dxa"/>
          </w:tcPr>
          <w:p w:rsidR="00B43B37" w:rsidRPr="00761653" w:rsidRDefault="00B43B37" w:rsidP="005600FF">
            <w:pPr>
              <w:ind w:left="57" w:right="57" w:firstLine="0"/>
            </w:pPr>
            <w:r w:rsidRPr="00761653">
              <w:t xml:space="preserve">2 г каждые 8 часов </w:t>
            </w:r>
          </w:p>
          <w:p w:rsidR="00B43B37" w:rsidRPr="00761653" w:rsidRDefault="00B43B37" w:rsidP="005600FF">
            <w:pPr>
              <w:ind w:left="57" w:right="57" w:firstLine="0"/>
            </w:pPr>
            <w:r w:rsidRPr="00761653">
              <w:t>пролонгированная инфузия в течение 3х часов</w:t>
            </w:r>
          </w:p>
        </w:tc>
      </w:tr>
      <w:tr w:rsidR="00B43B37" w:rsidRPr="00761653" w:rsidTr="005600FF">
        <w:trPr>
          <w:trHeight w:val="270"/>
        </w:trPr>
        <w:tc>
          <w:tcPr>
            <w:tcW w:w="3227" w:type="dxa"/>
          </w:tcPr>
          <w:p w:rsidR="00B43B37" w:rsidRPr="00761653" w:rsidRDefault="00B43B37" w:rsidP="005600FF">
            <w:pPr>
              <w:ind w:left="57" w:right="57" w:firstLine="0"/>
              <w:rPr>
                <w:lang w:val="en-US"/>
              </w:rPr>
            </w:pPr>
            <w:r w:rsidRPr="00761653">
              <w:t>Имипенем</w:t>
            </w:r>
          </w:p>
        </w:tc>
        <w:tc>
          <w:tcPr>
            <w:tcW w:w="6520" w:type="dxa"/>
          </w:tcPr>
          <w:p w:rsidR="00B43B37" w:rsidRPr="00761653" w:rsidRDefault="00B43B37" w:rsidP="005600FF">
            <w:pPr>
              <w:ind w:left="57" w:right="57" w:firstLine="0"/>
            </w:pPr>
            <w:r w:rsidRPr="00761653">
              <w:t>1 г каждые 8 часов</w:t>
            </w:r>
          </w:p>
        </w:tc>
      </w:tr>
      <w:tr w:rsidR="00B43B37" w:rsidRPr="00975FC1" w:rsidTr="005600FF">
        <w:tc>
          <w:tcPr>
            <w:tcW w:w="3227" w:type="dxa"/>
          </w:tcPr>
          <w:p w:rsidR="00B43B37" w:rsidRPr="00761653" w:rsidRDefault="00B43B37" w:rsidP="005600FF">
            <w:pPr>
              <w:ind w:left="57" w:right="57" w:firstLine="0"/>
              <w:rPr>
                <w:lang w:val="en-US"/>
              </w:rPr>
            </w:pPr>
            <w:r w:rsidRPr="00761653">
              <w:t>Дорипенем</w:t>
            </w:r>
          </w:p>
        </w:tc>
        <w:tc>
          <w:tcPr>
            <w:tcW w:w="6520" w:type="dxa"/>
          </w:tcPr>
          <w:p w:rsidR="00B43B37" w:rsidRPr="00761653" w:rsidRDefault="00B43B37" w:rsidP="005600FF">
            <w:pPr>
              <w:ind w:left="57" w:right="57" w:firstLine="0"/>
            </w:pPr>
            <w:r w:rsidRPr="00761653">
              <w:t>1 г каждые 8 часов, продленная инфузия (4 часа)</w:t>
            </w:r>
          </w:p>
        </w:tc>
      </w:tr>
      <w:tr w:rsidR="00B43B37" w:rsidRPr="00265B67" w:rsidTr="005600FF">
        <w:tc>
          <w:tcPr>
            <w:tcW w:w="3227" w:type="dxa"/>
          </w:tcPr>
          <w:p w:rsidR="00B43B37" w:rsidRPr="00761653" w:rsidRDefault="00B43B37" w:rsidP="005600FF">
            <w:pPr>
              <w:ind w:left="57" w:right="57" w:firstLine="0"/>
              <w:rPr>
                <w:lang w:val="en-US"/>
              </w:rPr>
            </w:pPr>
            <w:r w:rsidRPr="00761653">
              <w:t>Эртапенем</w:t>
            </w:r>
          </w:p>
        </w:tc>
        <w:tc>
          <w:tcPr>
            <w:tcW w:w="6520" w:type="dxa"/>
          </w:tcPr>
          <w:p w:rsidR="00B43B37" w:rsidRPr="00761653" w:rsidRDefault="00B43B37" w:rsidP="005600FF">
            <w:pPr>
              <w:ind w:left="57" w:right="57" w:firstLine="0"/>
            </w:pPr>
            <w:r w:rsidRPr="00761653">
              <w:t>1 г каждые 24 часа или 1г каждые 12 час</w:t>
            </w:r>
          </w:p>
          <w:p w:rsidR="00B43B37" w:rsidRPr="00761653" w:rsidRDefault="00B43B37" w:rsidP="005600FF">
            <w:pPr>
              <w:ind w:left="57" w:right="57" w:firstLine="0"/>
            </w:pPr>
            <w:r w:rsidRPr="00761653">
              <w:lastRenderedPageBreak/>
              <w:t>Используют в режиме “два карбапенема” при отсутствии других опций</w:t>
            </w:r>
          </w:p>
        </w:tc>
      </w:tr>
      <w:tr w:rsidR="00B43B37" w:rsidRPr="00975FC1" w:rsidTr="005600FF">
        <w:tc>
          <w:tcPr>
            <w:tcW w:w="3227" w:type="dxa"/>
          </w:tcPr>
          <w:p w:rsidR="00B43B37" w:rsidRPr="00761653" w:rsidRDefault="00B43B37" w:rsidP="005600FF">
            <w:pPr>
              <w:ind w:left="57" w:right="57" w:firstLine="0"/>
            </w:pPr>
            <w:r w:rsidRPr="00761653">
              <w:lastRenderedPageBreak/>
              <w:t>Колистин</w:t>
            </w:r>
          </w:p>
        </w:tc>
        <w:tc>
          <w:tcPr>
            <w:tcW w:w="6520" w:type="dxa"/>
          </w:tcPr>
          <w:p w:rsidR="00B43B37" w:rsidRPr="00761653" w:rsidRDefault="00B43B37" w:rsidP="005600FF">
            <w:pPr>
              <w:ind w:left="57" w:right="57" w:firstLine="0"/>
            </w:pPr>
            <w:r w:rsidRPr="00761653">
              <w:t>Нагрузочная доза 9 млн МЕ, в первый день, однократно, далее по 4,5 млн МЕ</w:t>
            </w:r>
            <w:r w:rsidRPr="00761653">
              <w:rPr>
                <w:color w:val="4D5156"/>
                <w:shd w:val="clear" w:color="auto" w:fill="FFFFFF"/>
              </w:rPr>
              <w:t xml:space="preserve"> </w:t>
            </w:r>
            <w:r w:rsidRPr="00761653">
              <w:t xml:space="preserve">каждые 12 час </w:t>
            </w:r>
          </w:p>
          <w:p w:rsidR="00B43B37" w:rsidRPr="00761653" w:rsidRDefault="00B43B37" w:rsidP="005600FF">
            <w:pPr>
              <w:ind w:left="57" w:right="57" w:firstLine="0"/>
            </w:pPr>
            <w:r w:rsidRPr="00761653">
              <w:t>Ингаляции 1-3 млн МЕ каждые 8 часов</w:t>
            </w:r>
          </w:p>
        </w:tc>
      </w:tr>
      <w:tr w:rsidR="00B43B37" w:rsidRPr="00265B67" w:rsidTr="005600FF">
        <w:tc>
          <w:tcPr>
            <w:tcW w:w="3227" w:type="dxa"/>
          </w:tcPr>
          <w:p w:rsidR="00B43B37" w:rsidRPr="00761653" w:rsidRDefault="00B43B37" w:rsidP="005600FF">
            <w:pPr>
              <w:ind w:left="57" w:right="57" w:firstLine="0"/>
            </w:pPr>
            <w:r w:rsidRPr="00761653">
              <w:t>Полимиксин В</w:t>
            </w:r>
          </w:p>
        </w:tc>
        <w:tc>
          <w:tcPr>
            <w:tcW w:w="6520" w:type="dxa"/>
          </w:tcPr>
          <w:p w:rsidR="00B43B37" w:rsidRPr="00761653" w:rsidRDefault="00B43B37" w:rsidP="005600FF">
            <w:pPr>
              <w:ind w:left="57" w:right="57" w:firstLine="0"/>
            </w:pPr>
            <w:r w:rsidRPr="00761653">
              <w:t xml:space="preserve">Нагрузочная доза 2-2,5 мг/кг, далее 1,25-1,5 мг/кг каждые 12 час </w:t>
            </w:r>
          </w:p>
        </w:tc>
      </w:tr>
      <w:tr w:rsidR="00B43B37" w:rsidRPr="00265B67" w:rsidTr="005600FF">
        <w:tc>
          <w:tcPr>
            <w:tcW w:w="3227" w:type="dxa"/>
          </w:tcPr>
          <w:p w:rsidR="00B43B37" w:rsidRPr="00761653" w:rsidRDefault="00B43B37" w:rsidP="005600FF">
            <w:pPr>
              <w:ind w:left="57" w:right="57" w:firstLine="0"/>
            </w:pPr>
            <w:r w:rsidRPr="00761653">
              <w:t>Тигециклин</w:t>
            </w:r>
          </w:p>
        </w:tc>
        <w:tc>
          <w:tcPr>
            <w:tcW w:w="6520" w:type="dxa"/>
          </w:tcPr>
          <w:p w:rsidR="00B43B37" w:rsidRPr="00761653" w:rsidRDefault="00B43B37" w:rsidP="005600FF">
            <w:pPr>
              <w:ind w:left="57" w:right="57" w:firstLine="0"/>
            </w:pPr>
            <w:r w:rsidRPr="00761653">
              <w:t>Первая доза 100 мг, далее каждые 12 часов по 50 мг</w:t>
            </w:r>
          </w:p>
        </w:tc>
      </w:tr>
      <w:tr w:rsidR="00B43B37" w:rsidRPr="00265B67" w:rsidTr="005600FF">
        <w:tc>
          <w:tcPr>
            <w:tcW w:w="3227" w:type="dxa"/>
          </w:tcPr>
          <w:p w:rsidR="00B43B37" w:rsidRPr="00761653" w:rsidRDefault="00B43B37" w:rsidP="005600FF">
            <w:pPr>
              <w:ind w:left="57" w:right="57" w:firstLine="0"/>
              <w:rPr>
                <w:lang w:val="en-US"/>
              </w:rPr>
            </w:pPr>
            <w:r w:rsidRPr="00761653">
              <w:t>Гентамицин</w:t>
            </w:r>
            <w:r w:rsidRPr="00761653">
              <w:rPr>
                <w:lang w:val="en-US"/>
              </w:rPr>
              <w:t xml:space="preserve">, </w:t>
            </w:r>
          </w:p>
          <w:p w:rsidR="00B43B37" w:rsidRPr="00761653" w:rsidRDefault="00B43B37" w:rsidP="005600FF">
            <w:pPr>
              <w:ind w:left="57" w:right="57" w:firstLine="0"/>
              <w:rPr>
                <w:lang w:val="en-US"/>
              </w:rPr>
            </w:pPr>
            <w:r w:rsidRPr="00761653">
              <w:t>тобрамицин</w:t>
            </w:r>
          </w:p>
        </w:tc>
        <w:tc>
          <w:tcPr>
            <w:tcW w:w="6520" w:type="dxa"/>
          </w:tcPr>
          <w:p w:rsidR="00B43B37" w:rsidRPr="00761653" w:rsidRDefault="00B43B37" w:rsidP="005600FF">
            <w:pPr>
              <w:ind w:left="57" w:right="57" w:firstLine="0"/>
            </w:pPr>
            <w:r w:rsidRPr="00761653">
              <w:t>5-7 мг/кг/сутки, введение в течение 1 часа</w:t>
            </w:r>
          </w:p>
        </w:tc>
      </w:tr>
      <w:tr w:rsidR="00B43B37" w:rsidRPr="00265B67" w:rsidTr="005600FF">
        <w:tc>
          <w:tcPr>
            <w:tcW w:w="3227" w:type="dxa"/>
          </w:tcPr>
          <w:p w:rsidR="00B43B37" w:rsidRPr="00761653" w:rsidRDefault="00B43B37" w:rsidP="005600FF">
            <w:pPr>
              <w:ind w:left="57" w:right="57" w:firstLine="0"/>
              <w:rPr>
                <w:lang w:val="en-US"/>
              </w:rPr>
            </w:pPr>
            <w:r w:rsidRPr="00761653">
              <w:t>Амикацин</w:t>
            </w:r>
          </w:p>
        </w:tc>
        <w:tc>
          <w:tcPr>
            <w:tcW w:w="6520" w:type="dxa"/>
          </w:tcPr>
          <w:p w:rsidR="00B43B37" w:rsidRPr="00761653" w:rsidRDefault="00B43B37" w:rsidP="005600FF">
            <w:pPr>
              <w:ind w:left="57" w:right="57" w:firstLine="0"/>
            </w:pPr>
            <w:r w:rsidRPr="00761653">
              <w:t>15-20 мг/кг/сутки, введение в течение 1 часа</w:t>
            </w:r>
          </w:p>
        </w:tc>
      </w:tr>
      <w:tr w:rsidR="00B43B37" w:rsidRPr="00265B67" w:rsidTr="005600FF">
        <w:tc>
          <w:tcPr>
            <w:tcW w:w="3227" w:type="dxa"/>
          </w:tcPr>
          <w:p w:rsidR="00B43B37" w:rsidRPr="00761653" w:rsidRDefault="00B43B37" w:rsidP="005600FF">
            <w:pPr>
              <w:ind w:left="57" w:right="57" w:firstLine="0"/>
            </w:pPr>
            <w:r w:rsidRPr="00761653">
              <w:t>Фосфомицин</w:t>
            </w:r>
          </w:p>
        </w:tc>
        <w:tc>
          <w:tcPr>
            <w:tcW w:w="6520" w:type="dxa"/>
          </w:tcPr>
          <w:p w:rsidR="00B43B37" w:rsidRPr="00761653" w:rsidRDefault="00B43B37" w:rsidP="005600FF">
            <w:pPr>
              <w:ind w:left="57" w:right="57" w:firstLine="0"/>
            </w:pPr>
            <w:r w:rsidRPr="00761653">
              <w:t>По 4 г каждые 6 час или по 8 г каждые 8 час (суммарно 16-24 г)</w:t>
            </w:r>
          </w:p>
        </w:tc>
      </w:tr>
      <w:tr w:rsidR="00B43B37" w:rsidRPr="00761653" w:rsidTr="005600FF">
        <w:tc>
          <w:tcPr>
            <w:tcW w:w="3227" w:type="dxa"/>
          </w:tcPr>
          <w:p w:rsidR="00B43B37" w:rsidRPr="00761653" w:rsidRDefault="00B43B37" w:rsidP="005600FF">
            <w:pPr>
              <w:ind w:left="57" w:right="57" w:firstLine="0"/>
            </w:pPr>
            <w:r w:rsidRPr="00761653">
              <w:t>Азтреонам</w:t>
            </w:r>
          </w:p>
        </w:tc>
        <w:tc>
          <w:tcPr>
            <w:tcW w:w="6520" w:type="dxa"/>
          </w:tcPr>
          <w:p w:rsidR="00B43B37" w:rsidRPr="00761653" w:rsidRDefault="00B43B37" w:rsidP="005600FF">
            <w:pPr>
              <w:ind w:left="57" w:right="57" w:firstLine="0"/>
            </w:pPr>
            <w:r w:rsidRPr="00761653">
              <w:t>2 г каждые 8 часов</w:t>
            </w:r>
          </w:p>
        </w:tc>
      </w:tr>
    </w:tbl>
    <w:p w:rsidR="00B43B37" w:rsidRDefault="00B43B37" w:rsidP="00B43B37">
      <w:pPr>
        <w:widowControl w:val="0"/>
        <w:tabs>
          <w:tab w:val="left" w:pos="1134"/>
        </w:tabs>
        <w:autoSpaceDE w:val="0"/>
        <w:autoSpaceDN w:val="0"/>
        <w:adjustRightInd w:val="0"/>
        <w:ind w:right="49"/>
        <w:contextualSpacing/>
        <w:rPr>
          <w:bCs/>
          <w:i/>
          <w:u w:val="single"/>
        </w:rPr>
      </w:pPr>
    </w:p>
    <w:p w:rsidR="00B43B37" w:rsidRPr="00284D51" w:rsidRDefault="00B43B37" w:rsidP="00B43B37">
      <w:pPr>
        <w:widowControl w:val="0"/>
        <w:autoSpaceDE w:val="0"/>
        <w:autoSpaceDN w:val="0"/>
        <w:adjustRightInd w:val="0"/>
        <w:ind w:right="49"/>
        <w:contextualSpacing/>
        <w:rPr>
          <w:bCs/>
        </w:rPr>
      </w:pPr>
      <w:r w:rsidRPr="00284D51">
        <w:rPr>
          <w:bCs/>
          <w:i/>
        </w:rPr>
        <w:t>Pseudomonas aeruginosa</w:t>
      </w:r>
    </w:p>
    <w:p w:rsidR="00B43B37" w:rsidRPr="00761653" w:rsidRDefault="00B43B37" w:rsidP="00B43B37">
      <w:pPr>
        <w:widowControl w:val="0"/>
        <w:autoSpaceDE w:val="0"/>
        <w:autoSpaceDN w:val="0"/>
        <w:adjustRightInd w:val="0"/>
        <w:ind w:right="4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3524A5">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[59]","plainTextFormattedCitation":"[59]","previouslyFormattedCitation":"[59]"},"properties":{"noteIndex":0},"schema":"https://github.com/citation-style-language/schema/raw/master/csl-citation.json"}</w:instrText>
      </w:r>
      <w:r>
        <w:fldChar w:fldCharType="separate"/>
      </w:r>
      <w:r w:rsidR="005600FF" w:rsidRPr="005600FF">
        <w:rPr>
          <w:noProof/>
        </w:rPr>
        <w:t>[59]</w:t>
      </w:r>
      <w:r>
        <w:fldChar w:fldCharType="end"/>
      </w:r>
      <w:r w:rsidRPr="00761653">
        <w:t>. Препараты для лечения представлены в табл</w:t>
      </w:r>
      <w:r>
        <w:t>ице 3.</w:t>
      </w:r>
      <w:r w:rsidRPr="00761653">
        <w:t xml:space="preserve"> </w:t>
      </w:r>
    </w:p>
    <w:p w:rsidR="00B43B37" w:rsidRDefault="00B43B37" w:rsidP="00B43B37">
      <w:pPr>
        <w:ind w:hanging="142"/>
      </w:pPr>
    </w:p>
    <w:p w:rsidR="00B43B37" w:rsidRPr="00761653" w:rsidRDefault="00B43B37" w:rsidP="00B43B37">
      <w:pPr>
        <w:ind w:hanging="142"/>
      </w:pPr>
      <w:r w:rsidRPr="00761653">
        <w:t xml:space="preserve">Таблица 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B43B37" w:rsidRPr="00761653" w:rsidTr="005600FF">
        <w:tc>
          <w:tcPr>
            <w:tcW w:w="3510" w:type="dxa"/>
            <w:vAlign w:val="center"/>
          </w:tcPr>
          <w:p w:rsidR="00B43B37" w:rsidRPr="00761653" w:rsidRDefault="00B43B37" w:rsidP="005600FF">
            <w:pPr>
              <w:ind w:left="57" w:right="57" w:firstLine="0"/>
              <w:jc w:val="center"/>
            </w:pPr>
            <w:r w:rsidRPr="00761653">
              <w:t>Препарат</w:t>
            </w:r>
          </w:p>
        </w:tc>
        <w:tc>
          <w:tcPr>
            <w:tcW w:w="6237" w:type="dxa"/>
            <w:vAlign w:val="center"/>
          </w:tcPr>
          <w:p w:rsidR="00B43B37" w:rsidRPr="00761653" w:rsidRDefault="00B43B37" w:rsidP="005600FF">
            <w:pPr>
              <w:ind w:left="57" w:right="57" w:firstLine="0"/>
              <w:jc w:val="center"/>
            </w:pPr>
            <w:r w:rsidRPr="00761653">
              <w:t>Доза</w:t>
            </w:r>
          </w:p>
        </w:tc>
      </w:tr>
      <w:tr w:rsidR="00B43B37" w:rsidRPr="00265B67" w:rsidTr="005600FF">
        <w:tc>
          <w:tcPr>
            <w:tcW w:w="3510" w:type="dxa"/>
          </w:tcPr>
          <w:p w:rsidR="00B43B37" w:rsidRPr="00761653" w:rsidRDefault="00B43B37" w:rsidP="005600FF">
            <w:pPr>
              <w:ind w:left="57" w:right="57" w:firstLine="0"/>
            </w:pPr>
            <w:r w:rsidRPr="00761653">
              <w:t>Цефтолозан/тазобактам</w:t>
            </w:r>
          </w:p>
        </w:tc>
        <w:tc>
          <w:tcPr>
            <w:tcW w:w="6237" w:type="dxa"/>
          </w:tcPr>
          <w:p w:rsidR="00B43B37" w:rsidRPr="00761653" w:rsidRDefault="00B43B37" w:rsidP="005600FF">
            <w:pPr>
              <w:ind w:left="57" w:right="57" w:firstLine="0"/>
            </w:pPr>
            <w:r w:rsidRPr="00761653">
              <w:t>1,5 или 3 г каждые 8 часов, инфузия в течение 1 часа (при пневмонии по 3 г х 3 раза)</w:t>
            </w:r>
          </w:p>
        </w:tc>
      </w:tr>
      <w:tr w:rsidR="00B43B37" w:rsidRPr="00265B67" w:rsidTr="005600FF">
        <w:tc>
          <w:tcPr>
            <w:tcW w:w="3510" w:type="dxa"/>
          </w:tcPr>
          <w:p w:rsidR="00B43B37" w:rsidRPr="00761653" w:rsidRDefault="00B43B37" w:rsidP="005600FF">
            <w:pPr>
              <w:ind w:left="57" w:right="57" w:firstLine="0"/>
            </w:pPr>
            <w:r w:rsidRPr="00761653">
              <w:t>Цефтазидим</w:t>
            </w:r>
          </w:p>
        </w:tc>
        <w:tc>
          <w:tcPr>
            <w:tcW w:w="6237" w:type="dxa"/>
          </w:tcPr>
          <w:p w:rsidR="00B43B37" w:rsidRPr="00761653" w:rsidRDefault="00B43B37" w:rsidP="005600FF">
            <w:pPr>
              <w:ind w:left="57" w:right="57" w:firstLine="0"/>
            </w:pPr>
            <w:r w:rsidRPr="00761653">
              <w:t>Нагрузочная доза 1-2 г, затем 6 г/сут, непрерывная инфузии в течение 24 ч</w:t>
            </w:r>
          </w:p>
        </w:tc>
      </w:tr>
      <w:tr w:rsidR="00B43B37" w:rsidRPr="00975FC1" w:rsidTr="005600FF">
        <w:tc>
          <w:tcPr>
            <w:tcW w:w="3510" w:type="dxa"/>
          </w:tcPr>
          <w:p w:rsidR="00B43B37" w:rsidRPr="00761653" w:rsidRDefault="00B43B37" w:rsidP="005600FF">
            <w:pPr>
              <w:ind w:left="57" w:right="57" w:firstLine="0"/>
            </w:pPr>
            <w:r w:rsidRPr="00761653">
              <w:t>Цефепим</w:t>
            </w:r>
          </w:p>
        </w:tc>
        <w:tc>
          <w:tcPr>
            <w:tcW w:w="6237" w:type="dxa"/>
          </w:tcPr>
          <w:p w:rsidR="00B43B37" w:rsidRPr="00761653" w:rsidRDefault="00B43B37" w:rsidP="005600FF">
            <w:pPr>
              <w:ind w:left="57" w:right="57" w:firstLine="0"/>
            </w:pPr>
            <w:r w:rsidRPr="00761653">
              <w:t>Нагрузочная доза 15 мг/кг в течение 30 мин, затем 6 г/сут посредством непрерывной инфузии в течение 24 часов</w:t>
            </w:r>
          </w:p>
        </w:tc>
      </w:tr>
      <w:tr w:rsidR="00B43B37" w:rsidRPr="00975FC1" w:rsidTr="005600FF">
        <w:tc>
          <w:tcPr>
            <w:tcW w:w="3510" w:type="dxa"/>
          </w:tcPr>
          <w:p w:rsidR="00B43B37" w:rsidRPr="00761653" w:rsidRDefault="00B43B37" w:rsidP="005600FF">
            <w:pPr>
              <w:ind w:left="57" w:right="57" w:firstLine="0"/>
            </w:pPr>
            <w:r w:rsidRPr="00761653">
              <w:t>Пиперациллин/тазобактам</w:t>
            </w:r>
          </w:p>
        </w:tc>
        <w:tc>
          <w:tcPr>
            <w:tcW w:w="6237" w:type="dxa"/>
          </w:tcPr>
          <w:p w:rsidR="00B43B37" w:rsidRPr="00761653" w:rsidRDefault="00B43B37" w:rsidP="005600FF">
            <w:pPr>
              <w:ind w:left="57" w:right="57" w:firstLine="0"/>
            </w:pPr>
            <w:r w:rsidRPr="00761653">
              <w:t>Нагрузочная доза 2,25 г затем 16,2 г/сут посредством непрерывной инфузии в течение 24 часов</w:t>
            </w:r>
          </w:p>
        </w:tc>
      </w:tr>
      <w:tr w:rsidR="00B43B37" w:rsidRPr="00975FC1" w:rsidTr="005600FF">
        <w:tc>
          <w:tcPr>
            <w:tcW w:w="3510" w:type="dxa"/>
          </w:tcPr>
          <w:p w:rsidR="00B43B37" w:rsidRPr="00761653" w:rsidRDefault="00B43B37" w:rsidP="005600FF">
            <w:pPr>
              <w:ind w:left="57" w:right="57" w:firstLine="0"/>
            </w:pPr>
            <w:r w:rsidRPr="00761653">
              <w:lastRenderedPageBreak/>
              <w:t>Цефтазидим/авибактам</w:t>
            </w:r>
          </w:p>
        </w:tc>
        <w:tc>
          <w:tcPr>
            <w:tcW w:w="6237" w:type="dxa"/>
          </w:tcPr>
          <w:p w:rsidR="00B43B37" w:rsidRPr="00761653" w:rsidRDefault="00B43B37" w:rsidP="005600FF">
            <w:pPr>
              <w:ind w:left="57" w:right="57" w:firstLine="0"/>
            </w:pPr>
            <w:r w:rsidRPr="00761653">
              <w:t>2,5 г каждые 8 часов, продленная инфузия в течение 2 часов</w:t>
            </w:r>
          </w:p>
        </w:tc>
      </w:tr>
      <w:tr w:rsidR="00B43B37" w:rsidRPr="00975FC1" w:rsidTr="005600FF">
        <w:tc>
          <w:tcPr>
            <w:tcW w:w="3510" w:type="dxa"/>
          </w:tcPr>
          <w:p w:rsidR="00B43B37" w:rsidRPr="00761653" w:rsidRDefault="00B43B37" w:rsidP="005600FF">
            <w:pPr>
              <w:ind w:left="57" w:right="57" w:firstLine="0"/>
            </w:pPr>
            <w:r w:rsidRPr="00761653">
              <w:t>Азтреонам</w:t>
            </w:r>
          </w:p>
        </w:tc>
        <w:tc>
          <w:tcPr>
            <w:tcW w:w="6237" w:type="dxa"/>
          </w:tcPr>
          <w:p w:rsidR="00B43B37" w:rsidRPr="00761653" w:rsidRDefault="00B43B37" w:rsidP="005600FF">
            <w:pPr>
              <w:ind w:left="57" w:right="57" w:firstLine="0"/>
            </w:pPr>
            <w:r w:rsidRPr="00761653">
              <w:t>Нагрузочная доза 1-2 г, затем 6 г/сут посредством непрерывной инфузии в течение 24 часов</w:t>
            </w:r>
          </w:p>
        </w:tc>
      </w:tr>
      <w:tr w:rsidR="00B43B37" w:rsidRPr="00265B67" w:rsidTr="005600FF">
        <w:tc>
          <w:tcPr>
            <w:tcW w:w="3510" w:type="dxa"/>
          </w:tcPr>
          <w:p w:rsidR="00B43B37" w:rsidRPr="00761653" w:rsidRDefault="00B43B37" w:rsidP="005600FF">
            <w:pPr>
              <w:ind w:left="57" w:right="57" w:firstLine="0"/>
            </w:pPr>
            <w:r w:rsidRPr="00761653">
              <w:t>Дорипенем</w:t>
            </w:r>
          </w:p>
        </w:tc>
        <w:tc>
          <w:tcPr>
            <w:tcW w:w="6237" w:type="dxa"/>
          </w:tcPr>
          <w:p w:rsidR="00B43B37" w:rsidRPr="00761653" w:rsidRDefault="00B43B37" w:rsidP="005600FF">
            <w:pPr>
              <w:ind w:left="57" w:right="57" w:firstLine="0"/>
            </w:pPr>
            <w:r w:rsidRPr="00761653">
              <w:t>1 г каждые 8 часов, инфузия в течение 4 часов</w:t>
            </w:r>
          </w:p>
        </w:tc>
      </w:tr>
      <w:tr w:rsidR="00B43B37" w:rsidRPr="00265B67" w:rsidTr="005600FF">
        <w:tc>
          <w:tcPr>
            <w:tcW w:w="3510" w:type="dxa"/>
          </w:tcPr>
          <w:p w:rsidR="00B43B37" w:rsidRPr="00761653" w:rsidRDefault="00B43B37" w:rsidP="005600FF">
            <w:pPr>
              <w:ind w:left="57" w:right="57" w:firstLine="0"/>
            </w:pPr>
            <w:r w:rsidRPr="00761653">
              <w:t>Меропенем</w:t>
            </w:r>
          </w:p>
        </w:tc>
        <w:tc>
          <w:tcPr>
            <w:tcW w:w="6237" w:type="dxa"/>
          </w:tcPr>
          <w:p w:rsidR="00B43B37" w:rsidRPr="00761653" w:rsidRDefault="00B43B37" w:rsidP="005600FF">
            <w:pPr>
              <w:ind w:left="57" w:right="57" w:firstLine="0"/>
            </w:pPr>
            <w:r w:rsidRPr="00761653">
              <w:t>Нагрузочная доза 1-2 г, затем по 2 г каждые 8 часов, продленная инфузия в течение 3 часов</w:t>
            </w:r>
          </w:p>
        </w:tc>
      </w:tr>
      <w:tr w:rsidR="00B43B37" w:rsidRPr="00975FC1" w:rsidTr="005600FF">
        <w:tc>
          <w:tcPr>
            <w:tcW w:w="3510" w:type="dxa"/>
          </w:tcPr>
          <w:p w:rsidR="00B43B37" w:rsidRPr="00761653" w:rsidRDefault="00B43B37" w:rsidP="005600FF">
            <w:pPr>
              <w:ind w:left="57" w:right="57" w:firstLine="0"/>
            </w:pPr>
            <w:r w:rsidRPr="00761653">
              <w:t>Имипенем</w:t>
            </w:r>
          </w:p>
        </w:tc>
        <w:tc>
          <w:tcPr>
            <w:tcW w:w="6237" w:type="dxa"/>
          </w:tcPr>
          <w:p w:rsidR="00B43B37" w:rsidRPr="00761653" w:rsidRDefault="00B43B37" w:rsidP="005600FF">
            <w:pPr>
              <w:ind w:left="57" w:right="57" w:firstLine="0"/>
            </w:pPr>
            <w:r w:rsidRPr="00761653">
              <w:t>1 г каждые 6-8 часов, в/в</w:t>
            </w:r>
          </w:p>
        </w:tc>
      </w:tr>
      <w:tr w:rsidR="00B43B37" w:rsidRPr="00975FC1" w:rsidTr="005600FF">
        <w:tc>
          <w:tcPr>
            <w:tcW w:w="3510" w:type="dxa"/>
          </w:tcPr>
          <w:p w:rsidR="00B43B37" w:rsidRPr="00761653" w:rsidRDefault="00B43B37" w:rsidP="005600FF">
            <w:pPr>
              <w:ind w:left="57" w:right="57" w:firstLine="0"/>
            </w:pPr>
            <w:r w:rsidRPr="00761653">
              <w:t>Фосфомицин</w:t>
            </w:r>
          </w:p>
        </w:tc>
        <w:tc>
          <w:tcPr>
            <w:tcW w:w="6237" w:type="dxa"/>
          </w:tcPr>
          <w:p w:rsidR="00B43B37" w:rsidRPr="00761653" w:rsidRDefault="00B43B37" w:rsidP="005600FF">
            <w:pPr>
              <w:ind w:left="57" w:right="57" w:firstLine="0"/>
            </w:pPr>
            <w:r w:rsidRPr="00761653">
              <w:t xml:space="preserve">Нагрузочная доза 2-4 г, затем по 16-24 г посредством непрерывной инфузии в течение 24 часов </w:t>
            </w:r>
          </w:p>
        </w:tc>
      </w:tr>
      <w:tr w:rsidR="00B43B37" w:rsidRPr="00975FC1" w:rsidTr="005600FF">
        <w:tc>
          <w:tcPr>
            <w:tcW w:w="3510" w:type="dxa"/>
          </w:tcPr>
          <w:p w:rsidR="00B43B37" w:rsidRPr="00761653" w:rsidRDefault="00B43B37" w:rsidP="005600FF">
            <w:pPr>
              <w:ind w:left="57" w:right="57" w:firstLine="0"/>
            </w:pPr>
            <w:r w:rsidRPr="00761653">
              <w:t>Колистин</w:t>
            </w:r>
          </w:p>
        </w:tc>
        <w:tc>
          <w:tcPr>
            <w:tcW w:w="6237" w:type="dxa"/>
          </w:tcPr>
          <w:p w:rsidR="00B43B37" w:rsidRPr="00761653" w:rsidRDefault="00B43B37" w:rsidP="005600FF">
            <w:pPr>
              <w:ind w:left="57" w:right="57" w:firstLine="0"/>
            </w:pPr>
            <w:r w:rsidRPr="00761653">
              <w:t>Нагрузочная доза 6-9 млн МЕ, затем по 4,5 млн МЕ каждые 12 часов</w:t>
            </w:r>
          </w:p>
        </w:tc>
      </w:tr>
      <w:tr w:rsidR="00B43B37" w:rsidRPr="00265B67" w:rsidTr="005600FF">
        <w:tc>
          <w:tcPr>
            <w:tcW w:w="3510" w:type="dxa"/>
          </w:tcPr>
          <w:p w:rsidR="00B43B37" w:rsidRPr="00761653" w:rsidRDefault="00B43B37" w:rsidP="005600FF">
            <w:pPr>
              <w:ind w:left="57" w:right="57" w:firstLine="0"/>
            </w:pPr>
            <w:r w:rsidRPr="00761653">
              <w:t>Полимиксин В</w:t>
            </w:r>
          </w:p>
        </w:tc>
        <w:tc>
          <w:tcPr>
            <w:tcW w:w="6237" w:type="dxa"/>
          </w:tcPr>
          <w:p w:rsidR="00B43B37" w:rsidRPr="00761653" w:rsidRDefault="00B43B37" w:rsidP="005600FF">
            <w:pPr>
              <w:ind w:left="57" w:right="57" w:firstLine="0"/>
            </w:pPr>
            <w:r w:rsidRPr="00761653">
              <w:t xml:space="preserve">Нагрузочная доза 2-2,5 мг/кг, инфузия в течение 2 часов, далее по </w:t>
            </w:r>
          </w:p>
          <w:p w:rsidR="00B43B37" w:rsidRPr="00761653" w:rsidRDefault="00B43B37" w:rsidP="005600FF">
            <w:pPr>
              <w:ind w:left="57" w:right="57" w:firstLine="0"/>
            </w:pPr>
            <w:r w:rsidRPr="00761653">
              <w:t>1,25-1,5 мг/кг каждые 12 часов, инфузия в течение 1 часа</w:t>
            </w:r>
          </w:p>
        </w:tc>
      </w:tr>
      <w:tr w:rsidR="00B43B37" w:rsidRPr="00265B67" w:rsidTr="005600FF">
        <w:tc>
          <w:tcPr>
            <w:tcW w:w="3510" w:type="dxa"/>
          </w:tcPr>
          <w:p w:rsidR="00B43B37" w:rsidRPr="00761653" w:rsidRDefault="00B43B37" w:rsidP="005600FF">
            <w:pPr>
              <w:ind w:left="57" w:right="57" w:firstLine="0"/>
            </w:pPr>
            <w:r w:rsidRPr="00761653">
              <w:t>Ципрофлоксацин</w:t>
            </w:r>
          </w:p>
        </w:tc>
        <w:tc>
          <w:tcPr>
            <w:tcW w:w="6237" w:type="dxa"/>
          </w:tcPr>
          <w:p w:rsidR="00B43B37" w:rsidRPr="00761653" w:rsidRDefault="00B43B37" w:rsidP="005600FF">
            <w:pPr>
              <w:ind w:left="57" w:right="57" w:firstLine="0"/>
            </w:pPr>
            <w:r w:rsidRPr="00761653">
              <w:t>400 мг каждые 8 часов, инфузия в течение 30-60 минут</w:t>
            </w:r>
          </w:p>
        </w:tc>
      </w:tr>
      <w:tr w:rsidR="00B43B37" w:rsidRPr="00265B67" w:rsidTr="005600FF">
        <w:tc>
          <w:tcPr>
            <w:tcW w:w="3510" w:type="dxa"/>
          </w:tcPr>
          <w:p w:rsidR="00B43B37" w:rsidRPr="00761653" w:rsidRDefault="00B43B37" w:rsidP="005600FF">
            <w:pPr>
              <w:ind w:left="57" w:right="57" w:firstLine="0"/>
            </w:pPr>
            <w:r w:rsidRPr="00761653">
              <w:t>Левофлоксацин</w:t>
            </w:r>
          </w:p>
        </w:tc>
        <w:tc>
          <w:tcPr>
            <w:tcW w:w="6237" w:type="dxa"/>
          </w:tcPr>
          <w:p w:rsidR="00B43B37" w:rsidRPr="00761653" w:rsidRDefault="00B43B37" w:rsidP="005600FF">
            <w:pPr>
              <w:ind w:left="57" w:right="57" w:firstLine="0"/>
            </w:pPr>
            <w:r w:rsidRPr="00761653">
              <w:t>500 мг каждые 12 часов, инфузия в течение 50-60 минут</w:t>
            </w:r>
          </w:p>
        </w:tc>
      </w:tr>
      <w:tr w:rsidR="00B43B37" w:rsidRPr="00265B67" w:rsidTr="005600FF">
        <w:tc>
          <w:tcPr>
            <w:tcW w:w="3510" w:type="dxa"/>
          </w:tcPr>
          <w:p w:rsidR="00B43B37" w:rsidRPr="00761653" w:rsidRDefault="00B43B37" w:rsidP="005600FF">
            <w:pPr>
              <w:ind w:left="57" w:right="57" w:firstLine="0"/>
            </w:pPr>
            <w:r w:rsidRPr="00761653">
              <w:t>Тобрамицин</w:t>
            </w:r>
          </w:p>
        </w:tc>
        <w:tc>
          <w:tcPr>
            <w:tcW w:w="6237" w:type="dxa"/>
          </w:tcPr>
          <w:p w:rsidR="00B43B37" w:rsidRPr="00761653" w:rsidRDefault="00B43B37" w:rsidP="005600FF">
            <w:pPr>
              <w:ind w:left="57" w:right="57" w:firstLine="0"/>
            </w:pPr>
            <w:r w:rsidRPr="00761653">
              <w:t>8 мг/кг 1 раз/сут, инфузия в течение 60 мин</w:t>
            </w:r>
          </w:p>
        </w:tc>
      </w:tr>
      <w:tr w:rsidR="00B43B37" w:rsidRPr="00265B67" w:rsidTr="005600FF">
        <w:tc>
          <w:tcPr>
            <w:tcW w:w="3510" w:type="dxa"/>
          </w:tcPr>
          <w:p w:rsidR="00B43B37" w:rsidRPr="00761653" w:rsidRDefault="00B43B37" w:rsidP="005600FF">
            <w:pPr>
              <w:ind w:left="57" w:right="57" w:firstLine="0"/>
            </w:pPr>
            <w:r w:rsidRPr="00761653">
              <w:t>Амикацин</w:t>
            </w:r>
          </w:p>
        </w:tc>
        <w:tc>
          <w:tcPr>
            <w:tcW w:w="6237" w:type="dxa"/>
          </w:tcPr>
          <w:p w:rsidR="00B43B37" w:rsidRPr="00761653" w:rsidRDefault="00B43B37" w:rsidP="005600FF">
            <w:pPr>
              <w:ind w:left="57" w:right="57" w:firstLine="0"/>
            </w:pPr>
            <w:r w:rsidRPr="00761653">
              <w:t xml:space="preserve">25 мг/кг 1 раз/сут, инфузия в течение 60 минут </w:t>
            </w:r>
          </w:p>
        </w:tc>
      </w:tr>
    </w:tbl>
    <w:p w:rsidR="00B43B37" w:rsidRDefault="00B43B37" w:rsidP="00B43B37">
      <w:pPr>
        <w:widowControl w:val="0"/>
        <w:tabs>
          <w:tab w:val="left" w:pos="1134"/>
        </w:tabs>
        <w:autoSpaceDE w:val="0"/>
        <w:autoSpaceDN w:val="0"/>
        <w:adjustRightInd w:val="0"/>
        <w:ind w:right="49"/>
        <w:contextualSpacing/>
        <w:rPr>
          <w:bCs/>
          <w:i/>
          <w:u w:val="single"/>
        </w:rPr>
      </w:pPr>
    </w:p>
    <w:p w:rsidR="00B43B37" w:rsidRPr="00284D51" w:rsidRDefault="00B43B37" w:rsidP="00B43B37">
      <w:pPr>
        <w:widowControl w:val="0"/>
        <w:autoSpaceDE w:val="0"/>
        <w:autoSpaceDN w:val="0"/>
        <w:adjustRightInd w:val="0"/>
        <w:ind w:right="49"/>
        <w:contextualSpacing/>
        <w:rPr>
          <w:bCs/>
          <w:i/>
        </w:rPr>
      </w:pPr>
      <w:r w:rsidRPr="00284D51">
        <w:rPr>
          <w:bCs/>
          <w:i/>
        </w:rPr>
        <w:t>Acinetobacter baumannii</w:t>
      </w:r>
    </w:p>
    <w:p w:rsidR="00B43B37" w:rsidRPr="00761653" w:rsidRDefault="00B43B37" w:rsidP="00B43B37">
      <w:pPr>
        <w:widowControl w:val="0"/>
        <w:autoSpaceDE w:val="0"/>
        <w:autoSpaceDN w:val="0"/>
        <w:adjustRightInd w:val="0"/>
        <w:ind w:right="4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rsidR="00B43B37" w:rsidRPr="00284D51" w:rsidRDefault="00B43B37" w:rsidP="00B43B37">
      <w:pPr>
        <w:widowControl w:val="0"/>
        <w:autoSpaceDE w:val="0"/>
        <w:autoSpaceDN w:val="0"/>
        <w:adjustRightInd w:val="0"/>
        <w:ind w:right="49"/>
        <w:contextualSpacing/>
        <w:rPr>
          <w:bCs/>
        </w:rPr>
      </w:pPr>
      <w:r w:rsidRPr="00284D51">
        <w:rPr>
          <w:bCs/>
          <w:i/>
        </w:rPr>
        <w:t>Stenotrophomonas maltophilia</w:t>
      </w:r>
    </w:p>
    <w:p w:rsidR="00B43B37" w:rsidRPr="00761653" w:rsidRDefault="00B43B37" w:rsidP="00B43B37">
      <w:pPr>
        <w:widowControl w:val="0"/>
        <w:autoSpaceDE w:val="0"/>
        <w:autoSpaceDN w:val="0"/>
        <w:adjustRightInd w:val="0"/>
        <w:ind w:right="49"/>
        <w:contextualSpacing/>
      </w:pPr>
      <w:r w:rsidRPr="00761653">
        <w:t>Препарат выбора – триметоприм/сульфаметоксазол, расчет дозы проводят по триметоприму 15 мг/кг/сутки.</w:t>
      </w:r>
    </w:p>
    <w:p w:rsidR="00B43B37" w:rsidRDefault="00B43B37" w:rsidP="00B43B37">
      <w:pPr>
        <w:widowControl w:val="0"/>
        <w:tabs>
          <w:tab w:val="left" w:pos="317"/>
          <w:tab w:val="left" w:pos="8715"/>
        </w:tabs>
        <w:autoSpaceDE w:val="0"/>
        <w:autoSpaceDN w:val="0"/>
        <w:adjustRightInd w:val="0"/>
        <w:ind w:right="49"/>
        <w:contextualSpacing/>
        <w:rPr>
          <w:b/>
        </w:rPr>
      </w:pPr>
    </w:p>
    <w:p w:rsidR="00B43B37" w:rsidRPr="00761653" w:rsidRDefault="00B43B37" w:rsidP="00B43B37">
      <w:pPr>
        <w:widowControl w:val="0"/>
        <w:tabs>
          <w:tab w:val="left" w:pos="317"/>
          <w:tab w:val="left" w:pos="8715"/>
        </w:tabs>
        <w:autoSpaceDE w:val="0"/>
        <w:autoSpaceDN w:val="0"/>
        <w:adjustRightInd w:val="0"/>
        <w:ind w:right="49"/>
        <w:contextualSpacing/>
        <w:rPr>
          <w:b/>
          <w:iCs/>
        </w:rPr>
      </w:pPr>
      <w:r w:rsidRPr="00761653">
        <w:rPr>
          <w:b/>
        </w:rPr>
        <w:t>Грамположительные возбудители</w:t>
      </w:r>
    </w:p>
    <w:p w:rsidR="00B43B37" w:rsidRPr="00284D51" w:rsidRDefault="00B43B37" w:rsidP="00B43B37">
      <w:pPr>
        <w:widowControl w:val="0"/>
        <w:tabs>
          <w:tab w:val="left" w:pos="8715"/>
        </w:tabs>
        <w:autoSpaceDE w:val="0"/>
        <w:autoSpaceDN w:val="0"/>
        <w:adjustRightInd w:val="0"/>
        <w:ind w:right="49"/>
        <w:contextualSpacing/>
        <w:rPr>
          <w:i/>
          <w:iCs/>
        </w:rPr>
      </w:pPr>
      <w:r w:rsidRPr="00284D51">
        <w:rPr>
          <w:i/>
          <w:iCs/>
        </w:rPr>
        <w:t>Коагулазонегативные стафилококки</w:t>
      </w:r>
    </w:p>
    <w:p w:rsidR="00B43B37" w:rsidRPr="00761653" w:rsidRDefault="00B43B37" w:rsidP="00B43B37">
      <w:pPr>
        <w:widowControl w:val="0"/>
        <w:tabs>
          <w:tab w:val="left" w:pos="8715"/>
        </w:tabs>
        <w:autoSpaceDE w:val="0"/>
        <w:autoSpaceDN w:val="0"/>
        <w:adjustRightInd w:val="0"/>
        <w:ind w:right="49"/>
        <w:contextualSpacing/>
        <w:rPr>
          <w:bCs/>
        </w:rPr>
      </w:pPr>
      <w:r w:rsidRPr="00761653">
        <w:rPr>
          <w:bCs/>
        </w:rPr>
        <w:t>Явялются причиной бактериемий (2</w:t>
      </w:r>
      <w:r>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rsidR="00B43B37" w:rsidRPr="00284D51" w:rsidRDefault="00B43B37" w:rsidP="00B43B37">
      <w:pPr>
        <w:widowControl w:val="0"/>
        <w:tabs>
          <w:tab w:val="left" w:pos="8715"/>
        </w:tabs>
        <w:autoSpaceDE w:val="0"/>
        <w:autoSpaceDN w:val="0"/>
        <w:adjustRightInd w:val="0"/>
        <w:ind w:right="49"/>
        <w:contextualSpacing/>
      </w:pPr>
      <w:r w:rsidRPr="00284D51">
        <w:rPr>
          <w:i/>
        </w:rPr>
        <w:t>Enterococcus</w:t>
      </w:r>
      <w:r w:rsidRPr="00284D51">
        <w:t xml:space="preserve"> spp. </w:t>
      </w:r>
    </w:p>
    <w:p w:rsidR="00B43B37" w:rsidRPr="00761653" w:rsidRDefault="00B43B37" w:rsidP="00B43B37">
      <w:pPr>
        <w:widowControl w:val="0"/>
        <w:tabs>
          <w:tab w:val="left" w:pos="8715"/>
        </w:tabs>
        <w:autoSpaceDE w:val="0"/>
        <w:autoSpaceDN w:val="0"/>
        <w:adjustRightInd w:val="0"/>
        <w:ind w:right="49"/>
        <w:contextualSpacing/>
        <w:rPr>
          <w:bCs/>
        </w:rPr>
      </w:pPr>
      <w:r>
        <w:rPr>
          <w:bCs/>
        </w:rPr>
        <w:lastRenderedPageBreak/>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rsidR="00B43B37" w:rsidRPr="00284D51" w:rsidRDefault="00B43B37" w:rsidP="00B43B37">
      <w:pPr>
        <w:widowControl w:val="0"/>
        <w:tabs>
          <w:tab w:val="left" w:pos="8715"/>
        </w:tabs>
        <w:autoSpaceDE w:val="0"/>
        <w:autoSpaceDN w:val="0"/>
        <w:adjustRightInd w:val="0"/>
        <w:ind w:right="49"/>
        <w:contextualSpacing/>
        <w:rPr>
          <w:i/>
        </w:rPr>
      </w:pPr>
      <w:r w:rsidRPr="00284D51">
        <w:rPr>
          <w:i/>
        </w:rPr>
        <w:t>Staphylococcus aureus</w:t>
      </w:r>
    </w:p>
    <w:p w:rsidR="00B43B37" w:rsidRPr="00761653" w:rsidRDefault="00B43B37" w:rsidP="00B43B37">
      <w:pPr>
        <w:widowControl w:val="0"/>
        <w:tabs>
          <w:tab w:val="left" w:pos="8715"/>
        </w:tabs>
        <w:autoSpaceDE w:val="0"/>
        <w:autoSpaceDN w:val="0"/>
        <w:adjustRightInd w:val="0"/>
        <w:ind w:right="4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rsidR="00B43B37" w:rsidRPr="00761653" w:rsidRDefault="00B43B37" w:rsidP="00B43B37">
      <w:pPr>
        <w:widowControl w:val="0"/>
        <w:tabs>
          <w:tab w:val="left" w:pos="8715"/>
        </w:tabs>
        <w:autoSpaceDE w:val="0"/>
        <w:autoSpaceDN w:val="0"/>
        <w:adjustRightInd w:val="0"/>
        <w:ind w:right="4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rsidR="00B43B37" w:rsidRDefault="00B43B37" w:rsidP="00B43B37">
      <w:pPr>
        <w:ind w:hanging="142"/>
      </w:pPr>
    </w:p>
    <w:p w:rsidR="00B43B37" w:rsidRPr="00761653" w:rsidRDefault="00B43B37" w:rsidP="00B43B37">
      <w:pPr>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B43B37" w:rsidRPr="00761653" w:rsidTr="005600FF">
        <w:tc>
          <w:tcPr>
            <w:tcW w:w="2376" w:type="dxa"/>
            <w:vAlign w:val="center"/>
          </w:tcPr>
          <w:p w:rsidR="00B43B37" w:rsidRPr="00761653" w:rsidRDefault="00B43B37" w:rsidP="005600FF">
            <w:pPr>
              <w:ind w:left="57" w:right="57" w:firstLine="0"/>
              <w:jc w:val="center"/>
            </w:pPr>
            <w:r w:rsidRPr="00761653">
              <w:t>Микроорганизм</w:t>
            </w:r>
          </w:p>
        </w:tc>
        <w:tc>
          <w:tcPr>
            <w:tcW w:w="2835" w:type="dxa"/>
            <w:vAlign w:val="center"/>
          </w:tcPr>
          <w:p w:rsidR="00B43B37" w:rsidRPr="00761653" w:rsidRDefault="00B43B37" w:rsidP="005600FF">
            <w:pPr>
              <w:ind w:left="57" w:right="57" w:firstLine="0"/>
              <w:jc w:val="center"/>
            </w:pPr>
            <w:r w:rsidRPr="00761653">
              <w:t>Препарат</w:t>
            </w:r>
          </w:p>
        </w:tc>
        <w:tc>
          <w:tcPr>
            <w:tcW w:w="4395" w:type="dxa"/>
            <w:vAlign w:val="center"/>
          </w:tcPr>
          <w:p w:rsidR="00B43B37" w:rsidRPr="00761653" w:rsidRDefault="00B43B37" w:rsidP="005600FF">
            <w:pPr>
              <w:ind w:left="57" w:right="57" w:firstLine="0"/>
              <w:jc w:val="center"/>
            </w:pPr>
            <w:r w:rsidRPr="00761653">
              <w:t>Доза</w:t>
            </w:r>
          </w:p>
        </w:tc>
      </w:tr>
      <w:tr w:rsidR="00B43B37" w:rsidRPr="00975FC1" w:rsidTr="005600FF">
        <w:tc>
          <w:tcPr>
            <w:tcW w:w="2376" w:type="dxa"/>
            <w:vMerge w:val="restart"/>
          </w:tcPr>
          <w:p w:rsidR="00B43B37" w:rsidRPr="00761653" w:rsidRDefault="00B43B37" w:rsidP="005600FF">
            <w:pPr>
              <w:ind w:left="57" w:right="57" w:firstLine="0"/>
              <w:rPr>
                <w:highlight w:val="green"/>
              </w:rPr>
            </w:pPr>
            <w:r w:rsidRPr="00761653">
              <w:rPr>
                <w:i/>
              </w:rPr>
              <w:t>S. aureus</w:t>
            </w:r>
            <w:r w:rsidRPr="00761653">
              <w:t>, чувствительные к оксациллину</w:t>
            </w:r>
          </w:p>
        </w:tc>
        <w:tc>
          <w:tcPr>
            <w:tcW w:w="2835" w:type="dxa"/>
          </w:tcPr>
          <w:p w:rsidR="00B43B37" w:rsidRPr="00761653" w:rsidRDefault="00B43B37" w:rsidP="005600FF">
            <w:pPr>
              <w:ind w:left="57" w:right="57" w:firstLine="0"/>
            </w:pPr>
            <w:r w:rsidRPr="00761653">
              <w:t>Оксациллин</w:t>
            </w:r>
          </w:p>
        </w:tc>
        <w:tc>
          <w:tcPr>
            <w:tcW w:w="4395" w:type="dxa"/>
          </w:tcPr>
          <w:p w:rsidR="00B43B37" w:rsidRPr="00761653" w:rsidRDefault="00B43B37" w:rsidP="005600FF">
            <w:pPr>
              <w:ind w:left="57" w:right="57" w:firstLine="0"/>
            </w:pPr>
            <w:r w:rsidRPr="00761653">
              <w:t>1-2 г каждые 4 часа, в/в</w:t>
            </w:r>
          </w:p>
        </w:tc>
      </w:tr>
      <w:tr w:rsidR="00B43B37" w:rsidRPr="00975FC1"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Цефазолин</w:t>
            </w:r>
          </w:p>
        </w:tc>
        <w:tc>
          <w:tcPr>
            <w:tcW w:w="4395" w:type="dxa"/>
          </w:tcPr>
          <w:p w:rsidR="00B43B37" w:rsidRPr="00761653" w:rsidRDefault="00B43B37" w:rsidP="005600FF">
            <w:pPr>
              <w:ind w:left="57" w:right="57" w:firstLine="0"/>
            </w:pPr>
            <w:r w:rsidRPr="00761653">
              <w:t>1-2 г каждые 8 часов (максимальная доза 12 г/сут), в/в</w:t>
            </w:r>
          </w:p>
        </w:tc>
      </w:tr>
      <w:tr w:rsidR="00B43B37" w:rsidRPr="00265B67"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Цефтаролин</w:t>
            </w:r>
          </w:p>
        </w:tc>
        <w:tc>
          <w:tcPr>
            <w:tcW w:w="4395" w:type="dxa"/>
          </w:tcPr>
          <w:p w:rsidR="00B43B37" w:rsidRPr="00761653" w:rsidRDefault="00B43B37" w:rsidP="005600FF">
            <w:pPr>
              <w:ind w:left="57" w:right="57" w:firstLine="0"/>
            </w:pPr>
            <w:r w:rsidRPr="00761653">
              <w:t>600 мг каждые 12 часов, инфузия в течение 5-60 минут</w:t>
            </w:r>
          </w:p>
        </w:tc>
      </w:tr>
      <w:tr w:rsidR="00B43B37" w:rsidRPr="00265B67" w:rsidTr="005600FF">
        <w:tc>
          <w:tcPr>
            <w:tcW w:w="2376" w:type="dxa"/>
            <w:vMerge/>
          </w:tcPr>
          <w:p w:rsidR="00B43B37" w:rsidRPr="00761653" w:rsidRDefault="00B43B37" w:rsidP="005600FF">
            <w:pPr>
              <w:ind w:left="57" w:right="57" w:firstLine="0"/>
              <w:rPr>
                <w:highlight w:val="yellow"/>
              </w:rPr>
            </w:pPr>
          </w:p>
        </w:tc>
        <w:tc>
          <w:tcPr>
            <w:tcW w:w="2835" w:type="dxa"/>
          </w:tcPr>
          <w:p w:rsidR="00B43B37" w:rsidRPr="00761653" w:rsidRDefault="00B43B37" w:rsidP="005600FF">
            <w:pPr>
              <w:ind w:left="57" w:right="57" w:firstLine="0"/>
            </w:pPr>
            <w:r w:rsidRPr="00761653">
              <w:t>Ванкомицин</w:t>
            </w:r>
          </w:p>
        </w:tc>
        <w:tc>
          <w:tcPr>
            <w:tcW w:w="4395" w:type="dxa"/>
          </w:tcPr>
          <w:p w:rsidR="00B43B37" w:rsidRPr="00761653" w:rsidRDefault="00B43B37" w:rsidP="005600FF">
            <w:pPr>
              <w:ind w:left="57" w:right="57" w:firstLine="0"/>
            </w:pPr>
            <w:r w:rsidRPr="00761653">
              <w:t xml:space="preserve">Нагрузочная доза 25-30 мг/кг, затем 15-20 мг/кг каждые 8-12 часов (разовая доза не должна превышать 2 г), инфузия в течение 1,5-2 часов </w:t>
            </w:r>
          </w:p>
        </w:tc>
      </w:tr>
      <w:tr w:rsidR="00B43B37" w:rsidRPr="00265B67" w:rsidTr="005600FF">
        <w:tc>
          <w:tcPr>
            <w:tcW w:w="2376" w:type="dxa"/>
            <w:vMerge w:val="restart"/>
          </w:tcPr>
          <w:p w:rsidR="00B43B37" w:rsidRPr="00761653" w:rsidRDefault="00B43B37" w:rsidP="005600FF">
            <w:pPr>
              <w:ind w:left="57" w:right="57" w:firstLine="0"/>
            </w:pPr>
            <w:r w:rsidRPr="00761653">
              <w:rPr>
                <w:i/>
              </w:rPr>
              <w:t>S. aureus,</w:t>
            </w:r>
            <w:r w:rsidRPr="00761653">
              <w:t xml:space="preserve"> устойчивые к оксациллину</w:t>
            </w:r>
          </w:p>
        </w:tc>
        <w:tc>
          <w:tcPr>
            <w:tcW w:w="2835" w:type="dxa"/>
          </w:tcPr>
          <w:p w:rsidR="00B43B37" w:rsidRPr="00761653" w:rsidRDefault="00B43B37" w:rsidP="005600FF">
            <w:pPr>
              <w:ind w:left="57" w:right="57" w:firstLine="0"/>
            </w:pPr>
            <w:r w:rsidRPr="00761653">
              <w:t>Ванкомицин</w:t>
            </w:r>
          </w:p>
        </w:tc>
        <w:tc>
          <w:tcPr>
            <w:tcW w:w="4395" w:type="dxa"/>
          </w:tcPr>
          <w:p w:rsidR="00B43B37" w:rsidRPr="00761653" w:rsidRDefault="00B43B37" w:rsidP="005600FF">
            <w:pPr>
              <w:ind w:left="57" w:right="57" w:firstLine="0"/>
            </w:pPr>
            <w:r w:rsidRPr="00761653">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rPr>
              <w:t>S. aureus</w:t>
            </w:r>
            <w:r w:rsidRPr="00761653">
              <w:t xml:space="preserve"> с МПК </w:t>
            </w:r>
            <w:r w:rsidRPr="00761653">
              <w:lastRenderedPageBreak/>
              <w:t>ванкомицина &gt; 1 мкг/мл ввиду низкой клинической эффективности)</w:t>
            </w:r>
          </w:p>
        </w:tc>
      </w:tr>
      <w:tr w:rsidR="00B43B37" w:rsidRPr="00975FC1"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Линезолид</w:t>
            </w:r>
          </w:p>
        </w:tc>
        <w:tc>
          <w:tcPr>
            <w:tcW w:w="4395" w:type="dxa"/>
          </w:tcPr>
          <w:p w:rsidR="00B43B37" w:rsidRPr="00761653" w:rsidRDefault="00B43B37" w:rsidP="005600FF">
            <w:pPr>
              <w:ind w:left="57" w:right="57" w:firstLine="0"/>
            </w:pPr>
            <w:r w:rsidRPr="00761653">
              <w:t>600 мг каждые 12 часов, в/в или внутрь</w:t>
            </w:r>
          </w:p>
        </w:tc>
      </w:tr>
      <w:tr w:rsidR="00B43B37" w:rsidRPr="00975FC1"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Тедизолид</w:t>
            </w:r>
          </w:p>
        </w:tc>
        <w:tc>
          <w:tcPr>
            <w:tcW w:w="4395" w:type="dxa"/>
          </w:tcPr>
          <w:p w:rsidR="00B43B37" w:rsidRPr="00761653" w:rsidRDefault="00B43B37" w:rsidP="005600FF">
            <w:pPr>
              <w:ind w:left="57" w:right="57" w:firstLine="0"/>
            </w:pPr>
            <w:r w:rsidRPr="00761653">
              <w:t>200 мг каждые 24 часа, внутрь или в/в инфузия в течение 1 часа (не применяют для лечения инфекций кровотока и пневмонии)</w:t>
            </w:r>
          </w:p>
        </w:tc>
      </w:tr>
      <w:tr w:rsidR="00B43B37" w:rsidRPr="00265B67"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Даптомицин</w:t>
            </w:r>
          </w:p>
        </w:tc>
        <w:tc>
          <w:tcPr>
            <w:tcW w:w="4395" w:type="dxa"/>
          </w:tcPr>
          <w:p w:rsidR="00B43B37" w:rsidRPr="00761653" w:rsidRDefault="00B43B37" w:rsidP="005600FF">
            <w:pPr>
              <w:ind w:left="57" w:right="57" w:firstLine="0"/>
            </w:pPr>
            <w:r w:rsidRPr="00761653">
              <w:t>10-12 мг/кг каждые 24 часа, инфузия в течение 30 минут (препарат не применяют для лечения пневмонии)</w:t>
            </w:r>
          </w:p>
        </w:tc>
      </w:tr>
      <w:tr w:rsidR="00B43B37" w:rsidRPr="00265B67"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Телаванцин</w:t>
            </w:r>
          </w:p>
        </w:tc>
        <w:tc>
          <w:tcPr>
            <w:tcW w:w="4395" w:type="dxa"/>
          </w:tcPr>
          <w:p w:rsidR="00B43B37" w:rsidRPr="00761653" w:rsidRDefault="00B43B37" w:rsidP="005600FF">
            <w:pPr>
              <w:ind w:left="57" w:right="57" w:firstLine="0"/>
            </w:pPr>
            <w:r w:rsidRPr="00761653">
              <w:t>10 мг/кг каждые 24 часа, инфузия в течение 1 часа</w:t>
            </w:r>
          </w:p>
        </w:tc>
      </w:tr>
      <w:tr w:rsidR="00B43B37" w:rsidRPr="00265B67"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Далбаванцин</w:t>
            </w:r>
          </w:p>
        </w:tc>
        <w:tc>
          <w:tcPr>
            <w:tcW w:w="4395" w:type="dxa"/>
          </w:tcPr>
          <w:p w:rsidR="00B43B37" w:rsidRPr="00761653" w:rsidRDefault="00B43B37" w:rsidP="005600FF">
            <w:pPr>
              <w:ind w:left="57" w:right="57" w:firstLine="0"/>
            </w:pPr>
            <w:r w:rsidRPr="00761653">
              <w:t>1000 мг, инфузия в течение 30 мин, затем через неделю 500мг , инфузия в течение 30 мин</w:t>
            </w:r>
          </w:p>
        </w:tc>
      </w:tr>
      <w:tr w:rsidR="00B43B37" w:rsidRPr="00975FC1"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Тигециклин</w:t>
            </w:r>
          </w:p>
        </w:tc>
        <w:tc>
          <w:tcPr>
            <w:tcW w:w="4395" w:type="dxa"/>
          </w:tcPr>
          <w:p w:rsidR="00B43B37" w:rsidRPr="00761653" w:rsidRDefault="00B43B37" w:rsidP="005600FF">
            <w:pPr>
              <w:ind w:left="57" w:right="57" w:firstLine="0"/>
            </w:pPr>
            <w:r w:rsidRPr="00761653">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B43B37" w:rsidRPr="00265B67"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Цефтаролин</w:t>
            </w:r>
          </w:p>
        </w:tc>
        <w:tc>
          <w:tcPr>
            <w:tcW w:w="4395" w:type="dxa"/>
          </w:tcPr>
          <w:p w:rsidR="00B43B37" w:rsidRPr="00761653" w:rsidRDefault="00B43B37" w:rsidP="005600FF">
            <w:pPr>
              <w:ind w:left="57" w:right="57" w:firstLine="0"/>
            </w:pPr>
            <w:r w:rsidRPr="00761653">
              <w:t>600 мг каждые 12 часов, инфузия в течение 5-60 минут</w:t>
            </w:r>
          </w:p>
        </w:tc>
      </w:tr>
      <w:tr w:rsidR="00B43B37" w:rsidRPr="00265B67" w:rsidTr="005600FF">
        <w:tc>
          <w:tcPr>
            <w:tcW w:w="2376" w:type="dxa"/>
          </w:tcPr>
          <w:p w:rsidR="00B43B37" w:rsidRPr="00761653" w:rsidRDefault="00B43B37" w:rsidP="005600FF">
            <w:pPr>
              <w:ind w:left="57" w:right="57" w:firstLine="0"/>
            </w:pPr>
            <w:r w:rsidRPr="00761653">
              <w:rPr>
                <w:i/>
              </w:rPr>
              <w:t xml:space="preserve">E. faecium, </w:t>
            </w:r>
            <w:r w:rsidRPr="00761653">
              <w:t>чувствительные к ванкомицину</w:t>
            </w:r>
          </w:p>
        </w:tc>
        <w:tc>
          <w:tcPr>
            <w:tcW w:w="2835" w:type="dxa"/>
          </w:tcPr>
          <w:p w:rsidR="00B43B37" w:rsidRPr="00761653" w:rsidRDefault="00B43B37" w:rsidP="005600FF">
            <w:pPr>
              <w:ind w:left="57" w:right="57" w:firstLine="0"/>
            </w:pPr>
            <w:r w:rsidRPr="00761653">
              <w:t>Ванкомицин</w:t>
            </w:r>
          </w:p>
        </w:tc>
        <w:tc>
          <w:tcPr>
            <w:tcW w:w="4395" w:type="dxa"/>
          </w:tcPr>
          <w:p w:rsidR="00B43B37" w:rsidRPr="00761653" w:rsidRDefault="00B43B37" w:rsidP="005600FF">
            <w:pPr>
              <w:ind w:left="57" w:right="57" w:firstLine="0"/>
            </w:pPr>
            <w:r w:rsidRPr="00761653">
              <w:t>Нагрузочная доза 25-30 мг/кг, затем 15-20 мг/кг каждые 8-12 часов, (разовая доза не должна превышать 2 г), инфузия в течение 1,5-2 часов</w:t>
            </w:r>
          </w:p>
        </w:tc>
      </w:tr>
      <w:tr w:rsidR="00B43B37" w:rsidRPr="00265B67" w:rsidTr="005600FF">
        <w:tc>
          <w:tcPr>
            <w:tcW w:w="2376" w:type="dxa"/>
            <w:vMerge w:val="restart"/>
          </w:tcPr>
          <w:p w:rsidR="00B43B37" w:rsidRPr="00761653" w:rsidRDefault="00B43B37" w:rsidP="005600FF">
            <w:pPr>
              <w:ind w:left="57" w:right="57" w:firstLine="0"/>
            </w:pPr>
            <w:r w:rsidRPr="00761653">
              <w:rPr>
                <w:i/>
              </w:rPr>
              <w:t>E.faecium,</w:t>
            </w:r>
            <w:r w:rsidRPr="00761653">
              <w:t xml:space="preserve"> устойчивые к ванкомицину</w:t>
            </w:r>
          </w:p>
        </w:tc>
        <w:tc>
          <w:tcPr>
            <w:tcW w:w="2835" w:type="dxa"/>
          </w:tcPr>
          <w:p w:rsidR="00B43B37" w:rsidRPr="00761653" w:rsidRDefault="00B43B37" w:rsidP="005600FF">
            <w:pPr>
              <w:ind w:left="57" w:right="57" w:firstLine="0"/>
            </w:pPr>
            <w:r w:rsidRPr="00761653">
              <w:t>Даптомицин</w:t>
            </w:r>
          </w:p>
        </w:tc>
        <w:tc>
          <w:tcPr>
            <w:tcW w:w="4395" w:type="dxa"/>
          </w:tcPr>
          <w:p w:rsidR="00B43B37" w:rsidRPr="00761653" w:rsidRDefault="00B43B37" w:rsidP="005600FF">
            <w:pPr>
              <w:ind w:left="57" w:right="57" w:firstLine="0"/>
            </w:pPr>
            <w:r w:rsidRPr="00761653">
              <w:t>10-12 мг/кг каждые 24 часа, инфузия в течение 30 мин</w:t>
            </w:r>
          </w:p>
        </w:tc>
      </w:tr>
      <w:tr w:rsidR="00B43B37" w:rsidRPr="00975FC1"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Линезолид</w:t>
            </w:r>
          </w:p>
        </w:tc>
        <w:tc>
          <w:tcPr>
            <w:tcW w:w="4395" w:type="dxa"/>
          </w:tcPr>
          <w:p w:rsidR="00B43B37" w:rsidRPr="00761653" w:rsidRDefault="00B43B37" w:rsidP="005600FF">
            <w:pPr>
              <w:ind w:left="57" w:right="57" w:firstLine="0"/>
            </w:pPr>
            <w:r w:rsidRPr="00761653">
              <w:t>600 мг каждые 12 часов, в/в или внутрь (следует применять при инфекциях, вызванных штаммами с МПК даптомицина &gt; 4 мкг/мл)</w:t>
            </w:r>
          </w:p>
        </w:tc>
      </w:tr>
      <w:tr w:rsidR="00B43B37" w:rsidRPr="00975FC1"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Тедизолид</w:t>
            </w:r>
          </w:p>
        </w:tc>
        <w:tc>
          <w:tcPr>
            <w:tcW w:w="4395" w:type="dxa"/>
          </w:tcPr>
          <w:p w:rsidR="00B43B37" w:rsidRPr="00761653" w:rsidRDefault="00B43B37" w:rsidP="005600FF">
            <w:pPr>
              <w:ind w:left="57" w:right="57" w:firstLine="0"/>
            </w:pPr>
            <w:r w:rsidRPr="00761653">
              <w:t>200 мг каждые 24 часа, внутрь или в/в инфузия в течение 1 часа (не применяют в лечении инфекций кровотока и пневмонии)</w:t>
            </w:r>
          </w:p>
        </w:tc>
      </w:tr>
      <w:tr w:rsidR="00B43B37" w:rsidRPr="00265B67" w:rsidTr="005600FF">
        <w:tc>
          <w:tcPr>
            <w:tcW w:w="2376" w:type="dxa"/>
            <w:vMerge/>
          </w:tcPr>
          <w:p w:rsidR="00B43B37" w:rsidRPr="00761653" w:rsidRDefault="00B43B37" w:rsidP="005600FF">
            <w:pPr>
              <w:ind w:left="57" w:right="57" w:firstLine="0"/>
            </w:pPr>
          </w:p>
        </w:tc>
        <w:tc>
          <w:tcPr>
            <w:tcW w:w="2835" w:type="dxa"/>
          </w:tcPr>
          <w:p w:rsidR="00B43B37" w:rsidRPr="00761653" w:rsidRDefault="00B43B37" w:rsidP="005600FF">
            <w:pPr>
              <w:ind w:left="57" w:right="57" w:firstLine="0"/>
            </w:pPr>
            <w:r w:rsidRPr="00761653">
              <w:t>Тигециклин</w:t>
            </w:r>
          </w:p>
        </w:tc>
        <w:tc>
          <w:tcPr>
            <w:tcW w:w="4395" w:type="dxa"/>
          </w:tcPr>
          <w:p w:rsidR="00B43B37" w:rsidRPr="00761653" w:rsidRDefault="00B43B37" w:rsidP="005600FF">
            <w:pPr>
              <w:ind w:left="57" w:right="57" w:firstLine="0"/>
            </w:pPr>
            <w:r w:rsidRPr="00761653">
              <w:t>Нагрузочная доза 100 мг, затем по 50 мг каждые 12 часов (не показан для лечения инфекций кровотока, инфекций мочевыводящих путей)</w:t>
            </w:r>
          </w:p>
        </w:tc>
      </w:tr>
    </w:tbl>
    <w:p w:rsidR="00B43B37" w:rsidRDefault="00B43B37" w:rsidP="00B43B37">
      <w:pPr>
        <w:widowControl w:val="0"/>
        <w:autoSpaceDE w:val="0"/>
        <w:autoSpaceDN w:val="0"/>
        <w:adjustRightInd w:val="0"/>
        <w:ind w:right="49"/>
        <w:contextualSpacing/>
        <w:rPr>
          <w:b/>
          <w:bCs/>
          <w:iCs/>
        </w:rPr>
      </w:pPr>
    </w:p>
    <w:p w:rsidR="00B43B37" w:rsidRPr="00761653" w:rsidRDefault="00B43B37" w:rsidP="00B43B37">
      <w:pPr>
        <w:widowControl w:val="0"/>
        <w:autoSpaceDE w:val="0"/>
        <w:autoSpaceDN w:val="0"/>
        <w:adjustRightInd w:val="0"/>
        <w:ind w:right="49"/>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rsidR="00B43B37" w:rsidRPr="00284D51" w:rsidRDefault="00B43B37" w:rsidP="00B43B37">
      <w:pPr>
        <w:widowControl w:val="0"/>
        <w:autoSpaceDE w:val="0"/>
        <w:autoSpaceDN w:val="0"/>
        <w:adjustRightInd w:val="0"/>
        <w:ind w:right="49"/>
        <w:contextualSpacing/>
        <w:rPr>
          <w:i/>
          <w:iCs/>
        </w:rPr>
      </w:pPr>
      <w:r w:rsidRPr="00284D51">
        <w:rPr>
          <w:i/>
          <w:iCs/>
        </w:rPr>
        <w:t xml:space="preserve">Listeria monocytogenes </w:t>
      </w:r>
    </w:p>
    <w:p w:rsidR="00B43B37" w:rsidRPr="00761653" w:rsidRDefault="00B43B37" w:rsidP="00B43B37">
      <w:pPr>
        <w:widowControl w:val="0"/>
        <w:autoSpaceDE w:val="0"/>
        <w:autoSpaceDN w:val="0"/>
        <w:adjustRightInd w:val="0"/>
        <w:ind w:right="4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3524A5">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[60]","plainTextFormattedCitation":"[60]","previouslyFormattedCitation":"[60]"},"properties":{"noteIndex":0},"schema":"https://github.com/citation-style-language/schema/raw/master/csl-citation.json"}</w:instrText>
      </w:r>
      <w:r>
        <w:fldChar w:fldCharType="separate"/>
      </w:r>
      <w:r w:rsidR="005600FF" w:rsidRPr="005600FF">
        <w:rPr>
          <w:noProof/>
        </w:rPr>
        <w:t>[60]</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rsidR="00B43B37" w:rsidRPr="00284D51" w:rsidRDefault="00B43B37" w:rsidP="00B43B37">
      <w:pPr>
        <w:widowControl w:val="0"/>
        <w:autoSpaceDE w:val="0"/>
        <w:autoSpaceDN w:val="0"/>
        <w:adjustRightInd w:val="0"/>
        <w:ind w:right="49"/>
        <w:contextualSpacing/>
        <w:rPr>
          <w:bCs/>
          <w:i/>
        </w:rPr>
      </w:pPr>
      <w:r w:rsidRPr="00284D51">
        <w:rPr>
          <w:bCs/>
          <w:i/>
        </w:rPr>
        <w:t xml:space="preserve">Legionella pneumophila </w:t>
      </w:r>
    </w:p>
    <w:p w:rsidR="00B43B37" w:rsidRPr="00761653" w:rsidRDefault="00B43B37" w:rsidP="00B43B37">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w:t>
      </w:r>
      <w:r w:rsidRPr="00761653">
        <w:lastRenderedPageBreak/>
        <w:t>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rsidR="00B43B37" w:rsidRPr="00284D51" w:rsidRDefault="00B43B37" w:rsidP="00B43B37">
      <w:pPr>
        <w:widowControl w:val="0"/>
        <w:autoSpaceDE w:val="0"/>
        <w:autoSpaceDN w:val="0"/>
        <w:adjustRightInd w:val="0"/>
        <w:ind w:right="49"/>
        <w:contextualSpacing/>
        <w:rPr>
          <w:i/>
          <w:iCs/>
        </w:rPr>
      </w:pPr>
      <w:r w:rsidRPr="00284D51">
        <w:rPr>
          <w:i/>
          <w:iCs/>
        </w:rPr>
        <w:t xml:space="preserve">Clostridioides difficile </w:t>
      </w:r>
    </w:p>
    <w:p w:rsidR="00B43B37" w:rsidRPr="00761653" w:rsidRDefault="00B43B37" w:rsidP="00B43B37">
      <w:pPr>
        <w:widowControl w:val="0"/>
        <w:autoSpaceDE w:val="0"/>
        <w:autoSpaceDN w:val="0"/>
        <w:adjustRightInd w:val="0"/>
        <w:ind w:right="4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3524A5">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[61]","plainTextFormattedCitation":"[61]","previouslyFormattedCitation":"[61]"},"properties":{"noteIndex":0},"schema":"https://github.com/citation-style-language/schema/raw/master/csl-citation.json"}</w:instrText>
      </w:r>
      <w:r>
        <w:fldChar w:fldCharType="separate"/>
      </w:r>
      <w:r w:rsidR="005600FF" w:rsidRPr="005600FF">
        <w:rPr>
          <w:noProof/>
        </w:rPr>
        <w:t>[61]</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3524A5">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[59]","plainTextFormattedCitation":"[59]","previouslyFormattedCitation":"[59]"},"properties":{"noteIndex":0},"schema":"https://github.com/citation-style-language/schema/raw/master/csl-citation.json"}</w:instrText>
      </w:r>
      <w:r>
        <w:fldChar w:fldCharType="separate"/>
      </w:r>
      <w:r w:rsidR="005600FF" w:rsidRPr="005600FF">
        <w:rPr>
          <w:noProof/>
        </w:rPr>
        <w:t>[59]</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rsidR="00B43B37" w:rsidRDefault="00B43B37" w:rsidP="00B43B37">
      <w:pPr>
        <w:widowControl w:val="0"/>
        <w:tabs>
          <w:tab w:val="left" w:pos="317"/>
          <w:tab w:val="left" w:pos="8715"/>
        </w:tabs>
        <w:autoSpaceDE w:val="0"/>
        <w:autoSpaceDN w:val="0"/>
        <w:adjustRightInd w:val="0"/>
        <w:ind w:right="49"/>
        <w:contextualSpacing/>
        <w:rPr>
          <w:b/>
          <w:iCs/>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Назначение антибиотиков в зависимости от локализации инфекции</w:t>
      </w:r>
    </w:p>
    <w:p w:rsidR="00B43B37" w:rsidRPr="00284D51" w:rsidRDefault="00B43B37" w:rsidP="00B43B37">
      <w:pPr>
        <w:widowControl w:val="0"/>
        <w:autoSpaceDE w:val="0"/>
        <w:autoSpaceDN w:val="0"/>
        <w:adjustRightInd w:val="0"/>
        <w:ind w:right="49"/>
        <w:contextualSpacing/>
        <w:rPr>
          <w:bCs/>
          <w:i/>
          <w:iCs/>
        </w:rPr>
      </w:pPr>
      <w:r w:rsidRPr="00284D51">
        <w:rPr>
          <w:bCs/>
          <w:i/>
          <w:iCs/>
        </w:rPr>
        <w:t>Мукозит. Гингивит</w:t>
      </w:r>
    </w:p>
    <w:p w:rsidR="00B43B37" w:rsidRPr="00761653" w:rsidRDefault="00B43B37" w:rsidP="00B43B37">
      <w:pPr>
        <w:widowControl w:val="0"/>
        <w:autoSpaceDE w:val="0"/>
        <w:autoSpaceDN w:val="0"/>
        <w:adjustRightInd w:val="0"/>
        <w:ind w:right="4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rsidR="00B43B37" w:rsidRPr="00284D51" w:rsidRDefault="00B43B37" w:rsidP="00B43B37">
      <w:pPr>
        <w:widowControl w:val="0"/>
        <w:autoSpaceDE w:val="0"/>
        <w:autoSpaceDN w:val="0"/>
        <w:adjustRightInd w:val="0"/>
        <w:ind w:right="49"/>
        <w:contextualSpacing/>
        <w:rPr>
          <w:bCs/>
          <w:i/>
          <w:iCs/>
        </w:rPr>
      </w:pPr>
      <w:r w:rsidRPr="00284D51">
        <w:rPr>
          <w:bCs/>
          <w:i/>
          <w:iCs/>
        </w:rPr>
        <w:t>Пневмония</w:t>
      </w:r>
    </w:p>
    <w:p w:rsidR="00B43B37" w:rsidRPr="00761653" w:rsidRDefault="00B43B37" w:rsidP="00B43B37">
      <w:pPr>
        <w:widowControl w:val="0"/>
        <w:autoSpaceDE w:val="0"/>
        <w:autoSpaceDN w:val="0"/>
        <w:adjustRightInd w:val="0"/>
        <w:ind w:right="4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w:t>
      </w:r>
      <w:r w:rsidRPr="00761653">
        <w:lastRenderedPageBreak/>
        <w:t xml:space="preserve">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rsidR="00B43B37" w:rsidRPr="00284D51" w:rsidRDefault="00B43B37" w:rsidP="00B43B37">
      <w:pPr>
        <w:widowControl w:val="0"/>
        <w:autoSpaceDE w:val="0"/>
        <w:autoSpaceDN w:val="0"/>
        <w:adjustRightInd w:val="0"/>
        <w:ind w:right="49"/>
        <w:contextualSpacing/>
        <w:rPr>
          <w:bCs/>
          <w:i/>
        </w:rPr>
      </w:pPr>
      <w:r w:rsidRPr="00284D51">
        <w:rPr>
          <w:bCs/>
          <w:i/>
        </w:rPr>
        <w:t>Инфекция перианальной области (парапроктит, обострение геморроя и другие)</w:t>
      </w:r>
    </w:p>
    <w:p w:rsidR="00B43B37" w:rsidRPr="00761653" w:rsidRDefault="00B43B37" w:rsidP="00B43B37">
      <w:pPr>
        <w:widowControl w:val="0"/>
        <w:autoSpaceDE w:val="0"/>
        <w:autoSpaceDN w:val="0"/>
        <w:adjustRightInd w:val="0"/>
        <w:ind w:right="4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rsidR="00B43B37" w:rsidRDefault="00B43B37" w:rsidP="00B43B37">
      <w:pPr>
        <w:widowControl w:val="0"/>
        <w:autoSpaceDE w:val="0"/>
        <w:autoSpaceDN w:val="0"/>
        <w:adjustRightInd w:val="0"/>
        <w:ind w:right="49"/>
        <w:contextualSpacing/>
        <w:rPr>
          <w:b/>
          <w:bCs/>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Критерии прекращения противомикробной терапии</w:t>
      </w:r>
    </w:p>
    <w:p w:rsidR="00B43B37" w:rsidRPr="00761653" w:rsidRDefault="00B43B37" w:rsidP="00B43B37">
      <w:pPr>
        <w:widowControl w:val="0"/>
        <w:autoSpaceDE w:val="0"/>
        <w:autoSpaceDN w:val="0"/>
        <w:adjustRightInd w:val="0"/>
        <w:ind w:right="49"/>
        <w:contextualSpacing/>
      </w:pPr>
      <w:r w:rsidRPr="00284D51">
        <w:rPr>
          <w:i/>
          <w:iCs/>
        </w:rPr>
        <w:t>При лихорадке неясной этиологии</w:t>
      </w:r>
      <w:r w:rsidRPr="00284D51">
        <w:rPr>
          <w:b/>
          <w:bCs/>
        </w:rPr>
        <w:t xml:space="preserve"> </w:t>
      </w:r>
      <w:r w:rsidRPr="00284D51">
        <w:t>в период нейтропении/лейкопении антибиотики</w:t>
      </w:r>
      <w:r w:rsidRPr="00761653">
        <w:t xml:space="preserve">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rsidR="00B43B37" w:rsidRPr="00761653" w:rsidRDefault="00B43B37" w:rsidP="00B43B37">
      <w:pPr>
        <w:widowControl w:val="0"/>
        <w:autoSpaceDE w:val="0"/>
        <w:autoSpaceDN w:val="0"/>
        <w:adjustRightInd w:val="0"/>
        <w:ind w:right="49"/>
        <w:contextualSpacing/>
      </w:pPr>
      <w:r w:rsidRPr="00284D51">
        <w:rPr>
          <w:i/>
          <w:iCs/>
        </w:rPr>
        <w:t>При клинически и микробиологически доказанной инфекции</w:t>
      </w:r>
      <w:r w:rsidRPr="00284D51">
        <w:t xml:space="preserve"> длительность</w:t>
      </w:r>
      <w:r w:rsidRPr="00761653">
        <w:t xml:space="preserve">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rsidR="00B43B37" w:rsidRDefault="00B43B37" w:rsidP="00B43B37">
      <w:pPr>
        <w:widowControl w:val="0"/>
        <w:autoSpaceDE w:val="0"/>
        <w:autoSpaceDN w:val="0"/>
        <w:adjustRightInd w:val="0"/>
        <w:ind w:right="49"/>
        <w:contextualSpacing/>
        <w:rPr>
          <w:b/>
          <w:bCs/>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Лечение пациентов в амбулаторных условиях</w:t>
      </w:r>
    </w:p>
    <w:p w:rsidR="00B43B37" w:rsidRDefault="00B43B37" w:rsidP="00B43B37">
      <w:pPr>
        <w:widowControl w:val="0"/>
        <w:autoSpaceDE w:val="0"/>
        <w:autoSpaceDN w:val="0"/>
        <w:adjustRightInd w:val="0"/>
        <w:ind w:right="4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w:t>
      </w:r>
      <w:r w:rsidRPr="00D40538">
        <w:lastRenderedPageBreak/>
        <w:t xml:space="preserve">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rsidR="00B43B37" w:rsidRDefault="00B43B37" w:rsidP="00B43B37">
      <w:pPr>
        <w:widowControl w:val="0"/>
        <w:autoSpaceDE w:val="0"/>
        <w:autoSpaceDN w:val="0"/>
        <w:adjustRightInd w:val="0"/>
        <w:ind w:right="4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rsidR="00B43B37" w:rsidRDefault="00B43B37" w:rsidP="00B43B37">
      <w:pPr>
        <w:widowControl w:val="0"/>
        <w:autoSpaceDE w:val="0"/>
        <w:autoSpaceDN w:val="0"/>
        <w:adjustRightInd w:val="0"/>
        <w:ind w:right="49"/>
        <w:contextualSpacing/>
        <w:jc w:val="left"/>
        <w:rPr>
          <w:b/>
        </w:rPr>
      </w:pPr>
    </w:p>
    <w:p w:rsidR="00B43B37" w:rsidRPr="00284D51" w:rsidRDefault="00B43B37" w:rsidP="00B43B37">
      <w:pPr>
        <w:widowControl w:val="0"/>
        <w:autoSpaceDE w:val="0"/>
        <w:autoSpaceDN w:val="0"/>
        <w:adjustRightInd w:val="0"/>
        <w:ind w:right="49"/>
        <w:contextualSpacing/>
        <w:rPr>
          <w:bCs/>
          <w:i/>
          <w:iCs/>
          <w:u w:val="single"/>
        </w:rPr>
      </w:pPr>
      <w:r w:rsidRPr="00284D51">
        <w:rPr>
          <w:bCs/>
          <w:i/>
          <w:iCs/>
          <w:u w:val="single"/>
        </w:rPr>
        <w:t xml:space="preserve">Перианальная инфекция </w:t>
      </w:r>
    </w:p>
    <w:p w:rsidR="00B43B37" w:rsidRPr="009A4DCC" w:rsidRDefault="00B43B37" w:rsidP="00B43B37">
      <w:pPr>
        <w:widowControl w:val="0"/>
        <w:autoSpaceDE w:val="0"/>
        <w:autoSpaceDN w:val="0"/>
        <w:adjustRightInd w:val="0"/>
        <w:ind w:right="49"/>
        <w:contextualSpacing/>
      </w:pPr>
      <w:r>
        <w:t>Перианальная инфекция чаще встречается при нейтропении, которая</w:t>
      </w:r>
      <w:r w:rsidRPr="009A4DCC">
        <w:t xml:space="preserve">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rsidR="00B43B37" w:rsidRPr="00284D51" w:rsidRDefault="00B43B37" w:rsidP="00B43B37">
      <w:pPr>
        <w:ind w:firstLine="708"/>
        <w:rPr>
          <w:bCs/>
          <w:i/>
          <w:iCs/>
        </w:rPr>
      </w:pPr>
      <w:r w:rsidRPr="00284D51">
        <w:rPr>
          <w:bCs/>
          <w:i/>
          <w:iCs/>
        </w:rPr>
        <w:t>Клиническая картина.</w:t>
      </w:r>
    </w:p>
    <w:p w:rsidR="00B43B37" w:rsidRPr="009A4DCC" w:rsidRDefault="00B43B37" w:rsidP="00B43B37">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rsidR="00B43B37" w:rsidRPr="00284D51" w:rsidRDefault="00B43B37" w:rsidP="00B43B37">
      <w:pPr>
        <w:ind w:firstLine="708"/>
        <w:rPr>
          <w:bCs/>
          <w:i/>
          <w:iCs/>
        </w:rPr>
      </w:pPr>
      <w:r w:rsidRPr="00284D51">
        <w:rPr>
          <w:bCs/>
          <w:i/>
          <w:iCs/>
        </w:rPr>
        <w:t>Диагностика.</w:t>
      </w:r>
    </w:p>
    <w:p w:rsidR="00B43B37" w:rsidRPr="009A4DCC" w:rsidRDefault="00B43B37" w:rsidP="004F39BB">
      <w:pPr>
        <w:pStyle w:val="afe"/>
        <w:numPr>
          <w:ilvl w:val="0"/>
          <w:numId w:val="44"/>
        </w:numPr>
      </w:pPr>
      <w:r w:rsidRPr="009A4DCC">
        <w:t>Осмотр колопроктолога (первичный и повторно в динамике)</w:t>
      </w:r>
    </w:p>
    <w:p w:rsidR="00B43B37" w:rsidRPr="009A4DCC" w:rsidRDefault="00B43B37" w:rsidP="004F39BB">
      <w:pPr>
        <w:pStyle w:val="afe"/>
        <w:numPr>
          <w:ilvl w:val="0"/>
          <w:numId w:val="44"/>
        </w:numPr>
      </w:pPr>
      <w:r w:rsidRPr="009A4DCC">
        <w:t>МРТ органов малого таза.</w:t>
      </w:r>
    </w:p>
    <w:p w:rsidR="00B43B37" w:rsidRPr="009A4DCC" w:rsidRDefault="00B43B37" w:rsidP="004F39BB">
      <w:pPr>
        <w:pStyle w:val="afe"/>
        <w:numPr>
          <w:ilvl w:val="0"/>
          <w:numId w:val="44"/>
        </w:numPr>
      </w:pPr>
      <w:r>
        <w:t>КТ/СКТ</w:t>
      </w:r>
      <w:r w:rsidRPr="009A4DCC">
        <w:t xml:space="preserve"> органов малого таза</w:t>
      </w:r>
    </w:p>
    <w:p w:rsidR="00B43B37" w:rsidRPr="00AE580F" w:rsidRDefault="00B43B37" w:rsidP="004F39BB">
      <w:pPr>
        <w:pStyle w:val="afe"/>
        <w:numPr>
          <w:ilvl w:val="0"/>
          <w:numId w:val="44"/>
        </w:numPr>
      </w:pPr>
      <w:r>
        <w:t>Бактериологическое исследование</w:t>
      </w:r>
    </w:p>
    <w:p w:rsidR="00B43B37" w:rsidRPr="009A4DCC" w:rsidRDefault="00B43B37" w:rsidP="00B43B37">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w:t>
      </w:r>
      <w:r>
        <w:lastRenderedPageBreak/>
        <w:t>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rsidR="00B43B37" w:rsidRPr="00284D51" w:rsidRDefault="00B43B37" w:rsidP="00B43B37">
      <w:pPr>
        <w:ind w:firstLine="708"/>
        <w:rPr>
          <w:bCs/>
          <w:i/>
          <w:iCs/>
        </w:rPr>
      </w:pPr>
      <w:r w:rsidRPr="00284D51">
        <w:rPr>
          <w:bCs/>
          <w:i/>
          <w:iCs/>
        </w:rPr>
        <w:t>Лечение</w:t>
      </w:r>
    </w:p>
    <w:p w:rsidR="00B43B37" w:rsidRPr="00F36465" w:rsidRDefault="00B43B37" w:rsidP="004F39BB">
      <w:pPr>
        <w:pStyle w:val="afe"/>
        <w:numPr>
          <w:ilvl w:val="0"/>
          <w:numId w:val="45"/>
        </w:numPr>
      </w:pPr>
      <w:r w:rsidRPr="00F36465">
        <w:t>Антибактериальная терапия</w:t>
      </w:r>
      <w:r>
        <w:t xml:space="preserve"> (см. выше)</w:t>
      </w:r>
    </w:p>
    <w:p w:rsidR="00B43B37" w:rsidRPr="00F22A59" w:rsidRDefault="00B43B37" w:rsidP="004F39BB">
      <w:pPr>
        <w:pStyle w:val="afe"/>
        <w:numPr>
          <w:ilvl w:val="0"/>
          <w:numId w:val="45"/>
        </w:numPr>
      </w:pPr>
      <w:r>
        <w:t>Хирургическое пособие</w:t>
      </w:r>
    </w:p>
    <w:p w:rsidR="00B43B37" w:rsidRPr="009A4DCC" w:rsidRDefault="00B43B37" w:rsidP="00B43B37">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rsidR="00B43B37" w:rsidRPr="009A4DCC" w:rsidRDefault="00B43B37" w:rsidP="00B43B37">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rsidR="00B43B37" w:rsidRPr="009A4DCC" w:rsidRDefault="00B43B37" w:rsidP="00B43B37">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rsidR="00B43B37" w:rsidRPr="00284D51" w:rsidRDefault="00B43B37" w:rsidP="00B43B37">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rsidR="00B43B37" w:rsidRDefault="00B43B37" w:rsidP="00B43B37">
      <w:pPr>
        <w:pStyle w:val="2"/>
        <w:spacing w:before="0"/>
      </w:pPr>
    </w:p>
    <w:p w:rsidR="00B43B37" w:rsidRPr="005802BC" w:rsidRDefault="00B43B37" w:rsidP="00B43B37">
      <w:pPr>
        <w:pStyle w:val="2"/>
        <w:spacing w:before="0"/>
      </w:pPr>
      <w:bookmarkStart w:id="74" w:name="_Toc65770418"/>
      <w:bookmarkStart w:id="75" w:name="_Toc66176857"/>
      <w:bookmarkStart w:id="76" w:name="_Toc67238429"/>
      <w:bookmarkStart w:id="77" w:name="_Toc67302919"/>
      <w:r w:rsidRPr="000322E4">
        <w:t>7.</w:t>
      </w:r>
      <w:r w:rsidRPr="0067126D">
        <w:t>2</w:t>
      </w:r>
      <w:r>
        <w:t xml:space="preserve"> </w:t>
      </w:r>
      <w:r w:rsidRPr="00262806">
        <w:t>Вирусные инфекции у пациентов с гематологическими заболеваниями</w:t>
      </w:r>
      <w:bookmarkEnd w:id="74"/>
      <w:bookmarkEnd w:id="75"/>
      <w:bookmarkEnd w:id="76"/>
      <w:bookmarkEnd w:id="77"/>
    </w:p>
    <w:p w:rsidR="00B43B37" w:rsidRDefault="00B43B37" w:rsidP="00B43B37">
      <w:pPr>
        <w:ind w:firstLine="708"/>
      </w:pPr>
      <w:r w:rsidRPr="0028579C">
        <w:lastRenderedPageBreak/>
        <w:t xml:space="preserve">Герпесвирусные инфекции диагностируют </w:t>
      </w:r>
      <w:r>
        <w:t>чаще</w:t>
      </w:r>
      <w:r w:rsidRPr="0028579C">
        <w:t xml:space="preserve"> всего у </w:t>
      </w:r>
      <w:r>
        <w:t>гематологических пациентов с</w:t>
      </w:r>
      <w:r w:rsidRPr="0028579C">
        <w:t xml:space="preserve"> лимфопролиферативными заболеваниями и у реципиентов аллогенных </w:t>
      </w:r>
      <w:r w:rsidRPr="00053026">
        <w:t>гемопоэтических стволовых клеток</w:t>
      </w:r>
      <w:r w:rsidRPr="0028579C">
        <w:t xml:space="preserve"> </w:t>
      </w:r>
      <w:r>
        <w:t>(</w:t>
      </w:r>
      <w:r w:rsidRPr="0028579C">
        <w:t>ТГСК</w:t>
      </w:r>
      <w:r>
        <w:t>)</w:t>
      </w:r>
      <w:r w:rsidRPr="0028579C">
        <w:t xml:space="preserve">. </w:t>
      </w:r>
      <w:r>
        <w:t>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rsidR="00B43B37" w:rsidRDefault="00B43B37" w:rsidP="00B43B37">
      <w:pPr>
        <w:ind w:firstLine="708"/>
      </w:pPr>
    </w:p>
    <w:p w:rsidR="00B43B37" w:rsidRPr="00A14D1D" w:rsidRDefault="00B43B37" w:rsidP="00B43B37">
      <w:pPr>
        <w:rPr>
          <w:bCs/>
          <w:i/>
          <w:iCs/>
          <w:u w:val="single"/>
        </w:rPr>
      </w:pPr>
      <w:r w:rsidRPr="00A14D1D">
        <w:rPr>
          <w:bCs/>
          <w:i/>
          <w:iCs/>
          <w:u w:val="single"/>
        </w:rPr>
        <w:t>Вирусы простого герпеса 1 и 2 типа (Herpes simplex virus, HSV)</w:t>
      </w:r>
    </w:p>
    <w:p w:rsidR="00B43B37" w:rsidRPr="00867D9A" w:rsidRDefault="00B43B37" w:rsidP="00B43B37">
      <w:pPr>
        <w:ind w:firstLine="708"/>
      </w:pPr>
      <w:r>
        <w:t>HSV</w:t>
      </w:r>
      <w:r w:rsidRPr="006B215F">
        <w:t xml:space="preserve"> вызывают у </w:t>
      </w:r>
      <w:r>
        <w:t>пациентов</w:t>
      </w:r>
      <w:r w:rsidRPr="006B215F">
        <w:t xml:space="preserve"> гематологическими заболеваниями прежде всего </w:t>
      </w:r>
      <w:r w:rsidRPr="0028579C">
        <w:t xml:space="preserve">повреждение слизистых оболочек (мукозиты), чаще HSV 1 тип. До 80% взрослых </w:t>
      </w:r>
      <w:r>
        <w:t xml:space="preserve">пациентов с </w:t>
      </w:r>
      <w:r w:rsidRPr="0028579C">
        <w:t>острыми миелоидными лейкозами (ОМЛ) являются серопозитивными</w:t>
      </w:r>
      <w:r>
        <w:t xml:space="preserve"> по HSV</w:t>
      </w:r>
      <w:r w:rsidRPr="0028579C">
        <w:t>.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Частота мукозитов, вызванных HSV, среди серопозитивных</w:t>
      </w:r>
      <w:r>
        <w:t xml:space="preserve"> пациентов ОМЛ во время ПХТ составляет 61%- 66%</w:t>
      </w:r>
      <w:r w:rsidRPr="006B215F">
        <w:t xml:space="preserve">, среди реципиентов аллогенных ТГСК достигает 80%, из них основная доля в первые 4 недели после ТГСК. При реактивации </w:t>
      </w:r>
      <w:r>
        <w:t>HSV</w:t>
      </w:r>
      <w:r w:rsidRPr="006B215F">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t>HSV</w:t>
      </w:r>
      <w:r w:rsidRPr="006B215F">
        <w:t xml:space="preserve"> – это эзофагит (10%). К редким проявлениям </w:t>
      </w:r>
      <w:r w:rsidRPr="00867D9A">
        <w:t xml:space="preserve">относят пневмонию (2-3% при отсутствии профилактики), гепатиты, менингит, энцефалит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rsidRPr="00867D9A">
        <w:t>.</w:t>
      </w:r>
    </w:p>
    <w:p w:rsidR="00B43B37" w:rsidRPr="00867D9A" w:rsidRDefault="00B43B37" w:rsidP="00B43B37">
      <w:pPr>
        <w:ind w:firstLine="708"/>
        <w:rPr>
          <w:bCs/>
          <w:i/>
          <w:iCs/>
        </w:rPr>
      </w:pPr>
      <w:r w:rsidRPr="00867D9A">
        <w:rPr>
          <w:bCs/>
          <w:i/>
          <w:iCs/>
        </w:rPr>
        <w:t>Диагностика</w:t>
      </w:r>
    </w:p>
    <w:p w:rsidR="00B43B37" w:rsidRPr="006B215F" w:rsidRDefault="00B43B37" w:rsidP="00B43B37">
      <w:pPr>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r>
        <w:t xml:space="preserve">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rsidRPr="006B215F">
        <w:t>.</w:t>
      </w:r>
    </w:p>
    <w:p w:rsidR="00B43B37" w:rsidRPr="006B215F" w:rsidRDefault="00B43B37" w:rsidP="00B43B37">
      <w:pPr>
        <w:ind w:firstLine="708"/>
      </w:pPr>
      <w:r w:rsidRPr="006B215F">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r>
        <w:t xml:space="preserve">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rsidRPr="006B215F">
        <w:t>.</w:t>
      </w:r>
    </w:p>
    <w:p w:rsidR="00B43B37" w:rsidRPr="00CA38D1" w:rsidRDefault="00B43B37" w:rsidP="00B43B37">
      <w:pPr>
        <w:ind w:firstLine="708"/>
        <w:rPr>
          <w:bCs/>
          <w:i/>
          <w:iCs/>
        </w:rPr>
      </w:pPr>
      <w:r w:rsidRPr="00CA38D1">
        <w:rPr>
          <w:bCs/>
          <w:i/>
          <w:iCs/>
        </w:rPr>
        <w:t>Лечение</w:t>
      </w:r>
    </w:p>
    <w:p w:rsidR="00B43B37" w:rsidRPr="006B215F" w:rsidRDefault="00B43B37" w:rsidP="00B43B37">
      <w:pPr>
        <w:ind w:firstLine="708"/>
      </w:pPr>
      <w:r w:rsidRPr="006B215F">
        <w:t>Назначают ацикловир в дозе 250 мг/м</w:t>
      </w:r>
      <w:r w:rsidRPr="00CA38D1">
        <w:rPr>
          <w:vertAlign w:val="superscript"/>
        </w:rPr>
        <w:t>2</w:t>
      </w:r>
      <w:r w:rsidRPr="006B215F">
        <w:t xml:space="preserve"> или 5 мг/кг каждые 8 часов в течение 7-10 дней. При нетяжелых мукозитах проводят лечение пероральной формой препаратов- </w:t>
      </w:r>
      <w:r w:rsidRPr="006B215F">
        <w:lastRenderedPageBreak/>
        <w:t>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vertAlign w:val="superscript"/>
        </w:rPr>
        <w:t xml:space="preserve">2 </w:t>
      </w:r>
      <w:r w:rsidRPr="006B215F">
        <w:t>или 10 мг/кг каждые 8 часов в течение 14-21 дня</w:t>
      </w:r>
      <w:r>
        <w:t xml:space="preserve">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rsidRPr="006B215F">
        <w:t>.</w:t>
      </w:r>
    </w:p>
    <w:p w:rsidR="00B43B37" w:rsidRDefault="00B43B37" w:rsidP="00B43B37">
      <w:pPr>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r>
        <w:t xml:space="preserve">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rsidRPr="006B215F">
        <w:t>.</w:t>
      </w:r>
    </w:p>
    <w:p w:rsidR="00B43B37" w:rsidRPr="006B215F" w:rsidRDefault="00B43B37" w:rsidP="00B43B37">
      <w:pPr>
        <w:ind w:firstLine="708"/>
      </w:pPr>
    </w:p>
    <w:p w:rsidR="00B43B37" w:rsidRPr="00861C01" w:rsidRDefault="00B43B37" w:rsidP="00B43B37">
      <w:pPr>
        <w:rPr>
          <w:bCs/>
          <w:i/>
          <w:iCs/>
          <w:u w:val="single"/>
        </w:rPr>
      </w:pPr>
      <w:r w:rsidRPr="00861C01">
        <w:rPr>
          <w:bCs/>
          <w:i/>
          <w:iCs/>
          <w:u w:val="single"/>
        </w:rPr>
        <w:t xml:space="preserve">Герпес зостер вирус (Herpes zoster virus, HZV) </w:t>
      </w:r>
    </w:p>
    <w:p w:rsidR="00B43B37" w:rsidRPr="00EE012F" w:rsidRDefault="00B43B37" w:rsidP="00B43B37">
      <w:pPr>
        <w:ind w:firstLine="708"/>
      </w:pPr>
      <w:r w:rsidRPr="006B215F">
        <w:t xml:space="preserve">У реципиентов ТГСК инфекция </w:t>
      </w:r>
      <w:r w:rsidRPr="0028579C">
        <w:t>чаще возникает в течение первых 24 месяцев. Группу риска составляют больные с хронической реакцией «трансплантат против хозяина» (РТПХ). Другие факторы включают наличие острого лейкоза или лимфопролиферативного</w:t>
      </w:r>
      <w:r w:rsidRPr="006B215F">
        <w:t xml:space="preserve"> заболевания в качестве диагноза до ТГСК, во</w:t>
      </w:r>
      <w:r>
        <w:t>зраст старше 50 лет, проведение</w:t>
      </w:r>
      <w:r w:rsidRPr="006B215F">
        <w:t xml:space="preserve"> миелоаблативного режима, </w:t>
      </w:r>
      <w:r>
        <w:t>CD</w:t>
      </w:r>
      <w:r w:rsidRPr="006B215F">
        <w:t>34+</w:t>
      </w:r>
      <w:r>
        <w:t xml:space="preserve"> селектированная аллогенная или аутологичная ТГСК, наличие дефицита одновременно CD</w:t>
      </w:r>
      <w:r w:rsidRPr="006B215F">
        <w:t xml:space="preserve">4(+) и </w:t>
      </w:r>
      <w:r>
        <w:t>CD</w:t>
      </w:r>
      <w:r w:rsidRPr="006B215F">
        <w:t>8(+) лимфоцитов на 30</w:t>
      </w:r>
      <w:r>
        <w:t>-</w:t>
      </w:r>
      <w:r w:rsidRPr="006B215F">
        <w:t xml:space="preserve">й день после ТГСК. </w:t>
      </w:r>
      <w:r>
        <w:t>Гематологические пациенты с лимфопролиферативными заболеваниями составляют группу повышенного риска, независимо от этапа лечения / наблюдения.</w:t>
      </w:r>
    </w:p>
    <w:p w:rsidR="00B43B37" w:rsidRPr="006B215F" w:rsidRDefault="00B43B37" w:rsidP="00B43B37">
      <w:pPr>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rsidR="00B43B37" w:rsidRPr="006B215F" w:rsidRDefault="00B43B37" w:rsidP="00B43B37">
      <w:pPr>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rsidR="00B43B37" w:rsidRDefault="00B43B37" w:rsidP="00B43B37">
      <w:pPr>
        <w:ind w:firstLine="708"/>
      </w:pPr>
      <w:r w:rsidRPr="006B215F">
        <w:t>Лечение проводят ацикловиром внутривенно в дозе 500 мг/м</w:t>
      </w:r>
      <w:r w:rsidRPr="006B215F">
        <w:rPr>
          <w:vertAlign w:val="superscript"/>
        </w:rPr>
        <w:t>2</w:t>
      </w:r>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t xml:space="preserve">HZV используют фоскарнет (60 мг/кг каждые 12 час внутривенно) в течение 2 недель. </w:t>
      </w:r>
    </w:p>
    <w:p w:rsidR="00B43B37" w:rsidRDefault="00B43B37" w:rsidP="00B43B37">
      <w:pPr>
        <w:ind w:firstLine="708"/>
      </w:pPr>
    </w:p>
    <w:p w:rsidR="00B43B37" w:rsidRPr="007F7F8C" w:rsidRDefault="00B43B37" w:rsidP="00B43B37">
      <w:pPr>
        <w:rPr>
          <w:bCs/>
          <w:i/>
          <w:iCs/>
          <w:u w:val="single"/>
        </w:rPr>
      </w:pPr>
      <w:r w:rsidRPr="007F7F8C">
        <w:rPr>
          <w:bCs/>
          <w:i/>
          <w:iCs/>
          <w:u w:val="single"/>
        </w:rPr>
        <w:t>Цитомегаловирус (Cytomegalovirus, CMV)</w:t>
      </w:r>
    </w:p>
    <w:p w:rsidR="00B43B37" w:rsidRPr="00E42938" w:rsidRDefault="00B43B37" w:rsidP="00B43B37">
      <w:pPr>
        <w:ind w:firstLine="708"/>
      </w:pPr>
      <w:r w:rsidRPr="0028579C">
        <w:lastRenderedPageBreak/>
        <w:t xml:space="preserve">CMV остается частым осложнением </w:t>
      </w:r>
      <w:r>
        <w:t xml:space="preserve">у гематологических пациентов, в частности, </w:t>
      </w:r>
      <w:r w:rsidRPr="0028579C">
        <w:t>у реципиентов аллогенных ТГСК, может быть причиной заболевания как на раннем, так и позднем этапе после ТГСК, приводит к угнетению костно-мозгового кровообращения. Виремия при лимфоидных гематологических заболеваниях (ХЛЛ, лимфомы, острый лимфобластный лейкоз) и множественной миеломе достигает 13,6% в то время при миелоидны</w:t>
      </w:r>
      <w:r>
        <w:t>х гемобластозах составляет 3,9%.</w:t>
      </w:r>
      <w:r w:rsidRPr="0028579C">
        <w:t xml:space="preserve"> Выделяют CMV</w:t>
      </w:r>
      <w:r>
        <w:t>-</w:t>
      </w:r>
      <w:r w:rsidRPr="0028579C">
        <w:t>инфекцию и CMV</w:t>
      </w:r>
      <w:r>
        <w:t>-</w:t>
      </w:r>
      <w:r w:rsidRPr="0028579C">
        <w:t>заболевание. При CMV</w:t>
      </w:r>
      <w:r>
        <w:t>-</w:t>
      </w:r>
      <w:r w:rsidRPr="0028579C">
        <w:t>инфекции определяется виремия и температура в сочетании или без подавления костно-мозгового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 xml:space="preserve">гастроинтестинальное заболевание, диагностика которого </w:t>
      </w:r>
      <w:r w:rsidRPr="00E42938">
        <w:t xml:space="preserve">является наиболее трудной, особенно у пациентов с РТПХ </w:t>
      </w:r>
      <w:r w:rsidRPr="00E42938">
        <w:fldChar w:fldCharType="begin" w:fldLock="1"/>
      </w:r>
      <w:r w:rsidR="003524A5">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[63]","plainTextFormattedCitation":"[63]","previouslyFormattedCitation":"[63]"},"properties":{"noteIndex":0},"schema":"https://github.com/citation-style-language/schema/raw/master/csl-citation.json"}</w:instrText>
      </w:r>
      <w:r w:rsidRPr="00E42938">
        <w:fldChar w:fldCharType="separate"/>
      </w:r>
      <w:r w:rsidR="005600FF" w:rsidRPr="005600FF">
        <w:rPr>
          <w:noProof/>
        </w:rPr>
        <w:t>[63]</w:t>
      </w:r>
      <w:r w:rsidRPr="00E42938">
        <w:fldChar w:fldCharType="end"/>
      </w:r>
      <w:r w:rsidRPr="00E42938">
        <w:t xml:space="preserve">. </w:t>
      </w:r>
    </w:p>
    <w:p w:rsidR="00B43B37" w:rsidRPr="007F7F8C" w:rsidRDefault="00B43B37" w:rsidP="00B43B37">
      <w:pPr>
        <w:ind w:firstLine="708"/>
        <w:rPr>
          <w:bCs/>
          <w:i/>
          <w:iCs/>
        </w:rPr>
      </w:pPr>
      <w:r w:rsidRPr="007F7F8C">
        <w:rPr>
          <w:bCs/>
          <w:i/>
          <w:iCs/>
        </w:rPr>
        <w:t>Диагностика</w:t>
      </w:r>
    </w:p>
    <w:p w:rsidR="00B43B37" w:rsidRPr="006B215F" w:rsidRDefault="00B43B37" w:rsidP="00B43B37">
      <w:pPr>
        <w:ind w:firstLine="708"/>
      </w:pPr>
      <w:r w:rsidRPr="006B215F">
        <w:t xml:space="preserve">У реципиентов </w:t>
      </w:r>
      <w:r>
        <w:t xml:space="preserve">до </w:t>
      </w:r>
      <w:r w:rsidRPr="006B215F">
        <w:t xml:space="preserve">ТГСК исследуют наличие антител </w:t>
      </w:r>
      <w:r>
        <w:t>CMV.</w:t>
      </w:r>
    </w:p>
    <w:p w:rsidR="00B43B37" w:rsidRPr="006B215F" w:rsidRDefault="00B43B37" w:rsidP="00B43B37">
      <w:pPr>
        <w:ind w:firstLine="708"/>
      </w:pPr>
      <w:r w:rsidRPr="006B215F">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w:t>
      </w:r>
      <w:r>
        <w:t xml:space="preserve"> </w:t>
      </w:r>
      <w:r w:rsidRPr="00E42938">
        <w:fldChar w:fldCharType="begin" w:fldLock="1"/>
      </w:r>
      <w:r w:rsidR="003524A5">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[63]","plainTextFormattedCitation":"[63]","previouslyFormattedCitation":"[63]"},"properties":{"noteIndex":0},"schema":"https://github.com/citation-style-language/schema/raw/master/csl-citation.json"}</w:instrText>
      </w:r>
      <w:r w:rsidRPr="00E42938">
        <w:fldChar w:fldCharType="separate"/>
      </w:r>
      <w:r w:rsidR="005600FF" w:rsidRPr="005600FF">
        <w:rPr>
          <w:noProof/>
        </w:rPr>
        <w:t>[63]</w:t>
      </w:r>
      <w:r w:rsidRPr="00E42938">
        <w:fldChar w:fldCharType="end"/>
      </w:r>
      <w:r w:rsidRPr="006B215F">
        <w:t>. Всем реципиентам аллогенной ТГ</w:t>
      </w:r>
      <w:r>
        <w:t>СК следует проводить мониторинг</w:t>
      </w:r>
      <w:r w:rsidRPr="006B215F">
        <w:t xml:space="preserve"> определения ДНК </w:t>
      </w:r>
      <w:r>
        <w:t>CMV</w:t>
      </w:r>
      <w:r w:rsidRPr="006B215F">
        <w:t xml:space="preserve"> не реже чем 1 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t>CMV</w:t>
      </w:r>
      <w:r w:rsidRPr="006B215F">
        <w:t xml:space="preserve"> инфекцию в раннем периоде ТГСК, а также у реципиентов после несовместимой или неродственной ТГСК.</w:t>
      </w:r>
    </w:p>
    <w:p w:rsidR="00B43B37" w:rsidRPr="007F7F8C" w:rsidRDefault="00B43B37" w:rsidP="00B43B37">
      <w:pPr>
        <w:ind w:firstLine="708"/>
        <w:rPr>
          <w:bCs/>
          <w:i/>
          <w:iCs/>
        </w:rPr>
      </w:pPr>
      <w:r w:rsidRPr="007F7F8C">
        <w:rPr>
          <w:bCs/>
          <w:i/>
          <w:iCs/>
        </w:rPr>
        <w:t>Лечение</w:t>
      </w:r>
    </w:p>
    <w:p w:rsidR="00B43B37" w:rsidRPr="006B215F" w:rsidRDefault="00B43B37" w:rsidP="00B43B37">
      <w:pPr>
        <w:ind w:firstLine="708"/>
      </w:pPr>
      <w:r w:rsidRPr="006B215F">
        <w:t>Препаратом 1 линии является ганцикловир (внутривенно, 10 мг/кг/сутки, дозу разделяют на два приема)</w:t>
      </w:r>
      <w:r>
        <w:t xml:space="preserve"> </w:t>
      </w:r>
      <w:r w:rsidRPr="00E42938">
        <w:fldChar w:fldCharType="begin" w:fldLock="1"/>
      </w:r>
      <w:r w:rsidR="003524A5">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[63]","plainTextFormattedCitation":"[63]","previouslyFormattedCitation":"[63]"},"properties":{"noteIndex":0},"schema":"https://github.com/citation-style-language/schema/raw/master/csl-citation.json"}</w:instrText>
      </w:r>
      <w:r w:rsidRPr="00E42938">
        <w:fldChar w:fldCharType="separate"/>
      </w:r>
      <w:r w:rsidR="005600FF" w:rsidRPr="005600FF">
        <w:rPr>
          <w:noProof/>
        </w:rPr>
        <w:t>[63]</w:t>
      </w:r>
      <w:r w:rsidRPr="00E42938">
        <w:fldChar w:fldCharType="end"/>
      </w:r>
      <w:r w:rsidRPr="006B215F">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t xml:space="preserve"> </w:t>
      </w:r>
      <w:r w:rsidRPr="00E42938">
        <w:fldChar w:fldCharType="begin" w:fldLock="1"/>
      </w:r>
      <w:r w:rsidR="003524A5">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[63]","plainTextFormattedCitation":"[63]","previouslyFormattedCitation":"[63]"},"properties":{"noteIndex":0},"schema":"https://github.com/citation-style-language/schema/raw/master/csl-citation.json"}</w:instrText>
      </w:r>
      <w:r w:rsidRPr="00E42938">
        <w:fldChar w:fldCharType="separate"/>
      </w:r>
      <w:r w:rsidR="005600FF" w:rsidRPr="005600FF">
        <w:rPr>
          <w:noProof/>
        </w:rPr>
        <w:t>[63]</w:t>
      </w:r>
      <w:r w:rsidRPr="00E42938">
        <w:fldChar w:fldCharType="end"/>
      </w:r>
      <w:r w:rsidRPr="006B215F">
        <w:t>.</w:t>
      </w:r>
    </w:p>
    <w:p w:rsidR="00B43B37" w:rsidRDefault="00B43B37" w:rsidP="00B43B37">
      <w:pPr>
        <w:rPr>
          <w:bCs/>
          <w:i/>
          <w:iCs/>
          <w:u w:val="single"/>
        </w:rPr>
      </w:pPr>
    </w:p>
    <w:p w:rsidR="00B43B37" w:rsidRPr="00E42938" w:rsidRDefault="00B43B37" w:rsidP="00B43B37">
      <w:pPr>
        <w:rPr>
          <w:bCs/>
          <w:i/>
          <w:iCs/>
          <w:u w:val="single"/>
        </w:rPr>
      </w:pPr>
      <w:r w:rsidRPr="00E42938">
        <w:rPr>
          <w:bCs/>
          <w:i/>
          <w:iCs/>
          <w:u w:val="single"/>
        </w:rPr>
        <w:t>Вирус Эпштейна-Барр (Epstein-Barr virus – EBV)</w:t>
      </w:r>
    </w:p>
    <w:p w:rsidR="00B43B37" w:rsidRDefault="00B43B37" w:rsidP="00B43B37">
      <w:pPr>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t>;</w:t>
      </w:r>
      <w:r>
        <w:t xml:space="preserve"> наиболее высокий показатель после гаплоидентичной ТГСК (до 25%) и после деплеции Т-клеток (12-29%). </w:t>
      </w:r>
      <w:r>
        <w:lastRenderedPageBreak/>
        <w:t>Реципиенты после неродственной или частично совместимой ТГСК или после деплеции Т-клеток составляют группу риска в отношении развития EBV</w:t>
      </w:r>
      <w:r w:rsidRPr="006B215F">
        <w:t xml:space="preserve"> </w:t>
      </w:r>
      <w:r>
        <w:t xml:space="preserve">ассоциированной опухоли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t>.</w:t>
      </w:r>
    </w:p>
    <w:p w:rsidR="00B43B37" w:rsidRPr="006B215F" w:rsidRDefault="00B43B37" w:rsidP="00B43B37">
      <w:pPr>
        <w:ind w:firstLine="708"/>
      </w:pPr>
      <w:r>
        <w:t>Диагностика – детекция ДНК EBV</w:t>
      </w:r>
      <w:r w:rsidRPr="006B215F">
        <w:t xml:space="preserve"> методом ПЦР (количественный метод). Мониторинг </w:t>
      </w:r>
      <w:r>
        <w:t>ДНК EBV</w:t>
      </w:r>
      <w:r w:rsidRPr="006B215F">
        <w:t xml:space="preserve"> в группе высо</w:t>
      </w:r>
      <w:r>
        <w:t>ко</w:t>
      </w:r>
      <w:r w:rsidRPr="006B215F">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t>гаплоидентичной ТГСК, а также среди пациентов с ранней реактивацией EBV</w:t>
      </w:r>
      <w:r w:rsidRPr="006B215F">
        <w:t>.</w:t>
      </w:r>
    </w:p>
    <w:p w:rsidR="00B43B37" w:rsidRPr="003605AD" w:rsidRDefault="00B43B37" w:rsidP="00B43B37">
      <w:pPr>
        <w:ind w:firstLine="708"/>
      </w:pPr>
      <w:r w:rsidRPr="006B215F">
        <w:t xml:space="preserve">Лечение </w:t>
      </w:r>
      <w:r>
        <w:t xml:space="preserve">EBV-ассоциированного лимфопролиферативного заболевания проводят ритуксимабом </w:t>
      </w:r>
      <w:r w:rsidRPr="00867D9A">
        <w:fldChar w:fldCharType="begin" w:fldLock="1"/>
      </w:r>
      <w:r w:rsidR="003524A5">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[62]","plainTextFormattedCitation":"[62]","previouslyFormattedCitation":"[62]"},"properties":{"noteIndex":0},"schema":"https://github.com/citation-style-language/schema/raw/master/csl-citation.json"}</w:instrText>
      </w:r>
      <w:r w:rsidRPr="00867D9A">
        <w:fldChar w:fldCharType="separate"/>
      </w:r>
      <w:r w:rsidR="005600FF" w:rsidRPr="005600FF">
        <w:rPr>
          <w:noProof/>
        </w:rPr>
        <w:t>[62]</w:t>
      </w:r>
      <w:r w:rsidRPr="00867D9A">
        <w:fldChar w:fldCharType="end"/>
      </w:r>
      <w:r>
        <w:t>. Антивирусные препараты и иммуноглобулин не рекомендованы для лечения.</w:t>
      </w:r>
    </w:p>
    <w:p w:rsidR="00B43B37" w:rsidRDefault="00B43B37" w:rsidP="00B43B37">
      <w:pPr>
        <w:rPr>
          <w:bCs/>
          <w:i/>
          <w:iCs/>
          <w:u w:val="single"/>
        </w:rPr>
      </w:pPr>
    </w:p>
    <w:p w:rsidR="00B43B37" w:rsidRPr="00023E68" w:rsidRDefault="00B43B37" w:rsidP="00B43B37">
      <w:pPr>
        <w:rPr>
          <w:bCs/>
          <w:i/>
          <w:iCs/>
          <w:u w:val="single"/>
        </w:rPr>
      </w:pPr>
      <w:r w:rsidRPr="00023E68">
        <w:rPr>
          <w:bCs/>
          <w:i/>
          <w:iCs/>
          <w:u w:val="single"/>
        </w:rPr>
        <w:t>Вирус герпеса человека 6 типа (Human herpes virus 6 – HHV-6)</w:t>
      </w:r>
    </w:p>
    <w:p w:rsidR="00B43B37" w:rsidRPr="006B215F" w:rsidRDefault="00B43B37" w:rsidP="00B43B37">
      <w:pPr>
        <w:ind w:firstLine="708"/>
      </w:pPr>
      <w:r>
        <w:t>Среди</w:t>
      </w:r>
      <w:r w:rsidRPr="006B215F">
        <w:rPr>
          <w:b/>
        </w:rPr>
        <w:t xml:space="preserve"> </w:t>
      </w:r>
      <w:r w:rsidRPr="00620C7D">
        <w:t>HHV</w:t>
      </w:r>
      <w:r w:rsidRPr="006B215F">
        <w:t xml:space="preserve">6 выделяют тип А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t>HHV</w:t>
      </w:r>
      <w:r w:rsidRPr="006B215F">
        <w:t xml:space="preserve">6, является редким проявлением инфекции, описаны случаи при неродственной ТГСК. В СМЖ </w:t>
      </w:r>
      <w:r>
        <w:t>пациентов с</w:t>
      </w:r>
      <w:r w:rsidRPr="006B215F">
        <w:t xml:space="preserve"> энцефалитом </w:t>
      </w:r>
      <w:r w:rsidRPr="005B1B4B">
        <w:t>HHV</w:t>
      </w:r>
      <w:r>
        <w:t>-</w:t>
      </w:r>
      <w:r w:rsidRPr="006B215F">
        <w:t xml:space="preserve">6 определяется повышенный уровень белка, в половине случаев бывает плеоцитоз. </w:t>
      </w:r>
      <w:r w:rsidRPr="0028579C">
        <w:t>Компьютерная томография головного мозга</w:t>
      </w:r>
      <w:r w:rsidRPr="006B215F">
        <w:t xml:space="preserve"> может быть нормальной, изменения </w:t>
      </w:r>
      <w:r w:rsidRPr="0028579C">
        <w:t>определяются при магнитно-резонансной томографии</w:t>
      </w:r>
      <w:r>
        <w:t xml:space="preserve"> </w:t>
      </w:r>
      <w:r w:rsidRPr="00E42938">
        <w:fldChar w:fldCharType="begin" w:fldLock="1"/>
      </w:r>
      <w:r w:rsidR="003524A5">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[63]","plainTextFormattedCitation":"[63]","previouslyFormattedCitation":"[63]"},"properties":{"noteIndex":0},"schema":"https://github.com/citation-style-language/schema/raw/master/csl-citation.json"}</w:instrText>
      </w:r>
      <w:r w:rsidRPr="00E42938">
        <w:fldChar w:fldCharType="separate"/>
      </w:r>
      <w:r w:rsidR="005600FF" w:rsidRPr="005600FF">
        <w:rPr>
          <w:noProof/>
        </w:rPr>
        <w:t>[63]</w:t>
      </w:r>
      <w:r w:rsidRPr="00E42938">
        <w:fldChar w:fldCharType="end"/>
      </w:r>
      <w:r w:rsidRPr="006B215F">
        <w:t xml:space="preserve">. </w:t>
      </w:r>
    </w:p>
    <w:p w:rsidR="00B43B37" w:rsidRDefault="00B43B37" w:rsidP="00B43B37">
      <w:pPr>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rsidR="00B43B37" w:rsidRPr="00C1743E" w:rsidRDefault="00B43B37" w:rsidP="00B43B37">
      <w:pPr>
        <w:ind w:firstLine="708"/>
      </w:pPr>
      <w:r>
        <w:t xml:space="preserve">Лечение включает назначение ганцикловира или фоскарнета, возможно сочетанное применение препаратов </w:t>
      </w:r>
      <w:r w:rsidRPr="00E42938">
        <w:fldChar w:fldCharType="begin" w:fldLock="1"/>
      </w:r>
      <w:r w:rsidR="003524A5">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[63]","plainTextFormattedCitation":"[63]","previouslyFormattedCitation":"[63]"},"properties":{"noteIndex":0},"schema":"https://github.com/citation-style-language/schema/raw/master/csl-citation.json"}</w:instrText>
      </w:r>
      <w:r w:rsidRPr="00E42938">
        <w:fldChar w:fldCharType="separate"/>
      </w:r>
      <w:r w:rsidR="005600FF" w:rsidRPr="005600FF">
        <w:rPr>
          <w:noProof/>
        </w:rPr>
        <w:t>[63]</w:t>
      </w:r>
      <w:r w:rsidRPr="00E42938">
        <w:fldChar w:fldCharType="end"/>
      </w:r>
      <w:r w:rsidRPr="006B215F">
        <w:t>.</w:t>
      </w:r>
      <w:r>
        <w:t xml:space="preserve"> Профилактика в отношении HHV</w:t>
      </w:r>
      <w:r w:rsidRPr="006B215F">
        <w:t>-6</w:t>
      </w:r>
      <w:r>
        <w:t xml:space="preserve"> не проводится.</w:t>
      </w:r>
    </w:p>
    <w:p w:rsidR="00B43B37" w:rsidRDefault="00B43B37" w:rsidP="00B43B37">
      <w:pPr>
        <w:pStyle w:val="2"/>
        <w:spacing w:before="0"/>
      </w:pPr>
    </w:p>
    <w:p w:rsidR="00B43B37" w:rsidRPr="007531B6" w:rsidRDefault="00B43B37" w:rsidP="00B43B37">
      <w:pPr>
        <w:pStyle w:val="2"/>
        <w:spacing w:before="0"/>
      </w:pPr>
      <w:bookmarkStart w:id="78" w:name="_Toc65770419"/>
      <w:bookmarkStart w:id="79" w:name="_Toc66176858"/>
      <w:bookmarkStart w:id="80" w:name="_Toc67238430"/>
      <w:bookmarkStart w:id="81" w:name="_Toc67302920"/>
      <w:r w:rsidRPr="000322E4">
        <w:t>7.</w:t>
      </w:r>
      <w:r w:rsidRPr="0067126D">
        <w:t>3</w:t>
      </w:r>
      <w:r>
        <w:t xml:space="preserve"> </w:t>
      </w:r>
      <w:bookmarkStart w:id="82" w:name="_Toc57985410"/>
      <w:bookmarkStart w:id="83" w:name="_Toc64478031"/>
      <w:r>
        <w:t>Д</w:t>
      </w:r>
      <w:r w:rsidRPr="007531B6">
        <w:t>иагностика и лечение инфекций</w:t>
      </w:r>
      <w:r>
        <w:t xml:space="preserve">, </w:t>
      </w:r>
      <w:r w:rsidRPr="007531B6">
        <w:t>вызванных грибами</w:t>
      </w:r>
      <w:bookmarkEnd w:id="78"/>
      <w:bookmarkEnd w:id="79"/>
      <w:bookmarkEnd w:id="80"/>
      <w:bookmarkEnd w:id="81"/>
      <w:bookmarkEnd w:id="82"/>
      <w:bookmarkEnd w:id="83"/>
    </w:p>
    <w:p w:rsidR="00B43B37" w:rsidRPr="0002711B" w:rsidRDefault="00B43B37" w:rsidP="00B43B37">
      <w:pPr>
        <w:ind w:firstLine="708"/>
      </w:pPr>
      <w:r>
        <w:t>Высокотехнологичные методы лечения и особенности иммунодефицита у пациентов с гематологическими заболеваниями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rsidR="00B43B37" w:rsidRDefault="00B43B37" w:rsidP="00B43B37">
      <w:pPr>
        <w:widowControl w:val="0"/>
        <w:autoSpaceDE w:val="0"/>
        <w:autoSpaceDN w:val="0"/>
        <w:adjustRightInd w:val="0"/>
        <w:ind w:right="51"/>
        <w:contextualSpacing/>
        <w:rPr>
          <w:b/>
          <w:bCs/>
        </w:rPr>
      </w:pPr>
    </w:p>
    <w:p w:rsidR="00B43B37" w:rsidRPr="00084B8B" w:rsidRDefault="00B43B37" w:rsidP="00B43B37">
      <w:pPr>
        <w:widowControl w:val="0"/>
        <w:autoSpaceDE w:val="0"/>
        <w:autoSpaceDN w:val="0"/>
        <w:adjustRightInd w:val="0"/>
        <w:ind w:right="49"/>
        <w:contextualSpacing/>
        <w:rPr>
          <w:bCs/>
          <w:u w:val="single"/>
        </w:rPr>
      </w:pPr>
      <w:r w:rsidRPr="00F87280">
        <w:rPr>
          <w:bCs/>
          <w:u w:val="single"/>
        </w:rPr>
        <w:t>Диагностика и лечение кандидоза</w:t>
      </w:r>
      <w:r>
        <w:rPr>
          <w:bCs/>
          <w:u w:val="single"/>
          <w:lang w:val="en-US"/>
        </w:rPr>
        <w:t xml:space="preserve">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[57,58,64,65]","plainTextFormattedCitation":"[57,58,64,65]","previouslyFormattedCitation":"[57,58,64,65]"},"properties":{"noteIndex":0},"schema":"https://github.com/citation-style-language/schema/raw/master/csl-citation.json"}</w:instrText>
      </w:r>
      <w:r>
        <w:rPr>
          <w:b/>
        </w:rPr>
        <w:fldChar w:fldCharType="separate"/>
      </w:r>
      <w:r w:rsidR="005600FF" w:rsidRPr="005600FF">
        <w:rPr>
          <w:noProof/>
        </w:rPr>
        <w:t>[57,58,64,65]</w:t>
      </w:r>
      <w:r>
        <w:rPr>
          <w:b/>
        </w:rPr>
        <w:fldChar w:fldCharType="end"/>
      </w:r>
    </w:p>
    <w:p w:rsidR="00B43B37" w:rsidRPr="0014445B" w:rsidRDefault="00B43B37" w:rsidP="00B43B37">
      <w:pPr>
        <w:widowControl w:val="0"/>
        <w:autoSpaceDE w:val="0"/>
        <w:autoSpaceDN w:val="0"/>
        <w:adjustRightInd w:val="0"/>
        <w:ind w:right="51"/>
        <w:contextualSpacing/>
        <w:rPr>
          <w:b/>
          <w:bCs/>
        </w:rPr>
      </w:pPr>
      <w:r w:rsidRPr="0014445B">
        <w:rPr>
          <w:b/>
          <w:bCs/>
        </w:rPr>
        <w:t>Кандидоз полости рта и глотки (орофарингеальный кандидоз)</w:t>
      </w:r>
    </w:p>
    <w:p w:rsidR="00B43B37" w:rsidRPr="00F87280" w:rsidRDefault="00B43B37" w:rsidP="00B43B37">
      <w:pPr>
        <w:widowControl w:val="0"/>
        <w:autoSpaceDE w:val="0"/>
        <w:autoSpaceDN w:val="0"/>
        <w:adjustRightInd w:val="0"/>
        <w:ind w:right="51"/>
        <w:contextualSpacing/>
        <w:rPr>
          <w:i/>
          <w:iCs/>
        </w:rPr>
      </w:pPr>
      <w:r w:rsidRPr="00F87280">
        <w:rPr>
          <w:i/>
          <w:iCs/>
          <w:u w:val="single"/>
        </w:rPr>
        <w:t>Возбудители</w:t>
      </w:r>
    </w:p>
    <w:p w:rsidR="00B43B37" w:rsidRPr="00DA2BC8" w:rsidRDefault="00B43B37" w:rsidP="00B43B37">
      <w:pPr>
        <w:widowControl w:val="0"/>
        <w:autoSpaceDE w:val="0"/>
        <w:autoSpaceDN w:val="0"/>
        <w:adjustRightInd w:val="0"/>
        <w:ind w:right="51"/>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rsidR="00B43B37" w:rsidRPr="00F87280" w:rsidRDefault="00B43B37" w:rsidP="00B43B37">
      <w:pPr>
        <w:widowControl w:val="0"/>
        <w:autoSpaceDE w:val="0"/>
        <w:autoSpaceDN w:val="0"/>
        <w:adjustRightInd w:val="0"/>
        <w:ind w:right="51"/>
        <w:contextualSpacing/>
        <w:rPr>
          <w:i/>
          <w:iCs/>
          <w:u w:val="single"/>
        </w:rPr>
      </w:pPr>
      <w:r w:rsidRPr="00F87280">
        <w:rPr>
          <w:i/>
          <w:iCs/>
          <w:u w:val="single"/>
        </w:rPr>
        <w:t>Факторы риска</w:t>
      </w:r>
    </w:p>
    <w:p w:rsidR="00B43B37" w:rsidRPr="00DA2BC8" w:rsidRDefault="00B43B37" w:rsidP="00B43B37">
      <w:pPr>
        <w:widowControl w:val="0"/>
        <w:autoSpaceDE w:val="0"/>
        <w:autoSpaceDN w:val="0"/>
        <w:adjustRightInd w:val="0"/>
        <w:ind w:right="51"/>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rsidR="00B43B37" w:rsidRPr="00F87280" w:rsidRDefault="00B43B37" w:rsidP="00B43B37">
      <w:pPr>
        <w:widowControl w:val="0"/>
        <w:autoSpaceDE w:val="0"/>
        <w:autoSpaceDN w:val="0"/>
        <w:adjustRightInd w:val="0"/>
        <w:ind w:right="51"/>
        <w:contextualSpacing/>
        <w:rPr>
          <w:i/>
          <w:iCs/>
          <w:u w:val="single"/>
        </w:rPr>
      </w:pPr>
      <w:r w:rsidRPr="00F87280">
        <w:rPr>
          <w:i/>
          <w:iCs/>
          <w:u w:val="single"/>
        </w:rPr>
        <w:t>Симптомы инфекции</w:t>
      </w:r>
    </w:p>
    <w:p w:rsidR="00B43B37" w:rsidRPr="00DA2BC8" w:rsidRDefault="00B43B37" w:rsidP="00B43B37">
      <w:pPr>
        <w:widowControl w:val="0"/>
        <w:autoSpaceDE w:val="0"/>
        <w:autoSpaceDN w:val="0"/>
        <w:adjustRightInd w:val="0"/>
        <w:ind w:right="51"/>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rsidR="00B43B37" w:rsidRPr="00F87280" w:rsidRDefault="00B43B37" w:rsidP="00B43B37">
      <w:pPr>
        <w:widowControl w:val="0"/>
        <w:autoSpaceDE w:val="0"/>
        <w:autoSpaceDN w:val="0"/>
        <w:adjustRightInd w:val="0"/>
        <w:ind w:right="51"/>
        <w:contextualSpacing/>
        <w:rPr>
          <w:i/>
          <w:iCs/>
          <w:u w:val="single"/>
        </w:rPr>
      </w:pPr>
      <w:r w:rsidRPr="00F87280">
        <w:rPr>
          <w:i/>
          <w:iCs/>
          <w:u w:val="single"/>
        </w:rPr>
        <w:t>Диагностика</w:t>
      </w:r>
    </w:p>
    <w:p w:rsidR="00B43B37" w:rsidRPr="00DA2BC8" w:rsidRDefault="00B43B37" w:rsidP="00B43B37">
      <w:pPr>
        <w:widowControl w:val="0"/>
        <w:autoSpaceDE w:val="0"/>
        <w:autoSpaceDN w:val="0"/>
        <w:adjustRightInd w:val="0"/>
        <w:ind w:right="51"/>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rsidR="00B43B37" w:rsidRPr="00F87280" w:rsidRDefault="00B43B37" w:rsidP="00B43B37">
      <w:pPr>
        <w:widowControl w:val="0"/>
        <w:autoSpaceDE w:val="0"/>
        <w:autoSpaceDN w:val="0"/>
        <w:adjustRightInd w:val="0"/>
        <w:ind w:right="51"/>
        <w:contextualSpacing/>
        <w:rPr>
          <w:i/>
          <w:iCs/>
        </w:rPr>
      </w:pPr>
      <w:r w:rsidRPr="00F87280">
        <w:rPr>
          <w:i/>
          <w:iCs/>
          <w:u w:val="single"/>
        </w:rPr>
        <w:t>Показания к назначению противогрибковых препаратов</w:t>
      </w:r>
    </w:p>
    <w:p w:rsidR="00B43B37" w:rsidRPr="00DA2BC8" w:rsidRDefault="00B43B37" w:rsidP="00B43B37">
      <w:pPr>
        <w:widowControl w:val="0"/>
        <w:autoSpaceDE w:val="0"/>
        <w:autoSpaceDN w:val="0"/>
        <w:adjustRightInd w:val="0"/>
        <w:ind w:right="51"/>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rsidR="00B43B37" w:rsidRPr="00F87280" w:rsidRDefault="00B43B37" w:rsidP="00B43B37">
      <w:pPr>
        <w:widowControl w:val="0"/>
        <w:autoSpaceDE w:val="0"/>
        <w:autoSpaceDN w:val="0"/>
        <w:adjustRightInd w:val="0"/>
        <w:ind w:right="51"/>
        <w:contextualSpacing/>
        <w:rPr>
          <w:i/>
          <w:iCs/>
          <w:u w:val="single"/>
        </w:rPr>
      </w:pPr>
      <w:r w:rsidRPr="00F87280">
        <w:rPr>
          <w:i/>
          <w:iCs/>
          <w:u w:val="single"/>
        </w:rPr>
        <w:t xml:space="preserve">Лечение </w:t>
      </w:r>
    </w:p>
    <w:p w:rsidR="00B43B37" w:rsidRPr="00DA2BC8" w:rsidRDefault="00B43B37" w:rsidP="00B43B37">
      <w:pPr>
        <w:widowControl w:val="0"/>
        <w:autoSpaceDE w:val="0"/>
        <w:autoSpaceDN w:val="0"/>
        <w:adjustRightInd w:val="0"/>
        <w:ind w:right="51"/>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rsidR="00B43B37" w:rsidRPr="0014445B" w:rsidRDefault="00B43B37" w:rsidP="00B43B37">
      <w:pPr>
        <w:widowControl w:val="0"/>
        <w:autoSpaceDE w:val="0"/>
        <w:autoSpaceDN w:val="0"/>
        <w:adjustRightInd w:val="0"/>
        <w:ind w:right="50"/>
        <w:contextualSpacing/>
        <w:rPr>
          <w:b/>
          <w:bCs/>
        </w:rPr>
      </w:pPr>
      <w:r w:rsidRPr="0014445B">
        <w:rPr>
          <w:b/>
          <w:bCs/>
        </w:rPr>
        <w:t>Кандидоз пищевода</w:t>
      </w:r>
    </w:p>
    <w:p w:rsidR="00B43B37" w:rsidRPr="00F87280" w:rsidRDefault="00B43B37" w:rsidP="00B43B37">
      <w:pPr>
        <w:widowControl w:val="0"/>
        <w:autoSpaceDE w:val="0"/>
        <w:autoSpaceDN w:val="0"/>
        <w:adjustRightInd w:val="0"/>
        <w:ind w:right="50"/>
        <w:contextualSpacing/>
        <w:rPr>
          <w:i/>
          <w:iCs/>
          <w:u w:val="single"/>
        </w:rPr>
      </w:pPr>
      <w:r w:rsidRPr="00F87280">
        <w:rPr>
          <w:i/>
          <w:iCs/>
          <w:u w:val="single"/>
        </w:rPr>
        <w:t>Возбудители</w:t>
      </w:r>
    </w:p>
    <w:p w:rsidR="00B43B37" w:rsidRPr="00DA2BC8" w:rsidRDefault="00B43B37" w:rsidP="00B43B37">
      <w:pPr>
        <w:widowControl w:val="0"/>
        <w:autoSpaceDE w:val="0"/>
        <w:autoSpaceDN w:val="0"/>
        <w:adjustRightInd w:val="0"/>
        <w:ind w:right="50"/>
        <w:contextualSpacing/>
      </w:pPr>
      <w:r w:rsidRPr="00DA2BC8">
        <w:lastRenderedPageBreak/>
        <w:t xml:space="preserve">Среди возбудителей преобладают </w:t>
      </w:r>
      <w:r w:rsidRPr="00DA2BC8">
        <w:rPr>
          <w:i/>
          <w:iCs/>
        </w:rPr>
        <w:t>C. albicans.</w:t>
      </w:r>
    </w:p>
    <w:p w:rsidR="00B43B37" w:rsidRPr="00DA2BC8" w:rsidRDefault="00B43B37" w:rsidP="00B43B37">
      <w:pPr>
        <w:widowControl w:val="0"/>
        <w:autoSpaceDE w:val="0"/>
        <w:autoSpaceDN w:val="0"/>
        <w:adjustRightInd w:val="0"/>
        <w:ind w:right="50"/>
        <w:contextualSpacing/>
      </w:pPr>
      <w:r w:rsidRPr="00F87280">
        <w:rPr>
          <w:i/>
          <w:iCs/>
          <w:u w:val="single"/>
        </w:rPr>
        <w:t>Факторы риска</w:t>
      </w:r>
      <w:r w:rsidRPr="00DA2BC8">
        <w:t xml:space="preserve"> те же, что при орофарингеальном кандидозе.</w:t>
      </w:r>
    </w:p>
    <w:p w:rsidR="00B43B37" w:rsidRPr="00F87280" w:rsidRDefault="00B43B37" w:rsidP="00B43B37">
      <w:pPr>
        <w:widowControl w:val="0"/>
        <w:autoSpaceDE w:val="0"/>
        <w:autoSpaceDN w:val="0"/>
        <w:adjustRightInd w:val="0"/>
        <w:ind w:right="50"/>
        <w:contextualSpacing/>
        <w:rPr>
          <w:i/>
          <w:iCs/>
          <w:u w:val="single"/>
        </w:rPr>
      </w:pPr>
      <w:r w:rsidRPr="00F87280">
        <w:rPr>
          <w:i/>
          <w:iCs/>
          <w:u w:val="single"/>
        </w:rPr>
        <w:t>Симптомы инфекции</w:t>
      </w:r>
    </w:p>
    <w:p w:rsidR="00B43B37" w:rsidRPr="00DA2BC8" w:rsidRDefault="00B43B37" w:rsidP="00B43B37">
      <w:pPr>
        <w:widowControl w:val="0"/>
        <w:autoSpaceDE w:val="0"/>
        <w:autoSpaceDN w:val="0"/>
        <w:adjustRightInd w:val="0"/>
        <w:ind w:right="50"/>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rsidR="00B43B37" w:rsidRPr="00F87280" w:rsidRDefault="00B43B37" w:rsidP="00B43B37">
      <w:pPr>
        <w:widowControl w:val="0"/>
        <w:autoSpaceDE w:val="0"/>
        <w:autoSpaceDN w:val="0"/>
        <w:adjustRightInd w:val="0"/>
        <w:ind w:right="50"/>
        <w:contextualSpacing/>
        <w:rPr>
          <w:i/>
          <w:iCs/>
        </w:rPr>
      </w:pPr>
      <w:r w:rsidRPr="00F87280">
        <w:rPr>
          <w:i/>
          <w:iCs/>
          <w:u w:val="single"/>
        </w:rPr>
        <w:t>Диагностика</w:t>
      </w:r>
    </w:p>
    <w:p w:rsidR="00B43B37" w:rsidRPr="00DA2BC8" w:rsidRDefault="00B43B37" w:rsidP="00B43B37">
      <w:pPr>
        <w:widowControl w:val="0"/>
        <w:autoSpaceDE w:val="0"/>
        <w:autoSpaceDN w:val="0"/>
        <w:adjustRightInd w:val="0"/>
        <w:ind w:right="50"/>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rsidR="00B43B37" w:rsidRPr="00F87280" w:rsidRDefault="00B43B37" w:rsidP="00B43B37">
      <w:pPr>
        <w:widowControl w:val="0"/>
        <w:autoSpaceDE w:val="0"/>
        <w:autoSpaceDN w:val="0"/>
        <w:adjustRightInd w:val="0"/>
        <w:ind w:right="50"/>
        <w:contextualSpacing/>
        <w:rPr>
          <w:i/>
          <w:iCs/>
          <w:u w:val="single"/>
        </w:rPr>
      </w:pPr>
      <w:r w:rsidRPr="00F87280">
        <w:rPr>
          <w:i/>
          <w:iCs/>
          <w:u w:val="single"/>
        </w:rPr>
        <w:t>Показания к назначению противогрибковых препаратов</w:t>
      </w:r>
    </w:p>
    <w:p w:rsidR="00B43B37" w:rsidRPr="00DA2BC8" w:rsidRDefault="00B43B37" w:rsidP="00B43B37">
      <w:pPr>
        <w:widowControl w:val="0"/>
        <w:autoSpaceDE w:val="0"/>
        <w:autoSpaceDN w:val="0"/>
        <w:adjustRightInd w:val="0"/>
        <w:ind w:right="50"/>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rsidR="00B43B37" w:rsidRPr="00F87280" w:rsidRDefault="00B43B37" w:rsidP="00B43B37">
      <w:pPr>
        <w:widowControl w:val="0"/>
        <w:autoSpaceDE w:val="0"/>
        <w:autoSpaceDN w:val="0"/>
        <w:adjustRightInd w:val="0"/>
        <w:ind w:right="50"/>
        <w:contextualSpacing/>
        <w:rPr>
          <w:i/>
          <w:iCs/>
          <w:u w:val="single"/>
        </w:rPr>
      </w:pPr>
      <w:r w:rsidRPr="00F87280">
        <w:rPr>
          <w:i/>
          <w:iCs/>
          <w:u w:val="single"/>
        </w:rPr>
        <w:t>Лечение</w:t>
      </w:r>
    </w:p>
    <w:p w:rsidR="00B43B37" w:rsidRPr="00DA2BC8" w:rsidRDefault="00B43B37" w:rsidP="00B43B37">
      <w:pPr>
        <w:widowControl w:val="0"/>
        <w:autoSpaceDE w:val="0"/>
        <w:autoSpaceDN w:val="0"/>
        <w:adjustRightInd w:val="0"/>
        <w:ind w:right="50"/>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rsidR="00B43B37" w:rsidRPr="00DA2BC8" w:rsidRDefault="00B43B37" w:rsidP="00B43B37">
      <w:pPr>
        <w:widowControl w:val="0"/>
        <w:autoSpaceDE w:val="0"/>
        <w:autoSpaceDN w:val="0"/>
        <w:adjustRightInd w:val="0"/>
        <w:ind w:right="50"/>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w:t>
      </w:r>
      <w:r w:rsidRPr="00DA2BC8">
        <w:lastRenderedPageBreak/>
        <w:t xml:space="preserve">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rsidR="00B43B37" w:rsidRPr="0014445B" w:rsidRDefault="00B43B37" w:rsidP="00B43B37">
      <w:pPr>
        <w:widowControl w:val="0"/>
        <w:autoSpaceDE w:val="0"/>
        <w:autoSpaceDN w:val="0"/>
        <w:adjustRightInd w:val="0"/>
        <w:ind w:right="50"/>
        <w:contextualSpacing/>
        <w:rPr>
          <w:b/>
          <w:bCs/>
        </w:rPr>
      </w:pPr>
      <w:r w:rsidRPr="0014445B">
        <w:rPr>
          <w:b/>
          <w:bCs/>
        </w:rPr>
        <w:t>Инвазивный кандидоз</w:t>
      </w:r>
    </w:p>
    <w:p w:rsidR="00B43B37" w:rsidRPr="00DA2BC8" w:rsidRDefault="00B43B37" w:rsidP="00B43B37">
      <w:pPr>
        <w:widowControl w:val="0"/>
        <w:autoSpaceDE w:val="0"/>
        <w:autoSpaceDN w:val="0"/>
        <w:adjustRightInd w:val="0"/>
        <w:ind w:right="50"/>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rsidR="00B43B37" w:rsidRPr="00F87280" w:rsidRDefault="00B43B37" w:rsidP="00B43B37">
      <w:pPr>
        <w:widowControl w:val="0"/>
        <w:autoSpaceDE w:val="0"/>
        <w:autoSpaceDN w:val="0"/>
        <w:adjustRightInd w:val="0"/>
        <w:ind w:right="50"/>
        <w:contextualSpacing/>
        <w:rPr>
          <w:i/>
          <w:iCs/>
          <w:u w:val="single"/>
        </w:rPr>
      </w:pPr>
      <w:r w:rsidRPr="00F87280">
        <w:rPr>
          <w:i/>
          <w:iCs/>
          <w:u w:val="single"/>
        </w:rPr>
        <w:t>Возбудители</w:t>
      </w:r>
    </w:p>
    <w:p w:rsidR="00B43B37" w:rsidRPr="005D3BBD" w:rsidRDefault="00B43B37" w:rsidP="00B43B37">
      <w:pPr>
        <w:widowControl w:val="0"/>
        <w:autoSpaceDE w:val="0"/>
        <w:autoSpaceDN w:val="0"/>
        <w:adjustRightInd w:val="0"/>
        <w:ind w:right="50"/>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rsidR="00B43B37" w:rsidRPr="00F87280" w:rsidRDefault="00B43B37" w:rsidP="00B43B37">
      <w:pPr>
        <w:widowControl w:val="0"/>
        <w:autoSpaceDE w:val="0"/>
        <w:autoSpaceDN w:val="0"/>
        <w:adjustRightInd w:val="0"/>
        <w:ind w:right="50"/>
        <w:contextualSpacing/>
        <w:rPr>
          <w:i/>
          <w:iCs/>
          <w:u w:val="single"/>
        </w:rPr>
      </w:pPr>
      <w:r w:rsidRPr="00F87280">
        <w:rPr>
          <w:i/>
          <w:iCs/>
          <w:u w:val="single"/>
        </w:rPr>
        <w:t>Факторы риска</w:t>
      </w:r>
    </w:p>
    <w:p w:rsidR="00B43B37" w:rsidRPr="00DA2BC8" w:rsidRDefault="00B43B37" w:rsidP="00B43B37">
      <w:pPr>
        <w:widowControl w:val="0"/>
        <w:autoSpaceDE w:val="0"/>
        <w:autoSpaceDN w:val="0"/>
        <w:adjustRightInd w:val="0"/>
        <w:ind w:right="50"/>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rsidR="00B43B37" w:rsidRPr="00F87280" w:rsidRDefault="00B43B37" w:rsidP="00B43B37">
      <w:pPr>
        <w:widowControl w:val="0"/>
        <w:autoSpaceDE w:val="0"/>
        <w:autoSpaceDN w:val="0"/>
        <w:adjustRightInd w:val="0"/>
        <w:ind w:right="50"/>
        <w:contextualSpacing/>
        <w:rPr>
          <w:i/>
          <w:iCs/>
        </w:rPr>
      </w:pPr>
      <w:r w:rsidRPr="00F87280">
        <w:rPr>
          <w:i/>
          <w:iCs/>
          <w:u w:val="single"/>
        </w:rPr>
        <w:t>Симптомы инфекции</w:t>
      </w:r>
    </w:p>
    <w:p w:rsidR="00B43B37" w:rsidRPr="00DA2BC8" w:rsidRDefault="00B43B37" w:rsidP="00B43B37">
      <w:pPr>
        <w:widowControl w:val="0"/>
        <w:autoSpaceDE w:val="0"/>
        <w:autoSpaceDN w:val="0"/>
        <w:adjustRightInd w:val="0"/>
        <w:ind w:right="50"/>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w:t>
      </w:r>
      <w:r w:rsidRPr="00DA2BC8">
        <w:lastRenderedPageBreak/>
        <w:t xml:space="preserve">(гепатолиенальный кандидоз), у 9-15% возникает эндофтальмит (снижение остроты зрения вплоть до слепоты). </w:t>
      </w:r>
    </w:p>
    <w:p w:rsidR="00B43B37" w:rsidRPr="00F87280" w:rsidRDefault="00B43B37" w:rsidP="00B43B37">
      <w:pPr>
        <w:widowControl w:val="0"/>
        <w:autoSpaceDE w:val="0"/>
        <w:autoSpaceDN w:val="0"/>
        <w:adjustRightInd w:val="0"/>
        <w:ind w:right="50"/>
        <w:contextualSpacing/>
        <w:rPr>
          <w:i/>
          <w:iCs/>
        </w:rPr>
      </w:pPr>
      <w:r w:rsidRPr="00F87280">
        <w:rPr>
          <w:i/>
          <w:iCs/>
          <w:u w:val="single"/>
        </w:rPr>
        <w:t>Диагностика</w:t>
      </w:r>
    </w:p>
    <w:p w:rsidR="00B43B37" w:rsidRPr="00DA2BC8" w:rsidRDefault="00B43B37" w:rsidP="00B43B37">
      <w:pPr>
        <w:widowControl w:val="0"/>
        <w:autoSpaceDE w:val="0"/>
        <w:autoSpaceDN w:val="0"/>
        <w:adjustRightInd w:val="0"/>
        <w:ind w:right="50"/>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rsidR="00B43B37" w:rsidRPr="00DA2BC8" w:rsidRDefault="00B43B37" w:rsidP="00B43B37">
      <w:pPr>
        <w:widowControl w:val="0"/>
        <w:autoSpaceDE w:val="0"/>
        <w:autoSpaceDN w:val="0"/>
        <w:adjustRightInd w:val="0"/>
        <w:ind w:right="50"/>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rsidR="00B43B37" w:rsidRPr="00DA2BC8" w:rsidRDefault="00B43B37" w:rsidP="00B43B37">
      <w:pPr>
        <w:widowControl w:val="0"/>
        <w:autoSpaceDE w:val="0"/>
        <w:autoSpaceDN w:val="0"/>
        <w:adjustRightInd w:val="0"/>
        <w:ind w:right="50"/>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rsidR="00B43B37" w:rsidRPr="00DA2BC8" w:rsidRDefault="00B43B37" w:rsidP="00B43B37">
      <w:pPr>
        <w:widowControl w:val="0"/>
        <w:autoSpaceDE w:val="0"/>
        <w:autoSpaceDN w:val="0"/>
        <w:adjustRightInd w:val="0"/>
        <w:ind w:right="50"/>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w:t>
      </w:r>
      <w:r w:rsidRPr="00DA2BC8">
        <w:lastRenderedPageBreak/>
        <w:t xml:space="preserve">непосредственная связь обнаруженных признаков с кандидозным сепсисом, а при хроническом диссеминированном кандидозе этой связи нет. </w:t>
      </w:r>
    </w:p>
    <w:p w:rsidR="00B43B37" w:rsidRPr="00F87280" w:rsidRDefault="00B43B37" w:rsidP="00B43B37">
      <w:pPr>
        <w:widowControl w:val="0"/>
        <w:autoSpaceDE w:val="0"/>
        <w:autoSpaceDN w:val="0"/>
        <w:adjustRightInd w:val="0"/>
        <w:ind w:right="50"/>
        <w:contextualSpacing/>
        <w:rPr>
          <w:bCs/>
          <w:i/>
          <w:iCs/>
          <w:u w:val="single"/>
        </w:rPr>
      </w:pPr>
      <w:r w:rsidRPr="00F87280">
        <w:rPr>
          <w:bCs/>
          <w:i/>
          <w:iCs/>
          <w:u w:val="single"/>
        </w:rPr>
        <w:t>Лечение</w:t>
      </w:r>
    </w:p>
    <w:p w:rsidR="00B43B37" w:rsidRDefault="00B43B37" w:rsidP="00B43B37">
      <w:pPr>
        <w:widowControl w:val="0"/>
        <w:autoSpaceDE w:val="0"/>
        <w:autoSpaceDN w:val="0"/>
        <w:adjustRightInd w:val="0"/>
        <w:ind w:right="50"/>
        <w:contextualSpacing/>
        <w:rPr>
          <w:bCs/>
        </w:rPr>
      </w:pPr>
      <w:r w:rsidRPr="00DA2BC8">
        <w:rPr>
          <w:bCs/>
        </w:rPr>
        <w:t>Основными принципами лечения кандидемии (инвазивного кандидоза) являются</w:t>
      </w:r>
      <w:r>
        <w:rPr>
          <w:bCs/>
        </w:rPr>
        <w:t>:</w:t>
      </w:r>
    </w:p>
    <w:p w:rsidR="00B43B37" w:rsidRDefault="00B43B37" w:rsidP="004F39BB">
      <w:pPr>
        <w:pStyle w:val="afe"/>
        <w:widowControl w:val="0"/>
        <w:numPr>
          <w:ilvl w:val="0"/>
          <w:numId w:val="47"/>
        </w:numPr>
        <w:autoSpaceDE w:val="0"/>
        <w:autoSpaceDN w:val="0"/>
        <w:adjustRightInd w:val="0"/>
        <w:ind w:right="50"/>
        <w:rPr>
          <w:bCs/>
        </w:rPr>
      </w:pPr>
      <w:r w:rsidRPr="007531B6">
        <w:t>назначение эффективного противогрибкового препарата;</w:t>
      </w:r>
      <w:r w:rsidRPr="007531B6">
        <w:rPr>
          <w:bCs/>
        </w:rPr>
        <w:t xml:space="preserve"> </w:t>
      </w:r>
    </w:p>
    <w:p w:rsidR="00B43B37" w:rsidRDefault="00B43B37" w:rsidP="004F39BB">
      <w:pPr>
        <w:pStyle w:val="afe"/>
        <w:widowControl w:val="0"/>
        <w:numPr>
          <w:ilvl w:val="0"/>
          <w:numId w:val="47"/>
        </w:numPr>
        <w:autoSpaceDE w:val="0"/>
        <w:autoSpaceDN w:val="0"/>
        <w:adjustRightInd w:val="0"/>
        <w:ind w:right="50"/>
        <w:rPr>
          <w:bCs/>
        </w:rPr>
      </w:pPr>
      <w:r w:rsidRPr="007531B6">
        <w:t>удаление сосудистого катетера;</w:t>
      </w:r>
      <w:r w:rsidRPr="007531B6">
        <w:rPr>
          <w:bCs/>
        </w:rPr>
        <w:t xml:space="preserve"> </w:t>
      </w:r>
    </w:p>
    <w:p w:rsidR="00B43B37" w:rsidRPr="007531B6" w:rsidRDefault="00B43B37" w:rsidP="004F39BB">
      <w:pPr>
        <w:pStyle w:val="afe"/>
        <w:widowControl w:val="0"/>
        <w:numPr>
          <w:ilvl w:val="0"/>
          <w:numId w:val="47"/>
        </w:numPr>
        <w:autoSpaceDE w:val="0"/>
        <w:autoSpaceDN w:val="0"/>
        <w:adjustRightInd w:val="0"/>
        <w:ind w:right="50"/>
        <w:rPr>
          <w:bCs/>
        </w:rPr>
      </w:pPr>
      <w:r w:rsidRPr="007531B6">
        <w:t xml:space="preserve">устранение или уменьшение факторов риска, приведших к развитию кандидемии. </w:t>
      </w:r>
    </w:p>
    <w:p w:rsidR="00B43B37" w:rsidRPr="00DA2BC8" w:rsidRDefault="00B43B37" w:rsidP="00B43B37">
      <w:pPr>
        <w:widowControl w:val="0"/>
        <w:autoSpaceDE w:val="0"/>
        <w:autoSpaceDN w:val="0"/>
        <w:adjustRightInd w:val="0"/>
        <w:ind w:right="50"/>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rsidR="00B43B37" w:rsidRPr="00DA2BC8" w:rsidRDefault="00B43B37" w:rsidP="00B43B37">
      <w:pPr>
        <w:widowControl w:val="0"/>
        <w:autoSpaceDE w:val="0"/>
        <w:autoSpaceDN w:val="0"/>
        <w:adjustRightInd w:val="0"/>
        <w:ind w:right="50"/>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Pr>
          <w:iCs/>
        </w:rPr>
        <w:t xml:space="preserve"> </w:t>
      </w:r>
      <w:r>
        <w:rPr>
          <w:iCs/>
        </w:rPr>
        <w:fldChar w:fldCharType="begin" w:fldLock="1"/>
      </w:r>
      <w:r w:rsidR="003524A5">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[66]","plainTextFormattedCitation":"[66]","previouslyFormattedCitation":"[66]"},"properties":{"noteIndex":0},"schema":"https://github.com/citation-style-language/schema/raw/master/csl-citation.json"}</w:instrText>
      </w:r>
      <w:r>
        <w:rPr>
          <w:iCs/>
        </w:rPr>
        <w:fldChar w:fldCharType="separate"/>
      </w:r>
      <w:r w:rsidR="005600FF" w:rsidRPr="005600FF">
        <w:rPr>
          <w:iCs/>
          <w:noProof/>
        </w:rPr>
        <w:t>[66]</w:t>
      </w:r>
      <w:r>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rsidR="00B43B37" w:rsidRPr="00DA2BC8" w:rsidRDefault="00B43B37" w:rsidP="00B43B37">
      <w:pPr>
        <w:widowControl w:val="0"/>
        <w:autoSpaceDE w:val="0"/>
        <w:autoSpaceDN w:val="0"/>
        <w:adjustRightInd w:val="0"/>
        <w:ind w:right="50"/>
        <w:contextualSpacing/>
      </w:pPr>
      <w:r w:rsidRPr="00DA2BC8">
        <w:rPr>
          <w:bCs/>
        </w:rPr>
        <w:lastRenderedPageBreak/>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rsidR="00B43B37" w:rsidRPr="00CB7689" w:rsidRDefault="00B43B37" w:rsidP="00B43B37">
      <w:pPr>
        <w:widowControl w:val="0"/>
        <w:autoSpaceDE w:val="0"/>
        <w:autoSpaceDN w:val="0"/>
        <w:adjustRightInd w:val="0"/>
        <w:ind w:right="50"/>
        <w:contextualSpacing/>
        <w:rPr>
          <w:i/>
          <w:iCs/>
          <w:u w:val="single"/>
        </w:rPr>
      </w:pPr>
      <w:r w:rsidRPr="00CB7689">
        <w:rPr>
          <w:i/>
          <w:iCs/>
          <w:u w:val="single"/>
        </w:rPr>
        <w:t>Длительность лечения</w:t>
      </w:r>
    </w:p>
    <w:p w:rsidR="00B43B37" w:rsidRPr="00DA2BC8" w:rsidRDefault="00B43B37" w:rsidP="00B43B37">
      <w:pPr>
        <w:widowControl w:val="0"/>
        <w:autoSpaceDE w:val="0"/>
        <w:autoSpaceDN w:val="0"/>
        <w:adjustRightInd w:val="0"/>
        <w:ind w:right="50"/>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rsidR="00B43B37" w:rsidRPr="00DA2BC8" w:rsidRDefault="00B43B37" w:rsidP="00B43B37">
      <w:pPr>
        <w:widowControl w:val="0"/>
        <w:autoSpaceDE w:val="0"/>
        <w:autoSpaceDN w:val="0"/>
        <w:adjustRightInd w:val="0"/>
        <w:ind w:right="50"/>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rsidR="00B43B37" w:rsidRPr="0014445B" w:rsidRDefault="00B43B37" w:rsidP="00B43B37">
      <w:pPr>
        <w:widowControl w:val="0"/>
        <w:autoSpaceDE w:val="0"/>
        <w:autoSpaceDN w:val="0"/>
        <w:adjustRightInd w:val="0"/>
        <w:ind w:right="50"/>
        <w:contextualSpacing/>
        <w:rPr>
          <w:b/>
          <w:bCs/>
        </w:rPr>
      </w:pPr>
      <w:r w:rsidRPr="0014445B">
        <w:rPr>
          <w:b/>
          <w:bCs/>
        </w:rPr>
        <w:t>Хронический диссеминированный (гепатолиенальный) кандидоз</w:t>
      </w:r>
    </w:p>
    <w:p w:rsidR="00B43B37" w:rsidRPr="00CB7689" w:rsidRDefault="00B43B37" w:rsidP="00B43B37">
      <w:pPr>
        <w:widowControl w:val="0"/>
        <w:autoSpaceDE w:val="0"/>
        <w:autoSpaceDN w:val="0"/>
        <w:adjustRightInd w:val="0"/>
        <w:ind w:right="50"/>
        <w:contextualSpacing/>
        <w:rPr>
          <w:i/>
          <w:iCs/>
        </w:rPr>
      </w:pPr>
      <w:r w:rsidRPr="00CB7689">
        <w:rPr>
          <w:i/>
          <w:iCs/>
          <w:u w:val="single"/>
        </w:rPr>
        <w:t>Симптомы</w:t>
      </w:r>
    </w:p>
    <w:p w:rsidR="00B43B37" w:rsidRPr="00DA2BC8" w:rsidRDefault="00B43B37" w:rsidP="00B43B37">
      <w:pPr>
        <w:widowControl w:val="0"/>
        <w:autoSpaceDE w:val="0"/>
        <w:autoSpaceDN w:val="0"/>
        <w:adjustRightInd w:val="0"/>
        <w:ind w:right="50"/>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rsidR="00B43B37" w:rsidRPr="00CB7689" w:rsidRDefault="00B43B37" w:rsidP="00B43B37">
      <w:pPr>
        <w:widowControl w:val="0"/>
        <w:autoSpaceDE w:val="0"/>
        <w:autoSpaceDN w:val="0"/>
        <w:adjustRightInd w:val="0"/>
        <w:ind w:right="50"/>
        <w:contextualSpacing/>
        <w:rPr>
          <w:i/>
          <w:iCs/>
        </w:rPr>
      </w:pPr>
      <w:r w:rsidRPr="00CB7689">
        <w:rPr>
          <w:i/>
          <w:iCs/>
          <w:u w:val="single"/>
        </w:rPr>
        <w:t>Диагностика</w:t>
      </w:r>
    </w:p>
    <w:p w:rsidR="00B43B37" w:rsidRPr="00DA2BC8" w:rsidRDefault="00B43B37" w:rsidP="00B43B37">
      <w:pPr>
        <w:widowControl w:val="0"/>
        <w:autoSpaceDE w:val="0"/>
        <w:autoSpaceDN w:val="0"/>
        <w:adjustRightInd w:val="0"/>
        <w:ind w:right="50"/>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rsidR="00B43B37" w:rsidRPr="00DA2BC8" w:rsidRDefault="00B43B37" w:rsidP="00B43B37">
      <w:pPr>
        <w:widowControl w:val="0"/>
        <w:autoSpaceDE w:val="0"/>
        <w:autoSpaceDN w:val="0"/>
        <w:adjustRightInd w:val="0"/>
        <w:ind w:right="50"/>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rsidR="00B43B37" w:rsidRPr="00DA2BC8" w:rsidRDefault="00B43B37" w:rsidP="00B43B37">
      <w:pPr>
        <w:widowControl w:val="0"/>
        <w:autoSpaceDE w:val="0"/>
        <w:autoSpaceDN w:val="0"/>
        <w:adjustRightInd w:val="0"/>
        <w:ind w:right="50"/>
        <w:contextualSpacing/>
      </w:pPr>
      <w:r w:rsidRPr="00CB7689">
        <w:rPr>
          <w:i/>
          <w:iCs/>
          <w:u w:val="single"/>
        </w:rPr>
        <w:lastRenderedPageBreak/>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rsidR="00B43B37" w:rsidRPr="00DA2BC8" w:rsidRDefault="00B43B37" w:rsidP="00B43B37">
      <w:pPr>
        <w:widowControl w:val="0"/>
        <w:autoSpaceDE w:val="0"/>
        <w:autoSpaceDN w:val="0"/>
        <w:adjustRightInd w:val="0"/>
        <w:ind w:right="50"/>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rsidR="00B43B37" w:rsidRPr="0014445B" w:rsidRDefault="00B43B37" w:rsidP="00B43B37">
      <w:pPr>
        <w:widowControl w:val="0"/>
        <w:autoSpaceDE w:val="0"/>
        <w:autoSpaceDN w:val="0"/>
        <w:adjustRightInd w:val="0"/>
        <w:ind w:right="50"/>
        <w:contextualSpacing/>
        <w:rPr>
          <w:b/>
          <w:bCs/>
        </w:rPr>
      </w:pPr>
      <w:r w:rsidRPr="0014445B">
        <w:rPr>
          <w:b/>
          <w:bCs/>
        </w:rPr>
        <w:t>Инвазивный кандидоз центральной нервной системы (ЦНС)</w:t>
      </w:r>
    </w:p>
    <w:p w:rsidR="00B43B37" w:rsidRPr="00DA2BC8" w:rsidRDefault="00B43B37" w:rsidP="00B43B37">
      <w:pPr>
        <w:widowControl w:val="0"/>
        <w:autoSpaceDE w:val="0"/>
        <w:autoSpaceDN w:val="0"/>
        <w:adjustRightInd w:val="0"/>
        <w:ind w:right="50"/>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rsidR="00B43B37" w:rsidRPr="00DA2BC8" w:rsidRDefault="00B43B37" w:rsidP="00B43B37">
      <w:pPr>
        <w:widowControl w:val="0"/>
        <w:autoSpaceDE w:val="0"/>
        <w:autoSpaceDN w:val="0"/>
        <w:adjustRightInd w:val="0"/>
        <w:ind w:right="50"/>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rsidR="00B43B37" w:rsidRPr="00CB7689" w:rsidRDefault="00B43B37" w:rsidP="00B43B37">
      <w:pPr>
        <w:widowControl w:val="0"/>
        <w:autoSpaceDE w:val="0"/>
        <w:autoSpaceDN w:val="0"/>
        <w:adjustRightInd w:val="0"/>
        <w:ind w:right="50"/>
        <w:contextualSpacing/>
        <w:rPr>
          <w:i/>
          <w:iCs/>
        </w:rPr>
      </w:pPr>
      <w:r w:rsidRPr="00CB7689">
        <w:rPr>
          <w:i/>
          <w:iCs/>
          <w:u w:val="single"/>
        </w:rPr>
        <w:t>Диагностика</w:t>
      </w:r>
    </w:p>
    <w:p w:rsidR="00B43B37" w:rsidRPr="00DA2BC8" w:rsidRDefault="00B43B37" w:rsidP="00B43B37">
      <w:pPr>
        <w:widowControl w:val="0"/>
        <w:autoSpaceDE w:val="0"/>
        <w:autoSpaceDN w:val="0"/>
        <w:adjustRightInd w:val="0"/>
        <w:ind w:right="50"/>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rsidR="00B43B37" w:rsidRPr="00CB7689" w:rsidRDefault="00B43B37" w:rsidP="00B43B37">
      <w:pPr>
        <w:widowControl w:val="0"/>
        <w:tabs>
          <w:tab w:val="left" w:pos="-90"/>
        </w:tabs>
        <w:autoSpaceDE w:val="0"/>
        <w:autoSpaceDN w:val="0"/>
        <w:adjustRightInd w:val="0"/>
        <w:ind w:right="50"/>
        <w:contextualSpacing/>
        <w:rPr>
          <w:i/>
          <w:iCs/>
          <w:u w:val="single"/>
        </w:rPr>
      </w:pPr>
      <w:r w:rsidRPr="00CB7689">
        <w:rPr>
          <w:i/>
          <w:iCs/>
          <w:u w:val="single"/>
        </w:rPr>
        <w:t>Лечение</w:t>
      </w:r>
    </w:p>
    <w:p w:rsidR="00B43B37" w:rsidRPr="00DA2BC8" w:rsidRDefault="00B43B37" w:rsidP="00B43B37">
      <w:pPr>
        <w:widowControl w:val="0"/>
        <w:tabs>
          <w:tab w:val="left" w:pos="-90"/>
        </w:tabs>
        <w:autoSpaceDE w:val="0"/>
        <w:autoSpaceDN w:val="0"/>
        <w:adjustRightInd w:val="0"/>
        <w:ind w:right="50"/>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lastRenderedPageBreak/>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rsidR="00B43B37" w:rsidRPr="00DA2BC8" w:rsidRDefault="00B43B37" w:rsidP="00B43B37">
      <w:pPr>
        <w:widowControl w:val="0"/>
        <w:tabs>
          <w:tab w:val="left" w:pos="-90"/>
        </w:tabs>
        <w:autoSpaceDE w:val="0"/>
        <w:autoSpaceDN w:val="0"/>
        <w:adjustRightInd w:val="0"/>
        <w:ind w:right="50"/>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rsidR="00B43B37" w:rsidRPr="00CB7689" w:rsidRDefault="00B43B37" w:rsidP="00B43B37">
      <w:pPr>
        <w:widowControl w:val="0"/>
        <w:autoSpaceDE w:val="0"/>
        <w:autoSpaceDN w:val="0"/>
        <w:adjustRightInd w:val="0"/>
        <w:ind w:right="50"/>
        <w:contextualSpacing/>
        <w:rPr>
          <w:i/>
          <w:iCs/>
          <w:u w:val="single"/>
        </w:rPr>
      </w:pPr>
      <w:r w:rsidRPr="00CB7689">
        <w:rPr>
          <w:i/>
          <w:iCs/>
          <w:u w:val="single"/>
        </w:rPr>
        <w:t>Длительность лечения</w:t>
      </w:r>
    </w:p>
    <w:p w:rsidR="00B43B37" w:rsidRPr="00DA2BC8" w:rsidRDefault="00B43B37" w:rsidP="00B43B37">
      <w:pPr>
        <w:widowControl w:val="0"/>
        <w:autoSpaceDE w:val="0"/>
        <w:autoSpaceDN w:val="0"/>
        <w:adjustRightInd w:val="0"/>
        <w:ind w:right="50"/>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rsidR="00B43B37" w:rsidRPr="00444F93" w:rsidRDefault="00B43B37" w:rsidP="00B43B37">
      <w:pPr>
        <w:widowControl w:val="0"/>
        <w:autoSpaceDE w:val="0"/>
        <w:autoSpaceDN w:val="0"/>
        <w:adjustRightInd w:val="0"/>
        <w:ind w:right="50"/>
        <w:contextualSpacing/>
        <w:rPr>
          <w:b/>
          <w:bCs/>
        </w:rPr>
      </w:pPr>
      <w:r w:rsidRPr="00444F93">
        <w:rPr>
          <w:b/>
          <w:bCs/>
        </w:rPr>
        <w:t>Кандидозный эндофтальмит</w:t>
      </w:r>
    </w:p>
    <w:p w:rsidR="00B43B37" w:rsidRDefault="00B43B37" w:rsidP="00B43B37">
      <w:pPr>
        <w:widowControl w:val="0"/>
        <w:autoSpaceDE w:val="0"/>
        <w:autoSpaceDN w:val="0"/>
        <w:adjustRightInd w:val="0"/>
        <w:ind w:right="50"/>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rsidR="00B43B37" w:rsidRPr="00DA2BC8" w:rsidRDefault="00B43B37" w:rsidP="00B43B37">
      <w:pPr>
        <w:widowControl w:val="0"/>
        <w:autoSpaceDE w:val="0"/>
        <w:autoSpaceDN w:val="0"/>
        <w:adjustRightInd w:val="0"/>
        <w:ind w:right="50"/>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rsidR="00B43B37" w:rsidRPr="00444F93" w:rsidRDefault="00B43B37" w:rsidP="00B43B37">
      <w:pPr>
        <w:widowControl w:val="0"/>
        <w:autoSpaceDE w:val="0"/>
        <w:autoSpaceDN w:val="0"/>
        <w:adjustRightInd w:val="0"/>
        <w:ind w:right="51"/>
        <w:contextualSpacing/>
        <w:rPr>
          <w:b/>
          <w:bCs/>
        </w:rPr>
      </w:pPr>
      <w:r w:rsidRPr="00444F93">
        <w:rPr>
          <w:b/>
          <w:bCs/>
        </w:rPr>
        <w:t>Кандидозный эндокардит, перикардит, миокардит, тромбофлебит</w:t>
      </w:r>
    </w:p>
    <w:p w:rsidR="00B43B37" w:rsidRPr="00DA2BC8" w:rsidRDefault="00B43B37" w:rsidP="00B43B37">
      <w:pPr>
        <w:widowControl w:val="0"/>
        <w:autoSpaceDE w:val="0"/>
        <w:autoSpaceDN w:val="0"/>
        <w:adjustRightInd w:val="0"/>
        <w:ind w:right="51"/>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w:t>
      </w:r>
      <w:r>
        <w:lastRenderedPageBreak/>
        <w:t xml:space="preserve">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rsidR="00B43B37" w:rsidRPr="00444F93" w:rsidRDefault="00B43B37" w:rsidP="00B43B37">
      <w:pPr>
        <w:widowControl w:val="0"/>
        <w:autoSpaceDE w:val="0"/>
        <w:autoSpaceDN w:val="0"/>
        <w:adjustRightInd w:val="0"/>
        <w:ind w:right="51"/>
        <w:contextualSpacing/>
        <w:rPr>
          <w:b/>
          <w:bCs/>
        </w:rPr>
      </w:pPr>
      <w:r w:rsidRPr="00444F93">
        <w:rPr>
          <w:b/>
          <w:bCs/>
        </w:rPr>
        <w:t>Кандидоз мочевыводящих путей</w:t>
      </w:r>
    </w:p>
    <w:p w:rsidR="00B43B37" w:rsidRPr="00DA2BC8" w:rsidRDefault="00B43B37" w:rsidP="00B43B37">
      <w:pPr>
        <w:widowControl w:val="0"/>
        <w:autoSpaceDE w:val="0"/>
        <w:autoSpaceDN w:val="0"/>
        <w:adjustRightInd w:val="0"/>
        <w:ind w:right="51"/>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rsidR="00B43B37" w:rsidRDefault="00B43B37" w:rsidP="00B43B37">
      <w:pPr>
        <w:widowControl w:val="0"/>
        <w:autoSpaceDE w:val="0"/>
        <w:autoSpaceDN w:val="0"/>
        <w:adjustRightInd w:val="0"/>
        <w:ind w:right="51"/>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w:t>
      </w:r>
      <w:r w:rsidRPr="00DA2BC8">
        <w:lastRenderedPageBreak/>
        <w:t xml:space="preserve">антибиотиков или глюкокортикоидов, либо удаление катетера из мочевого пузыря, приводит к прекращению выделения кандид из мочи. </w:t>
      </w:r>
    </w:p>
    <w:p w:rsidR="00B43B37" w:rsidRPr="00DA2BC8" w:rsidRDefault="00B43B37" w:rsidP="00B43B37">
      <w:pPr>
        <w:widowControl w:val="0"/>
        <w:autoSpaceDE w:val="0"/>
        <w:autoSpaceDN w:val="0"/>
        <w:adjustRightInd w:val="0"/>
        <w:ind w:right="51"/>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rsidR="00B43B37" w:rsidRDefault="00B43B37" w:rsidP="00B43B37">
      <w:pPr>
        <w:widowControl w:val="0"/>
        <w:autoSpaceDE w:val="0"/>
        <w:autoSpaceDN w:val="0"/>
        <w:adjustRightInd w:val="0"/>
        <w:ind w:right="51"/>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rsidR="00B43B37" w:rsidRPr="00DA2BC8" w:rsidRDefault="00B43B37" w:rsidP="00B43B37">
      <w:pPr>
        <w:widowControl w:val="0"/>
        <w:autoSpaceDE w:val="0"/>
        <w:autoSpaceDN w:val="0"/>
        <w:adjustRightInd w:val="0"/>
        <w:ind w:right="51"/>
        <w:contextualSpacing/>
      </w:pPr>
    </w:p>
    <w:p w:rsidR="00B43B37" w:rsidRPr="00084B8B" w:rsidRDefault="00B43B37" w:rsidP="00B43B37">
      <w:pPr>
        <w:widowControl w:val="0"/>
        <w:autoSpaceDE w:val="0"/>
        <w:autoSpaceDN w:val="0"/>
        <w:adjustRightInd w:val="0"/>
        <w:ind w:right="49"/>
        <w:contextualSpacing/>
        <w:rPr>
          <w:bCs/>
          <w:u w:val="single"/>
        </w:rPr>
      </w:pPr>
      <w:r w:rsidRPr="00CB7689">
        <w:rPr>
          <w:bCs/>
          <w:u w:val="single"/>
        </w:rPr>
        <w:t>Диагностика и лечение криптококкоза</w:t>
      </w:r>
      <w:r w:rsidRPr="00144984">
        <w:rPr>
          <w:bCs/>
          <w:u w:val="single"/>
        </w:rPr>
        <w:t xml:space="preserve">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[57,58,64]","plainTextFormattedCitation":"[57,58,64]","previouslyFormattedCitation":"[57,58,64]"},"properties":{"noteIndex":0},"schema":"https://github.com/citation-style-language/schema/raw/master/csl-citation.json"}</w:instrText>
      </w:r>
      <w:r>
        <w:rPr>
          <w:b/>
        </w:rPr>
        <w:fldChar w:fldCharType="separate"/>
      </w:r>
      <w:r w:rsidR="005600FF" w:rsidRPr="005600FF">
        <w:rPr>
          <w:noProof/>
        </w:rPr>
        <w:t>[57,58,64]</w:t>
      </w:r>
      <w:r>
        <w:rPr>
          <w:b/>
        </w:rPr>
        <w:fldChar w:fldCharType="end"/>
      </w:r>
    </w:p>
    <w:p w:rsidR="00B43B37" w:rsidRPr="00DA2BC8" w:rsidRDefault="00B43B37" w:rsidP="00B43B37">
      <w:pPr>
        <w:widowControl w:val="0"/>
        <w:autoSpaceDE w:val="0"/>
        <w:autoSpaceDN w:val="0"/>
        <w:adjustRightInd w:val="0"/>
        <w:ind w:right="50"/>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rsidR="00B43B37" w:rsidRPr="00CB7689" w:rsidRDefault="00B43B37" w:rsidP="00B43B37">
      <w:pPr>
        <w:widowControl w:val="0"/>
        <w:autoSpaceDE w:val="0"/>
        <w:autoSpaceDN w:val="0"/>
        <w:adjustRightInd w:val="0"/>
        <w:ind w:right="50"/>
        <w:contextualSpacing/>
        <w:rPr>
          <w:i/>
          <w:iCs/>
          <w:u w:val="single"/>
        </w:rPr>
      </w:pPr>
      <w:r w:rsidRPr="00CB7689">
        <w:rPr>
          <w:i/>
          <w:iCs/>
          <w:u w:val="single"/>
        </w:rPr>
        <w:t>Симптомы</w:t>
      </w:r>
    </w:p>
    <w:p w:rsidR="00B43B37" w:rsidRPr="00DA2BC8" w:rsidRDefault="00B43B37" w:rsidP="00B43B37">
      <w:pPr>
        <w:widowControl w:val="0"/>
        <w:autoSpaceDE w:val="0"/>
        <w:autoSpaceDN w:val="0"/>
        <w:adjustRightInd w:val="0"/>
        <w:ind w:right="50"/>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w:t>
      </w:r>
      <w:r w:rsidRPr="00DA2BC8">
        <w:lastRenderedPageBreak/>
        <w:t xml:space="preserve">процесса. </w:t>
      </w:r>
    </w:p>
    <w:p w:rsidR="00B43B37" w:rsidRPr="00CB7689" w:rsidRDefault="00B43B37" w:rsidP="00B43B37">
      <w:pPr>
        <w:widowControl w:val="0"/>
        <w:autoSpaceDE w:val="0"/>
        <w:autoSpaceDN w:val="0"/>
        <w:adjustRightInd w:val="0"/>
        <w:ind w:right="50"/>
        <w:contextualSpacing/>
        <w:rPr>
          <w:i/>
          <w:iCs/>
          <w:u w:val="single"/>
        </w:rPr>
      </w:pPr>
      <w:r w:rsidRPr="00CB7689">
        <w:rPr>
          <w:i/>
          <w:iCs/>
          <w:u w:val="single"/>
        </w:rPr>
        <w:t>Диагностика</w:t>
      </w:r>
    </w:p>
    <w:p w:rsidR="00B43B37" w:rsidRPr="00C17F87" w:rsidRDefault="00B43B37" w:rsidP="00B43B37">
      <w:pPr>
        <w:widowControl w:val="0"/>
        <w:autoSpaceDE w:val="0"/>
        <w:autoSpaceDN w:val="0"/>
        <w:adjustRightInd w:val="0"/>
        <w:ind w:right="50"/>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rsidR="00B43B37" w:rsidRDefault="00B43B37" w:rsidP="00B43B37">
      <w:pPr>
        <w:widowControl w:val="0"/>
        <w:autoSpaceDE w:val="0"/>
        <w:autoSpaceDN w:val="0"/>
        <w:adjustRightInd w:val="0"/>
        <w:ind w:right="50"/>
        <w:contextualSpacing/>
      </w:pPr>
      <w:r w:rsidRPr="00DA2BC8">
        <w:t>Диагноз устанавливают на основании</w:t>
      </w:r>
      <w:r>
        <w:t>:</w:t>
      </w:r>
    </w:p>
    <w:p w:rsidR="00B43B37" w:rsidRDefault="00B43B37" w:rsidP="004F39BB">
      <w:pPr>
        <w:pStyle w:val="afe"/>
        <w:widowControl w:val="0"/>
        <w:numPr>
          <w:ilvl w:val="0"/>
          <w:numId w:val="48"/>
        </w:numPr>
        <w:autoSpaceDE w:val="0"/>
        <w:autoSpaceDN w:val="0"/>
        <w:adjustRightInd w:val="0"/>
        <w:ind w:right="50"/>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rsidR="00B43B37" w:rsidRDefault="00B43B37" w:rsidP="004F39BB">
      <w:pPr>
        <w:pStyle w:val="afe"/>
        <w:widowControl w:val="0"/>
        <w:numPr>
          <w:ilvl w:val="0"/>
          <w:numId w:val="48"/>
        </w:numPr>
        <w:autoSpaceDE w:val="0"/>
        <w:autoSpaceDN w:val="0"/>
        <w:adjustRightInd w:val="0"/>
        <w:ind w:right="50"/>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rsidR="00B43B37" w:rsidRPr="00444F93" w:rsidRDefault="00B43B37" w:rsidP="00B43B37">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rsidR="00B43B37" w:rsidRPr="00CB7689" w:rsidRDefault="00B43B37" w:rsidP="00B43B37">
      <w:pPr>
        <w:widowControl w:val="0"/>
        <w:autoSpaceDE w:val="0"/>
        <w:autoSpaceDN w:val="0"/>
        <w:adjustRightInd w:val="0"/>
        <w:ind w:right="50"/>
        <w:contextualSpacing/>
        <w:rPr>
          <w:i/>
          <w:iCs/>
          <w:u w:val="single"/>
        </w:rPr>
      </w:pPr>
      <w:r w:rsidRPr="00CB7689">
        <w:rPr>
          <w:i/>
          <w:iCs/>
          <w:u w:val="single"/>
        </w:rPr>
        <w:t>Лечение</w:t>
      </w:r>
    </w:p>
    <w:p w:rsidR="00B43B37" w:rsidRPr="00DA2BC8" w:rsidRDefault="00B43B37" w:rsidP="00B43B37">
      <w:pPr>
        <w:widowControl w:val="0"/>
        <w:autoSpaceDE w:val="0"/>
        <w:autoSpaceDN w:val="0"/>
        <w:adjustRightInd w:val="0"/>
        <w:ind w:right="50"/>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rsidR="00B43B37" w:rsidRDefault="00B43B37" w:rsidP="00B43B37">
      <w:pPr>
        <w:pStyle w:val="afe"/>
        <w:widowControl w:val="0"/>
        <w:autoSpaceDE w:val="0"/>
        <w:autoSpaceDN w:val="0"/>
        <w:adjustRightInd w:val="0"/>
        <w:ind w:left="1069" w:right="50" w:firstLine="0"/>
        <w:rPr>
          <w:b/>
          <w:bCs/>
        </w:rPr>
      </w:pPr>
    </w:p>
    <w:p w:rsidR="00B43B37" w:rsidRPr="00084B8B" w:rsidRDefault="00B43B37" w:rsidP="00B43B37">
      <w:pPr>
        <w:widowControl w:val="0"/>
        <w:autoSpaceDE w:val="0"/>
        <w:autoSpaceDN w:val="0"/>
        <w:adjustRightInd w:val="0"/>
        <w:ind w:right="49"/>
        <w:contextualSpacing/>
        <w:rPr>
          <w:bCs/>
          <w:u w:val="single"/>
        </w:rPr>
      </w:pPr>
      <w:r w:rsidRPr="00CB7689">
        <w:rPr>
          <w:bCs/>
          <w:u w:val="single"/>
        </w:rPr>
        <w:t>Микозы, вызванные редкими дрожжеподобными грибами</w:t>
      </w:r>
      <w:r w:rsidRPr="00084B8B">
        <w:rPr>
          <w:bCs/>
          <w:u w:val="single"/>
        </w:rPr>
        <w:t xml:space="preserve">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[57,58,64]","plainTextFormattedCitation":"[57,58,64]","previouslyFormattedCitation":"[57,58,64]"},"properties":{"noteIndex":0},"schema":"https://github.com/citation-style-language/schema/raw/master/csl-citation.json"}</w:instrText>
      </w:r>
      <w:r>
        <w:rPr>
          <w:b/>
        </w:rPr>
        <w:fldChar w:fldCharType="separate"/>
      </w:r>
      <w:r w:rsidR="005600FF" w:rsidRPr="005600FF">
        <w:rPr>
          <w:noProof/>
        </w:rPr>
        <w:t>[57,58,64]</w:t>
      </w:r>
      <w:r>
        <w:rPr>
          <w:b/>
        </w:rPr>
        <w:fldChar w:fldCharType="end"/>
      </w:r>
    </w:p>
    <w:p w:rsidR="00B43B37" w:rsidRPr="00DA2BC8" w:rsidRDefault="00B43B37" w:rsidP="00B43B37">
      <w:pPr>
        <w:widowControl w:val="0"/>
        <w:autoSpaceDE w:val="0"/>
        <w:autoSpaceDN w:val="0"/>
        <w:adjustRightInd w:val="0"/>
        <w:ind w:right="50"/>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w:t>
      </w:r>
      <w:r w:rsidRPr="00DA2BC8">
        <w:lastRenderedPageBreak/>
        <w:t xml:space="preserve">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rsidR="00B43B37" w:rsidRPr="00E45937" w:rsidRDefault="00B43B37" w:rsidP="00B43B37">
      <w:pPr>
        <w:widowControl w:val="0"/>
        <w:autoSpaceDE w:val="0"/>
        <w:autoSpaceDN w:val="0"/>
        <w:adjustRightInd w:val="0"/>
        <w:ind w:right="50"/>
        <w:contextualSpacing/>
        <w:rPr>
          <w:i/>
          <w:iCs/>
        </w:rPr>
      </w:pPr>
      <w:r w:rsidRPr="00C553B6">
        <w:rPr>
          <w:i/>
          <w:iCs/>
          <w:u w:val="single"/>
        </w:rPr>
        <w:t>Микозы</w:t>
      </w:r>
      <w:r w:rsidRPr="00E45937">
        <w:rPr>
          <w:i/>
          <w:iCs/>
          <w:u w:val="single"/>
        </w:rPr>
        <w:t xml:space="preserve">, </w:t>
      </w:r>
      <w:r w:rsidRPr="00C553B6">
        <w:rPr>
          <w:i/>
          <w:iCs/>
          <w:u w:val="single"/>
        </w:rPr>
        <w:t>вызванные</w:t>
      </w:r>
      <w:r w:rsidRPr="00E45937">
        <w:rPr>
          <w:i/>
          <w:iCs/>
          <w:u w:val="single"/>
        </w:rPr>
        <w:t xml:space="preserve"> </w:t>
      </w:r>
      <w:r w:rsidRPr="00C553B6">
        <w:rPr>
          <w:i/>
          <w:iCs/>
          <w:u w:val="single"/>
          <w:lang w:val="en-US"/>
        </w:rPr>
        <w:t>Saprochaete</w:t>
      </w:r>
      <w:r w:rsidRPr="00E45937">
        <w:rPr>
          <w:i/>
          <w:iCs/>
          <w:u w:val="single"/>
        </w:rPr>
        <w:t xml:space="preserve"> </w:t>
      </w:r>
      <w:r w:rsidRPr="00C553B6">
        <w:rPr>
          <w:i/>
          <w:iCs/>
          <w:u w:val="single"/>
          <w:lang w:val="en-US"/>
        </w:rPr>
        <w:t>capitat</w:t>
      </w:r>
      <w:r w:rsidRPr="00C553B6">
        <w:rPr>
          <w:i/>
          <w:iCs/>
          <w:lang w:val="en-US"/>
        </w:rPr>
        <w:t>a</w:t>
      </w:r>
      <w:r w:rsidRPr="00E45937">
        <w:rPr>
          <w:i/>
          <w:iCs/>
          <w:u w:val="single"/>
        </w:rPr>
        <w:t xml:space="preserve"> (</w:t>
      </w:r>
      <w:r w:rsidRPr="00C553B6">
        <w:rPr>
          <w:i/>
          <w:iCs/>
          <w:u w:val="single"/>
        </w:rPr>
        <w:t>синонимы</w:t>
      </w:r>
      <w:r w:rsidRPr="00E45937">
        <w:rPr>
          <w:i/>
          <w:iCs/>
          <w:u w:val="single"/>
        </w:rPr>
        <w:t xml:space="preserve"> </w:t>
      </w:r>
      <w:r w:rsidRPr="00C553B6">
        <w:rPr>
          <w:i/>
          <w:iCs/>
          <w:u w:val="single"/>
          <w:lang w:val="en-US"/>
        </w:rPr>
        <w:t>Trichosporon</w:t>
      </w:r>
      <w:r w:rsidRPr="00E45937">
        <w:rPr>
          <w:i/>
          <w:iCs/>
          <w:u w:val="single"/>
        </w:rPr>
        <w:t xml:space="preserve"> </w:t>
      </w:r>
      <w:r w:rsidRPr="00C553B6">
        <w:rPr>
          <w:i/>
          <w:iCs/>
          <w:u w:val="single"/>
          <w:lang w:val="en-US"/>
        </w:rPr>
        <w:t>capitatum</w:t>
      </w:r>
      <w:r w:rsidRPr="00E45937">
        <w:rPr>
          <w:i/>
          <w:iCs/>
          <w:u w:val="single"/>
        </w:rPr>
        <w:t xml:space="preserve">, </w:t>
      </w:r>
      <w:r w:rsidRPr="00C553B6">
        <w:rPr>
          <w:i/>
          <w:iCs/>
          <w:u w:val="single"/>
          <w:lang w:val="en-US"/>
        </w:rPr>
        <w:t>Geotrichum</w:t>
      </w:r>
      <w:r w:rsidRPr="00E45937">
        <w:rPr>
          <w:i/>
          <w:iCs/>
          <w:u w:val="single"/>
        </w:rPr>
        <w:t xml:space="preserve"> </w:t>
      </w:r>
      <w:r w:rsidRPr="00C553B6">
        <w:rPr>
          <w:i/>
          <w:iCs/>
          <w:u w:val="single"/>
          <w:lang w:val="en-US"/>
        </w:rPr>
        <w:t>capitatum</w:t>
      </w:r>
      <w:r w:rsidRPr="00E45937">
        <w:rPr>
          <w:i/>
          <w:iCs/>
          <w:u w:val="single"/>
        </w:rPr>
        <w:t xml:space="preserve">, </w:t>
      </w:r>
      <w:r w:rsidRPr="00C553B6">
        <w:rPr>
          <w:i/>
          <w:iCs/>
          <w:u w:val="single"/>
          <w:lang w:val="en-US"/>
        </w:rPr>
        <w:t>Ascotrichosporon</w:t>
      </w:r>
      <w:r w:rsidRPr="00E45937">
        <w:rPr>
          <w:i/>
          <w:iCs/>
          <w:u w:val="single"/>
        </w:rPr>
        <w:t xml:space="preserve"> </w:t>
      </w:r>
      <w:r w:rsidRPr="00C553B6">
        <w:rPr>
          <w:i/>
          <w:iCs/>
          <w:u w:val="single"/>
          <w:lang w:val="en-US"/>
        </w:rPr>
        <w:t>capitatum</w:t>
      </w:r>
      <w:r w:rsidRPr="00E45937">
        <w:rPr>
          <w:i/>
          <w:iCs/>
          <w:u w:val="single"/>
        </w:rPr>
        <w:t xml:space="preserve">, </w:t>
      </w:r>
      <w:r w:rsidRPr="00C553B6">
        <w:rPr>
          <w:i/>
          <w:iCs/>
          <w:u w:val="single"/>
          <w:lang w:val="en-US"/>
        </w:rPr>
        <w:t>Blastoschizomyces</w:t>
      </w:r>
      <w:r w:rsidRPr="00E45937">
        <w:rPr>
          <w:i/>
          <w:iCs/>
          <w:u w:val="single"/>
        </w:rPr>
        <w:t xml:space="preserve"> </w:t>
      </w:r>
      <w:r w:rsidRPr="00C553B6">
        <w:rPr>
          <w:i/>
          <w:iCs/>
          <w:u w:val="single"/>
          <w:lang w:val="en-US"/>
        </w:rPr>
        <w:t>capitatus</w:t>
      </w:r>
      <w:r w:rsidRPr="00E45937">
        <w:rPr>
          <w:i/>
          <w:iCs/>
          <w:u w:val="single"/>
        </w:rPr>
        <w:t>)</w:t>
      </w:r>
    </w:p>
    <w:p w:rsidR="00B43B37" w:rsidRPr="00DA2BC8" w:rsidRDefault="00B43B37" w:rsidP="00B43B37">
      <w:pPr>
        <w:widowControl w:val="0"/>
        <w:autoSpaceDE w:val="0"/>
        <w:autoSpaceDN w:val="0"/>
        <w:adjustRightInd w:val="0"/>
        <w:ind w:right="50"/>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rsidR="00B43B37" w:rsidRPr="00C553B6" w:rsidRDefault="00B43B37" w:rsidP="00B43B37">
      <w:pPr>
        <w:widowControl w:val="0"/>
        <w:autoSpaceDE w:val="0"/>
        <w:autoSpaceDN w:val="0"/>
        <w:adjustRightInd w:val="0"/>
        <w:ind w:right="50"/>
        <w:contextualSpacing/>
        <w:rPr>
          <w:i/>
          <w:iCs/>
          <w:u w:val="single"/>
        </w:rPr>
      </w:pPr>
      <w:r w:rsidRPr="00C553B6">
        <w:rPr>
          <w:i/>
          <w:iCs/>
          <w:u w:val="single"/>
        </w:rPr>
        <w:t>Микозы, вызванные Malassezia spp.</w:t>
      </w:r>
    </w:p>
    <w:p w:rsidR="00B43B37" w:rsidRPr="00DA2BC8" w:rsidRDefault="00B43B37" w:rsidP="00B43B37">
      <w:pPr>
        <w:widowControl w:val="0"/>
        <w:autoSpaceDE w:val="0"/>
        <w:autoSpaceDN w:val="0"/>
        <w:adjustRightInd w:val="0"/>
        <w:ind w:right="50"/>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w:t>
      </w:r>
      <w:r w:rsidRPr="00DA2BC8">
        <w:lastRenderedPageBreak/>
        <w:t xml:space="preserve">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rsidR="00B43B37" w:rsidRPr="00C553B6" w:rsidRDefault="00B43B37" w:rsidP="00B43B37">
      <w:pPr>
        <w:widowControl w:val="0"/>
        <w:autoSpaceDE w:val="0"/>
        <w:autoSpaceDN w:val="0"/>
        <w:adjustRightInd w:val="0"/>
        <w:ind w:right="50"/>
        <w:contextualSpacing/>
        <w:rPr>
          <w:i/>
          <w:iCs/>
          <w:u w:val="single"/>
        </w:rPr>
      </w:pPr>
      <w:r w:rsidRPr="00C553B6">
        <w:rPr>
          <w:i/>
          <w:iCs/>
          <w:u w:val="single"/>
        </w:rPr>
        <w:t>Микозы, вызванные Trichosporon spp.</w:t>
      </w:r>
    </w:p>
    <w:p w:rsidR="00B43B37" w:rsidRPr="00DA2BC8" w:rsidRDefault="00B43B37" w:rsidP="00B43B37">
      <w:pPr>
        <w:widowControl w:val="0"/>
        <w:autoSpaceDE w:val="0"/>
        <w:autoSpaceDN w:val="0"/>
        <w:adjustRightInd w:val="0"/>
        <w:ind w:right="50"/>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rsidR="00B43B37" w:rsidRPr="00DA2BC8" w:rsidRDefault="00B43B37" w:rsidP="00B43B37">
      <w:pPr>
        <w:widowControl w:val="0"/>
        <w:autoSpaceDE w:val="0"/>
        <w:autoSpaceDN w:val="0"/>
        <w:adjustRightInd w:val="0"/>
        <w:ind w:right="50"/>
        <w:contextualSpacing/>
        <w:rPr>
          <w:b/>
          <w:bCs/>
        </w:rPr>
      </w:pPr>
      <w:r w:rsidRPr="00DA2BC8">
        <w:rPr>
          <w:bCs/>
        </w:rPr>
        <w:lastRenderedPageBreak/>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rsidR="00B43B37" w:rsidRPr="00C553B6" w:rsidRDefault="00B43B37" w:rsidP="00B43B37">
      <w:pPr>
        <w:widowControl w:val="0"/>
        <w:autoSpaceDE w:val="0"/>
        <w:autoSpaceDN w:val="0"/>
        <w:adjustRightInd w:val="0"/>
        <w:ind w:right="50"/>
        <w:contextualSpacing/>
        <w:rPr>
          <w:i/>
          <w:iCs/>
          <w:u w:val="single"/>
        </w:rPr>
      </w:pPr>
      <w:r w:rsidRPr="00C553B6">
        <w:rPr>
          <w:i/>
          <w:iCs/>
          <w:u w:val="single"/>
        </w:rPr>
        <w:t>Микозы, вызванные Rhodotorula spp.</w:t>
      </w:r>
    </w:p>
    <w:p w:rsidR="00B43B37" w:rsidRPr="00DA2BC8" w:rsidRDefault="00B43B37" w:rsidP="00B43B37">
      <w:pPr>
        <w:widowControl w:val="0"/>
        <w:autoSpaceDE w:val="0"/>
        <w:autoSpaceDN w:val="0"/>
        <w:adjustRightInd w:val="0"/>
        <w:ind w:right="50"/>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rsidR="00B43B37" w:rsidRPr="00DA2BC8" w:rsidRDefault="00B43B37" w:rsidP="00B43B37">
      <w:pPr>
        <w:widowControl w:val="0"/>
        <w:autoSpaceDE w:val="0"/>
        <w:autoSpaceDN w:val="0"/>
        <w:adjustRightInd w:val="0"/>
        <w:ind w:right="50"/>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rsidR="00B43B37" w:rsidRPr="00C553B6" w:rsidRDefault="00B43B37" w:rsidP="00B43B37">
      <w:pPr>
        <w:widowControl w:val="0"/>
        <w:autoSpaceDE w:val="0"/>
        <w:autoSpaceDN w:val="0"/>
        <w:adjustRightInd w:val="0"/>
        <w:ind w:right="50"/>
        <w:contextualSpacing/>
        <w:rPr>
          <w:i/>
          <w:iCs/>
          <w:u w:val="single"/>
        </w:rPr>
      </w:pPr>
      <w:r w:rsidRPr="00C553B6">
        <w:rPr>
          <w:i/>
          <w:iCs/>
          <w:u w:val="single"/>
        </w:rPr>
        <w:t>Микозы, вызванные Saccharomyces spp.</w:t>
      </w:r>
    </w:p>
    <w:p w:rsidR="00B43B37" w:rsidRPr="00DA2BC8" w:rsidRDefault="00B43B37" w:rsidP="00B43B37">
      <w:pPr>
        <w:widowControl w:val="0"/>
        <w:autoSpaceDE w:val="0"/>
        <w:autoSpaceDN w:val="0"/>
        <w:adjustRightInd w:val="0"/>
        <w:ind w:right="50"/>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rsidR="00B43B37" w:rsidRPr="00C553B6" w:rsidRDefault="00B43B37" w:rsidP="00B43B37">
      <w:pPr>
        <w:widowControl w:val="0"/>
        <w:autoSpaceDE w:val="0"/>
        <w:autoSpaceDN w:val="0"/>
        <w:adjustRightInd w:val="0"/>
        <w:ind w:right="50"/>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rsidR="00B43B37" w:rsidRPr="00453773" w:rsidRDefault="00B43B37" w:rsidP="00B43B37">
      <w:pPr>
        <w:widowControl w:val="0"/>
        <w:autoSpaceDE w:val="0"/>
        <w:autoSpaceDN w:val="0"/>
        <w:adjustRightInd w:val="0"/>
        <w:ind w:right="50"/>
        <w:contextualSpacing/>
        <w:rPr>
          <w:bCs/>
        </w:rPr>
      </w:pPr>
      <w:r w:rsidRPr="00DA2BC8">
        <w:lastRenderedPageBreak/>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rsidR="00B43B37" w:rsidRDefault="00B43B37" w:rsidP="00B43B37">
      <w:pPr>
        <w:widowControl w:val="0"/>
        <w:autoSpaceDE w:val="0"/>
        <w:autoSpaceDN w:val="0"/>
        <w:adjustRightInd w:val="0"/>
        <w:ind w:right="50"/>
        <w:contextualSpacing/>
        <w:rPr>
          <w:b/>
          <w:bCs/>
        </w:rPr>
      </w:pPr>
    </w:p>
    <w:p w:rsidR="00B43B37" w:rsidRPr="00084B8B" w:rsidRDefault="00B43B37" w:rsidP="00B43B37">
      <w:pPr>
        <w:widowControl w:val="0"/>
        <w:autoSpaceDE w:val="0"/>
        <w:autoSpaceDN w:val="0"/>
        <w:adjustRightInd w:val="0"/>
        <w:ind w:right="49"/>
        <w:contextualSpacing/>
        <w:rPr>
          <w:bCs/>
          <w:u w:val="single"/>
        </w:rPr>
      </w:pPr>
      <w:r w:rsidRPr="009B5EC6">
        <w:rPr>
          <w:bCs/>
          <w:u w:val="single"/>
        </w:rPr>
        <w:t>Инвазивный аспергиллез</w:t>
      </w:r>
      <w:r>
        <w:rPr>
          <w:bCs/>
          <w:u w:val="single"/>
          <w:lang w:val="en-US"/>
        </w:rPr>
        <w:t xml:space="preserve">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[57,58,64,65,67]","plainTextFormattedCitation":"[57,58,64,65,67]","previouslyFormattedCitation":"[57,58,64,65,67]"},"properties":{"noteIndex":0},"schema":"https://github.com/citation-style-language/schema/raw/master/csl-citation.json"}</w:instrText>
      </w:r>
      <w:r>
        <w:rPr>
          <w:b/>
        </w:rPr>
        <w:fldChar w:fldCharType="separate"/>
      </w:r>
      <w:r w:rsidR="005600FF" w:rsidRPr="005600FF">
        <w:rPr>
          <w:noProof/>
        </w:rPr>
        <w:t>[57,58,64,65,67]</w:t>
      </w:r>
      <w:r>
        <w:rPr>
          <w:b/>
        </w:rPr>
        <w:fldChar w:fldCharType="end"/>
      </w:r>
    </w:p>
    <w:p w:rsidR="00B43B37" w:rsidRPr="00DA2BC8" w:rsidRDefault="00B43B37" w:rsidP="00B43B37">
      <w:pPr>
        <w:widowControl w:val="0"/>
        <w:autoSpaceDE w:val="0"/>
        <w:autoSpaceDN w:val="0"/>
        <w:adjustRightInd w:val="0"/>
        <w:ind w:right="50"/>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rsidR="00B43B37" w:rsidRPr="009B5EC6" w:rsidRDefault="00B43B37" w:rsidP="00B43B37">
      <w:pPr>
        <w:widowControl w:val="0"/>
        <w:autoSpaceDE w:val="0"/>
        <w:autoSpaceDN w:val="0"/>
        <w:adjustRightInd w:val="0"/>
        <w:ind w:right="50"/>
        <w:contextualSpacing/>
        <w:rPr>
          <w:i/>
          <w:iCs/>
          <w:u w:val="single"/>
        </w:rPr>
      </w:pPr>
      <w:r w:rsidRPr="009B5EC6">
        <w:rPr>
          <w:i/>
          <w:iCs/>
          <w:u w:val="single"/>
        </w:rPr>
        <w:t>Факторы риска</w:t>
      </w:r>
    </w:p>
    <w:p w:rsidR="00B43B37" w:rsidRPr="00DA2BC8" w:rsidRDefault="00B43B37" w:rsidP="00B43B37">
      <w:pPr>
        <w:widowControl w:val="0"/>
        <w:autoSpaceDE w:val="0"/>
        <w:autoSpaceDN w:val="0"/>
        <w:adjustRightInd w:val="0"/>
        <w:ind w:right="50"/>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rsidR="00B43B37" w:rsidRPr="00453773" w:rsidRDefault="00B43B37" w:rsidP="00B43B37">
      <w:pPr>
        <w:widowControl w:val="0"/>
        <w:autoSpaceDE w:val="0"/>
        <w:autoSpaceDN w:val="0"/>
        <w:adjustRightInd w:val="0"/>
        <w:ind w:right="50"/>
        <w:contextualSpacing/>
        <w:rPr>
          <w:b/>
          <w:bCs/>
        </w:rPr>
      </w:pPr>
      <w:r w:rsidRPr="00453773">
        <w:rPr>
          <w:b/>
          <w:bCs/>
        </w:rPr>
        <w:t>Инвазивный аспергиллез легких</w:t>
      </w:r>
    </w:p>
    <w:p w:rsidR="00B43B37" w:rsidRPr="009B5EC6" w:rsidRDefault="00B43B37" w:rsidP="00B43B37">
      <w:pPr>
        <w:widowControl w:val="0"/>
        <w:autoSpaceDE w:val="0"/>
        <w:autoSpaceDN w:val="0"/>
        <w:adjustRightInd w:val="0"/>
        <w:ind w:right="50"/>
        <w:contextualSpacing/>
        <w:rPr>
          <w:i/>
          <w:iCs/>
        </w:rPr>
      </w:pPr>
      <w:r w:rsidRPr="009B5EC6">
        <w:rPr>
          <w:i/>
          <w:iCs/>
          <w:u w:val="single"/>
        </w:rPr>
        <w:t>Симптомы</w:t>
      </w:r>
      <w:r w:rsidRPr="009B5EC6">
        <w:rPr>
          <w:i/>
          <w:iCs/>
        </w:rPr>
        <w:t xml:space="preserve"> </w:t>
      </w:r>
    </w:p>
    <w:p w:rsidR="00B43B37" w:rsidRPr="00DA2BC8" w:rsidRDefault="00B43B37" w:rsidP="00B43B37">
      <w:pPr>
        <w:widowControl w:val="0"/>
        <w:autoSpaceDE w:val="0"/>
        <w:autoSpaceDN w:val="0"/>
        <w:adjustRightInd w:val="0"/>
        <w:ind w:right="50"/>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rsidR="00B43B37" w:rsidRPr="009B5EC6" w:rsidRDefault="00B43B37" w:rsidP="00B43B37">
      <w:pPr>
        <w:widowControl w:val="0"/>
        <w:autoSpaceDE w:val="0"/>
        <w:autoSpaceDN w:val="0"/>
        <w:adjustRightInd w:val="0"/>
        <w:ind w:right="50"/>
        <w:contextualSpacing/>
        <w:rPr>
          <w:i/>
          <w:iCs/>
          <w:u w:val="single"/>
        </w:rPr>
      </w:pPr>
      <w:r w:rsidRPr="009B5EC6">
        <w:rPr>
          <w:i/>
          <w:iCs/>
          <w:u w:val="single"/>
        </w:rPr>
        <w:t>Диагностика инвазивного аспергиллеза легких</w:t>
      </w:r>
    </w:p>
    <w:p w:rsidR="00B43B37" w:rsidRPr="00DA2BC8" w:rsidRDefault="00B43B37" w:rsidP="00B43B37">
      <w:pPr>
        <w:widowControl w:val="0"/>
        <w:autoSpaceDE w:val="0"/>
        <w:autoSpaceDN w:val="0"/>
        <w:adjustRightInd w:val="0"/>
        <w:ind w:right="50"/>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xml:space="preserve">, </w:t>
      </w:r>
      <w:r w:rsidRPr="00DA2BC8">
        <w:lastRenderedPageBreak/>
        <w:t>микологического подтвержден</w:t>
      </w:r>
      <w:r>
        <w:t>и</w:t>
      </w:r>
      <w:r w:rsidRPr="00DA2BC8">
        <w:t xml:space="preserve">я, включающего культуральное и/или серологические исследования. </w:t>
      </w:r>
    </w:p>
    <w:p w:rsidR="00B43B37" w:rsidRPr="009B5EC6" w:rsidRDefault="00B43B37" w:rsidP="00B43B37">
      <w:pPr>
        <w:widowControl w:val="0"/>
        <w:autoSpaceDE w:val="0"/>
        <w:autoSpaceDN w:val="0"/>
        <w:adjustRightInd w:val="0"/>
        <w:ind w:right="50"/>
        <w:contextualSpacing/>
        <w:rPr>
          <w:i/>
          <w:iCs/>
          <w:u w:val="single"/>
        </w:rPr>
      </w:pPr>
      <w:r w:rsidRPr="009B5EC6">
        <w:rPr>
          <w:i/>
          <w:iCs/>
          <w:u w:val="single"/>
        </w:rPr>
        <w:t>Радиологические особенности инвазивного аспергиллеза легких</w:t>
      </w:r>
    </w:p>
    <w:p w:rsidR="00B43B37" w:rsidRPr="00DA2BC8" w:rsidRDefault="00B43B37" w:rsidP="00B43B37">
      <w:pPr>
        <w:widowControl w:val="0"/>
        <w:tabs>
          <w:tab w:val="left" w:pos="317"/>
        </w:tabs>
        <w:autoSpaceDE w:val="0"/>
        <w:autoSpaceDN w:val="0"/>
        <w:adjustRightInd w:val="0"/>
        <w:ind w:right="50"/>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rsidR="00B43B37" w:rsidRPr="00DA2BC8" w:rsidRDefault="00B43B37" w:rsidP="00B43B37">
      <w:pPr>
        <w:widowControl w:val="0"/>
        <w:autoSpaceDE w:val="0"/>
        <w:autoSpaceDN w:val="0"/>
        <w:adjustRightInd w:val="0"/>
        <w:ind w:right="50"/>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rsidR="00B43B37" w:rsidRPr="00EB3571" w:rsidRDefault="00B43B37" w:rsidP="00B43B37">
      <w:pPr>
        <w:widowControl w:val="0"/>
        <w:autoSpaceDE w:val="0"/>
        <w:autoSpaceDN w:val="0"/>
        <w:adjustRightInd w:val="0"/>
        <w:ind w:right="50"/>
        <w:contextualSpacing/>
        <w:rPr>
          <w:i/>
          <w:iCs/>
          <w:u w:val="single"/>
        </w:rPr>
      </w:pPr>
      <w:r w:rsidRPr="00EB3571">
        <w:rPr>
          <w:i/>
          <w:iCs/>
          <w:u w:val="single"/>
        </w:rPr>
        <w:t>Мониторинг исследований</w:t>
      </w:r>
    </w:p>
    <w:p w:rsidR="00B43B37" w:rsidRPr="00DA2BC8" w:rsidRDefault="00B43B37" w:rsidP="00B43B37">
      <w:pPr>
        <w:widowControl w:val="0"/>
        <w:tabs>
          <w:tab w:val="left" w:pos="317"/>
        </w:tabs>
        <w:autoSpaceDE w:val="0"/>
        <w:autoSpaceDN w:val="0"/>
        <w:adjustRightInd w:val="0"/>
        <w:ind w:right="50"/>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rsidR="00B43B37" w:rsidRPr="00DA2BC8" w:rsidRDefault="00B43B37" w:rsidP="00B43B37">
      <w:pPr>
        <w:widowControl w:val="0"/>
        <w:autoSpaceDE w:val="0"/>
        <w:autoSpaceDN w:val="0"/>
        <w:adjustRightInd w:val="0"/>
        <w:ind w:right="50"/>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w:t>
      </w:r>
      <w:r w:rsidRPr="00DA2BC8">
        <w:lastRenderedPageBreak/>
        <w:t xml:space="preserve">увеличиваться на фоне улучшения клинического состояния </w:t>
      </w:r>
      <w:r>
        <w:t>пациента</w:t>
      </w:r>
      <w:r w:rsidRPr="00DA2BC8">
        <w:t>. Модификацию противогрибковой терапии не проводят.</w:t>
      </w:r>
    </w:p>
    <w:p w:rsidR="00B43B37" w:rsidRPr="00DA2BC8" w:rsidRDefault="00B43B37" w:rsidP="00B43B37">
      <w:pPr>
        <w:widowControl w:val="0"/>
        <w:autoSpaceDE w:val="0"/>
        <w:autoSpaceDN w:val="0"/>
        <w:adjustRightInd w:val="0"/>
        <w:ind w:right="50"/>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rsidR="00B43B37" w:rsidRPr="00EB3571" w:rsidRDefault="00B43B37" w:rsidP="00B43B37">
      <w:pPr>
        <w:widowControl w:val="0"/>
        <w:autoSpaceDE w:val="0"/>
        <w:autoSpaceDN w:val="0"/>
        <w:adjustRightInd w:val="0"/>
        <w:ind w:right="50"/>
        <w:contextualSpacing/>
        <w:rPr>
          <w:i/>
        </w:rPr>
      </w:pPr>
      <w:r w:rsidRPr="00EB3571">
        <w:rPr>
          <w:i/>
          <w:u w:val="single"/>
        </w:rPr>
        <w:t xml:space="preserve">Лечение инвазивного аспергиллеза </w:t>
      </w:r>
    </w:p>
    <w:p w:rsidR="00B43B37" w:rsidRPr="00DA2BC8" w:rsidRDefault="00B43B37" w:rsidP="00B43B37">
      <w:pPr>
        <w:widowControl w:val="0"/>
        <w:autoSpaceDE w:val="0"/>
        <w:autoSpaceDN w:val="0"/>
        <w:adjustRightInd w:val="0"/>
        <w:ind w:right="50"/>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rsidR="00B43B37" w:rsidRPr="00DA2BC8" w:rsidRDefault="00B43B37" w:rsidP="00B43B37">
      <w:pPr>
        <w:widowControl w:val="0"/>
        <w:tabs>
          <w:tab w:val="left" w:pos="317"/>
        </w:tabs>
        <w:autoSpaceDE w:val="0"/>
        <w:autoSpaceDN w:val="0"/>
        <w:adjustRightInd w:val="0"/>
        <w:ind w:right="50"/>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rsidR="00B43B37" w:rsidRPr="00DA2BC8" w:rsidRDefault="00B43B37" w:rsidP="00B43B37">
      <w:pPr>
        <w:widowControl w:val="0"/>
        <w:tabs>
          <w:tab w:val="left" w:pos="317"/>
        </w:tabs>
        <w:autoSpaceDE w:val="0"/>
        <w:autoSpaceDN w:val="0"/>
        <w:adjustRightInd w:val="0"/>
        <w:ind w:right="50"/>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rsidR="00B43B37" w:rsidRPr="00DA2BC8" w:rsidRDefault="00B43B37" w:rsidP="00B43B37">
      <w:pPr>
        <w:widowControl w:val="0"/>
        <w:autoSpaceDE w:val="0"/>
        <w:autoSpaceDN w:val="0"/>
        <w:adjustRightInd w:val="0"/>
        <w:ind w:right="50"/>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rsidR="00B43B37" w:rsidRPr="00DA2BC8" w:rsidRDefault="00B43B37" w:rsidP="00B43B37">
      <w:pPr>
        <w:widowControl w:val="0"/>
        <w:autoSpaceDE w:val="0"/>
        <w:autoSpaceDN w:val="0"/>
        <w:adjustRightInd w:val="0"/>
        <w:ind w:right="50"/>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rsidR="00B43B37" w:rsidRPr="008F73A5" w:rsidRDefault="00B43B37" w:rsidP="00B43B37">
      <w:pPr>
        <w:widowControl w:val="0"/>
        <w:autoSpaceDE w:val="0"/>
        <w:autoSpaceDN w:val="0"/>
        <w:adjustRightInd w:val="0"/>
        <w:ind w:right="50"/>
        <w:contextualSpacing/>
        <w:rPr>
          <w:b/>
          <w:bCs/>
        </w:rPr>
      </w:pPr>
      <w:r w:rsidRPr="008F73A5">
        <w:rPr>
          <w:b/>
          <w:bCs/>
        </w:rPr>
        <w:lastRenderedPageBreak/>
        <w:t>Инвазивный аспергиллезный риносинусит</w:t>
      </w:r>
    </w:p>
    <w:p w:rsidR="00B43B37" w:rsidRPr="00DA2BC8" w:rsidRDefault="00B43B37" w:rsidP="00B43B37">
      <w:pPr>
        <w:widowControl w:val="0"/>
        <w:autoSpaceDE w:val="0"/>
        <w:autoSpaceDN w:val="0"/>
        <w:adjustRightInd w:val="0"/>
        <w:ind w:right="50"/>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rsidR="00B43B37" w:rsidRDefault="00B43B37" w:rsidP="00B43B37">
      <w:pPr>
        <w:widowControl w:val="0"/>
        <w:autoSpaceDE w:val="0"/>
        <w:autoSpaceDN w:val="0"/>
        <w:adjustRightInd w:val="0"/>
        <w:ind w:right="50"/>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rsidR="00B43B37" w:rsidRPr="00DA2BC8" w:rsidRDefault="00B43B37" w:rsidP="00B43B37">
      <w:pPr>
        <w:widowControl w:val="0"/>
        <w:autoSpaceDE w:val="0"/>
        <w:autoSpaceDN w:val="0"/>
        <w:adjustRightInd w:val="0"/>
        <w:ind w:right="50"/>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rsidR="00B43B37" w:rsidRPr="001828E6" w:rsidRDefault="00B43B37" w:rsidP="00B43B37">
      <w:pPr>
        <w:widowControl w:val="0"/>
        <w:autoSpaceDE w:val="0"/>
        <w:autoSpaceDN w:val="0"/>
        <w:adjustRightInd w:val="0"/>
        <w:ind w:right="50"/>
        <w:contextualSpacing/>
        <w:rPr>
          <w:b/>
          <w:bCs/>
        </w:rPr>
      </w:pPr>
      <w:r w:rsidRPr="001828E6">
        <w:rPr>
          <w:b/>
          <w:bCs/>
        </w:rPr>
        <w:t xml:space="preserve">Резистентный инвазивный аспергиллез </w:t>
      </w:r>
    </w:p>
    <w:p w:rsidR="00B43B37" w:rsidRPr="00DA2BC8" w:rsidRDefault="00B43B37" w:rsidP="00B43B37">
      <w:pPr>
        <w:widowControl w:val="0"/>
        <w:autoSpaceDE w:val="0"/>
        <w:autoSpaceDN w:val="0"/>
        <w:adjustRightInd w:val="0"/>
        <w:ind w:right="50"/>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rsidR="00B43B37" w:rsidRPr="00DA2BC8" w:rsidRDefault="00B43B37" w:rsidP="00B43B37">
      <w:pPr>
        <w:widowControl w:val="0"/>
        <w:autoSpaceDE w:val="0"/>
        <w:autoSpaceDN w:val="0"/>
        <w:adjustRightInd w:val="0"/>
        <w:ind w:right="50"/>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rsidR="00B43B37" w:rsidRPr="00047807" w:rsidRDefault="00B43B37" w:rsidP="00B43B37">
      <w:pPr>
        <w:widowControl w:val="0"/>
        <w:autoSpaceDE w:val="0"/>
        <w:autoSpaceDN w:val="0"/>
        <w:adjustRightInd w:val="0"/>
        <w:ind w:right="50"/>
        <w:contextualSpacing/>
        <w:rPr>
          <w:b/>
          <w:bCs/>
        </w:rPr>
      </w:pPr>
      <w:r w:rsidRPr="00047807">
        <w:rPr>
          <w:b/>
          <w:bCs/>
        </w:rPr>
        <w:t>Инвазивный аспергиллез ЦНС</w:t>
      </w:r>
    </w:p>
    <w:p w:rsidR="00B43B37" w:rsidRPr="00DA2BC8" w:rsidRDefault="00B43B37" w:rsidP="00B43B37">
      <w:pPr>
        <w:widowControl w:val="0"/>
        <w:autoSpaceDE w:val="0"/>
        <w:autoSpaceDN w:val="0"/>
        <w:adjustRightInd w:val="0"/>
        <w:ind w:right="50"/>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 xml:space="preserve">Противогрибковые препараты, включая амфотерицин В, интратекально или в очаг </w:t>
      </w:r>
      <w:r w:rsidRPr="00DA2BC8">
        <w:lastRenderedPageBreak/>
        <w:t>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rsidR="00B43B37" w:rsidRDefault="00B43B37" w:rsidP="00B43B37">
      <w:pPr>
        <w:widowControl w:val="0"/>
        <w:autoSpaceDE w:val="0"/>
        <w:autoSpaceDN w:val="0"/>
        <w:adjustRightInd w:val="0"/>
        <w:ind w:right="50"/>
        <w:contextualSpacing/>
        <w:rPr>
          <w:b/>
          <w:bCs/>
        </w:rPr>
      </w:pPr>
    </w:p>
    <w:p w:rsidR="00B43B37" w:rsidRPr="00084B8B" w:rsidRDefault="00B43B37" w:rsidP="00B43B37">
      <w:pPr>
        <w:widowControl w:val="0"/>
        <w:autoSpaceDE w:val="0"/>
        <w:autoSpaceDN w:val="0"/>
        <w:adjustRightInd w:val="0"/>
        <w:ind w:right="49"/>
        <w:contextualSpacing/>
        <w:rPr>
          <w:bCs/>
          <w:u w:val="single"/>
        </w:rPr>
      </w:pPr>
      <w:r w:rsidRPr="00EB3571">
        <w:rPr>
          <w:bCs/>
          <w:u w:val="single"/>
        </w:rPr>
        <w:t>Диагностика и лечение мукормикоза</w:t>
      </w:r>
      <w:r>
        <w:rPr>
          <w:bCs/>
          <w:u w:val="single"/>
          <w:lang w:val="en-US"/>
        </w:rPr>
        <w:t xml:space="preserve">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[57,58,64,65,68]","plainTextFormattedCitation":"[57,58,64,65,68]","previouslyFormattedCitation":"[57,58,64,65,68]"},"properties":{"noteIndex":0},"schema":"https://github.com/citation-style-language/schema/raw/master/csl-citation.json"}</w:instrText>
      </w:r>
      <w:r>
        <w:rPr>
          <w:b/>
        </w:rPr>
        <w:fldChar w:fldCharType="separate"/>
      </w:r>
      <w:r w:rsidR="005600FF" w:rsidRPr="005600FF">
        <w:rPr>
          <w:noProof/>
        </w:rPr>
        <w:t>[57,58,64,65,68]</w:t>
      </w:r>
      <w:r>
        <w:rPr>
          <w:b/>
        </w:rPr>
        <w:fldChar w:fldCharType="end"/>
      </w:r>
    </w:p>
    <w:p w:rsidR="00B43B37" w:rsidRPr="00DA2BC8" w:rsidRDefault="00B43B37" w:rsidP="00B43B37">
      <w:pPr>
        <w:widowControl w:val="0"/>
        <w:autoSpaceDE w:val="0"/>
        <w:autoSpaceDN w:val="0"/>
        <w:adjustRightInd w:val="0"/>
        <w:ind w:right="50"/>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rsidR="00B43B37" w:rsidRPr="00DA2BC8" w:rsidRDefault="00B43B37" w:rsidP="00B43B37">
      <w:pPr>
        <w:widowControl w:val="0"/>
        <w:autoSpaceDE w:val="0"/>
        <w:autoSpaceDN w:val="0"/>
        <w:adjustRightInd w:val="0"/>
        <w:ind w:right="50"/>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rsidR="00B43B37" w:rsidRPr="00047807" w:rsidRDefault="00B43B37" w:rsidP="00B43B37">
      <w:pPr>
        <w:widowControl w:val="0"/>
        <w:autoSpaceDE w:val="0"/>
        <w:autoSpaceDN w:val="0"/>
        <w:adjustRightInd w:val="0"/>
        <w:ind w:right="50"/>
        <w:contextualSpacing/>
        <w:rPr>
          <w:b/>
          <w:bCs/>
        </w:rPr>
      </w:pPr>
      <w:r w:rsidRPr="00047807">
        <w:rPr>
          <w:b/>
          <w:bCs/>
        </w:rPr>
        <w:t>Мукормикоз легких</w:t>
      </w:r>
    </w:p>
    <w:p w:rsidR="00B43B37" w:rsidRPr="00686506" w:rsidRDefault="00B43B37" w:rsidP="00B43B37">
      <w:pPr>
        <w:widowControl w:val="0"/>
        <w:autoSpaceDE w:val="0"/>
        <w:autoSpaceDN w:val="0"/>
        <w:adjustRightInd w:val="0"/>
        <w:ind w:right="50"/>
        <w:contextualSpacing/>
        <w:rPr>
          <w:i/>
          <w:iCs/>
          <w:u w:val="single"/>
        </w:rPr>
      </w:pPr>
      <w:r w:rsidRPr="00686506">
        <w:rPr>
          <w:i/>
          <w:iCs/>
          <w:u w:val="single"/>
        </w:rPr>
        <w:t>Симптомы</w:t>
      </w:r>
    </w:p>
    <w:p w:rsidR="00B43B37" w:rsidRPr="00DA2BC8" w:rsidRDefault="00B43B37" w:rsidP="00B43B37">
      <w:pPr>
        <w:widowControl w:val="0"/>
        <w:autoSpaceDE w:val="0"/>
        <w:autoSpaceDN w:val="0"/>
        <w:adjustRightInd w:val="0"/>
        <w:ind w:right="50"/>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w:t>
      </w:r>
      <w:r w:rsidRPr="00DA2BC8">
        <w:lastRenderedPageBreak/>
        <w:t xml:space="preserve">симптомы, соответствующие локализации очагов поражения. </w:t>
      </w:r>
    </w:p>
    <w:p w:rsidR="00B43B37" w:rsidRPr="00DA2BC8" w:rsidRDefault="00B43B37" w:rsidP="00B43B37">
      <w:pPr>
        <w:widowControl w:val="0"/>
        <w:autoSpaceDE w:val="0"/>
        <w:autoSpaceDN w:val="0"/>
        <w:adjustRightInd w:val="0"/>
        <w:ind w:right="50"/>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rsidR="00B43B37" w:rsidRPr="00686506" w:rsidRDefault="00B43B37" w:rsidP="00B43B37">
      <w:pPr>
        <w:widowControl w:val="0"/>
        <w:autoSpaceDE w:val="0"/>
        <w:autoSpaceDN w:val="0"/>
        <w:adjustRightInd w:val="0"/>
        <w:ind w:right="50"/>
        <w:contextualSpacing/>
        <w:rPr>
          <w:i/>
          <w:iCs/>
          <w:u w:val="single"/>
        </w:rPr>
      </w:pPr>
      <w:r w:rsidRPr="00686506">
        <w:rPr>
          <w:i/>
          <w:iCs/>
          <w:u w:val="single"/>
        </w:rPr>
        <w:t>Радиологические особенности мукормикоза легких</w:t>
      </w:r>
    </w:p>
    <w:p w:rsidR="00B43B37" w:rsidRPr="00DA2BC8" w:rsidRDefault="00B43B37" w:rsidP="00B43B37">
      <w:pPr>
        <w:widowControl w:val="0"/>
        <w:autoSpaceDE w:val="0"/>
        <w:autoSpaceDN w:val="0"/>
        <w:adjustRightInd w:val="0"/>
        <w:ind w:right="50"/>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rsidR="00B43B37" w:rsidRPr="00686506" w:rsidRDefault="00B43B37" w:rsidP="00B43B37">
      <w:pPr>
        <w:widowControl w:val="0"/>
        <w:autoSpaceDE w:val="0"/>
        <w:autoSpaceDN w:val="0"/>
        <w:adjustRightInd w:val="0"/>
        <w:ind w:right="50"/>
        <w:contextualSpacing/>
        <w:rPr>
          <w:bCs/>
          <w:i/>
          <w:iCs/>
        </w:rPr>
      </w:pPr>
      <w:r w:rsidRPr="00686506">
        <w:rPr>
          <w:bCs/>
          <w:i/>
          <w:iCs/>
          <w:u w:val="single"/>
        </w:rPr>
        <w:t>Микологическая диагностика мукормикоза</w:t>
      </w:r>
    </w:p>
    <w:p w:rsidR="00B43B37" w:rsidRPr="00DA2BC8" w:rsidRDefault="00B43B37" w:rsidP="00B43B37">
      <w:pPr>
        <w:widowControl w:val="0"/>
        <w:autoSpaceDE w:val="0"/>
        <w:autoSpaceDN w:val="0"/>
        <w:adjustRightInd w:val="0"/>
        <w:ind w:right="50"/>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rsidR="00B43B37" w:rsidRPr="00686506" w:rsidRDefault="00B43B37" w:rsidP="00B43B37">
      <w:pPr>
        <w:widowControl w:val="0"/>
        <w:autoSpaceDE w:val="0"/>
        <w:autoSpaceDN w:val="0"/>
        <w:adjustRightInd w:val="0"/>
        <w:ind w:right="50"/>
        <w:contextualSpacing/>
        <w:rPr>
          <w:i/>
          <w:iCs/>
          <w:u w:val="single"/>
        </w:rPr>
      </w:pPr>
      <w:r w:rsidRPr="00686506">
        <w:rPr>
          <w:i/>
          <w:iCs/>
          <w:u w:val="single"/>
        </w:rPr>
        <w:t>Лечение мукормикоза легких</w:t>
      </w:r>
    </w:p>
    <w:p w:rsidR="00B43B37" w:rsidRPr="00DA2BC8" w:rsidRDefault="00B43B37" w:rsidP="00B43B37">
      <w:pPr>
        <w:widowControl w:val="0"/>
        <w:autoSpaceDE w:val="0"/>
        <w:autoSpaceDN w:val="0"/>
        <w:adjustRightInd w:val="0"/>
        <w:ind w:right="50"/>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rsidR="00B43B37" w:rsidRPr="00DA2BC8" w:rsidRDefault="00B43B37" w:rsidP="00B43B37">
      <w:pPr>
        <w:widowControl w:val="0"/>
        <w:autoSpaceDE w:val="0"/>
        <w:autoSpaceDN w:val="0"/>
        <w:adjustRightInd w:val="0"/>
        <w:ind w:right="50"/>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rsidR="00B43B37" w:rsidRPr="00686506" w:rsidRDefault="00B43B37" w:rsidP="00B43B37">
      <w:pPr>
        <w:widowControl w:val="0"/>
        <w:autoSpaceDE w:val="0"/>
        <w:autoSpaceDN w:val="0"/>
        <w:adjustRightInd w:val="0"/>
        <w:ind w:right="50"/>
        <w:contextualSpacing/>
        <w:rPr>
          <w:i/>
          <w:iCs/>
          <w:u w:val="single"/>
        </w:rPr>
      </w:pPr>
      <w:r w:rsidRPr="00686506">
        <w:rPr>
          <w:i/>
          <w:iCs/>
          <w:u w:val="single"/>
        </w:rPr>
        <w:t>Хирургическое лечение мукормикоза легких</w:t>
      </w:r>
    </w:p>
    <w:p w:rsidR="00B43B37" w:rsidRPr="00DA2BC8" w:rsidRDefault="00B43B37" w:rsidP="00B43B37">
      <w:pPr>
        <w:widowControl w:val="0"/>
        <w:autoSpaceDE w:val="0"/>
        <w:autoSpaceDN w:val="0"/>
        <w:adjustRightInd w:val="0"/>
        <w:ind w:right="50"/>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w:t>
      </w:r>
      <w:r w:rsidRPr="00DA2BC8">
        <w:lastRenderedPageBreak/>
        <w:t xml:space="preserve">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rsidR="00B43B37" w:rsidRPr="00DA2BC8" w:rsidRDefault="00B43B37" w:rsidP="00B43B37">
      <w:pPr>
        <w:widowControl w:val="0"/>
        <w:autoSpaceDE w:val="0"/>
        <w:autoSpaceDN w:val="0"/>
        <w:adjustRightInd w:val="0"/>
        <w:ind w:right="50"/>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rsidR="00B43B37" w:rsidRPr="00047807" w:rsidRDefault="00B43B37" w:rsidP="00B43B37">
      <w:pPr>
        <w:widowControl w:val="0"/>
        <w:autoSpaceDE w:val="0"/>
        <w:autoSpaceDN w:val="0"/>
        <w:adjustRightInd w:val="0"/>
        <w:ind w:right="51"/>
        <w:contextualSpacing/>
        <w:rPr>
          <w:b/>
          <w:bCs/>
        </w:rPr>
      </w:pPr>
      <w:r w:rsidRPr="00047807">
        <w:rPr>
          <w:b/>
          <w:bCs/>
        </w:rPr>
        <w:t>Мукормикоз придаточных пазух носа</w:t>
      </w:r>
    </w:p>
    <w:p w:rsidR="00B43B37" w:rsidRPr="00DA2BC8" w:rsidRDefault="00B43B37" w:rsidP="00B43B37">
      <w:pPr>
        <w:widowControl w:val="0"/>
        <w:autoSpaceDE w:val="0"/>
        <w:autoSpaceDN w:val="0"/>
        <w:adjustRightInd w:val="0"/>
        <w:ind w:right="51"/>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rsidR="00B43B37" w:rsidRPr="00DA2BC8" w:rsidRDefault="00B43B37" w:rsidP="00B43B37">
      <w:pPr>
        <w:widowControl w:val="0"/>
        <w:autoSpaceDE w:val="0"/>
        <w:autoSpaceDN w:val="0"/>
        <w:adjustRightInd w:val="0"/>
        <w:ind w:right="51"/>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rsidR="00B43B37" w:rsidRPr="00DA2BC8" w:rsidRDefault="00B43B37" w:rsidP="00B43B37">
      <w:pPr>
        <w:widowControl w:val="0"/>
        <w:autoSpaceDE w:val="0"/>
        <w:autoSpaceDN w:val="0"/>
        <w:adjustRightInd w:val="0"/>
        <w:ind w:right="51"/>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rsidR="00B43B37" w:rsidRPr="00DA2BC8" w:rsidRDefault="00B43B37" w:rsidP="00B43B37">
      <w:pPr>
        <w:widowControl w:val="0"/>
        <w:autoSpaceDE w:val="0"/>
        <w:autoSpaceDN w:val="0"/>
        <w:adjustRightInd w:val="0"/>
        <w:ind w:right="51"/>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rsidR="00B43B37" w:rsidRPr="00047807" w:rsidRDefault="00B43B37" w:rsidP="00B43B37">
      <w:pPr>
        <w:widowControl w:val="0"/>
        <w:autoSpaceDE w:val="0"/>
        <w:autoSpaceDN w:val="0"/>
        <w:adjustRightInd w:val="0"/>
        <w:ind w:right="51"/>
        <w:contextualSpacing/>
        <w:rPr>
          <w:b/>
          <w:bCs/>
        </w:rPr>
      </w:pPr>
      <w:r w:rsidRPr="00047807">
        <w:rPr>
          <w:b/>
          <w:bCs/>
        </w:rPr>
        <w:t>Мукормикоз кожи и мягких тканей</w:t>
      </w:r>
    </w:p>
    <w:p w:rsidR="00B43B37" w:rsidRPr="00DA2BC8" w:rsidRDefault="00B43B37" w:rsidP="00B43B37">
      <w:pPr>
        <w:widowControl w:val="0"/>
        <w:autoSpaceDE w:val="0"/>
        <w:autoSpaceDN w:val="0"/>
        <w:adjustRightInd w:val="0"/>
        <w:ind w:right="51"/>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rsidR="00B43B37" w:rsidRPr="00DA2BC8" w:rsidRDefault="00B43B37" w:rsidP="00B43B37">
      <w:pPr>
        <w:widowControl w:val="0"/>
        <w:autoSpaceDE w:val="0"/>
        <w:autoSpaceDN w:val="0"/>
        <w:adjustRightInd w:val="0"/>
        <w:ind w:right="51"/>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w:t>
      </w:r>
      <w:r w:rsidRPr="00DA2BC8">
        <w:lastRenderedPageBreak/>
        <w:t xml:space="preserve">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rsidR="00B43B37" w:rsidRDefault="00B43B37" w:rsidP="00B43B37">
      <w:pPr>
        <w:widowControl w:val="0"/>
        <w:autoSpaceDE w:val="0"/>
        <w:autoSpaceDN w:val="0"/>
        <w:adjustRightInd w:val="0"/>
        <w:ind w:right="50"/>
        <w:contextualSpacing/>
        <w:rPr>
          <w:b/>
          <w:bCs/>
        </w:rPr>
      </w:pPr>
    </w:p>
    <w:p w:rsidR="00B43B37" w:rsidRPr="00144984" w:rsidRDefault="00B43B37" w:rsidP="00B43B37">
      <w:pPr>
        <w:widowControl w:val="0"/>
        <w:autoSpaceDE w:val="0"/>
        <w:autoSpaceDN w:val="0"/>
        <w:adjustRightInd w:val="0"/>
        <w:ind w:right="49"/>
        <w:contextualSpacing/>
        <w:rPr>
          <w:bCs/>
          <w:u w:val="single"/>
        </w:rPr>
      </w:pPr>
      <w:r w:rsidRPr="00686506">
        <w:rPr>
          <w:bCs/>
          <w:u w:val="single"/>
        </w:rPr>
        <w:t xml:space="preserve">Диагностика и лечение инвазивных микозов, вызванных редкими плесневыми грибами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[57,58,64,69]","plainTextFormattedCitation":"[57,58,64,69]","previouslyFormattedCitation":"[57,58,64,69]"},"properties":{"noteIndex":0},"schema":"https://github.com/citation-style-language/schema/raw/master/csl-citation.json"}</w:instrText>
      </w:r>
      <w:r>
        <w:rPr>
          <w:b/>
        </w:rPr>
        <w:fldChar w:fldCharType="separate"/>
      </w:r>
      <w:r w:rsidR="005600FF" w:rsidRPr="005600FF">
        <w:rPr>
          <w:noProof/>
        </w:rPr>
        <w:t>[57,58,64,69]</w:t>
      </w:r>
      <w:r>
        <w:rPr>
          <w:b/>
        </w:rPr>
        <w:fldChar w:fldCharType="end"/>
      </w:r>
    </w:p>
    <w:p w:rsidR="00B43B37" w:rsidRPr="00144984" w:rsidRDefault="00B43B37" w:rsidP="00B43B37">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rsidR="00B43B37" w:rsidRPr="00144984" w:rsidRDefault="00B43B37" w:rsidP="00B43B37">
      <w:pPr>
        <w:widowControl w:val="0"/>
        <w:autoSpaceDE w:val="0"/>
        <w:autoSpaceDN w:val="0"/>
        <w:adjustRightInd w:val="0"/>
        <w:ind w:right="50"/>
        <w:contextualSpacing/>
        <w:rPr>
          <w:i/>
          <w:iCs/>
          <w:u w:val="single"/>
        </w:rPr>
      </w:pPr>
      <w:r w:rsidRPr="00686506">
        <w:rPr>
          <w:i/>
          <w:iCs/>
          <w:u w:val="single"/>
        </w:rPr>
        <w:t>Фузариоз</w:t>
      </w:r>
      <w:r w:rsidRPr="00144984">
        <w:rPr>
          <w:i/>
          <w:iCs/>
          <w:u w:val="single"/>
        </w:rPr>
        <w:t xml:space="preserve"> </w:t>
      </w:r>
    </w:p>
    <w:p w:rsidR="00B43B37" w:rsidRPr="00DA2BC8" w:rsidRDefault="00B43B37" w:rsidP="00B43B37">
      <w:pPr>
        <w:widowControl w:val="0"/>
        <w:autoSpaceDE w:val="0"/>
        <w:autoSpaceDN w:val="0"/>
        <w:adjustRightInd w:val="0"/>
        <w:ind w:right="50"/>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rsidR="00B43B37" w:rsidRPr="00DA2BC8" w:rsidRDefault="00B43B37" w:rsidP="00B43B37">
      <w:pPr>
        <w:widowControl w:val="0"/>
        <w:autoSpaceDE w:val="0"/>
        <w:autoSpaceDN w:val="0"/>
        <w:adjustRightInd w:val="0"/>
        <w:ind w:right="50"/>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lastRenderedPageBreak/>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rsidR="00B43B37" w:rsidRPr="00686506" w:rsidRDefault="00B43B37" w:rsidP="00B43B37">
      <w:pPr>
        <w:widowControl w:val="0"/>
        <w:autoSpaceDE w:val="0"/>
        <w:autoSpaceDN w:val="0"/>
        <w:adjustRightInd w:val="0"/>
        <w:ind w:right="51"/>
        <w:contextualSpacing/>
        <w:rPr>
          <w:i/>
          <w:iCs/>
          <w:u w:val="single"/>
        </w:rPr>
      </w:pPr>
      <w:r w:rsidRPr="00686506">
        <w:rPr>
          <w:i/>
          <w:iCs/>
          <w:u w:val="single"/>
        </w:rPr>
        <w:t xml:space="preserve">Сцедоспориоз </w:t>
      </w:r>
    </w:p>
    <w:p w:rsidR="00B43B37" w:rsidRPr="00DA2BC8" w:rsidRDefault="00B43B37" w:rsidP="00B43B37">
      <w:pPr>
        <w:widowControl w:val="0"/>
        <w:autoSpaceDE w:val="0"/>
        <w:autoSpaceDN w:val="0"/>
        <w:adjustRightInd w:val="0"/>
        <w:ind w:right="51"/>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rsidR="00B43B37" w:rsidRPr="00686506" w:rsidRDefault="00B43B37" w:rsidP="00B43B37">
      <w:pPr>
        <w:widowControl w:val="0"/>
        <w:autoSpaceDE w:val="0"/>
        <w:autoSpaceDN w:val="0"/>
        <w:adjustRightInd w:val="0"/>
        <w:ind w:right="51"/>
        <w:contextualSpacing/>
        <w:rPr>
          <w:i/>
          <w:iCs/>
          <w:u w:val="single"/>
        </w:rPr>
      </w:pPr>
      <w:r w:rsidRPr="00686506">
        <w:rPr>
          <w:i/>
          <w:iCs/>
          <w:u w:val="single"/>
        </w:rPr>
        <w:t>Инфекции, вызванные Acremonium spp.</w:t>
      </w:r>
    </w:p>
    <w:p w:rsidR="00B43B37" w:rsidRPr="00DA2BC8" w:rsidRDefault="00B43B37" w:rsidP="00B43B37">
      <w:pPr>
        <w:widowControl w:val="0"/>
        <w:autoSpaceDE w:val="0"/>
        <w:autoSpaceDN w:val="0"/>
        <w:adjustRightInd w:val="0"/>
        <w:ind w:right="51"/>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rsidR="00B43B37" w:rsidRDefault="00B43B37" w:rsidP="00B43B37">
      <w:pPr>
        <w:widowControl w:val="0"/>
        <w:autoSpaceDE w:val="0"/>
        <w:autoSpaceDN w:val="0"/>
        <w:adjustRightInd w:val="0"/>
        <w:ind w:right="50"/>
        <w:contextualSpacing/>
        <w:rPr>
          <w:b/>
          <w:bCs/>
        </w:rPr>
      </w:pPr>
    </w:p>
    <w:p w:rsidR="00B43B37" w:rsidRPr="00084B8B" w:rsidRDefault="00B43B37" w:rsidP="00B43B37">
      <w:pPr>
        <w:widowControl w:val="0"/>
        <w:autoSpaceDE w:val="0"/>
        <w:autoSpaceDN w:val="0"/>
        <w:adjustRightInd w:val="0"/>
        <w:ind w:right="50"/>
        <w:contextualSpacing/>
        <w:rPr>
          <w:b/>
        </w:rPr>
      </w:pPr>
      <w:r w:rsidRPr="00686506">
        <w:rPr>
          <w:bCs/>
          <w:u w:val="single"/>
        </w:rPr>
        <w:t>Диагностика и лечение пневмоцистной пневмонии</w:t>
      </w:r>
      <w:r w:rsidRPr="00084B8B">
        <w:rPr>
          <w:bCs/>
          <w:u w:val="single"/>
        </w:rPr>
        <w:t xml:space="preserve"> </w:t>
      </w:r>
      <w:r>
        <w:rPr>
          <w:b/>
        </w:rPr>
        <w:fldChar w:fldCharType="begin" w:fldLock="1"/>
      </w:r>
      <w:r w:rsidR="003524A5">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[57,58,64,70]","plainTextFormattedCitation":"[57,58,64,70]","previouslyFormattedCitation":"[57,58,64,70]"},"properties":{"noteIndex":0},"schema":"https://github.com/citation-style-language/schema/raw/master/csl-citation.json"}</w:instrText>
      </w:r>
      <w:r>
        <w:rPr>
          <w:b/>
        </w:rPr>
        <w:fldChar w:fldCharType="separate"/>
      </w:r>
      <w:r w:rsidR="005600FF" w:rsidRPr="005600FF">
        <w:rPr>
          <w:noProof/>
        </w:rPr>
        <w:t>[57,58,64,70]</w:t>
      </w:r>
      <w:r>
        <w:rPr>
          <w:b/>
        </w:rPr>
        <w:fldChar w:fldCharType="end"/>
      </w:r>
    </w:p>
    <w:p w:rsidR="00B43B37" w:rsidRPr="00DA2BC8" w:rsidRDefault="00B43B37" w:rsidP="00B43B37">
      <w:pPr>
        <w:widowControl w:val="0"/>
        <w:autoSpaceDE w:val="0"/>
        <w:autoSpaceDN w:val="0"/>
        <w:adjustRightInd w:val="0"/>
        <w:ind w:right="50"/>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w:t>
      </w:r>
      <w:r w:rsidRPr="00DA2BC8">
        <w:lastRenderedPageBreak/>
        <w:t xml:space="preserve">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rsidR="00B43B37" w:rsidRPr="00DA2BC8" w:rsidRDefault="00B43B37" w:rsidP="00B43B37">
      <w:pPr>
        <w:widowControl w:val="0"/>
        <w:autoSpaceDE w:val="0"/>
        <w:autoSpaceDN w:val="0"/>
        <w:adjustRightInd w:val="0"/>
        <w:ind w:right="50"/>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rsidR="00B43B37" w:rsidRPr="00686506" w:rsidRDefault="00B43B37" w:rsidP="00B43B37">
      <w:pPr>
        <w:widowControl w:val="0"/>
        <w:autoSpaceDE w:val="0"/>
        <w:autoSpaceDN w:val="0"/>
        <w:adjustRightInd w:val="0"/>
        <w:ind w:right="50"/>
        <w:contextualSpacing/>
        <w:rPr>
          <w:i/>
          <w:iCs/>
        </w:rPr>
      </w:pPr>
      <w:r w:rsidRPr="00686506">
        <w:rPr>
          <w:i/>
          <w:iCs/>
          <w:u w:val="single"/>
        </w:rPr>
        <w:t>Факторы риска</w:t>
      </w:r>
    </w:p>
    <w:p w:rsidR="00B43B37" w:rsidRPr="00DA2BC8" w:rsidRDefault="00B43B37" w:rsidP="00B43B37">
      <w:pPr>
        <w:widowControl w:val="0"/>
        <w:autoSpaceDE w:val="0"/>
        <w:autoSpaceDN w:val="0"/>
        <w:adjustRightInd w:val="0"/>
        <w:ind w:right="50"/>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rsidR="00B43B37" w:rsidRPr="00686506" w:rsidRDefault="00B43B37" w:rsidP="00B43B37">
      <w:pPr>
        <w:widowControl w:val="0"/>
        <w:autoSpaceDE w:val="0"/>
        <w:autoSpaceDN w:val="0"/>
        <w:adjustRightInd w:val="0"/>
        <w:ind w:right="50"/>
        <w:contextualSpacing/>
        <w:rPr>
          <w:i/>
          <w:iCs/>
          <w:u w:val="single"/>
        </w:rPr>
      </w:pPr>
      <w:r w:rsidRPr="00686506">
        <w:rPr>
          <w:i/>
          <w:iCs/>
          <w:u w:val="single"/>
        </w:rPr>
        <w:t>Симптомы</w:t>
      </w:r>
    </w:p>
    <w:p w:rsidR="00B43B37" w:rsidRPr="00DA2BC8" w:rsidRDefault="00B43B37" w:rsidP="00B43B37">
      <w:pPr>
        <w:widowControl w:val="0"/>
        <w:autoSpaceDE w:val="0"/>
        <w:autoSpaceDN w:val="0"/>
        <w:adjustRightInd w:val="0"/>
        <w:ind w:right="50"/>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w:t>
      </w:r>
      <w:r w:rsidRPr="00DA2BC8">
        <w:lastRenderedPageBreak/>
        <w:t xml:space="preserve">артериальная гипоксемия, респираторный алкалоз). </w:t>
      </w:r>
    </w:p>
    <w:p w:rsidR="00B43B37" w:rsidRPr="00DA2BC8" w:rsidRDefault="00B43B37" w:rsidP="00B43B37">
      <w:pPr>
        <w:widowControl w:val="0"/>
        <w:autoSpaceDE w:val="0"/>
        <w:autoSpaceDN w:val="0"/>
        <w:adjustRightInd w:val="0"/>
        <w:ind w:right="50"/>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rsidR="00B43B37" w:rsidRPr="00DA2BC8" w:rsidRDefault="00B43B37" w:rsidP="00B43B37">
      <w:pPr>
        <w:widowControl w:val="0"/>
        <w:autoSpaceDE w:val="0"/>
        <w:autoSpaceDN w:val="0"/>
        <w:adjustRightInd w:val="0"/>
        <w:ind w:right="50"/>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rsidR="00B43B37" w:rsidRPr="00DA2BC8" w:rsidRDefault="00B43B37" w:rsidP="00B43B37">
      <w:pPr>
        <w:widowControl w:val="0"/>
        <w:autoSpaceDE w:val="0"/>
        <w:autoSpaceDN w:val="0"/>
        <w:adjustRightInd w:val="0"/>
        <w:ind w:right="50"/>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rsidR="00B43B37" w:rsidRPr="00DA2BC8" w:rsidRDefault="00B43B37" w:rsidP="00B43B37">
      <w:pPr>
        <w:widowControl w:val="0"/>
        <w:autoSpaceDE w:val="0"/>
        <w:autoSpaceDN w:val="0"/>
        <w:adjustRightInd w:val="0"/>
        <w:ind w:right="50"/>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rsidR="00B43B37" w:rsidRPr="00686506" w:rsidRDefault="00B43B37" w:rsidP="00B43B37">
      <w:pPr>
        <w:widowControl w:val="0"/>
        <w:autoSpaceDE w:val="0"/>
        <w:autoSpaceDN w:val="0"/>
        <w:adjustRightInd w:val="0"/>
        <w:ind w:right="50"/>
        <w:contextualSpacing/>
        <w:rPr>
          <w:bCs/>
          <w:i/>
          <w:iCs/>
          <w:u w:val="single"/>
        </w:rPr>
      </w:pPr>
      <w:r w:rsidRPr="00686506">
        <w:rPr>
          <w:bCs/>
          <w:i/>
          <w:iCs/>
          <w:u w:val="single"/>
        </w:rPr>
        <w:t>Радиологические особенности пневмоцистной пневмонии</w:t>
      </w:r>
    </w:p>
    <w:p w:rsidR="00B43B37" w:rsidRPr="00DA2BC8" w:rsidRDefault="00B43B37" w:rsidP="00B43B37">
      <w:pPr>
        <w:widowControl w:val="0"/>
        <w:autoSpaceDE w:val="0"/>
        <w:autoSpaceDN w:val="0"/>
        <w:adjustRightInd w:val="0"/>
        <w:ind w:right="50"/>
        <w:contextualSpacing/>
      </w:pPr>
      <w:r w:rsidRPr="00DA2BC8">
        <w:t>Заподозрить пневмоцистную пневмонию можно только по данным КТ</w:t>
      </w:r>
      <w:r>
        <w:t>/СКТ</w:t>
      </w:r>
      <w:r w:rsidRPr="00DA2BC8">
        <w:t>.</w:t>
      </w:r>
      <w:r w:rsidRPr="00DA2BC8">
        <w:rPr>
          <w:b/>
        </w:rPr>
        <w:t xml:space="preserve"> </w:t>
      </w:r>
    </w:p>
    <w:p w:rsidR="00B43B37" w:rsidRPr="00DA2BC8" w:rsidRDefault="00B43B37" w:rsidP="00B43B37">
      <w:pPr>
        <w:widowControl w:val="0"/>
        <w:autoSpaceDE w:val="0"/>
        <w:autoSpaceDN w:val="0"/>
        <w:adjustRightInd w:val="0"/>
        <w:ind w:right="50"/>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rsidR="00B43B37" w:rsidRPr="00DA2BC8" w:rsidRDefault="00B43B37" w:rsidP="00B43B37">
      <w:pPr>
        <w:widowControl w:val="0"/>
        <w:autoSpaceDE w:val="0"/>
        <w:autoSpaceDN w:val="0"/>
        <w:adjustRightInd w:val="0"/>
        <w:ind w:right="50"/>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rsidR="00B43B37" w:rsidRPr="00DA2BC8" w:rsidRDefault="00B43B37" w:rsidP="00B43B37">
      <w:pPr>
        <w:widowControl w:val="0"/>
        <w:autoSpaceDE w:val="0"/>
        <w:autoSpaceDN w:val="0"/>
        <w:adjustRightInd w:val="0"/>
        <w:ind w:right="50"/>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w:t>
      </w:r>
      <w:r w:rsidRPr="00DA2BC8">
        <w:lastRenderedPageBreak/>
        <w:t xml:space="preserve">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rsidR="00B43B37" w:rsidRDefault="00B43B37" w:rsidP="00B43B37">
      <w:pPr>
        <w:widowControl w:val="0"/>
        <w:autoSpaceDE w:val="0"/>
        <w:autoSpaceDN w:val="0"/>
        <w:adjustRightInd w:val="0"/>
        <w:ind w:right="50"/>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p w:rsidR="00B43B37" w:rsidRDefault="00B43B37" w:rsidP="00B43B37">
      <w:pPr>
        <w:widowControl w:val="0"/>
        <w:autoSpaceDE w:val="0"/>
        <w:autoSpaceDN w:val="0"/>
        <w:adjustRightInd w:val="0"/>
        <w:ind w:right="50"/>
        <w:contextualSpacing/>
      </w:pPr>
    </w:p>
    <w:p w:rsidR="00B43B37" w:rsidRPr="00AE3627" w:rsidRDefault="00B43B37" w:rsidP="00B43B37">
      <w:pPr>
        <w:pStyle w:val="2"/>
        <w:spacing w:before="0"/>
      </w:pPr>
      <w:bookmarkStart w:id="84" w:name="_Toc66176859"/>
      <w:bookmarkStart w:id="85" w:name="_Toc67238431"/>
      <w:bookmarkStart w:id="86" w:name="_Toc67302921"/>
      <w:r w:rsidRPr="000322E4">
        <w:t>7.</w:t>
      </w:r>
      <w:r w:rsidRPr="0067126D">
        <w:t>4</w:t>
      </w:r>
      <w:r>
        <w:t xml:space="preserve"> </w:t>
      </w:r>
      <w:r w:rsidRPr="003722EE">
        <w:rPr>
          <w:bCs/>
        </w:rPr>
        <w:t>Профилактика инфекционных осложнений у пациентов с гематологическими заболеваниями</w:t>
      </w:r>
      <w:bookmarkEnd w:id="84"/>
      <w:bookmarkEnd w:id="85"/>
      <w:bookmarkEnd w:id="86"/>
    </w:p>
    <w:p w:rsidR="00B43B37" w:rsidRPr="003722EE" w:rsidRDefault="00B43B37" w:rsidP="00B43B37">
      <w:pPr>
        <w:ind w:right="49" w:firstLine="708"/>
        <w:contextualSpacing/>
      </w:pPr>
      <w:r w:rsidRPr="003722EE">
        <w:t xml:space="preserve">Высокая частота инфекционных осложнений у гематологических пациентов, особенно в период нейтропении, диктует необходимость назначения препаратов для профилактики инфекций.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rsidR="00B43B37" w:rsidRDefault="00B43B37" w:rsidP="00B43B37">
      <w:pPr>
        <w:widowControl w:val="0"/>
        <w:autoSpaceDE w:val="0"/>
        <w:autoSpaceDN w:val="0"/>
        <w:adjustRightInd w:val="0"/>
        <w:ind w:right="49"/>
        <w:rPr>
          <w:i/>
          <w:iCs/>
          <w:u w:val="single"/>
        </w:rPr>
      </w:pPr>
    </w:p>
    <w:p w:rsidR="00B43B37" w:rsidRPr="003722EE" w:rsidRDefault="00B43B37" w:rsidP="00B43B37">
      <w:pPr>
        <w:widowControl w:val="0"/>
        <w:autoSpaceDE w:val="0"/>
        <w:autoSpaceDN w:val="0"/>
        <w:adjustRightInd w:val="0"/>
        <w:ind w:right="49"/>
        <w:rPr>
          <w:i/>
          <w:iCs/>
          <w:u w:val="single"/>
        </w:rPr>
      </w:pPr>
      <w:r w:rsidRPr="003722EE">
        <w:rPr>
          <w:i/>
          <w:iCs/>
          <w:u w:val="single"/>
        </w:rPr>
        <w:t>Профилактика инфекций, вызванных бактериями</w:t>
      </w:r>
    </w:p>
    <w:p w:rsidR="00B43B37" w:rsidRPr="003722EE" w:rsidRDefault="00B43B37" w:rsidP="00B43B37">
      <w:pPr>
        <w:widowControl w:val="0"/>
        <w:autoSpaceDE w:val="0"/>
        <w:autoSpaceDN w:val="0"/>
        <w:adjustRightInd w:val="0"/>
        <w:ind w:right="49"/>
        <w:contextualSpacing/>
        <w:rPr>
          <w:bCs/>
        </w:rPr>
      </w:pPr>
      <w:r w:rsidRPr="003722EE">
        <w:rPr>
          <w:bCs/>
        </w:rPr>
        <w:t xml:space="preserve">Профилактику бактериальных инфекций проводят реципиентам аллогенной трансплантации гемопоэтических стволовых клеток (ТГСК), не имеющим колонизации слизистых оболочек энтеробактериями с продукцией </w:t>
      </w:r>
      <w:r w:rsidRPr="003722EE">
        <w:rPr>
          <w:bCs/>
        </w:rPr>
        <w:sym w:font="Symbol" w:char="F062"/>
      </w:r>
      <w:r w:rsidRPr="003722EE">
        <w:rPr>
          <w:bCs/>
        </w:rPr>
        <w:t xml:space="preserve">-лактамаз расширенного спектра или карбапенемаз, фторхинолон-устойчивыми штаммами </w:t>
      </w:r>
      <w:r w:rsidRPr="003722EE">
        <w:rPr>
          <w:bCs/>
          <w:i/>
        </w:rPr>
        <w:t>Pseudomonas aeruginosa, Stenotrophomonas maltophilia, Acinetobacter baumannii</w:t>
      </w:r>
      <w:r w:rsidRPr="003722EE">
        <w:rPr>
          <w:bCs/>
        </w:rPr>
        <w:t xml:space="preserve"> и другими бактериями, устойчивыми к фторхинолонам. Перед назначением фторхинолона для профилактики необходимо исследовать мазок со слизистой прямой кишки, исследование повторяют каждые 7 дней. Профилактику отменяют при назначении системных антибиотиков по поводу лихорадки в период нейтропении. Для профилактики используют фторхинолоны - </w:t>
      </w:r>
      <w:r w:rsidRPr="003722EE">
        <w:t xml:space="preserve">ципрофлоксацин по </w:t>
      </w:r>
      <w:r w:rsidRPr="003722EE">
        <w:lastRenderedPageBreak/>
        <w:t xml:space="preserve">0,5 г внутрь 2 раза в сутки </w:t>
      </w:r>
      <w:r w:rsidRPr="003722EE">
        <w:rPr>
          <w:iCs/>
        </w:rPr>
        <w:t>или</w:t>
      </w:r>
      <w:r w:rsidRPr="003722EE">
        <w:rPr>
          <w:bCs/>
        </w:rPr>
        <w:t xml:space="preserve"> </w:t>
      </w:r>
      <w:r w:rsidRPr="003722EE">
        <w:t>левофлоксацин по 0,5 г внутрь 1 раз в сутки. Назначают фторхинолон перед ТГСК с 1-го дня кондиционирования, отменяют - при лейкоцитах более 1,0х10</w:t>
      </w:r>
      <w:r w:rsidRPr="003722EE">
        <w:rPr>
          <w:vertAlign w:val="superscript"/>
        </w:rPr>
        <w:t>9</w:t>
      </w:r>
      <w:r w:rsidRPr="003722EE">
        <w:t>/л или при назначении системных антибиотиков по поводу возникшей инфекции.</w:t>
      </w:r>
    </w:p>
    <w:p w:rsidR="00B43B37" w:rsidRDefault="00B43B37" w:rsidP="00B43B37">
      <w:pPr>
        <w:widowControl w:val="0"/>
        <w:autoSpaceDE w:val="0"/>
        <w:autoSpaceDN w:val="0"/>
        <w:adjustRightInd w:val="0"/>
        <w:ind w:right="49"/>
        <w:contextualSpacing/>
      </w:pPr>
      <w:r w:rsidRPr="003722EE">
        <w:t>Профилактика бактериальных инфекций у других категорий пациентов исключена по причине неэффективности из-за высокой частоты детекции полирезистентных бактерий. Так, профилактическое применение фторхинолонов приводит к достоверному увеличению частоты инфекций, вызванных полирезистентными штаммами, возрастает необходимость в назначении карбапенемов . Отсутствие в протоколе лечения острых лейкозов антимикробной профилактики означает только более жесткий клинический и бактериологический мониторинг состояния пациента и своевременное назначение противомикробных препаратов внутривенно в соответствии с проявлениями инфекции. Не назначают антибиотики с целью деколонизации полирезистентных бактерий со слизистой желудочно-кишечного тракта.</w:t>
      </w:r>
    </w:p>
    <w:p w:rsidR="00B43B37" w:rsidRPr="003722EE" w:rsidRDefault="00B43B37" w:rsidP="00B43B37">
      <w:pPr>
        <w:widowControl w:val="0"/>
        <w:autoSpaceDE w:val="0"/>
        <w:autoSpaceDN w:val="0"/>
        <w:adjustRightInd w:val="0"/>
        <w:ind w:right="49"/>
        <w:contextualSpacing/>
        <w:rPr>
          <w:bCs/>
        </w:rPr>
      </w:pPr>
    </w:p>
    <w:p w:rsidR="00B43B37" w:rsidRPr="00DD5F61" w:rsidRDefault="00B43B37" w:rsidP="00B43B37">
      <w:pPr>
        <w:widowControl w:val="0"/>
        <w:autoSpaceDE w:val="0"/>
        <w:autoSpaceDN w:val="0"/>
        <w:adjustRightInd w:val="0"/>
        <w:ind w:right="49"/>
        <w:rPr>
          <w:i/>
          <w:iCs/>
          <w:u w:val="single"/>
        </w:rPr>
      </w:pPr>
      <w:r w:rsidRPr="006F23E6">
        <w:rPr>
          <w:i/>
          <w:iCs/>
          <w:u w:val="single"/>
        </w:rPr>
        <w:t>Профилактика пневмоцистной пневмонии</w:t>
      </w:r>
      <w:r>
        <w:rPr>
          <w:i/>
          <w:iCs/>
          <w:u w:val="single"/>
        </w:rPr>
        <w:t xml:space="preserve"> </w:t>
      </w:r>
      <w:r>
        <w:rPr>
          <w:i/>
          <w:iCs/>
          <w:u w:val="single"/>
        </w:rPr>
        <w:fldChar w:fldCharType="begin" w:fldLock="1"/>
      </w:r>
      <w:r w:rsidR="003524A5">
        <w:rPr>
          <w:i/>
          <w:iCs/>
          <w:u w:val="single"/>
        </w:rPr>
        <w:instrText>ADDIN CSL_CITATION {"citationItems":[{"id":"ITEM-1","itemData":{"DOI":"10.1093/jac/dkw157","ISSN":"14602091","PMID":"27550992","abstract":"The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Chemotherapy","id":"ITEM-1","issue":"9","issued":{"date-parts":[["2016","9","1"]]},"page":"1-8","publisher":"Oxford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[71]","plainTextFormattedCitation":"[71]","previouslyFormattedCitation":"[71]"},"properties":{"noteIndex":0},"schema":"https://github.com/citation-style-language/schema/raw/master/csl-citation.json"}</w:instrText>
      </w:r>
      <w:r>
        <w:rPr>
          <w:i/>
          <w:iCs/>
          <w:u w:val="single"/>
        </w:rPr>
        <w:fldChar w:fldCharType="separate"/>
      </w:r>
      <w:r w:rsidR="005600FF" w:rsidRPr="005600FF">
        <w:rPr>
          <w:iCs/>
          <w:noProof/>
        </w:rPr>
        <w:t>[71]</w:t>
      </w:r>
      <w:r>
        <w:rPr>
          <w:i/>
          <w:iCs/>
          <w:u w:val="single"/>
        </w:rPr>
        <w:fldChar w:fldCharType="end"/>
      </w:r>
    </w:p>
    <w:p w:rsidR="00B43B37" w:rsidRPr="003722EE" w:rsidRDefault="00B43B37" w:rsidP="00B43B37">
      <w:pPr>
        <w:widowControl w:val="0"/>
        <w:autoSpaceDE w:val="0"/>
        <w:autoSpaceDN w:val="0"/>
        <w:adjustRightInd w:val="0"/>
        <w:snapToGrid w:val="0"/>
        <w:ind w:right="51" w:firstLine="708"/>
        <w:contextualSpacing/>
      </w:pPr>
      <w:r w:rsidRPr="003722EE">
        <w:t>Профилактика пневмоцистной пневмонии является обязательной для:</w:t>
      </w:r>
    </w:p>
    <w:p w:rsidR="00B43B37" w:rsidRPr="006F23E6" w:rsidRDefault="00B43B37" w:rsidP="004F39BB">
      <w:pPr>
        <w:pStyle w:val="afe"/>
        <w:widowControl w:val="0"/>
        <w:numPr>
          <w:ilvl w:val="0"/>
          <w:numId w:val="62"/>
        </w:numPr>
        <w:autoSpaceDE w:val="0"/>
        <w:autoSpaceDN w:val="0"/>
        <w:adjustRightInd w:val="0"/>
        <w:snapToGrid w:val="0"/>
        <w:ind w:right="51"/>
        <w:rPr>
          <w:szCs w:val="24"/>
        </w:rPr>
      </w:pPr>
      <w:r w:rsidRPr="006F23E6">
        <w:rPr>
          <w:szCs w:val="24"/>
        </w:rPr>
        <w:t>пациентов с острыми лимфобластными лейкозами (ОЛЛ);</w:t>
      </w:r>
    </w:p>
    <w:p w:rsidR="00B43B37" w:rsidRPr="006F23E6" w:rsidRDefault="00B43B37" w:rsidP="004F39BB">
      <w:pPr>
        <w:pStyle w:val="afe"/>
        <w:widowControl w:val="0"/>
        <w:numPr>
          <w:ilvl w:val="0"/>
          <w:numId w:val="62"/>
        </w:numPr>
        <w:autoSpaceDE w:val="0"/>
        <w:autoSpaceDN w:val="0"/>
        <w:adjustRightInd w:val="0"/>
        <w:ind w:right="49"/>
        <w:rPr>
          <w:szCs w:val="24"/>
        </w:rPr>
      </w:pPr>
      <w:r w:rsidRPr="006F23E6">
        <w:rPr>
          <w:szCs w:val="24"/>
        </w:rPr>
        <w:t>реципиентов аллогенной ТГСК;</w:t>
      </w:r>
    </w:p>
    <w:p w:rsidR="00B43B37" w:rsidRPr="006F23E6" w:rsidRDefault="00B43B37" w:rsidP="004F39BB">
      <w:pPr>
        <w:pStyle w:val="afe"/>
        <w:widowControl w:val="0"/>
        <w:numPr>
          <w:ilvl w:val="0"/>
          <w:numId w:val="62"/>
        </w:numPr>
        <w:autoSpaceDE w:val="0"/>
        <w:autoSpaceDN w:val="0"/>
        <w:adjustRightInd w:val="0"/>
        <w:ind w:right="49"/>
        <w:rPr>
          <w:szCs w:val="24"/>
        </w:rPr>
      </w:pPr>
      <w:r w:rsidRPr="006F23E6">
        <w:rPr>
          <w:szCs w:val="24"/>
        </w:rPr>
        <w:t>при терапиии алемтузумабом;</w:t>
      </w:r>
    </w:p>
    <w:p w:rsidR="00B43B37" w:rsidRPr="006F23E6" w:rsidRDefault="00B43B37" w:rsidP="004F39BB">
      <w:pPr>
        <w:pStyle w:val="afe"/>
        <w:widowControl w:val="0"/>
        <w:numPr>
          <w:ilvl w:val="0"/>
          <w:numId w:val="62"/>
        </w:numPr>
        <w:autoSpaceDE w:val="0"/>
        <w:autoSpaceDN w:val="0"/>
        <w:adjustRightInd w:val="0"/>
        <w:ind w:right="49"/>
        <w:rPr>
          <w:szCs w:val="24"/>
        </w:rPr>
      </w:pPr>
      <w:r w:rsidRPr="006F23E6">
        <w:rPr>
          <w:szCs w:val="24"/>
        </w:rPr>
        <w:t>при использовании программ с включением флударабина, циклофосфамида, ритуксимаба;</w:t>
      </w:r>
    </w:p>
    <w:p w:rsidR="00B43B37" w:rsidRPr="006F23E6" w:rsidRDefault="00B43B37" w:rsidP="004F39BB">
      <w:pPr>
        <w:pStyle w:val="afe"/>
        <w:widowControl w:val="0"/>
        <w:numPr>
          <w:ilvl w:val="0"/>
          <w:numId w:val="62"/>
        </w:numPr>
        <w:autoSpaceDE w:val="0"/>
        <w:autoSpaceDN w:val="0"/>
        <w:adjustRightInd w:val="0"/>
        <w:ind w:right="51"/>
        <w:rPr>
          <w:szCs w:val="24"/>
        </w:rPr>
      </w:pPr>
      <w:r w:rsidRPr="006F23E6">
        <w:rPr>
          <w:szCs w:val="24"/>
        </w:rPr>
        <w:t>при лечении глюкокортикостероидными препаратами.</w:t>
      </w:r>
    </w:p>
    <w:p w:rsidR="00B43B37" w:rsidRPr="003722EE" w:rsidRDefault="00B43B37" w:rsidP="00B43B37">
      <w:pPr>
        <w:widowControl w:val="0"/>
        <w:autoSpaceDE w:val="0"/>
        <w:autoSpaceDN w:val="0"/>
        <w:adjustRightInd w:val="0"/>
        <w:ind w:right="51" w:firstLine="708"/>
        <w:contextualSpacing/>
      </w:pPr>
      <w:r w:rsidRPr="003722EE">
        <w:t>Препарат для профилактики назначают больным ОЛЛ с 14-го дня полихимиотерапии (ПХТ) и проводят весь период лечения, включая этап поддерживания; реципиентам аллогенных ТГСК – от дня  констатации приживления костного мозга в течение 6 мес и более, включая весь период в период иммуносупрессивной терапии до повышения уровня CD4+ более 200 кл/мм</w:t>
      </w:r>
      <w:r w:rsidRPr="003722EE">
        <w:rPr>
          <w:vertAlign w:val="superscript"/>
        </w:rPr>
        <w:t>3</w:t>
      </w:r>
      <w:r w:rsidRPr="003722EE">
        <w:t xml:space="preserve">. Длительность профилактики при использовании препаратов алемтузумаб, флударабин, циклофосфамид, ритуксимаб, глюкокортикостероидов составляет от 6 мес и более. </w:t>
      </w:r>
    </w:p>
    <w:p w:rsidR="00B43B37" w:rsidRPr="003722EE" w:rsidRDefault="00B43B37" w:rsidP="00B43B37">
      <w:pPr>
        <w:widowControl w:val="0"/>
        <w:autoSpaceDE w:val="0"/>
        <w:autoSpaceDN w:val="0"/>
        <w:adjustRightInd w:val="0"/>
        <w:ind w:right="51" w:firstLine="708"/>
        <w:contextualSpacing/>
      </w:pPr>
      <w:r w:rsidRPr="003722EE">
        <w:t xml:space="preserve">Профилактика пневмоцистной пневмонии также рекомендована: </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 xml:space="preserve">пациентам с лимфопролиферативными заболеваниями при лечении курсами ПХТ, включающими глюкокортикостероидные препараты (в том числе, </w:t>
      </w:r>
      <w:r w:rsidRPr="006F23E6">
        <w:rPr>
          <w:szCs w:val="24"/>
        </w:rPr>
        <w:t>R</w:t>
      </w:r>
      <w:r w:rsidRPr="003722EE">
        <w:rPr>
          <w:szCs w:val="24"/>
        </w:rPr>
        <w:t>-</w:t>
      </w:r>
      <w:r w:rsidRPr="006F23E6">
        <w:rPr>
          <w:szCs w:val="24"/>
        </w:rPr>
        <w:t>CHOP</w:t>
      </w:r>
      <w:r w:rsidRPr="003722EE">
        <w:rPr>
          <w:szCs w:val="24"/>
        </w:rPr>
        <w:t xml:space="preserve"> или </w:t>
      </w:r>
      <w:r w:rsidRPr="006F23E6">
        <w:rPr>
          <w:szCs w:val="24"/>
        </w:rPr>
        <w:t>BEACOPP</w:t>
      </w:r>
      <w:r w:rsidRPr="003722EE">
        <w:rPr>
          <w:szCs w:val="24"/>
        </w:rPr>
        <w:t>-14, ВЕАСОРР</w:t>
      </w:r>
      <w:r w:rsidRPr="006F23E6">
        <w:rPr>
          <w:szCs w:val="24"/>
        </w:rPr>
        <w:t>esc</w:t>
      </w:r>
      <w:r w:rsidRPr="003722EE">
        <w:rPr>
          <w:szCs w:val="24"/>
        </w:rPr>
        <w:t xml:space="preserve"> и др.);</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при лечении лимфопролиферативных заболеваний нуклеозидными препаратами (флударабин, кладрибин);</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lastRenderedPageBreak/>
        <w:t xml:space="preserve"> при применении имуунодепрессантов (например, микофенолат мофетил);</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при проведении лучевой терапии опухоли центральной нервной системы (ЦНС), или метастазах в ЦНС, с использованием высоких доз кортикостероидов.</w:t>
      </w:r>
    </w:p>
    <w:p w:rsidR="00B43B37" w:rsidRPr="003722EE" w:rsidRDefault="00B43B37" w:rsidP="00B43B37">
      <w:pPr>
        <w:widowControl w:val="0"/>
        <w:autoSpaceDE w:val="0"/>
        <w:autoSpaceDN w:val="0"/>
        <w:adjustRightInd w:val="0"/>
        <w:ind w:right="49" w:firstLine="708"/>
        <w:contextualSpacing/>
        <w:rPr>
          <w:i/>
          <w:iCs/>
        </w:rPr>
      </w:pPr>
      <w:r w:rsidRPr="003722EE">
        <w:t>Препаратом выбора для профилактики пневмоцистной пневмонии является триметоприм/сульфаметоксазол, назначают по 480 мг ежедневно, альтернативный - пентамидин, применение в дозе 300 мг в виде аэрозоля через респираторный ингалятор или внутривенно каждые 3-4 недели.</w:t>
      </w:r>
    </w:p>
    <w:p w:rsidR="00B43B37" w:rsidRPr="003722EE" w:rsidRDefault="00B43B37" w:rsidP="00B43B37">
      <w:pPr>
        <w:widowControl w:val="0"/>
        <w:autoSpaceDE w:val="0"/>
        <w:autoSpaceDN w:val="0"/>
        <w:adjustRightInd w:val="0"/>
        <w:ind w:right="49" w:firstLine="708"/>
        <w:contextualSpacing/>
      </w:pPr>
      <w:r w:rsidRPr="003722EE">
        <w:t xml:space="preserve">Использование триметоприма/сульфаметоксазола ежедневно одновременно предупреждает инфекции, вызываемые </w:t>
      </w:r>
      <w:r w:rsidRPr="003722EE">
        <w:rPr>
          <w:i/>
          <w:iCs/>
        </w:rPr>
        <w:t>Toxoplasma gondii, Listeria monocytogenes, Nocardia asteroides.</w:t>
      </w:r>
    </w:p>
    <w:p w:rsidR="00B43B37" w:rsidRPr="003722EE" w:rsidRDefault="00B43B37" w:rsidP="00B43B37">
      <w:pPr>
        <w:widowControl w:val="0"/>
        <w:autoSpaceDE w:val="0"/>
        <w:autoSpaceDN w:val="0"/>
        <w:adjustRightInd w:val="0"/>
        <w:ind w:right="49" w:firstLine="708"/>
        <w:contextualSpacing/>
      </w:pPr>
      <w:r w:rsidRPr="003722EE">
        <w:t xml:space="preserve">Пациенты, инфицированные </w:t>
      </w:r>
      <w:r w:rsidRPr="003722EE">
        <w:rPr>
          <w:i/>
          <w:iCs/>
        </w:rPr>
        <w:t>Pneumocystis jirovecii,</w:t>
      </w:r>
      <w:r w:rsidRPr="003722EE">
        <w:t xml:space="preserve"> не должны находиться в одной палате с другими иммунокомпрометированными пациентами.</w:t>
      </w:r>
    </w:p>
    <w:p w:rsidR="00B43B37" w:rsidRDefault="00B43B37" w:rsidP="00B43B37">
      <w:pPr>
        <w:widowControl w:val="0"/>
        <w:autoSpaceDE w:val="0"/>
        <w:autoSpaceDN w:val="0"/>
        <w:adjustRightInd w:val="0"/>
        <w:ind w:right="49"/>
        <w:rPr>
          <w:i/>
          <w:iCs/>
          <w:u w:val="single"/>
        </w:rPr>
      </w:pPr>
    </w:p>
    <w:p w:rsidR="00B43B37" w:rsidRPr="001A25D9" w:rsidRDefault="00B43B37" w:rsidP="00B43B37">
      <w:pPr>
        <w:widowControl w:val="0"/>
        <w:autoSpaceDE w:val="0"/>
        <w:autoSpaceDN w:val="0"/>
        <w:adjustRightInd w:val="0"/>
        <w:ind w:right="49"/>
        <w:rPr>
          <w:i/>
          <w:iCs/>
          <w:u w:val="single"/>
        </w:rPr>
      </w:pPr>
      <w:r w:rsidRPr="00643B16">
        <w:rPr>
          <w:i/>
          <w:iCs/>
          <w:u w:val="single"/>
        </w:rPr>
        <w:t>Профилактика инфекций, вызванных грибами</w:t>
      </w:r>
      <w:r>
        <w:rPr>
          <w:i/>
          <w:iCs/>
          <w:u w:val="single"/>
        </w:rPr>
        <w:t xml:space="preserve"> </w:t>
      </w:r>
      <w:r>
        <w:rPr>
          <w:i/>
          <w:iCs/>
          <w:u w:val="single"/>
        </w:rPr>
        <w:fldChar w:fldCharType="begin" w:fldLock="1"/>
      </w:r>
      <w:r w:rsidR="003524A5">
        <w:rPr>
          <w:i/>
          <w:iCs/>
          <w:u w:val="single"/>
        </w:rPr>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[58]","plainTextFormattedCitation":"[58]","previouslyFormattedCitation":"[58]"},"properties":{"noteIndex":0},"schema":"https://github.com/citation-style-language/schema/raw/master/csl-citation.json"}</w:instrText>
      </w:r>
      <w:r>
        <w:rPr>
          <w:i/>
          <w:iCs/>
          <w:u w:val="single"/>
        </w:rPr>
        <w:fldChar w:fldCharType="separate"/>
      </w:r>
      <w:r w:rsidR="005600FF" w:rsidRPr="005600FF">
        <w:rPr>
          <w:iCs/>
          <w:noProof/>
        </w:rPr>
        <w:t>[58]</w:t>
      </w:r>
      <w:r>
        <w:rPr>
          <w:i/>
          <w:iCs/>
          <w:u w:val="single"/>
        </w:rPr>
        <w:fldChar w:fldCharType="end"/>
      </w:r>
    </w:p>
    <w:p w:rsidR="00B43B37" w:rsidRPr="003722EE" w:rsidRDefault="00B43B37" w:rsidP="00B43B37">
      <w:pPr>
        <w:widowControl w:val="0"/>
        <w:autoSpaceDE w:val="0"/>
        <w:autoSpaceDN w:val="0"/>
        <w:adjustRightInd w:val="0"/>
        <w:ind w:right="49"/>
        <w:contextualSpacing/>
      </w:pPr>
      <w:r w:rsidRPr="003722EE">
        <w:t xml:space="preserve">Цель профилактического применения противогрибковых препаратов — предупреждение развития инвазивных микозов в группах высокого риска их возникновения. </w:t>
      </w:r>
    </w:p>
    <w:p w:rsidR="00B43B37" w:rsidRPr="003722EE" w:rsidRDefault="00B43B37" w:rsidP="00B43B37">
      <w:pPr>
        <w:widowControl w:val="0"/>
        <w:autoSpaceDE w:val="0"/>
        <w:autoSpaceDN w:val="0"/>
        <w:adjustRightInd w:val="0"/>
        <w:ind w:right="49"/>
        <w:contextualSpacing/>
      </w:pPr>
      <w:r w:rsidRPr="003722EE">
        <w:t xml:space="preserve">Различают первичную и вторичную </w:t>
      </w:r>
      <w:r w:rsidRPr="003722EE">
        <w:rPr>
          <w:bCs/>
        </w:rPr>
        <w:t xml:space="preserve">противогрибковую </w:t>
      </w:r>
      <w:r w:rsidRPr="003722EE">
        <w:t>профилактику.</w:t>
      </w:r>
    </w:p>
    <w:p w:rsidR="00B43B37" w:rsidRDefault="00B43B37" w:rsidP="00B43B37">
      <w:pPr>
        <w:widowControl w:val="0"/>
        <w:autoSpaceDE w:val="0"/>
        <w:autoSpaceDN w:val="0"/>
        <w:adjustRightInd w:val="0"/>
        <w:ind w:right="51" w:firstLine="708"/>
        <w:contextualSpacing/>
        <w:rPr>
          <w:b/>
          <w:bCs/>
          <w:u w:val="single"/>
        </w:rPr>
      </w:pPr>
    </w:p>
    <w:p w:rsidR="00B43B37" w:rsidRPr="00643B16" w:rsidRDefault="00B43B37" w:rsidP="00B43B37">
      <w:pPr>
        <w:widowControl w:val="0"/>
        <w:autoSpaceDE w:val="0"/>
        <w:autoSpaceDN w:val="0"/>
        <w:adjustRightInd w:val="0"/>
        <w:ind w:right="51" w:firstLine="708"/>
        <w:contextualSpacing/>
        <w:rPr>
          <w:b/>
          <w:bCs/>
        </w:rPr>
      </w:pPr>
      <w:r w:rsidRPr="00643B16">
        <w:rPr>
          <w:b/>
          <w:bCs/>
        </w:rPr>
        <w:t xml:space="preserve">Первичная противогрибковая профилактика </w:t>
      </w:r>
    </w:p>
    <w:p w:rsidR="00B43B37" w:rsidRPr="003722EE" w:rsidRDefault="00B43B37" w:rsidP="00B43B37">
      <w:pPr>
        <w:widowControl w:val="0"/>
        <w:autoSpaceDE w:val="0"/>
        <w:autoSpaceDN w:val="0"/>
        <w:adjustRightInd w:val="0"/>
        <w:ind w:right="51"/>
        <w:contextualSpacing/>
        <w:rPr>
          <w:bCs/>
        </w:rPr>
      </w:pPr>
      <w:r w:rsidRPr="003722EE">
        <w:rPr>
          <w:bCs/>
        </w:rPr>
        <w:t>Первичная противогрибковая профилактика показана:</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реципиентам аллогенной ТГСК;</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пациентам острым миелобластным лейкозом на этапах индукции и консолидации проводят при ожидаемой длительной нейтропении;</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пациентам с апластической анемией (во время введения антитимоцитарного глобулина (</w:t>
      </w:r>
      <w:r w:rsidRPr="00643B16">
        <w:rPr>
          <w:szCs w:val="24"/>
        </w:rPr>
        <w:t>A</w:t>
      </w:r>
      <w:r w:rsidRPr="003722EE">
        <w:rPr>
          <w:szCs w:val="24"/>
        </w:rPr>
        <w:t>ТГ).</w:t>
      </w:r>
    </w:p>
    <w:p w:rsidR="00B43B37" w:rsidRPr="003722EE" w:rsidRDefault="00B43B37" w:rsidP="00B43B37">
      <w:pPr>
        <w:widowControl w:val="0"/>
        <w:autoSpaceDE w:val="0"/>
        <w:autoSpaceDN w:val="0"/>
        <w:adjustRightInd w:val="0"/>
        <w:ind w:right="51"/>
        <w:contextualSpacing/>
        <w:rPr>
          <w:b/>
          <w:bCs/>
          <w:i/>
          <w:iCs/>
        </w:rPr>
      </w:pPr>
      <w:r w:rsidRPr="003722EE">
        <w:rPr>
          <w:bCs/>
          <w:iCs/>
        </w:rPr>
        <w:t xml:space="preserve">Реципиентам аллогенной ТГСК в период гранулоцитопении и пребывания в палате с фильтрами высокой степени очистки воздуха препаратом выбора для профилактики является </w:t>
      </w:r>
      <w:r w:rsidRPr="003722EE">
        <w:t>флуконазол, (400 мг в сутки, внутривенно или внутрь), альтернативные препараты - микафунгин 50</w:t>
      </w:r>
      <w:r>
        <w:t xml:space="preserve"> </w:t>
      </w:r>
      <w:r w:rsidRPr="003722EE">
        <w:t>мг внутривенно</w:t>
      </w:r>
      <w:r w:rsidRPr="003722EE">
        <w:rPr>
          <w:b/>
          <w:bCs/>
          <w:i/>
          <w:iCs/>
        </w:rPr>
        <w:t>,</w:t>
      </w:r>
      <w:r w:rsidRPr="003722EE">
        <w:rPr>
          <w:bCs/>
          <w:iCs/>
        </w:rPr>
        <w:t xml:space="preserve"> в</w:t>
      </w:r>
      <w:r w:rsidRPr="003722EE">
        <w:t>ориконазол (по 200</w:t>
      </w:r>
      <w:r>
        <w:t xml:space="preserve"> </w:t>
      </w:r>
      <w:r w:rsidRPr="003722EE">
        <w:t>мг 2 раза в сутки внутрь или внутривенно).</w:t>
      </w:r>
    </w:p>
    <w:p w:rsidR="00B43B37" w:rsidRPr="003722EE" w:rsidRDefault="00B43B37" w:rsidP="00B43B37">
      <w:pPr>
        <w:widowControl w:val="0"/>
        <w:autoSpaceDE w:val="0"/>
        <w:autoSpaceDN w:val="0"/>
        <w:adjustRightInd w:val="0"/>
        <w:ind w:right="51"/>
        <w:contextualSpacing/>
        <w:rPr>
          <w:bCs/>
          <w:iCs/>
        </w:rPr>
      </w:pPr>
      <w:r w:rsidRPr="003722EE">
        <w:rPr>
          <w:bCs/>
          <w:iCs/>
        </w:rPr>
        <w:t xml:space="preserve">Реципиентам аллогенной ТГСК в период гранулоцитопении, если они пребывают в палате без фильтров высокой степени очистки воздуха, </w:t>
      </w:r>
      <w:r w:rsidRPr="003722EE">
        <w:t xml:space="preserve">при проведении 2й и последующих трансплантаций </w:t>
      </w:r>
      <w:r w:rsidRPr="003722EE">
        <w:rPr>
          <w:bCs/>
          <w:iCs/>
        </w:rPr>
        <w:t>назначают антимикотики, активные против плесневых грибов:</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микафунгин (по 50</w:t>
      </w:r>
      <w:r>
        <w:rPr>
          <w:szCs w:val="24"/>
        </w:rPr>
        <w:t xml:space="preserve"> </w:t>
      </w:r>
      <w:r w:rsidRPr="00643B16">
        <w:rPr>
          <w:szCs w:val="24"/>
        </w:rPr>
        <w:t>мг внутривенно)</w:t>
      </w:r>
      <w:r w:rsidRPr="003722EE">
        <w:rPr>
          <w:szCs w:val="24"/>
        </w:rPr>
        <w:t>;</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lastRenderedPageBreak/>
        <w:t>вориконазол (по 200</w:t>
      </w:r>
      <w:r w:rsidRPr="00643B16">
        <w:rPr>
          <w:szCs w:val="24"/>
        </w:rPr>
        <w:t> </w:t>
      </w:r>
      <w:r w:rsidRPr="003722EE">
        <w:rPr>
          <w:szCs w:val="24"/>
        </w:rPr>
        <w:t>мг 2</w:t>
      </w:r>
      <w:r w:rsidRPr="00643B16">
        <w:rPr>
          <w:szCs w:val="24"/>
        </w:rPr>
        <w:t> </w:t>
      </w:r>
      <w:r w:rsidRPr="003722EE">
        <w:rPr>
          <w:szCs w:val="24"/>
        </w:rPr>
        <w:t>раза в сутки внутрь или внутривенно);</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позаконазол  в суспензии;</w:t>
      </w:r>
      <w:r>
        <w:rPr>
          <w:szCs w:val="24"/>
        </w:rPr>
        <w:t xml:space="preserve"> </w:t>
      </w:r>
      <w:r w:rsidRPr="003722EE">
        <w:rPr>
          <w:szCs w:val="24"/>
        </w:rPr>
        <w:t>по 200</w:t>
      </w:r>
      <w:r w:rsidRPr="00643B16">
        <w:rPr>
          <w:szCs w:val="24"/>
        </w:rPr>
        <w:t> </w:t>
      </w:r>
      <w:r w:rsidRPr="003722EE">
        <w:rPr>
          <w:szCs w:val="24"/>
        </w:rPr>
        <w:t>мг 3</w:t>
      </w:r>
      <w:r w:rsidRPr="00643B16">
        <w:rPr>
          <w:szCs w:val="24"/>
        </w:rPr>
        <w:t> </w:t>
      </w:r>
      <w:r w:rsidRPr="003722EE">
        <w:rPr>
          <w:szCs w:val="24"/>
        </w:rPr>
        <w:t>раза в сутки внутрь);</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позаконазол в таблетках (в 1 день по 300 мг 2 раза, далее по 300 мг 1 раз в сутки).</w:t>
      </w:r>
    </w:p>
    <w:p w:rsidR="00B43B37" w:rsidRPr="003722EE" w:rsidRDefault="00B43B37" w:rsidP="00B43B37">
      <w:pPr>
        <w:pStyle w:val="afe"/>
        <w:widowControl w:val="0"/>
        <w:autoSpaceDE w:val="0"/>
        <w:autoSpaceDN w:val="0"/>
        <w:adjustRightInd w:val="0"/>
        <w:ind w:right="49"/>
        <w:rPr>
          <w:szCs w:val="24"/>
        </w:rPr>
      </w:pPr>
    </w:p>
    <w:p w:rsidR="00B43B37" w:rsidRPr="003722EE" w:rsidRDefault="00B43B37" w:rsidP="00B43B37">
      <w:pPr>
        <w:pStyle w:val="afe"/>
        <w:widowControl w:val="0"/>
        <w:autoSpaceDE w:val="0"/>
        <w:autoSpaceDN w:val="0"/>
        <w:adjustRightInd w:val="0"/>
        <w:ind w:right="49"/>
        <w:rPr>
          <w:szCs w:val="24"/>
        </w:rPr>
      </w:pPr>
      <w:r w:rsidRPr="003722EE">
        <w:rPr>
          <w:szCs w:val="24"/>
        </w:rPr>
        <w:t>Реципиентам, имевшим в анамнезе инвазивный аспергиллез назначают:</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вориконазол (по 200</w:t>
      </w:r>
      <w:r w:rsidRPr="00643B16">
        <w:rPr>
          <w:szCs w:val="24"/>
        </w:rPr>
        <w:t> </w:t>
      </w:r>
      <w:r w:rsidRPr="003722EE">
        <w:rPr>
          <w:szCs w:val="24"/>
        </w:rPr>
        <w:t>мг 2</w:t>
      </w:r>
      <w:r w:rsidRPr="00643B16">
        <w:rPr>
          <w:szCs w:val="24"/>
        </w:rPr>
        <w:t> </w:t>
      </w:r>
      <w:r w:rsidRPr="003722EE">
        <w:rPr>
          <w:szCs w:val="24"/>
        </w:rPr>
        <w:t>раза в сутки внутрь или внутривенно);</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позаконазол (в суспензии по 200</w:t>
      </w:r>
      <w:r w:rsidRPr="00643B16">
        <w:rPr>
          <w:szCs w:val="24"/>
        </w:rPr>
        <w:t> </w:t>
      </w:r>
      <w:r w:rsidRPr="003722EE">
        <w:rPr>
          <w:szCs w:val="24"/>
        </w:rPr>
        <w:t>мг 3</w:t>
      </w:r>
      <w:r w:rsidRPr="00643B16">
        <w:rPr>
          <w:szCs w:val="24"/>
        </w:rPr>
        <w:t> </w:t>
      </w:r>
      <w:r w:rsidRPr="003722EE">
        <w:rPr>
          <w:szCs w:val="24"/>
        </w:rPr>
        <w:t>раза в сутки внутрь);</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 xml:space="preserve">позаконазол в таблетках (в 1 день по 300 мг 2 раза, далее по 300 мг 1 раз в сутки); </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изавуконазол в таблетках или внутривенно (в 1-2 дни по 200 мг 3 раза, затем по 200 мг 1 раз).</w:t>
      </w:r>
    </w:p>
    <w:p w:rsidR="00B43B37" w:rsidRPr="003722EE" w:rsidRDefault="00B43B37" w:rsidP="00B43B37">
      <w:pPr>
        <w:widowControl w:val="0"/>
        <w:autoSpaceDE w:val="0"/>
        <w:autoSpaceDN w:val="0"/>
        <w:adjustRightInd w:val="0"/>
        <w:ind w:right="51"/>
        <w:contextualSpacing/>
      </w:pPr>
    </w:p>
    <w:p w:rsidR="00B43B37" w:rsidRPr="003722EE" w:rsidRDefault="00B43B37" w:rsidP="00B43B37">
      <w:pPr>
        <w:widowControl w:val="0"/>
        <w:autoSpaceDE w:val="0"/>
        <w:autoSpaceDN w:val="0"/>
        <w:adjustRightInd w:val="0"/>
        <w:ind w:right="51"/>
        <w:contextualSpacing/>
      </w:pPr>
      <w:r w:rsidRPr="003722EE">
        <w:t>При реакции «трансплантат против хозяина» (РТПХ) и печеночной недостаточности препаратом выбора для профилактики является анидулафунгин (в 1й день 200 мг, далее 100 мг).</w:t>
      </w:r>
    </w:p>
    <w:p w:rsidR="00B43B37" w:rsidRPr="003722EE" w:rsidRDefault="00B43B37" w:rsidP="00B43B37">
      <w:pPr>
        <w:widowControl w:val="0"/>
        <w:autoSpaceDE w:val="0"/>
        <w:autoSpaceDN w:val="0"/>
        <w:adjustRightInd w:val="0"/>
        <w:ind w:right="49"/>
        <w:contextualSpacing/>
        <w:rPr>
          <w:bCs/>
          <w:iCs/>
        </w:rPr>
      </w:pPr>
      <w:r w:rsidRPr="003722EE">
        <w:rPr>
          <w:bCs/>
          <w:iCs/>
        </w:rPr>
        <w:t xml:space="preserve">Реципиентам аутологичной ТГСК в период гранулоцитопении противогрибковую профилактику не проводят. </w:t>
      </w:r>
    </w:p>
    <w:p w:rsidR="00B43B37" w:rsidRPr="003722EE" w:rsidRDefault="00B43B37" w:rsidP="00B43B37">
      <w:pPr>
        <w:widowControl w:val="0"/>
        <w:autoSpaceDE w:val="0"/>
        <w:autoSpaceDN w:val="0"/>
        <w:adjustRightInd w:val="0"/>
        <w:ind w:right="49"/>
        <w:contextualSpacing/>
      </w:pPr>
      <w:r w:rsidRPr="003722EE">
        <w:rPr>
          <w:bCs/>
          <w:iCs/>
        </w:rPr>
        <w:t>Больным острым миелоидным лейкозом противогрибковые препараты для профилактики назначают в индукции. Профилактика на этапе консолидации ПХТ также может быть проведена при курсах ПХТ, приводящих к длительной нейтропении. П</w:t>
      </w:r>
      <w:r w:rsidRPr="003722EE">
        <w:rPr>
          <w:bCs/>
        </w:rPr>
        <w:t xml:space="preserve">репаратом выбора для профилактики является </w:t>
      </w:r>
      <w:r w:rsidRPr="003722EE">
        <w:t>позаконазол в суспензии (по 200 мг 3 раза после еды) или в таблетках (в 1 день по 300 мг х 2 раза, затем по 300 мг 1 раз, прием препарата не зависит от приема пищи).</w:t>
      </w:r>
    </w:p>
    <w:p w:rsidR="00B43B37" w:rsidRPr="003722EE" w:rsidRDefault="00B43B37" w:rsidP="00B43B37">
      <w:pPr>
        <w:widowControl w:val="0"/>
        <w:autoSpaceDE w:val="0"/>
        <w:autoSpaceDN w:val="0"/>
        <w:adjustRightInd w:val="0"/>
        <w:ind w:right="49"/>
        <w:contextualSpacing/>
        <w:rPr>
          <w:bCs/>
          <w:iCs/>
        </w:rPr>
      </w:pPr>
      <w:r w:rsidRPr="003722EE">
        <w:rPr>
          <w:bCs/>
          <w:iCs/>
        </w:rPr>
        <w:t xml:space="preserve">Больным апластической анемией во время введения AТГ назначают для профилактики </w:t>
      </w:r>
      <w:r w:rsidRPr="003722EE">
        <w:t>флуконазол (400 мг в сутки, внутривенно или внутрь).</w:t>
      </w:r>
    </w:p>
    <w:p w:rsidR="00B43B37" w:rsidRDefault="00B43B37" w:rsidP="00B43B37">
      <w:pPr>
        <w:widowControl w:val="0"/>
        <w:tabs>
          <w:tab w:val="left" w:pos="0"/>
        </w:tabs>
        <w:autoSpaceDE w:val="0"/>
        <w:autoSpaceDN w:val="0"/>
        <w:adjustRightInd w:val="0"/>
        <w:ind w:right="49"/>
        <w:contextualSpacing/>
      </w:pPr>
      <w:r w:rsidRPr="003722EE">
        <w:t>Антимикотики для профилактики назначают</w:t>
      </w:r>
      <w:r w:rsidRPr="003722EE">
        <w:rPr>
          <w:bCs/>
          <w:iCs/>
        </w:rPr>
        <w:t xml:space="preserve"> р</w:t>
      </w:r>
      <w:r w:rsidRPr="003722EE">
        <w:t>еципиентам аллогенной ТГСК  с 1-го дня предтрансплантационного кондиционирования</w:t>
      </w:r>
      <w:r w:rsidRPr="003722EE">
        <w:rPr>
          <w:b/>
          <w:bCs/>
          <w:i/>
          <w:iCs/>
        </w:rPr>
        <w:t xml:space="preserve">, </w:t>
      </w:r>
      <w:r w:rsidRPr="003722EE">
        <w:t xml:space="preserve">реципиентам с РТПХ и терапией преднизолона ≥ 1 мг/кг </w:t>
      </w:r>
      <w:r>
        <w:t>–</w:t>
      </w:r>
      <w:r w:rsidRPr="003722EE">
        <w:t xml:space="preserve"> с 1-го дня применения глюкокортикоидов, </w:t>
      </w:r>
      <w:r w:rsidRPr="003722EE">
        <w:rPr>
          <w:bCs/>
          <w:iCs/>
        </w:rPr>
        <w:t>пациента</w:t>
      </w:r>
      <w:r w:rsidRPr="003722EE">
        <w:t xml:space="preserve">м острым миелобластным лейкозом – с 1-го дня послекурсового периода, </w:t>
      </w:r>
      <w:r w:rsidRPr="003722EE">
        <w:rPr>
          <w:bCs/>
          <w:iCs/>
        </w:rPr>
        <w:t>пациента</w:t>
      </w:r>
      <w:r w:rsidRPr="003722EE">
        <w:t>м апластической анемией – за 2 дня до введения АТГ (в день назначения преднизолона).</w:t>
      </w:r>
    </w:p>
    <w:p w:rsidR="00B43B37" w:rsidRPr="00B77DCF" w:rsidRDefault="00B43B37" w:rsidP="00B43B37">
      <w:pPr>
        <w:widowControl w:val="0"/>
        <w:tabs>
          <w:tab w:val="left" w:pos="0"/>
        </w:tabs>
        <w:autoSpaceDE w:val="0"/>
        <w:autoSpaceDN w:val="0"/>
        <w:adjustRightInd w:val="0"/>
        <w:ind w:right="49"/>
        <w:contextualSpacing/>
        <w:rPr>
          <w:u w:val="single"/>
        </w:rPr>
      </w:pPr>
      <w:r w:rsidRPr="00B77DCF">
        <w:rPr>
          <w:iCs/>
          <w:u w:val="single"/>
        </w:rPr>
        <w:t xml:space="preserve">Критерии отмены профилактики противогрибковыми препаратами: </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у реципиентов аллогенных ТГСК без РТПХ – восстановление гранулоцитов (&gt;0,5 х 10</w:t>
      </w:r>
      <w:r w:rsidRPr="00015917">
        <w:rPr>
          <w:szCs w:val="24"/>
          <w:vertAlign w:val="superscript"/>
        </w:rPr>
        <w:t>9</w:t>
      </w:r>
      <w:r w:rsidRPr="00643B16">
        <w:rPr>
          <w:szCs w:val="24"/>
        </w:rPr>
        <w:t xml:space="preserve">/л); </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 xml:space="preserve"> </w:t>
      </w:r>
      <w:r w:rsidRPr="00643B16">
        <w:rPr>
          <w:szCs w:val="24"/>
        </w:rPr>
        <w:t>у пациентов с РТПХ</w:t>
      </w:r>
      <w:r w:rsidRPr="003722EE">
        <w:rPr>
          <w:szCs w:val="24"/>
        </w:rPr>
        <w:t xml:space="preserve"> – “контроль” над РТПХ, снижение дозы преднизолона до 0,15-0,3 мг/кг/сут, количество гранулоцитов &gt;0,5х10</w:t>
      </w:r>
      <w:r w:rsidRPr="00015917">
        <w:rPr>
          <w:szCs w:val="24"/>
          <w:vertAlign w:val="superscript"/>
        </w:rPr>
        <w:t>9</w:t>
      </w:r>
      <w:r w:rsidRPr="003722EE">
        <w:rPr>
          <w:szCs w:val="24"/>
        </w:rPr>
        <w:t xml:space="preserve">/л, отсутствие лимфопении и цитомегаловирусной инфекции. </w:t>
      </w:r>
      <w:r w:rsidRPr="003722EE">
        <w:rPr>
          <w:szCs w:val="24"/>
        </w:rPr>
        <w:tab/>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lastRenderedPageBreak/>
        <w:t xml:space="preserve">Особое внимание при отмене профилактического приема противогрибковых препаратов, активных в отношении плесневых грибов, следует уделять пациентам с доказанной или предполагаемой РТПХ легких. При наличии мокроты у пациентов с РТПХ легких необходимо во всех случаях проводить микологическое исследование на плесневые грибы. При обнаружении плесневых грибов в мокроте, даже при минимальных изменениях в легких, следует назначать позаконазол (суспензия, по 400 мг х 2 раза после еды), или позаконазол в таблетках (в 1й день по 300 мг х 2 раза, затем по 300 мг 1 раз), или изавуконазол (в 1-2 дни по 200 мг 3 раза, затем по 200 мг 1 раз в таблетках или внутривенно), вориконазол (по 200 мг х 2 раза в таблетках, у больных с весом &gt; 85 кг суточную дозу вориконазола в таблетках назначают из расчета 8 мг/кг/сутки, максимально – по 300 мг х 2 раза); </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у пациентов с о</w:t>
      </w:r>
      <w:r w:rsidRPr="00643B16">
        <w:rPr>
          <w:szCs w:val="24"/>
        </w:rPr>
        <w:t>стрыми миелоидными лейкозами – восстановление гранулоцитов (&gt;0,5 х 10</w:t>
      </w:r>
      <w:r w:rsidRPr="00015917">
        <w:rPr>
          <w:szCs w:val="24"/>
          <w:vertAlign w:val="superscript"/>
        </w:rPr>
        <w:t>9</w:t>
      </w:r>
      <w:r w:rsidRPr="00643B16">
        <w:rPr>
          <w:szCs w:val="24"/>
        </w:rPr>
        <w:t>/л);</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у пациентов с апластической анемией – ч</w:t>
      </w:r>
      <w:r w:rsidRPr="003722EE">
        <w:rPr>
          <w:szCs w:val="24"/>
        </w:rPr>
        <w:t>ерез 10</w:t>
      </w:r>
      <w:r w:rsidRPr="00643B16">
        <w:rPr>
          <w:szCs w:val="24"/>
        </w:rPr>
        <w:t> </w:t>
      </w:r>
      <w:r w:rsidRPr="003722EE">
        <w:rPr>
          <w:szCs w:val="24"/>
        </w:rPr>
        <w:t>дней после окончания введения АТГ.</w:t>
      </w:r>
    </w:p>
    <w:p w:rsidR="00B43B37" w:rsidRDefault="00B43B37" w:rsidP="00B43B37">
      <w:pPr>
        <w:widowControl w:val="0"/>
        <w:autoSpaceDE w:val="0"/>
        <w:autoSpaceDN w:val="0"/>
        <w:adjustRightInd w:val="0"/>
        <w:ind w:right="51"/>
        <w:contextualSpacing/>
        <w:rPr>
          <w:b/>
        </w:rPr>
      </w:pPr>
    </w:p>
    <w:p w:rsidR="00B43B37" w:rsidRPr="00B77DCF" w:rsidRDefault="00B43B37" w:rsidP="00B43B37">
      <w:pPr>
        <w:widowControl w:val="0"/>
        <w:autoSpaceDE w:val="0"/>
        <w:autoSpaceDN w:val="0"/>
        <w:adjustRightInd w:val="0"/>
        <w:ind w:right="51"/>
        <w:contextualSpacing/>
        <w:rPr>
          <w:b/>
        </w:rPr>
      </w:pPr>
      <w:r w:rsidRPr="00B77DCF">
        <w:rPr>
          <w:b/>
        </w:rPr>
        <w:t>Вторичная противогрибковая профилактика</w:t>
      </w:r>
    </w:p>
    <w:p w:rsidR="00B43B37" w:rsidRPr="003722EE" w:rsidRDefault="00B43B37" w:rsidP="00B43B37">
      <w:pPr>
        <w:widowControl w:val="0"/>
        <w:autoSpaceDE w:val="0"/>
        <w:autoSpaceDN w:val="0"/>
        <w:adjustRightInd w:val="0"/>
        <w:ind w:right="51" w:firstLine="708"/>
        <w:contextualSpacing/>
        <w:rPr>
          <w:bCs/>
        </w:rPr>
      </w:pPr>
      <w:r w:rsidRPr="003722EE">
        <w:t>Вторичная противогрибковая профилактика п</w:t>
      </w:r>
      <w:r w:rsidRPr="003722EE">
        <w:rPr>
          <w:bCs/>
        </w:rPr>
        <w:t>роводится:</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пациентам, имевшим в анамнезе инвазивный микоз, вызванный плесневыми грибами (инвазивный аспергиллез, мукормикоз и др.), а также диссеминированный инвазивный кандидоз (инвазия в органы);</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во время очередного курса ПХТ, если ожидается нейтропения от 7 дней и более</w:t>
      </w:r>
      <w:r>
        <w:rPr>
          <w:szCs w:val="24"/>
        </w:rPr>
        <w:t>.</w:t>
      </w:r>
    </w:p>
    <w:p w:rsidR="00B43B37" w:rsidRPr="00B77DCF" w:rsidRDefault="00B43B37" w:rsidP="00B43B37">
      <w:pPr>
        <w:widowControl w:val="0"/>
        <w:autoSpaceDE w:val="0"/>
        <w:autoSpaceDN w:val="0"/>
        <w:adjustRightInd w:val="0"/>
        <w:snapToGrid w:val="0"/>
        <w:ind w:right="51"/>
      </w:pPr>
      <w:r w:rsidRPr="00B77DCF">
        <w:t>Пациентам, имевшим кандидемию без диссеминации в органы, профилактику не проводят.</w:t>
      </w:r>
    </w:p>
    <w:p w:rsidR="00B43B37" w:rsidRPr="003722EE" w:rsidRDefault="00B43B37" w:rsidP="00B43B37">
      <w:pPr>
        <w:widowControl w:val="0"/>
        <w:autoSpaceDE w:val="0"/>
        <w:autoSpaceDN w:val="0"/>
        <w:adjustRightInd w:val="0"/>
        <w:ind w:right="49"/>
        <w:contextualSpacing/>
      </w:pPr>
      <w:r w:rsidRPr="003722EE">
        <w:t>Вторичная противогрибковая профилактика показана при курсах ПХТ, сопровождающихся нейтропенией, и при использовании иммуносупресивных препаратов. Для вторичной профилактики назначают препарат, при использовании которого было достигнуто излечение от инвазивного микоза, с 1-го дня послекурсового периода или при количестве гранулоцитов ≤0,5</w:t>
      </w:r>
      <w:r>
        <w:t xml:space="preserve"> </w:t>
      </w:r>
      <w:r w:rsidRPr="003722EE">
        <w:t>х</w:t>
      </w:r>
      <w:r>
        <w:t xml:space="preserve"> </w:t>
      </w:r>
      <w:r w:rsidRPr="003722EE">
        <w:t>10</w:t>
      </w:r>
      <w:r w:rsidRPr="003722EE">
        <w:rPr>
          <w:vertAlign w:val="superscript"/>
        </w:rPr>
        <w:t>9</w:t>
      </w:r>
      <w:r w:rsidRPr="003722EE">
        <w:t>/л, а также в течение всего периода применения иммуносупрессивных препаратов.</w:t>
      </w:r>
    </w:p>
    <w:p w:rsidR="00B43B37" w:rsidRPr="003722EE" w:rsidRDefault="00B43B37" w:rsidP="00B43B37">
      <w:pPr>
        <w:widowControl w:val="0"/>
        <w:autoSpaceDE w:val="0"/>
        <w:autoSpaceDN w:val="0"/>
        <w:adjustRightInd w:val="0"/>
        <w:ind w:right="51"/>
        <w:contextualSpacing/>
      </w:pPr>
      <w:r w:rsidRPr="003722EE">
        <w:t>Противогрибковые препараты, используемые для вторичной профилактики больным, имевшим в анамнезе</w:t>
      </w:r>
      <w:r w:rsidRPr="00026095">
        <w:t xml:space="preserve"> </w:t>
      </w:r>
      <w:r>
        <w:fldChar w:fldCharType="begin" w:fldLock="1"/>
      </w:r>
      <w:r w:rsidR="003524A5">
        <w:instrText>ADDIN CSL_CITATION {"citationItems":[{"id":"ITEM-1","itemData":{"DOI":"10.3324/haematol.2016.152900","ISSN":"15928721","PMID":"28011902","abstract":"The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-1","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[65]","plainTextFormattedCitation":"[65]","previouslyFormattedCitation":"[65]"},"properties":{"noteIndex":0},"schema":"https://github.com/citation-style-language/schema/raw/master/csl-citation.json"}</w:instrText>
      </w:r>
      <w:r>
        <w:fldChar w:fldCharType="separate"/>
      </w:r>
      <w:r w:rsidR="005600FF" w:rsidRPr="005600FF">
        <w:rPr>
          <w:noProof/>
        </w:rPr>
        <w:t>[65]</w:t>
      </w:r>
      <w:r>
        <w:fldChar w:fldCharType="end"/>
      </w:r>
      <w:r w:rsidRPr="003722EE">
        <w:t>:</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Кандидемию с диссеминацией в органы или хронический диссеминированный кандидоз:</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lastRenderedPageBreak/>
        <w:t>флуконазол, по 400 мг в сутки, внутривенно или внутрь;</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каспофунгин, по 50 мг в сутки внутривенно;</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микафунгин, по 100 мг в сутки внутривенно;</w:t>
      </w:r>
    </w:p>
    <w:p w:rsidR="00B43B37" w:rsidRPr="003722EE" w:rsidRDefault="00B43B37" w:rsidP="004F39BB">
      <w:pPr>
        <w:widowControl w:val="0"/>
        <w:numPr>
          <w:ilvl w:val="0"/>
          <w:numId w:val="63"/>
        </w:numPr>
        <w:tabs>
          <w:tab w:val="left" w:pos="317"/>
        </w:tabs>
        <w:autoSpaceDE w:val="0"/>
        <w:autoSpaceDN w:val="0"/>
        <w:adjustRightInd w:val="0"/>
        <w:ind w:right="51"/>
        <w:contextualSpacing/>
      </w:pPr>
      <w:r w:rsidRPr="003722EE">
        <w:t>анидулафунгин, по 100 мг в сутки внутривенно.</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Инвазивный аспергиллез:</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вориконазол (таблетки/внутривенно), по 200</w:t>
      </w:r>
      <w:r w:rsidRPr="00643B16">
        <w:t> </w:t>
      </w:r>
      <w:r w:rsidRPr="003722EE">
        <w:t>мг 2</w:t>
      </w:r>
      <w:r w:rsidRPr="00643B16">
        <w:t> </w:t>
      </w:r>
      <w:r w:rsidRPr="003722EE">
        <w:t>раза;</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позаконазол (суспензия), по 200</w:t>
      </w:r>
      <w:r w:rsidRPr="00643B16">
        <w:t> </w:t>
      </w:r>
      <w:r w:rsidRPr="003722EE">
        <w:t>мг 3</w:t>
      </w:r>
      <w:r w:rsidRPr="00643B16">
        <w:t> </w:t>
      </w:r>
      <w:r w:rsidRPr="003722EE">
        <w:t>раза (после еды);</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позаконазол (таблетки) в 1й день по 300 мг х 2 раза, далее по 1 таб 1 раз;</w:t>
      </w:r>
    </w:p>
    <w:p w:rsidR="00B43B37" w:rsidRPr="00643B16" w:rsidRDefault="00B43B37" w:rsidP="004F39BB">
      <w:pPr>
        <w:widowControl w:val="0"/>
        <w:numPr>
          <w:ilvl w:val="0"/>
          <w:numId w:val="63"/>
        </w:numPr>
        <w:tabs>
          <w:tab w:val="left" w:pos="317"/>
        </w:tabs>
        <w:autoSpaceDE w:val="0"/>
        <w:autoSpaceDN w:val="0"/>
        <w:adjustRightInd w:val="0"/>
        <w:ind w:right="49"/>
        <w:contextualSpacing/>
      </w:pPr>
      <w:r w:rsidRPr="003722EE">
        <w:t>изавуконазол (таблетки/внутривенно) в 1-2й дни по 200 мг 3 раза, затем по 200 мг 1 раз.</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Мукормикоз:</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позаконазол (суспензия), по 200</w:t>
      </w:r>
      <w:r w:rsidRPr="00643B16">
        <w:t> </w:t>
      </w:r>
      <w:r w:rsidRPr="003722EE">
        <w:t>мг 3</w:t>
      </w:r>
      <w:r w:rsidRPr="00643B16">
        <w:t> </w:t>
      </w:r>
      <w:r w:rsidRPr="003722EE">
        <w:t>раза (после еды);</w:t>
      </w:r>
    </w:p>
    <w:p w:rsidR="00B43B37" w:rsidRPr="003722EE" w:rsidRDefault="00B43B37" w:rsidP="004F39BB">
      <w:pPr>
        <w:widowControl w:val="0"/>
        <w:numPr>
          <w:ilvl w:val="0"/>
          <w:numId w:val="63"/>
        </w:numPr>
        <w:tabs>
          <w:tab w:val="left" w:pos="317"/>
        </w:tabs>
        <w:autoSpaceDE w:val="0"/>
        <w:autoSpaceDN w:val="0"/>
        <w:adjustRightInd w:val="0"/>
        <w:ind w:right="49"/>
        <w:contextualSpacing/>
      </w:pPr>
      <w:r w:rsidRPr="003722EE">
        <w:t>позаконазол (таблетки) в 1й день по 300 мг х 2 раза, далее по 1 таб 1 раз;</w:t>
      </w:r>
    </w:p>
    <w:p w:rsidR="00B43B37" w:rsidRPr="00643B16" w:rsidRDefault="00B43B37" w:rsidP="004F39BB">
      <w:pPr>
        <w:widowControl w:val="0"/>
        <w:numPr>
          <w:ilvl w:val="0"/>
          <w:numId w:val="63"/>
        </w:numPr>
        <w:tabs>
          <w:tab w:val="left" w:pos="317"/>
        </w:tabs>
        <w:autoSpaceDE w:val="0"/>
        <w:autoSpaceDN w:val="0"/>
        <w:adjustRightInd w:val="0"/>
        <w:ind w:right="49"/>
        <w:contextualSpacing/>
      </w:pPr>
      <w:r w:rsidRPr="003722EE">
        <w:t>изавуконазол (таблетки/внутривенно) в 1-2й дни по 200 мг 3 раза, затем по 200 мг 1 раз.</w:t>
      </w:r>
    </w:p>
    <w:p w:rsidR="00B43B37" w:rsidRPr="003722EE" w:rsidRDefault="00B43B37" w:rsidP="00B43B37">
      <w:pPr>
        <w:widowControl w:val="0"/>
        <w:autoSpaceDE w:val="0"/>
        <w:autoSpaceDN w:val="0"/>
        <w:adjustRightInd w:val="0"/>
        <w:ind w:right="51" w:firstLine="708"/>
        <w:contextualSpacing/>
      </w:pPr>
      <w:r w:rsidRPr="003722EE">
        <w:t>Амфотерицин В не назначают для профилактики инвазивных микозов по причине его высокой токсичности. При вторичной профилактике вориконазол, позаконазол, изавуконазол следует применять осторожно при курсах ПХТ, включающих винкристин, поскольку они могут потенцировать развитие нейротоксичности. Назначать эти препараты следует не ранее чем через 3-5 дней от даты последнего введения винкристина.</w:t>
      </w:r>
    </w:p>
    <w:p w:rsidR="00B43B37" w:rsidRPr="003722EE" w:rsidRDefault="00B43B37" w:rsidP="00B43B37">
      <w:pPr>
        <w:widowControl w:val="0"/>
        <w:tabs>
          <w:tab w:val="left" w:pos="0"/>
        </w:tabs>
        <w:autoSpaceDE w:val="0"/>
        <w:autoSpaceDN w:val="0"/>
        <w:adjustRightInd w:val="0"/>
        <w:ind w:right="49"/>
        <w:contextualSpacing/>
        <w:rPr>
          <w:bCs/>
          <w:iCs/>
        </w:rPr>
      </w:pPr>
      <w:r w:rsidRPr="003722EE">
        <w:rPr>
          <w:bCs/>
        </w:rPr>
        <w:tab/>
        <w:t xml:space="preserve">Противогрибковые препараты, назначенные для вторичной профилактики, отменяют при </w:t>
      </w:r>
      <w:r w:rsidRPr="003722EE">
        <w:rPr>
          <w:bCs/>
          <w:iCs/>
        </w:rPr>
        <w:t>восстановление гранулоцитов (&gt;0,5 х 10</w:t>
      </w:r>
      <w:r w:rsidRPr="003722EE">
        <w:rPr>
          <w:bCs/>
          <w:iCs/>
          <w:vertAlign w:val="superscript"/>
        </w:rPr>
        <w:t>9</w:t>
      </w:r>
      <w:r w:rsidRPr="003722EE">
        <w:rPr>
          <w:bCs/>
          <w:iCs/>
        </w:rPr>
        <w:t>/л).</w:t>
      </w:r>
    </w:p>
    <w:p w:rsidR="00B43B37" w:rsidRDefault="00B43B37" w:rsidP="00B43B37">
      <w:pPr>
        <w:pStyle w:val="afe"/>
        <w:widowControl w:val="0"/>
        <w:autoSpaceDE w:val="0"/>
        <w:autoSpaceDN w:val="0"/>
        <w:adjustRightInd w:val="0"/>
        <w:ind w:right="51"/>
        <w:rPr>
          <w:b/>
          <w:szCs w:val="24"/>
        </w:rPr>
      </w:pPr>
    </w:p>
    <w:p w:rsidR="00B43B37" w:rsidRPr="0051550E" w:rsidRDefault="00B43B37" w:rsidP="00B43B37">
      <w:pPr>
        <w:pStyle w:val="afe"/>
        <w:widowControl w:val="0"/>
        <w:autoSpaceDE w:val="0"/>
        <w:autoSpaceDN w:val="0"/>
        <w:adjustRightInd w:val="0"/>
        <w:ind w:right="51"/>
        <w:rPr>
          <w:bCs/>
          <w:i/>
          <w:iCs/>
          <w:szCs w:val="24"/>
          <w:u w:val="single"/>
        </w:rPr>
      </w:pPr>
      <w:r w:rsidRPr="00B77DCF">
        <w:rPr>
          <w:bCs/>
          <w:i/>
          <w:iCs/>
          <w:szCs w:val="24"/>
          <w:u w:val="single"/>
        </w:rPr>
        <w:t>Профилактика вирусных инфекций</w:t>
      </w:r>
      <w:r>
        <w:rPr>
          <w:bCs/>
          <w:i/>
          <w:iCs/>
          <w:szCs w:val="24"/>
          <w:u w:val="single"/>
        </w:rPr>
        <w:t xml:space="preserve"> </w:t>
      </w:r>
      <w:r>
        <w:rPr>
          <w:bCs/>
          <w:i/>
          <w:iCs/>
          <w:szCs w:val="24"/>
          <w:u w:val="single"/>
        </w:rPr>
        <w:fldChar w:fldCharType="begin" w:fldLock="1"/>
      </w:r>
      <w:r w:rsidR="003524A5">
        <w:rPr>
          <w:bCs/>
          <w:i/>
          <w:iCs/>
          <w:szCs w:val="24"/>
          <w:u w:val="single"/>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Leukemia","type":"article-journal","volume":"43"},"uris":["http://www.mendeley.com/documents/?uuid=d821a870-8754-3698-8a43-34506f6d18d8"]},{"id":"ITEM-2","itemData":{"DOI":"10.1038/bmt.2008.162","ISSN":"02683369","PMID":"18587440","abstract":"These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Transplantation","id":"ITEM-2","issue":"4","issued":{"date-parts":[["2008"]]},"page":"227-240","publisher":"Bone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[62,63]","plainTextFormattedCitation":"[62,63]","previouslyFormattedCitation":"[62,63]"},"properties":{"noteIndex":0},"schema":"https://github.com/citation-style-language/schema/raw/master/csl-citation.json"}</w:instrText>
      </w:r>
      <w:r>
        <w:rPr>
          <w:bCs/>
          <w:i/>
          <w:iCs/>
          <w:szCs w:val="24"/>
          <w:u w:val="single"/>
        </w:rPr>
        <w:fldChar w:fldCharType="separate"/>
      </w:r>
      <w:r w:rsidR="005600FF" w:rsidRPr="005600FF">
        <w:rPr>
          <w:bCs/>
          <w:iCs/>
          <w:noProof/>
          <w:szCs w:val="24"/>
        </w:rPr>
        <w:t>[62,63]</w:t>
      </w:r>
      <w:r>
        <w:rPr>
          <w:bCs/>
          <w:i/>
          <w:iCs/>
          <w:szCs w:val="24"/>
          <w:u w:val="single"/>
        </w:rPr>
        <w:fldChar w:fldCharType="end"/>
      </w:r>
    </w:p>
    <w:p w:rsidR="00B43B37" w:rsidRPr="003722EE" w:rsidRDefault="00B43B37" w:rsidP="00B43B37">
      <w:pPr>
        <w:ind w:right="51" w:firstLine="708"/>
        <w:contextualSpacing/>
      </w:pPr>
      <w:r w:rsidRPr="003722EE">
        <w:t xml:space="preserve">Противовирусные препараты для профилактики назначают пациентам, серопозитивным по вирусу простого герпеса (ВПГ) - реципиентам аллогенной ТГСК, пациентам с острыми лейкозами, лимфомами, другими гематологическими заболеваниями. </w:t>
      </w:r>
    </w:p>
    <w:p w:rsidR="00B43B37" w:rsidRPr="003722EE" w:rsidRDefault="00B43B37" w:rsidP="00B43B37">
      <w:pPr>
        <w:ind w:right="49"/>
        <w:contextualSpacing/>
      </w:pPr>
      <w:r w:rsidRPr="003722EE">
        <w:t>Используют следующие препараты для профилактики вирусных инфекций:</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ацикловир внутривенно 250 мг/м</w:t>
      </w:r>
      <w:r w:rsidRPr="008356BD">
        <w:rPr>
          <w:szCs w:val="24"/>
          <w:vertAlign w:val="superscript"/>
        </w:rPr>
        <w:t>2</w:t>
      </w:r>
      <w:r w:rsidRPr="003722EE">
        <w:rPr>
          <w:szCs w:val="24"/>
        </w:rPr>
        <w:t xml:space="preserve"> или 5 мг/кг каждые 12 часов;</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ацикловир таблетки по 200 мг х 3 раза;</w:t>
      </w:r>
    </w:p>
    <w:p w:rsidR="00B43B37" w:rsidRPr="003722EE" w:rsidRDefault="00B43B37" w:rsidP="004F39BB">
      <w:pPr>
        <w:pStyle w:val="afe"/>
        <w:widowControl w:val="0"/>
        <w:numPr>
          <w:ilvl w:val="0"/>
          <w:numId w:val="62"/>
        </w:numPr>
        <w:autoSpaceDE w:val="0"/>
        <w:autoSpaceDN w:val="0"/>
        <w:adjustRightInd w:val="0"/>
        <w:snapToGrid w:val="0"/>
        <w:ind w:right="51"/>
        <w:rPr>
          <w:szCs w:val="24"/>
        </w:rPr>
      </w:pPr>
      <w:r w:rsidRPr="003722EE">
        <w:rPr>
          <w:szCs w:val="24"/>
        </w:rPr>
        <w:t>валациковир по 500 мг х 2 раза;</w:t>
      </w:r>
    </w:p>
    <w:p w:rsidR="00B43B37" w:rsidRPr="00643B16" w:rsidRDefault="00B43B37" w:rsidP="004F39BB">
      <w:pPr>
        <w:pStyle w:val="afe"/>
        <w:widowControl w:val="0"/>
        <w:numPr>
          <w:ilvl w:val="0"/>
          <w:numId w:val="62"/>
        </w:numPr>
        <w:autoSpaceDE w:val="0"/>
        <w:autoSpaceDN w:val="0"/>
        <w:adjustRightInd w:val="0"/>
        <w:snapToGrid w:val="0"/>
        <w:ind w:right="51"/>
        <w:rPr>
          <w:szCs w:val="24"/>
        </w:rPr>
      </w:pPr>
      <w:r w:rsidRPr="00643B16">
        <w:rPr>
          <w:szCs w:val="24"/>
        </w:rPr>
        <w:t>фамцикловир по 500 мг 2 раза.</w:t>
      </w:r>
    </w:p>
    <w:p w:rsidR="00B43B37" w:rsidRPr="003722EE" w:rsidRDefault="00B43B37" w:rsidP="00B43B37">
      <w:pPr>
        <w:ind w:right="49"/>
        <w:contextualSpacing/>
      </w:pPr>
      <w:r w:rsidRPr="003722EE">
        <w:t xml:space="preserve">Противовирусную профилактику применяют в течение 3-5 недель с 1-го дня ПХТ или кондицирования при ТГСК. Перевод с пероральной на внутривенную форму проводят у больных с мукозитом. У реципиентов аллогенной ТГСК и РТПХ или получающих </w:t>
      </w:r>
      <w:r w:rsidRPr="003722EE">
        <w:lastRenderedPageBreak/>
        <w:t>иммуносупрессивную терапию, включая кортикостероиды, период профилактического приема препаратов является более продолжительным.</w:t>
      </w:r>
    </w:p>
    <w:p w:rsidR="00B43B37" w:rsidRDefault="00B43B37" w:rsidP="00B43B37">
      <w:pPr>
        <w:ind w:right="49"/>
        <w:contextualSpacing/>
      </w:pPr>
      <w:r w:rsidRPr="003722EE">
        <w:t>Антивирусная профилактика ВПГ не требуется для серонегативных больных острыми лейкозами и после ТГСК.</w:t>
      </w:r>
    </w:p>
    <w:p w:rsidR="00B43B37" w:rsidRDefault="00B43B37" w:rsidP="00B43B37">
      <w:pPr>
        <w:ind w:right="49"/>
        <w:contextualSpacing/>
      </w:pPr>
    </w:p>
    <w:p w:rsidR="00B43B37" w:rsidRDefault="00B43B37" w:rsidP="00B43B37">
      <w:pPr>
        <w:pStyle w:val="2"/>
        <w:spacing w:before="0"/>
      </w:pPr>
      <w:bookmarkStart w:id="87" w:name="_Toc67238432"/>
      <w:bookmarkStart w:id="88" w:name="_Toc67302922"/>
      <w:r w:rsidRPr="000322E4">
        <w:t>7.</w:t>
      </w:r>
      <w:r w:rsidRPr="0067126D">
        <w:t>5</w:t>
      </w:r>
      <w:bookmarkStart w:id="89" w:name="_Toc64295957"/>
      <w:bookmarkStart w:id="90" w:name="_Toc64479345"/>
      <w:r w:rsidRPr="0067126D">
        <w:t xml:space="preserve"> </w:t>
      </w:r>
      <w:r>
        <w:t>Профилактика, диагностика и лечение тромботических осложнений</w:t>
      </w:r>
      <w:bookmarkEnd w:id="87"/>
      <w:bookmarkEnd w:id="88"/>
      <w:bookmarkEnd w:id="89"/>
      <w:bookmarkEnd w:id="90"/>
    </w:p>
    <w:p w:rsidR="00B43B37" w:rsidRDefault="00B43B37" w:rsidP="00B43B37">
      <w:pPr>
        <w:rPr>
          <w:rFonts w:eastAsia="Times New Roman"/>
          <w:szCs w:val="24"/>
          <w:lang w:eastAsia="ru-RU"/>
        </w:rPr>
      </w:pPr>
      <w:r>
        <w:rPr>
          <w:szCs w:val="24"/>
          <w:lang w:eastAsia="ru-RU"/>
        </w:rPr>
        <w:t>При гематологических заболеваниях, как первично, так и в процессе их лечения часто возникают тромботические осложнения, требующие профилактики и терапии. Частота тромботических нарушений при опухолях системы крови различна, проведение химиотерапии (ХТ) увеличивает частоту тромботических осложнений практически в 2 раза с 2.21% до 4.24% относительно исходного уровня</w:t>
      </w:r>
      <w:r w:rsidRPr="002470CB">
        <w:rPr>
          <w:szCs w:val="24"/>
          <w:lang w:eastAsia="ru-RU"/>
        </w:rPr>
        <w:t xml:space="preserve"> </w:t>
      </w:r>
      <w:r>
        <w:rPr>
          <w:szCs w:val="24"/>
          <w:lang w:eastAsia="ru-RU"/>
        </w:rPr>
        <w:fldChar w:fldCharType="begin" w:fldLock="1"/>
      </w:r>
      <w:r w:rsidR="003524A5">
        <w:rPr>
          <w:szCs w:val="24"/>
          <w:lang w:eastAsia="ru-RU"/>
        </w:rPr>
        <w:instrText>ADDIN CSL_CITATION {"citationItems":[{"id":"ITEM-1","itemData":{"DOI":"10.1016/j.critrevonc.2018.02.003","ISSN":"18790461","PMID":"29548485","abstract":"Venous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Oncology/Hematology","id":"ITEM-1","issued":{"date-parts":[["2018","4","1"]]},"page":"41-50","publisher":"Elsevier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literature","type":"article","volume":"124"},"uris":["http://www.mendeley.com/documents/?uuid=22f80e37-ad15-39e0-a4bd-123ad1adb983"]},{"id":"ITEM-2","itemData":{"DOI":"10.1097/CCO.0b013e3283592331","ISSN":"10408746","PMID":"23014188","abstract":"Purpose of Review: This review summarizes the current knowledge of the epidemiology, prophylaxis, and treatment of venous thromboembolism (VTE) in patients with lymphoma, multiple myeloma or acute leukemia. Recent Findings: Hematologic malignancies are associated with a high risk of thrombotic complications. The incidence of these events is greatly variable and is influenced by many factors, including the type and the stage of disease, antitumor therapies, and the use of central venous device (CVD). Epidemiological data allow an estimate of the incidence of VTE in acute leukemia, lymphomas, and multiple myeloma. The effect of chemotherapy on the incidence of thrombosis is particularly evident in acute leukemia as it causes the exacerbation of the clotting/bleeding syndrome typical of this disease. The role of chemotherapy is also relevant in lymphoma, and in multiple myeloma, in which the use of immunomodulating agents, in combination with chemotherapy and steroids significantly increases the risk of VTE. Summary: Thrombotic complications have a significant impact on morbidity and mortality of hematological cancer patients, therefore, in this setting, the issue of thromboprophylaxis to prevent VTE is important. However, no clear recommendation in these conditions is available, with the exception of multiple myeloma. Large prospective randomized clinical trials are needed to establish the best practice for prevention and treatment of VTE in these types of malignant diseases. © 2012 Wolters Kluwer Health | Lippincott Williams &amp; Wilkins.","author":[{"dropping-particle":"","family":"Falanga","given":"Anna","non-dropping-particle":"","parse-names":false,"suffix":""},{"dropping-particle":"","family":"Marchetti","given":"Marina","non-dropping-particle":"","parse-names":false,"suffix":""},{"dropping-particle":"","family":"Russo","given":"Laura","non-dropping-particle":"","parse-names":false,"suffix":""}],"container-title":"Current Opinion in Oncology","id":"ITEM-2","issue":"6","issued":{"date-parts":[["2012","11"]]},"page":"702-710","publisher":"Curr Opin Oncol","title":"Venous thromboembolism in the hematologic malignancies","type":"article","volume":"24"},"uris":["http://www.mendeley.com/documents/?uuid=59d797ff-66d3-3605-b564-548d92885ee6"]}],"mendeley":{"formattedCitation":"[72,73]","plainTextFormattedCitation":"[72,73]","previouslyFormattedCitation":"[72,73]"},"properties":{"noteIndex":0},"schema":"https://github.com/citation-style-language/schema/raw/master/csl-citation.json"}</w:instrText>
      </w:r>
      <w:r>
        <w:rPr>
          <w:szCs w:val="24"/>
          <w:lang w:eastAsia="ru-RU"/>
        </w:rPr>
        <w:fldChar w:fldCharType="separate"/>
      </w:r>
      <w:r w:rsidR="005600FF" w:rsidRPr="005600FF">
        <w:rPr>
          <w:noProof/>
          <w:szCs w:val="24"/>
          <w:lang w:eastAsia="ru-RU"/>
        </w:rPr>
        <w:t>[72,73]</w:t>
      </w:r>
      <w:r>
        <w:rPr>
          <w:szCs w:val="24"/>
          <w:lang w:eastAsia="ru-RU"/>
        </w:rPr>
        <w:fldChar w:fldCharType="end"/>
      </w:r>
      <w:r>
        <w:rPr>
          <w:szCs w:val="24"/>
          <w:lang w:eastAsia="ru-RU"/>
        </w:rPr>
        <w:t xml:space="preserve">. </w:t>
      </w:r>
      <w:r>
        <w:rPr>
          <w:rFonts w:eastAsia="Times New Roman"/>
          <w:szCs w:val="24"/>
          <w:lang w:eastAsia="ru-RU"/>
        </w:rPr>
        <w:t xml:space="preserve">Причинами тромбозов у пациентов онкогематологическими заболеваниями, в частности с лимфомами, могут быть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[74]","plainTextFormattedCitation":"[74]","previouslyFormattedCitation":"[74]"},"properties":{"noteIndex":0},"schema":"https://github.com/citation-style-language/schema/raw/master/csl-citation.json"}</w:instrText>
      </w:r>
      <w:r>
        <w:fldChar w:fldCharType="separate"/>
      </w:r>
      <w:r w:rsidR="005600FF" w:rsidRPr="005600FF">
        <w:rPr>
          <w:noProof/>
        </w:rPr>
        <w:t>[74]</w:t>
      </w:r>
      <w:r>
        <w:fldChar w:fldCharType="end"/>
      </w:r>
      <w:r>
        <w:rPr>
          <w:rFonts w:eastAsia="Times New Roman"/>
          <w:szCs w:val="24"/>
          <w:lang w:eastAsia="ru-RU"/>
        </w:rPr>
        <w:t>:</w:t>
      </w:r>
    </w:p>
    <w:p w:rsidR="00B43B37" w:rsidRPr="00F62DEE" w:rsidRDefault="00B43B37" w:rsidP="004F39BB">
      <w:pPr>
        <w:numPr>
          <w:ilvl w:val="0"/>
          <w:numId w:val="27"/>
        </w:numPr>
        <w:rPr>
          <w:rFonts w:eastAsia="Times New Roman"/>
          <w:szCs w:val="24"/>
          <w:lang w:eastAsia="ru-RU"/>
        </w:rPr>
      </w:pPr>
      <w:r w:rsidRPr="00E5560E">
        <w:rPr>
          <w:rFonts w:eastAsia="Times New Roman"/>
          <w:szCs w:val="24"/>
          <w:lang w:eastAsia="ru-RU"/>
        </w:rPr>
        <w:t>механические факторы (сдавление опухолью кровеносного сосуда, центральный или периферический венозные катетеры, нарушение целостности эндотелия некоторыми химиопрепаратами и др.);</w:t>
      </w:r>
    </w:p>
    <w:p w:rsidR="00B43B37" w:rsidRPr="00F62DEE" w:rsidRDefault="00B43B37" w:rsidP="004F39BB">
      <w:pPr>
        <w:numPr>
          <w:ilvl w:val="0"/>
          <w:numId w:val="27"/>
        </w:numPr>
        <w:rPr>
          <w:rFonts w:eastAsia="Times New Roman"/>
          <w:szCs w:val="24"/>
          <w:lang w:eastAsia="ru-RU"/>
        </w:rPr>
      </w:pPr>
      <w:r w:rsidRPr="00E5560E">
        <w:rPr>
          <w:rFonts w:eastAsia="Times New Roman"/>
          <w:szCs w:val="24"/>
          <w:lang w:eastAsia="ru-RU"/>
        </w:rPr>
        <w:t>коагулогические факторы (повышение или снижение активности факторов свертывания крови, повышение агрегационных свойств тромбоцитов и гипертромбоцитоз);</w:t>
      </w:r>
    </w:p>
    <w:p w:rsidR="00B43B37" w:rsidRPr="00F62DEE" w:rsidRDefault="00B43B37" w:rsidP="004F39BB">
      <w:pPr>
        <w:numPr>
          <w:ilvl w:val="0"/>
          <w:numId w:val="27"/>
        </w:numPr>
        <w:rPr>
          <w:rFonts w:eastAsia="Times New Roman"/>
          <w:szCs w:val="24"/>
          <w:lang w:eastAsia="ru-RU"/>
        </w:rPr>
      </w:pPr>
      <w:r w:rsidRPr="00E5560E">
        <w:rPr>
          <w:rFonts w:eastAsia="Times New Roman"/>
          <w:szCs w:val="24"/>
          <w:lang w:eastAsia="ru-RU"/>
        </w:rPr>
        <w:t xml:space="preserve">реологические факторы (в том числе за счет гиперлейкоцитоза, эритроцитоза, гипертромбоцитоза); </w:t>
      </w:r>
    </w:p>
    <w:p w:rsidR="00B43B37" w:rsidRPr="00F62DEE" w:rsidRDefault="00B43B37" w:rsidP="004F39BB">
      <w:pPr>
        <w:numPr>
          <w:ilvl w:val="0"/>
          <w:numId w:val="27"/>
        </w:numPr>
        <w:rPr>
          <w:rFonts w:eastAsia="Times New Roman"/>
          <w:szCs w:val="24"/>
          <w:lang w:eastAsia="ru-RU"/>
        </w:rPr>
      </w:pPr>
      <w:r w:rsidRPr="00E5560E">
        <w:rPr>
          <w:rFonts w:eastAsia="Times New Roman"/>
          <w:szCs w:val="24"/>
          <w:lang w:eastAsia="ru-RU"/>
        </w:rPr>
        <w:t>химиолучевая терапия.</w:t>
      </w:r>
    </w:p>
    <w:p w:rsidR="00B43B37" w:rsidRDefault="00B43B37" w:rsidP="00B43B37">
      <w:pPr>
        <w:rPr>
          <w:rFonts w:eastAsia="Times New Roman"/>
          <w:szCs w:val="24"/>
          <w:lang w:eastAsia="ru-RU"/>
        </w:rPr>
      </w:pPr>
      <w:r>
        <w:rPr>
          <w:rFonts w:eastAsia="Times New Roman"/>
          <w:szCs w:val="24"/>
          <w:lang w:eastAsia="ru-RU"/>
        </w:rPr>
        <w:t>Эти факторы часто сочетаются друг с другом.</w:t>
      </w:r>
    </w:p>
    <w:p w:rsidR="00B43B37" w:rsidRDefault="00B43B37" w:rsidP="00B43B37">
      <w:pPr>
        <w:ind w:firstLine="567"/>
        <w:rPr>
          <w:rFonts w:eastAsia="Times New Roman"/>
          <w:szCs w:val="24"/>
          <w:lang w:eastAsia="ru-RU"/>
        </w:rPr>
      </w:pPr>
    </w:p>
    <w:p w:rsidR="00B43B37" w:rsidRPr="00E5560E" w:rsidRDefault="00B43B37" w:rsidP="00B43B37">
      <w:pPr>
        <w:rPr>
          <w:rFonts w:eastAsia="Times New Roman"/>
          <w:i/>
          <w:iCs/>
          <w:szCs w:val="24"/>
          <w:u w:val="single"/>
          <w:lang w:eastAsia="ru-RU"/>
        </w:rPr>
      </w:pPr>
      <w:r w:rsidRPr="00E5560E">
        <w:rPr>
          <w:rFonts w:eastAsia="Times New Roman"/>
          <w:i/>
          <w:iCs/>
          <w:szCs w:val="24"/>
          <w:u w:val="single"/>
          <w:lang w:eastAsia="ru-RU"/>
        </w:rPr>
        <w:t>Клинические проявления тромботических осложнений.</w:t>
      </w:r>
    </w:p>
    <w:p w:rsidR="00B43B37" w:rsidRDefault="00B43B37" w:rsidP="00B43B37">
      <w:pPr>
        <w:rPr>
          <w:rFonts w:eastAsia="Times New Roman"/>
          <w:szCs w:val="24"/>
          <w:lang w:eastAsia="ru-RU"/>
        </w:rPr>
      </w:pPr>
      <w:r>
        <w:rPr>
          <w:rFonts w:eastAsia="Times New Roman"/>
          <w:szCs w:val="24"/>
          <w:lang w:eastAsia="ru-RU"/>
        </w:rPr>
        <w:t xml:space="preserve">Тромботические осложнения имеют гетерогенные проявления и подтверждаются различными лабораторными (коагулологическими, молекулярно-генетическими, биохимическими, цитологическими) и инструментальными методами. </w:t>
      </w:r>
    </w:p>
    <w:p w:rsidR="00B43B37" w:rsidRDefault="00B43B37" w:rsidP="00B43B37">
      <w:pPr>
        <w:rPr>
          <w:rFonts w:eastAsia="Times New Roman"/>
          <w:szCs w:val="24"/>
          <w:lang w:eastAsia="ru-RU"/>
        </w:rPr>
      </w:pPr>
      <w:r>
        <w:rPr>
          <w:rFonts w:eastAsia="Times New Roman"/>
          <w:szCs w:val="24"/>
          <w:lang w:eastAsia="ru-RU"/>
        </w:rPr>
        <w:t xml:space="preserve">Для тромбозов характерны следующие признаки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rPr>
          <w:rFonts w:eastAsia="Times New Roman"/>
          <w:szCs w:val="24"/>
          <w:lang w:eastAsia="ru-RU"/>
        </w:rPr>
        <w:t xml:space="preserve">: </w:t>
      </w:r>
    </w:p>
    <w:p w:rsidR="00B43B37" w:rsidRDefault="00B43B37" w:rsidP="004F39BB">
      <w:pPr>
        <w:numPr>
          <w:ilvl w:val="0"/>
          <w:numId w:val="30"/>
        </w:numPr>
        <w:rPr>
          <w:rFonts w:eastAsia="Times New Roman"/>
          <w:szCs w:val="24"/>
          <w:lang w:eastAsia="ru-RU"/>
        </w:rPr>
      </w:pPr>
      <w:r>
        <w:rPr>
          <w:rFonts w:eastAsia="Times New Roman"/>
          <w:szCs w:val="24"/>
          <w:lang w:eastAsia="ru-RU"/>
        </w:rPr>
        <w:t>отек на месте тромбоза (венозный тромбоз);</w:t>
      </w:r>
    </w:p>
    <w:p w:rsidR="00B43B37" w:rsidRDefault="00B43B37" w:rsidP="004F39BB">
      <w:pPr>
        <w:numPr>
          <w:ilvl w:val="0"/>
          <w:numId w:val="30"/>
        </w:numPr>
        <w:rPr>
          <w:rFonts w:eastAsia="Times New Roman"/>
          <w:szCs w:val="24"/>
          <w:lang w:eastAsia="ru-RU"/>
        </w:rPr>
      </w:pPr>
      <w:r>
        <w:rPr>
          <w:rFonts w:eastAsia="Times New Roman"/>
          <w:szCs w:val="24"/>
          <w:lang w:eastAsia="ru-RU"/>
        </w:rPr>
        <w:t>умеренные болевые ощущения - чувство распирания, постоянные локальные боли (венозные и артериальные тромбозы);</w:t>
      </w:r>
    </w:p>
    <w:p w:rsidR="00B43B37" w:rsidRDefault="00B43B37" w:rsidP="004F39BB">
      <w:pPr>
        <w:numPr>
          <w:ilvl w:val="0"/>
          <w:numId w:val="30"/>
        </w:numPr>
        <w:rPr>
          <w:rFonts w:eastAsia="Times New Roman"/>
          <w:szCs w:val="24"/>
          <w:lang w:eastAsia="ru-RU"/>
        </w:rPr>
      </w:pPr>
      <w:r>
        <w:rPr>
          <w:rFonts w:eastAsia="Times New Roman"/>
          <w:szCs w:val="24"/>
          <w:lang w:eastAsia="ru-RU"/>
        </w:rPr>
        <w:t xml:space="preserve">повышение кожной температуры непосредственно в области тромбоза (венозные тромбозы); </w:t>
      </w:r>
    </w:p>
    <w:p w:rsidR="00B43B37" w:rsidRDefault="00B43B37" w:rsidP="004F39BB">
      <w:pPr>
        <w:numPr>
          <w:ilvl w:val="0"/>
          <w:numId w:val="30"/>
        </w:numPr>
        <w:rPr>
          <w:rFonts w:eastAsia="Times New Roman"/>
          <w:szCs w:val="24"/>
          <w:lang w:eastAsia="ru-RU"/>
        </w:rPr>
      </w:pPr>
      <w:r>
        <w:rPr>
          <w:rFonts w:eastAsia="Times New Roman"/>
          <w:szCs w:val="24"/>
          <w:lang w:eastAsia="ru-RU"/>
        </w:rPr>
        <w:lastRenderedPageBreak/>
        <w:t>резкая болезненность, цианоз (синюшность), снижение температуры в области тромбообразования и прилежащих тканях (артериальные тромбозы);</w:t>
      </w:r>
    </w:p>
    <w:p w:rsidR="00B43B37" w:rsidRDefault="00B43B37" w:rsidP="004F39BB">
      <w:pPr>
        <w:numPr>
          <w:ilvl w:val="0"/>
          <w:numId w:val="30"/>
        </w:numPr>
        <w:rPr>
          <w:rFonts w:eastAsia="Times New Roman"/>
          <w:szCs w:val="24"/>
          <w:lang w:eastAsia="ru-RU"/>
        </w:rPr>
      </w:pPr>
      <w:r>
        <w:rPr>
          <w:rFonts w:eastAsia="Times New Roman"/>
          <w:szCs w:val="24"/>
          <w:lang w:eastAsia="ru-RU"/>
        </w:rPr>
        <w:t>перемежающаяся хромота (артериальные тромбозы);</w:t>
      </w:r>
    </w:p>
    <w:p w:rsidR="00B43B37" w:rsidRDefault="00B43B37" w:rsidP="004F39BB">
      <w:pPr>
        <w:numPr>
          <w:ilvl w:val="0"/>
          <w:numId w:val="30"/>
        </w:numPr>
        <w:rPr>
          <w:rFonts w:eastAsia="Times New Roman"/>
          <w:szCs w:val="24"/>
          <w:lang w:eastAsia="ru-RU"/>
        </w:rPr>
      </w:pPr>
      <w:r>
        <w:rPr>
          <w:rFonts w:eastAsia="Times New Roman"/>
          <w:szCs w:val="24"/>
          <w:lang w:eastAsia="ru-RU"/>
        </w:rPr>
        <w:t>при незначительных неокклюзирующих венозных и артериальных тромбозах клинические проявления могут быть минимальными или отсутствовать;</w:t>
      </w:r>
    </w:p>
    <w:p w:rsidR="00B43B37" w:rsidRDefault="00B43B37" w:rsidP="004F39BB">
      <w:pPr>
        <w:numPr>
          <w:ilvl w:val="0"/>
          <w:numId w:val="30"/>
        </w:numPr>
        <w:rPr>
          <w:rFonts w:eastAsia="Times New Roman"/>
          <w:szCs w:val="24"/>
          <w:lang w:eastAsia="ru-RU"/>
        </w:rPr>
      </w:pPr>
      <w:r>
        <w:rPr>
          <w:rFonts w:eastAsia="Times New Roman"/>
          <w:szCs w:val="24"/>
          <w:lang w:eastAsia="ru-RU"/>
        </w:rPr>
        <w:t>головные боли, неврологическая симптоматика, нарушение сознания (признаки ишемического инсульта).</w:t>
      </w:r>
    </w:p>
    <w:p w:rsidR="00B43B37" w:rsidRDefault="00B43B37" w:rsidP="004F39BB">
      <w:pPr>
        <w:numPr>
          <w:ilvl w:val="0"/>
          <w:numId w:val="30"/>
        </w:numPr>
        <w:rPr>
          <w:rFonts w:eastAsia="Times New Roman"/>
          <w:szCs w:val="24"/>
          <w:lang w:eastAsia="ru-RU"/>
        </w:rPr>
      </w:pPr>
      <w:r>
        <w:rPr>
          <w:szCs w:val="24"/>
        </w:rPr>
        <w:t>синдром сдавления венозного ствола или вены;</w:t>
      </w:r>
    </w:p>
    <w:p w:rsidR="00B43B37" w:rsidRDefault="00B43B37" w:rsidP="004F39BB">
      <w:pPr>
        <w:numPr>
          <w:ilvl w:val="0"/>
          <w:numId w:val="30"/>
        </w:numPr>
        <w:rPr>
          <w:rFonts w:eastAsia="Times New Roman"/>
          <w:szCs w:val="24"/>
          <w:lang w:eastAsia="ru-RU"/>
        </w:rPr>
      </w:pPr>
      <w:r>
        <w:rPr>
          <w:szCs w:val="24"/>
        </w:rPr>
        <w:t>расширение венозной сети;</w:t>
      </w:r>
    </w:p>
    <w:p w:rsidR="00B43B37" w:rsidRDefault="00B43B37" w:rsidP="004F39BB">
      <w:pPr>
        <w:numPr>
          <w:ilvl w:val="0"/>
          <w:numId w:val="30"/>
        </w:numPr>
        <w:rPr>
          <w:rFonts w:eastAsia="Times New Roman"/>
          <w:szCs w:val="24"/>
          <w:lang w:eastAsia="ru-RU"/>
        </w:rPr>
      </w:pPr>
      <w:r>
        <w:rPr>
          <w:szCs w:val="24"/>
        </w:rPr>
        <w:t xml:space="preserve"> признаки дыхательной недостаточности при тромбоэмболии легочной артерии (ТЭЛА).</w:t>
      </w:r>
    </w:p>
    <w:p w:rsidR="00B43B37" w:rsidRDefault="00B43B37" w:rsidP="00B43B37">
      <w:pPr>
        <w:rPr>
          <w:rFonts w:eastAsia="Times New Roman"/>
          <w:szCs w:val="24"/>
          <w:lang w:eastAsia="ru-RU"/>
        </w:rPr>
      </w:pPr>
      <w:r>
        <w:rPr>
          <w:szCs w:val="24"/>
        </w:rPr>
        <w:t xml:space="preserve">Для оценки риска развития тромботических нарушений и их рецидивов при лимфоме необходим тщательный сбор анамнеза с уточнением наличия тромбозов у пациента и родственников первой линии, а также оценка общего состояния пациента и выявление сопутствующих заболеваний. </w:t>
      </w:r>
    </w:p>
    <w:p w:rsidR="00B43B37" w:rsidRDefault="00B43B37" w:rsidP="00B43B37">
      <w:pPr>
        <w:pStyle w:val="Numlist"/>
        <w:spacing w:line="360" w:lineRule="auto"/>
        <w:ind w:firstLine="360"/>
        <w:jc w:val="both"/>
        <w:rPr>
          <w:b/>
        </w:rPr>
      </w:pPr>
    </w:p>
    <w:p w:rsidR="00B43B37" w:rsidRDefault="00B43B37" w:rsidP="00B43B37">
      <w:pPr>
        <w:pStyle w:val="Numlist"/>
        <w:spacing w:line="360" w:lineRule="auto"/>
        <w:ind w:firstLine="360"/>
        <w:jc w:val="both"/>
      </w:pPr>
      <w:r w:rsidRPr="00D74B57">
        <w:rPr>
          <w:bCs/>
          <w:i/>
          <w:iCs/>
          <w:u w:val="single"/>
        </w:rPr>
        <w:t>Лабораторная диагностика</w:t>
      </w:r>
      <w:r>
        <w:rPr>
          <w:b/>
        </w:rPr>
        <w:t xml:space="preserve"> </w:t>
      </w:r>
      <w:r>
        <w:t xml:space="preserve">тромботических осложнений должна включать следующие исследования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t xml:space="preserve">: </w:t>
      </w:r>
    </w:p>
    <w:p w:rsidR="00B43B37" w:rsidRDefault="00B43B37" w:rsidP="00B43B37">
      <w:r>
        <w:t xml:space="preserve">1) </w:t>
      </w:r>
      <w:r>
        <w:rPr>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t>.</w:t>
      </w:r>
    </w:p>
    <w:p w:rsidR="00B43B37" w:rsidRDefault="00B43B37" w:rsidP="00B43B37">
      <w:pPr>
        <w:rPr>
          <w:szCs w:val="24"/>
        </w:rPr>
      </w:pPr>
      <w:r>
        <w:rPr>
          <w:szCs w:val="24"/>
        </w:rPr>
        <w:t>2) Коагулограмма с определением следующих показателей:</w:t>
      </w:r>
    </w:p>
    <w:p w:rsidR="00B43B37" w:rsidRDefault="00B43B37" w:rsidP="004F39BB">
      <w:pPr>
        <w:pStyle w:val="afe"/>
        <w:widowControl w:val="0"/>
        <w:numPr>
          <w:ilvl w:val="0"/>
          <w:numId w:val="26"/>
        </w:numPr>
        <w:ind w:left="1418" w:hanging="567"/>
        <w:rPr>
          <w:szCs w:val="24"/>
        </w:rPr>
      </w:pPr>
      <w:r>
        <w:rPr>
          <w:szCs w:val="24"/>
        </w:rPr>
        <w:t>активированное частичное тромбопластиновое время (АЧТВ);</w:t>
      </w:r>
    </w:p>
    <w:p w:rsidR="00B43B37" w:rsidRDefault="00B43B37" w:rsidP="004F39BB">
      <w:pPr>
        <w:pStyle w:val="afe"/>
        <w:widowControl w:val="0"/>
        <w:numPr>
          <w:ilvl w:val="0"/>
          <w:numId w:val="26"/>
        </w:numPr>
        <w:ind w:left="1418" w:hanging="567"/>
        <w:rPr>
          <w:szCs w:val="24"/>
        </w:rPr>
      </w:pPr>
      <w:r>
        <w:rPr>
          <w:szCs w:val="24"/>
        </w:rPr>
        <w:t>тромбиновое время (ТВ);</w:t>
      </w:r>
    </w:p>
    <w:p w:rsidR="00B43B37" w:rsidRDefault="00B43B37" w:rsidP="004F39BB">
      <w:pPr>
        <w:pStyle w:val="afe"/>
        <w:widowControl w:val="0"/>
        <w:numPr>
          <w:ilvl w:val="0"/>
          <w:numId w:val="26"/>
        </w:numPr>
        <w:ind w:left="1418" w:hanging="567"/>
        <w:rPr>
          <w:szCs w:val="24"/>
        </w:rPr>
      </w:pPr>
      <w:r>
        <w:rPr>
          <w:szCs w:val="24"/>
        </w:rPr>
        <w:t>протромбин по Квику (международное нормализованное отношение - МНО);</w:t>
      </w:r>
    </w:p>
    <w:p w:rsidR="00B43B37" w:rsidRDefault="00B43B37" w:rsidP="004F39BB">
      <w:pPr>
        <w:pStyle w:val="afe"/>
        <w:widowControl w:val="0"/>
        <w:numPr>
          <w:ilvl w:val="0"/>
          <w:numId w:val="26"/>
        </w:numPr>
        <w:ind w:left="1418" w:hanging="567"/>
        <w:rPr>
          <w:szCs w:val="24"/>
        </w:rPr>
      </w:pPr>
      <w:r>
        <w:rPr>
          <w:szCs w:val="24"/>
        </w:rPr>
        <w:t>плазменная концентрация фибриногена;</w:t>
      </w:r>
    </w:p>
    <w:p w:rsidR="00B43B37" w:rsidRDefault="00B43B37" w:rsidP="004F39BB">
      <w:pPr>
        <w:pStyle w:val="afe"/>
        <w:widowControl w:val="0"/>
        <w:numPr>
          <w:ilvl w:val="0"/>
          <w:numId w:val="26"/>
        </w:numPr>
        <w:ind w:left="1418" w:hanging="567"/>
        <w:rPr>
          <w:szCs w:val="24"/>
        </w:rPr>
      </w:pPr>
      <w:r>
        <w:rPr>
          <w:szCs w:val="24"/>
        </w:rPr>
        <w:t xml:space="preserve">плазменная концентрация антитромбина III (АТ </w:t>
      </w:r>
      <w:r>
        <w:rPr>
          <w:szCs w:val="24"/>
          <w:lang w:val="en-US"/>
        </w:rPr>
        <w:t>III</w:t>
      </w:r>
      <w:r>
        <w:rPr>
          <w:szCs w:val="24"/>
        </w:rPr>
        <w:t>), особенно для групп высокого риска, в частности, получающих L-аспарагиназу;</w:t>
      </w:r>
    </w:p>
    <w:p w:rsidR="00B43B37" w:rsidRDefault="00B43B37" w:rsidP="004F39BB">
      <w:pPr>
        <w:pStyle w:val="afe"/>
        <w:widowControl w:val="0"/>
        <w:numPr>
          <w:ilvl w:val="0"/>
          <w:numId w:val="26"/>
        </w:numPr>
        <w:ind w:left="1418" w:hanging="567"/>
        <w:rPr>
          <w:szCs w:val="24"/>
        </w:rPr>
      </w:pPr>
      <w:r>
        <w:rPr>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rsidR="00B43B37" w:rsidRDefault="00B43B37" w:rsidP="004F39BB">
      <w:pPr>
        <w:pStyle w:val="afe"/>
        <w:widowControl w:val="0"/>
        <w:numPr>
          <w:ilvl w:val="0"/>
          <w:numId w:val="26"/>
        </w:numPr>
        <w:ind w:left="1418" w:hanging="567"/>
        <w:rPr>
          <w:szCs w:val="24"/>
        </w:rPr>
      </w:pPr>
      <w:r>
        <w:rPr>
          <w:szCs w:val="24"/>
        </w:rPr>
        <w:t>D-димер</w:t>
      </w:r>
      <w:r>
        <w:rPr>
          <w:szCs w:val="24"/>
          <w:lang w:val="en-US"/>
        </w:rPr>
        <w:t xml:space="preserve"> </w:t>
      </w:r>
      <w:r>
        <w:rPr>
          <w:szCs w:val="24"/>
          <w:lang w:val="en-US"/>
        </w:rPr>
        <w:fldChar w:fldCharType="begin" w:fldLock="1"/>
      </w:r>
      <w:r w:rsidR="003524A5">
        <w:rPr>
          <w:szCs w:val="24"/>
          <w:lang w:val="en-US"/>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[76]","plainTextFormattedCitation":"[76]","previouslyFormattedCitation":"[76]"},"properties":{"noteIndex":0},"schema":"https://github.com/citation-style-language/schema/raw/master/csl-citation.json"}</w:instrText>
      </w:r>
      <w:r>
        <w:rPr>
          <w:szCs w:val="24"/>
          <w:lang w:val="en-US"/>
        </w:rPr>
        <w:fldChar w:fldCharType="separate"/>
      </w:r>
      <w:r w:rsidR="005600FF" w:rsidRPr="005600FF">
        <w:rPr>
          <w:noProof/>
          <w:szCs w:val="24"/>
          <w:lang w:val="en-US"/>
        </w:rPr>
        <w:t>[76]</w:t>
      </w:r>
      <w:r>
        <w:rPr>
          <w:szCs w:val="24"/>
          <w:lang w:val="en-US"/>
        </w:rPr>
        <w:fldChar w:fldCharType="end"/>
      </w:r>
      <w:r>
        <w:rPr>
          <w:szCs w:val="24"/>
        </w:rPr>
        <w:t>;</w:t>
      </w:r>
    </w:p>
    <w:p w:rsidR="00B43B37" w:rsidRDefault="00B43B37" w:rsidP="004F39BB">
      <w:pPr>
        <w:pStyle w:val="afe"/>
        <w:widowControl w:val="0"/>
        <w:numPr>
          <w:ilvl w:val="0"/>
          <w:numId w:val="26"/>
        </w:numPr>
        <w:ind w:left="1418" w:hanging="567"/>
        <w:rPr>
          <w:szCs w:val="24"/>
        </w:rPr>
      </w:pPr>
      <w:r>
        <w:rPr>
          <w:szCs w:val="24"/>
        </w:rPr>
        <w:t>протеин С;</w:t>
      </w:r>
    </w:p>
    <w:p w:rsidR="00B43B37" w:rsidRDefault="00B43B37" w:rsidP="004F39BB">
      <w:pPr>
        <w:pStyle w:val="afe"/>
        <w:widowControl w:val="0"/>
        <w:numPr>
          <w:ilvl w:val="0"/>
          <w:numId w:val="26"/>
        </w:numPr>
        <w:ind w:left="1418" w:hanging="567"/>
        <w:rPr>
          <w:szCs w:val="24"/>
        </w:rPr>
      </w:pPr>
      <w:r>
        <w:rPr>
          <w:szCs w:val="24"/>
        </w:rPr>
        <w:t xml:space="preserve">протеин </w:t>
      </w:r>
      <w:r>
        <w:rPr>
          <w:szCs w:val="24"/>
          <w:lang w:val="en-US"/>
        </w:rPr>
        <w:t>S</w:t>
      </w:r>
      <w:r>
        <w:rPr>
          <w:szCs w:val="24"/>
        </w:rPr>
        <w:t>;</w:t>
      </w:r>
    </w:p>
    <w:p w:rsidR="00B43B37" w:rsidRDefault="00B43B37" w:rsidP="004F39BB">
      <w:pPr>
        <w:pStyle w:val="afe"/>
        <w:widowControl w:val="0"/>
        <w:numPr>
          <w:ilvl w:val="0"/>
          <w:numId w:val="26"/>
        </w:numPr>
        <w:ind w:left="1418" w:hanging="567"/>
        <w:rPr>
          <w:szCs w:val="24"/>
        </w:rPr>
      </w:pPr>
      <w:r>
        <w:rPr>
          <w:szCs w:val="24"/>
        </w:rPr>
        <w:lastRenderedPageBreak/>
        <w:t>XIIa-зависимый фибринолиз;</w:t>
      </w:r>
    </w:p>
    <w:p w:rsidR="00B43B37" w:rsidRDefault="00B43B37" w:rsidP="00B43B37">
      <w:pPr>
        <w:widowControl w:val="0"/>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в течение 2-х часов после забора крови.  Достоверность результатов агрегабельности тромбоцитов можно оценить только при содержании в крови тромбоцитов ≥ 100 х 10</w:t>
      </w:r>
      <w:r>
        <w:rPr>
          <w:szCs w:val="24"/>
          <w:vertAlign w:val="superscript"/>
        </w:rPr>
        <w:t>9</w:t>
      </w:r>
      <w:r>
        <w:rPr>
          <w:szCs w:val="24"/>
        </w:rPr>
        <w:t>/л.</w:t>
      </w:r>
    </w:p>
    <w:p w:rsidR="00B43B37" w:rsidRDefault="00B43B37" w:rsidP="00B43B37">
      <w:pPr>
        <w:widowControl w:val="0"/>
        <w:rPr>
          <w:szCs w:val="24"/>
        </w:rPr>
      </w:pPr>
      <w:r>
        <w:rPr>
          <w:szCs w:val="24"/>
        </w:rPr>
        <w:t xml:space="preserve">Повышенная концентрация </w:t>
      </w:r>
      <w:r>
        <w:rPr>
          <w:szCs w:val="24"/>
          <w:lang w:val="en-US"/>
        </w:rPr>
        <w:t>D</w:t>
      </w:r>
      <w:r>
        <w:rPr>
          <w:szCs w:val="24"/>
        </w:rPr>
        <w:t>-димера у онкогематологических больных встречается при различных ситуациях, не всегда обусловленных венозными тромбо-эмболическими осложнениями (ВТЭО): синдром диссеминированного внутрисосудистого свертывания (ДВС-синдром), гиперфибринолиз, сепсис, поражения печени, серповидноклеточная анемия и др</w:t>
      </w:r>
      <w:r w:rsidRPr="00B06F48">
        <w:rPr>
          <w:szCs w:val="24"/>
        </w:rPr>
        <w:t xml:space="preserve"> </w:t>
      </w:r>
      <w:r>
        <w:rPr>
          <w:szCs w:val="24"/>
        </w:rPr>
        <w:fldChar w:fldCharType="begin" w:fldLock="1"/>
      </w:r>
      <w:r w:rsidR="003524A5">
        <w:rPr>
          <w:szCs w:val="24"/>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[76]","plainTextFormattedCitation":"[76]","previouslyFormattedCitation":"[76]"},"properties":{"noteIndex":0},"schema":"https://github.com/citation-style-language/schema/raw/master/csl-citation.json"}</w:instrText>
      </w:r>
      <w:r>
        <w:rPr>
          <w:szCs w:val="24"/>
        </w:rPr>
        <w:fldChar w:fldCharType="separate"/>
      </w:r>
      <w:r w:rsidR="005600FF" w:rsidRPr="005600FF">
        <w:rPr>
          <w:noProof/>
          <w:szCs w:val="24"/>
        </w:rPr>
        <w:t>[76]</w:t>
      </w:r>
      <w:r>
        <w:rPr>
          <w:szCs w:val="24"/>
        </w:rPr>
        <w:fldChar w:fldCharType="end"/>
      </w:r>
      <w:r>
        <w:rPr>
          <w:szCs w:val="24"/>
        </w:rPr>
        <w:t xml:space="preserve">. Поэтому не рекомендуется начинать тромбопрофилактику ориентируясь только на повышенную концентрацию </w:t>
      </w:r>
      <w:r>
        <w:rPr>
          <w:szCs w:val="24"/>
          <w:lang w:val="en-US"/>
        </w:rPr>
        <w:t>D</w:t>
      </w:r>
      <w:r>
        <w:rPr>
          <w:szCs w:val="24"/>
        </w:rPr>
        <w:t>-димера. При концентрации D-димера выше порогового значения рекомендуется дополнительное проведение инструментальных методов обследования.</w:t>
      </w:r>
    </w:p>
    <w:p w:rsidR="00B43B37" w:rsidRPr="00494FA4" w:rsidRDefault="00B43B37" w:rsidP="00B43B37">
      <w:pPr>
        <w:rPr>
          <w:szCs w:val="24"/>
        </w:rPr>
      </w:pPr>
      <w:r>
        <w:rPr>
          <w:szCs w:val="24"/>
        </w:rPr>
        <w:t xml:space="preserve">3) Биохимический анализ крови: общий белок, альбумины, общий и прямой/непрямой билирубин, АСТ, АЛТ, ЛДГ, мочевая кислота, мочевина, креатинин, щелочная фосфатаза, </w:t>
      </w:r>
      <w:r w:rsidRPr="002B7BF0">
        <w:rPr>
          <w:szCs w:val="24"/>
        </w:rPr>
        <w:t xml:space="preserve">холестерин, триглицериды, индекс атерогенности </w:t>
      </w:r>
      <w:r>
        <w:rPr>
          <w:szCs w:val="24"/>
        </w:rPr>
        <w:t xml:space="preserve">– на этапе диагностике, далее по показаниям. </w:t>
      </w:r>
      <w:r w:rsidRPr="00494FA4">
        <w:rPr>
          <w:rStyle w:val="affb"/>
          <w:iCs/>
          <w:shd w:val="clear" w:color="auto" w:fill="FFFFFF"/>
        </w:rPr>
        <w:t>В</w:t>
      </w:r>
      <w:r w:rsidRPr="00111FC7">
        <w:rPr>
          <w:rStyle w:val="affc"/>
        </w:rPr>
        <w:t xml:space="preserve">ыполнение биохимического анализа крови необходимо для уточнения функциональной способности печени, что важно для выбора адекватной терапии. </w:t>
      </w:r>
    </w:p>
    <w:p w:rsidR="00B43B37" w:rsidRDefault="00B43B37" w:rsidP="00B43B37">
      <w:pPr>
        <w:rPr>
          <w:szCs w:val="24"/>
        </w:rPr>
      </w:pPr>
      <w:r>
        <w:rPr>
          <w:szCs w:val="24"/>
        </w:rPr>
        <w:t>4) Определение концентрации гомоцистеина – важно в диагностике гипергомоцистеинемии.</w:t>
      </w:r>
    </w:p>
    <w:p w:rsidR="00B43B37" w:rsidRDefault="00B43B37" w:rsidP="00B43B37">
      <w:r>
        <w:t xml:space="preserve">5) Исследование мутации генов факторов, участвующих в гемостазе (протромбина G20210A, фактора V Лейден, </w:t>
      </w:r>
      <w:r w:rsidRPr="00A042E1">
        <w:t>метилентетрагидрофолатредуктазы</w:t>
      </w:r>
      <w:r>
        <w:t>), важно для верификации формы и варианта наследственных тромбофилий, определяется по показаниям.</w:t>
      </w:r>
    </w:p>
    <w:p w:rsidR="00B43B37" w:rsidRPr="00494FA4" w:rsidRDefault="00B43B37" w:rsidP="00B43B37">
      <w:pPr>
        <w:rPr>
          <w:szCs w:val="24"/>
        </w:rPr>
      </w:pPr>
      <w:r>
        <w:t xml:space="preserve">6) Тромбоэластография, пространственная тромбодинамика и определение тромбинового потенциала – по показаниям. </w:t>
      </w:r>
    </w:p>
    <w:p w:rsidR="00B43B37" w:rsidRDefault="00B43B37" w:rsidP="00B43B37">
      <w:pPr>
        <w:pStyle w:val="Numlist"/>
        <w:spacing w:line="360" w:lineRule="auto"/>
        <w:jc w:val="both"/>
      </w:pPr>
      <w:r>
        <w:t>Лабораторную оценку состояния системы свертывания крови осуществляют при первичном обследовании больного, до начала проведения специфической терапии, в том числе перед каждым курсом ХТ (по показаниям), а также в случае развития тромботических нарушений на любом этапе диагностики, наблюдения, лечения.</w:t>
      </w:r>
    </w:p>
    <w:p w:rsidR="00B43B37" w:rsidRDefault="00B43B37" w:rsidP="00B43B37">
      <w:pPr>
        <w:rPr>
          <w:b/>
          <w:szCs w:val="24"/>
        </w:rPr>
      </w:pPr>
    </w:p>
    <w:p w:rsidR="00B43B37" w:rsidRDefault="00B43B37" w:rsidP="00B43B37">
      <w:pPr>
        <w:rPr>
          <w:szCs w:val="24"/>
        </w:rPr>
      </w:pPr>
      <w:r w:rsidRPr="004C1787">
        <w:rPr>
          <w:bCs/>
          <w:i/>
          <w:iCs/>
          <w:szCs w:val="24"/>
          <w:u w:val="single"/>
        </w:rPr>
        <w:t>Инструментальная диагностика</w:t>
      </w:r>
      <w:r>
        <w:rPr>
          <w:szCs w:val="24"/>
        </w:rPr>
        <w:t xml:space="preserve"> рекомендуется для определения выраженности и уточнения локализации тромботических осложнений. Выбор метода зависит от </w:t>
      </w:r>
      <w:r>
        <w:rPr>
          <w:szCs w:val="24"/>
        </w:rPr>
        <w:lastRenderedPageBreak/>
        <w:t xml:space="preserve">клинической картины и данных лабораторного обследования. Проводятся следующие виды исследования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rPr>
          <w:szCs w:val="24"/>
        </w:rPr>
        <w:t>:</w:t>
      </w:r>
    </w:p>
    <w:p w:rsidR="00B43B37" w:rsidRDefault="00B43B37" w:rsidP="004F39BB">
      <w:pPr>
        <w:pStyle w:val="afe"/>
        <w:numPr>
          <w:ilvl w:val="0"/>
          <w:numId w:val="29"/>
        </w:numPr>
        <w:spacing w:after="200"/>
        <w:ind w:left="1134"/>
        <w:rPr>
          <w:szCs w:val="24"/>
        </w:rPr>
      </w:pPr>
      <w:r>
        <w:rPr>
          <w:szCs w:val="24"/>
        </w:rPr>
        <w:t>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rsidR="00B43B37" w:rsidRDefault="00B43B37" w:rsidP="004F39BB">
      <w:pPr>
        <w:pStyle w:val="afe"/>
        <w:numPr>
          <w:ilvl w:val="0"/>
          <w:numId w:val="29"/>
        </w:numPr>
        <w:ind w:left="1134"/>
        <w:rPr>
          <w:bCs/>
          <w:szCs w:val="24"/>
        </w:rPr>
      </w:pPr>
      <w:r>
        <w:rPr>
          <w:bCs/>
          <w:szCs w:val="24"/>
        </w:rPr>
        <w:t xml:space="preserve">УЗИ органов брюшной полости (размеры печени, селезенки, </w:t>
      </w:r>
      <w:r w:rsidRPr="00A042E1">
        <w:rPr>
          <w:bCs/>
          <w:szCs w:val="24"/>
        </w:rPr>
        <w:t>вены портальной системы и собственные вены печени</w:t>
      </w:r>
      <w:r>
        <w:rPr>
          <w:bCs/>
          <w:szCs w:val="24"/>
        </w:rPr>
        <w:t>), гемодинамические критерии портальной гипертензии при органомегалии и подозрении на тромбоз.</w:t>
      </w:r>
    </w:p>
    <w:p w:rsidR="00B43B37" w:rsidRDefault="00B43B37" w:rsidP="004F39BB">
      <w:pPr>
        <w:pStyle w:val="afe"/>
        <w:numPr>
          <w:ilvl w:val="0"/>
          <w:numId w:val="29"/>
        </w:numPr>
        <w:ind w:left="1134"/>
        <w:rPr>
          <w:bCs/>
          <w:szCs w:val="24"/>
        </w:rPr>
      </w:pPr>
      <w:r w:rsidRPr="0065075D">
        <w:rPr>
          <w:iCs/>
          <w:szCs w:val="24"/>
        </w:rPr>
        <w:t xml:space="preserve">КТ </w:t>
      </w:r>
      <w:r w:rsidRPr="0065075D">
        <w:rPr>
          <w:bCs/>
          <w:szCs w:val="24"/>
        </w:rPr>
        <w:t xml:space="preserve">органов грудной клетки и брюшной полости с внутривенным контрастным </w:t>
      </w:r>
      <w:r>
        <w:rPr>
          <w:bCs/>
          <w:szCs w:val="24"/>
        </w:rPr>
        <w:t xml:space="preserve">усилением </w:t>
      </w:r>
      <w:r w:rsidRPr="0065075D">
        <w:rPr>
          <w:bCs/>
          <w:szCs w:val="24"/>
        </w:rPr>
        <w:t>для диагностики ТЭЛА, тромбоза вен и артерий брюшной полости, инфарктов паренхиматозных органов, оценки коллатералей.</w:t>
      </w:r>
    </w:p>
    <w:p w:rsidR="00B43B37" w:rsidRPr="004C1787" w:rsidRDefault="00B43B37" w:rsidP="004F39BB">
      <w:pPr>
        <w:pStyle w:val="afe"/>
        <w:numPr>
          <w:ilvl w:val="0"/>
          <w:numId w:val="29"/>
        </w:numPr>
        <w:ind w:left="1134"/>
        <w:rPr>
          <w:bCs/>
          <w:szCs w:val="24"/>
        </w:rPr>
      </w:pPr>
      <w:r w:rsidRPr="004C1787">
        <w:rPr>
          <w:iCs/>
          <w:color w:val="000000"/>
          <w:szCs w:val="24"/>
        </w:rPr>
        <w:t>Магнитно-резонансная томография (МРТ)</w:t>
      </w:r>
      <w:r w:rsidRPr="004C1787">
        <w:rPr>
          <w:i/>
          <w:iCs/>
          <w:color w:val="000000"/>
          <w:szCs w:val="24"/>
        </w:rPr>
        <w:t xml:space="preserve"> </w:t>
      </w:r>
      <w:r w:rsidRPr="004C1787">
        <w:rPr>
          <w:szCs w:val="24"/>
        </w:rPr>
        <w:t>с внутривенным контрастным усилением головного мозга для выявления тромботических изменений в сосудах 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rsidR="00B43B37" w:rsidRPr="004C1787" w:rsidRDefault="00B43B37" w:rsidP="004F39BB">
      <w:pPr>
        <w:pStyle w:val="afe"/>
        <w:numPr>
          <w:ilvl w:val="0"/>
          <w:numId w:val="29"/>
        </w:numPr>
        <w:ind w:left="1134"/>
        <w:rPr>
          <w:bCs/>
          <w:szCs w:val="24"/>
        </w:rPr>
      </w:pPr>
      <w:r w:rsidRPr="004C1787">
        <w:rPr>
          <w:iCs/>
          <w:szCs w:val="24"/>
        </w:rPr>
        <w:t xml:space="preserve">Эзофагогастродуоденоскопия (ЭГДС) </w:t>
      </w:r>
      <w:r w:rsidRPr="004C1787">
        <w:rPr>
          <w:szCs w:val="24"/>
        </w:rPr>
        <w:t>с целью определения наличия варикозно расширенных вен пищевода и желудка даже при отсутствии симптоматики портальной гипертензии (в том числе и портальной гипертензионной гастропатии). Этот метод исследования может носить как диагностический, так и лечебный характер в отношении источника возникшего кровотечения. Желудочно-кишечное кровотечение, в том числе и анамнестическое, должно рассматриваться как абсолютное показание к неотложному эндоскопическому исследованию, которое тем эффективнее, чем раньше выполнено от начала кровотечения. Очень важным моментом диагностической ЭГДС является определение источника кровотечения: варикозно расширенные вены пищевода и/или язвы желудка или двенадцатиперстной кишки, а</w:t>
      </w:r>
      <w:r w:rsidRPr="004C1787">
        <w:rPr>
          <w:i/>
          <w:color w:val="4BACC6" w:themeColor="accent5"/>
          <w:szCs w:val="24"/>
        </w:rPr>
        <w:t xml:space="preserve"> </w:t>
      </w:r>
      <w:r w:rsidRPr="004C1787">
        <w:rPr>
          <w:szCs w:val="24"/>
        </w:rPr>
        <w:t>также оценка степени</w:t>
      </w:r>
      <w:r w:rsidRPr="004C1787">
        <w:rPr>
          <w:i/>
          <w:color w:val="4BACC6" w:themeColor="accent5"/>
          <w:szCs w:val="24"/>
        </w:rPr>
        <w:t xml:space="preserve"> </w:t>
      </w:r>
      <w:r w:rsidRPr="004C1787">
        <w:rPr>
          <w:szCs w:val="24"/>
        </w:rPr>
        <w:t>устойчивости гемостаза из обнаруженных источников. Исследование выполняется всем пациентам на этапе диагностики, далее проводится мониторинг при выявлении патологии каждые 6 месяцев, и по показаниям.</w:t>
      </w:r>
    </w:p>
    <w:p w:rsidR="00B43B37" w:rsidRPr="004C1787" w:rsidRDefault="00B43B37" w:rsidP="004F39BB">
      <w:pPr>
        <w:pStyle w:val="afe"/>
        <w:numPr>
          <w:ilvl w:val="0"/>
          <w:numId w:val="29"/>
        </w:numPr>
        <w:ind w:left="1134"/>
        <w:rPr>
          <w:bCs/>
          <w:szCs w:val="24"/>
        </w:rPr>
      </w:pPr>
      <w:r w:rsidRPr="004C1787">
        <w:rPr>
          <w:iCs/>
          <w:szCs w:val="24"/>
        </w:rPr>
        <w:t xml:space="preserve">Рентгенологическое исследование пищевода и желудка </w:t>
      </w:r>
      <w:r w:rsidRPr="004C1787">
        <w:rPr>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rsidR="00B43B37" w:rsidRPr="004C1787" w:rsidRDefault="00B43B37" w:rsidP="004F39BB">
      <w:pPr>
        <w:pStyle w:val="afe"/>
        <w:numPr>
          <w:ilvl w:val="0"/>
          <w:numId w:val="29"/>
        </w:numPr>
        <w:ind w:left="1134"/>
        <w:rPr>
          <w:bCs/>
          <w:szCs w:val="24"/>
        </w:rPr>
      </w:pPr>
      <w:r w:rsidRPr="004C1787">
        <w:rPr>
          <w:szCs w:val="24"/>
        </w:rPr>
        <w:lastRenderedPageBreak/>
        <w:t>Контрастные артерио- и венографии выявляют локализацию и анатомические особенности тромботических процессов.</w:t>
      </w:r>
    </w:p>
    <w:p w:rsidR="00B43B37" w:rsidRPr="004C1787" w:rsidRDefault="00B43B37" w:rsidP="004F39BB">
      <w:pPr>
        <w:pStyle w:val="afe"/>
        <w:numPr>
          <w:ilvl w:val="0"/>
          <w:numId w:val="29"/>
        </w:numPr>
        <w:ind w:left="1134"/>
        <w:rPr>
          <w:bCs/>
          <w:szCs w:val="24"/>
        </w:rPr>
      </w:pPr>
      <w:r w:rsidRPr="004C1787">
        <w:rPr>
          <w:szCs w:val="24"/>
        </w:rPr>
        <w:t>ЭхоКГ для оценки легочной гипертензии.</w:t>
      </w:r>
    </w:p>
    <w:p w:rsidR="00B43B37" w:rsidRPr="004C1787" w:rsidRDefault="00B43B37" w:rsidP="004F39BB">
      <w:pPr>
        <w:pStyle w:val="afe"/>
        <w:numPr>
          <w:ilvl w:val="0"/>
          <w:numId w:val="29"/>
        </w:numPr>
        <w:ind w:left="1134"/>
        <w:rPr>
          <w:bCs/>
          <w:szCs w:val="24"/>
        </w:rPr>
      </w:pPr>
      <w: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rsidR="00B43B37" w:rsidRDefault="00B43B37" w:rsidP="00B43B37">
      <w:pPr>
        <w:pStyle w:val="Numlist"/>
        <w:spacing w:line="360" w:lineRule="auto"/>
        <w:ind w:firstLine="709"/>
        <w:jc w:val="both"/>
        <w:rPr>
          <w:b/>
        </w:rPr>
      </w:pPr>
    </w:p>
    <w:p w:rsidR="00B43B37" w:rsidRDefault="00B43B37" w:rsidP="00B43B37">
      <w:pPr>
        <w:pStyle w:val="Numlist"/>
        <w:spacing w:line="360" w:lineRule="auto"/>
        <w:ind w:firstLine="709"/>
        <w:jc w:val="both"/>
      </w:pPr>
      <w:r w:rsidRPr="004C1787">
        <w:rPr>
          <w:bCs/>
          <w:i/>
          <w:iCs/>
        </w:rPr>
        <w:t>Консультации специалистов</w:t>
      </w:r>
      <w: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[74]","plainTextFormattedCitation":"[74]","previouslyFormattedCitation":"[74]"},"properties":{"noteIndex":0},"schema":"https://github.com/citation-style-language/schema/raw/master/csl-citation.json"}</w:instrText>
      </w:r>
      <w:r>
        <w:fldChar w:fldCharType="separate"/>
      </w:r>
      <w:r w:rsidR="005600FF" w:rsidRPr="005600FF">
        <w:rPr>
          <w:noProof/>
        </w:rPr>
        <w:t>[74]</w:t>
      </w:r>
      <w:r>
        <w:fldChar w:fldCharType="end"/>
      </w:r>
      <w:r>
        <w:t>.</w:t>
      </w:r>
    </w:p>
    <w:p w:rsidR="00B43B37" w:rsidRDefault="00B43B37" w:rsidP="00B43B37">
      <w:pPr>
        <w:rPr>
          <w:b/>
          <w:szCs w:val="24"/>
        </w:rPr>
      </w:pPr>
    </w:p>
    <w:p w:rsidR="00B43B37" w:rsidRPr="004C1787" w:rsidRDefault="00B43B37" w:rsidP="00B43B37">
      <w:pPr>
        <w:rPr>
          <w:bCs/>
          <w:i/>
          <w:iCs/>
          <w:szCs w:val="24"/>
          <w:u w:val="single"/>
        </w:rPr>
      </w:pPr>
      <w:r w:rsidRPr="004C1787">
        <w:rPr>
          <w:bCs/>
          <w:i/>
          <w:iCs/>
          <w:szCs w:val="24"/>
          <w:u w:val="single"/>
        </w:rPr>
        <w:t xml:space="preserve">Общие принципы профилактики ВТЭО у гематологических больных. </w:t>
      </w:r>
    </w:p>
    <w:p w:rsidR="00B43B37" w:rsidRDefault="00B43B37" w:rsidP="00B43B37">
      <w:pPr>
        <w:pStyle w:val="Numlist"/>
        <w:spacing w:line="360" w:lineRule="auto"/>
        <w:jc w:val="both"/>
      </w:pPr>
      <w: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rsidR="00B43B37" w:rsidRPr="00F855C8" w:rsidRDefault="00B43B37" w:rsidP="00B43B37">
      <w:pPr>
        <w:rPr>
          <w:szCs w:val="24"/>
        </w:rPr>
      </w:pP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rsidR="00B43B37" w:rsidRPr="00111FC7" w:rsidRDefault="00B43B37" w:rsidP="00B43B37">
      <w:pPr>
        <w:ind w:firstLine="708"/>
        <w:rPr>
          <w:szCs w:val="24"/>
        </w:rPr>
      </w:pPr>
      <w:r w:rsidRPr="00111FC7">
        <w:rPr>
          <w:szCs w:val="24"/>
        </w:rPr>
        <w:t>Профилактические мероприятия следует проводить у всех больных, относящихся к группам риска</w:t>
      </w:r>
      <w:r>
        <w:rPr>
          <w:szCs w:val="24"/>
        </w:rPr>
        <w:t xml:space="preserve">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rsidRPr="00111FC7">
        <w:rPr>
          <w:szCs w:val="24"/>
        </w:rPr>
        <w:t>:</w:t>
      </w:r>
    </w:p>
    <w:p w:rsidR="00B43B37" w:rsidRDefault="00B43B37" w:rsidP="004F39BB">
      <w:pPr>
        <w:pStyle w:val="afe"/>
        <w:numPr>
          <w:ilvl w:val="0"/>
          <w:numId w:val="22"/>
        </w:numPr>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rsidR="00B43B37" w:rsidRDefault="00B43B37" w:rsidP="004F39BB">
      <w:pPr>
        <w:pStyle w:val="afe"/>
        <w:numPr>
          <w:ilvl w:val="0"/>
          <w:numId w:val="22"/>
        </w:numPr>
        <w:rPr>
          <w:szCs w:val="24"/>
        </w:rPr>
      </w:pPr>
      <w:r>
        <w:rPr>
          <w:szCs w:val="24"/>
        </w:rPr>
        <w:lastRenderedPageBreak/>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rsidR="00B43B37" w:rsidRPr="0019724D" w:rsidRDefault="00B43B37" w:rsidP="004F39BB">
      <w:pPr>
        <w:pStyle w:val="afe"/>
        <w:numPr>
          <w:ilvl w:val="0"/>
          <w:numId w:val="22"/>
        </w:numPr>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rsidR="00B43B37" w:rsidRDefault="00B43B37" w:rsidP="004F39BB">
      <w:pPr>
        <w:pStyle w:val="afe"/>
        <w:numPr>
          <w:ilvl w:val="0"/>
          <w:numId w:val="22"/>
        </w:numPr>
        <w:rPr>
          <w:szCs w:val="24"/>
        </w:rPr>
      </w:pPr>
      <w:r>
        <w:rPr>
          <w:szCs w:val="24"/>
        </w:rPr>
        <w:t>у больных с крайне высоким риском ВТЭО медикаментозная и механическая профилактика должны сочетаться;</w:t>
      </w:r>
    </w:p>
    <w:p w:rsidR="00B43B37" w:rsidRDefault="00B43B37" w:rsidP="004F39BB">
      <w:pPr>
        <w:pStyle w:val="afe"/>
        <w:numPr>
          <w:ilvl w:val="0"/>
          <w:numId w:val="22"/>
        </w:numPr>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rsidR="00B43B37" w:rsidRDefault="00B43B37" w:rsidP="004F39BB">
      <w:pPr>
        <w:pStyle w:val="afe"/>
        <w:numPr>
          <w:ilvl w:val="0"/>
          <w:numId w:val="22"/>
        </w:numPr>
        <w:rPr>
          <w:szCs w:val="24"/>
        </w:rPr>
      </w:pPr>
      <w:r>
        <w:rPr>
          <w:szCs w:val="24"/>
        </w:rPr>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rsidR="00B43B37" w:rsidRDefault="00B43B37" w:rsidP="004F39BB">
      <w:pPr>
        <w:pStyle w:val="afe"/>
        <w:numPr>
          <w:ilvl w:val="0"/>
          <w:numId w:val="22"/>
        </w:numPr>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rsidR="00B43B37" w:rsidRDefault="00B43B37" w:rsidP="004F39BB">
      <w:pPr>
        <w:pStyle w:val="afe"/>
        <w:numPr>
          <w:ilvl w:val="0"/>
          <w:numId w:val="22"/>
        </w:numPr>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rsidR="00B43B37" w:rsidRDefault="00B43B37" w:rsidP="004F39BB">
      <w:pPr>
        <w:pStyle w:val="afe"/>
        <w:numPr>
          <w:ilvl w:val="0"/>
          <w:numId w:val="21"/>
        </w:numPr>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rsidR="00B43B37" w:rsidRDefault="00B43B37" w:rsidP="00B43B37">
      <w:pPr>
        <w:pStyle w:val="3"/>
        <w:keepLines w:val="0"/>
        <w:spacing w:before="0"/>
        <w:rPr>
          <w:rFonts w:ascii="Times New Roman" w:hAnsi="Times New Roman"/>
          <w:b/>
          <w:bCs/>
          <w:i/>
          <w:iCs/>
          <w:color w:val="auto"/>
          <w:u w:val="single"/>
          <w:lang w:eastAsia="ru-RU"/>
        </w:rPr>
      </w:pPr>
    </w:p>
    <w:p w:rsidR="00B43B37" w:rsidRPr="00F149A1" w:rsidRDefault="00B43B37" w:rsidP="00B43B37">
      <w:pPr>
        <w:pStyle w:val="afd"/>
        <w:spacing w:beforeAutospacing="0" w:afterAutospacing="0" w:line="360" w:lineRule="auto"/>
        <w:rPr>
          <w:i/>
          <w:iCs/>
          <w:u w:val="single"/>
        </w:rPr>
      </w:pPr>
      <w:r w:rsidRPr="00F149A1">
        <w:rPr>
          <w:i/>
          <w:iCs/>
          <w:u w:val="single"/>
        </w:rPr>
        <w:t>Профилактика и лечение тромботических нарушений у онкогематологических пациентов.</w:t>
      </w:r>
    </w:p>
    <w:p w:rsidR="00B43B37" w:rsidRDefault="00B43B37" w:rsidP="00B43B37">
      <w:pPr>
        <w:ind w:firstLine="360"/>
        <w:contextualSpacing/>
        <w:rPr>
          <w:rFonts w:eastAsia="Times New Roman"/>
          <w:szCs w:val="24"/>
          <w:lang w:eastAsia="ru-RU"/>
        </w:rPr>
      </w:pPr>
      <w:r>
        <w:rPr>
          <w:rFonts w:eastAsia="Times New Roman"/>
          <w:szCs w:val="24"/>
          <w:lang w:eastAsia="ru-RU"/>
        </w:rPr>
        <w:t xml:space="preserve">При выявлении ВТЭО и определении его давности, локализации, распространенности, назначается соответствующая терапия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rPr>
          <w:rFonts w:eastAsia="Times New Roman"/>
          <w:szCs w:val="24"/>
          <w:lang w:eastAsia="ru-RU"/>
        </w:rPr>
        <w:t>.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rsidR="00B43B37" w:rsidRDefault="00B43B37" w:rsidP="00B43B37">
      <w:pPr>
        <w:rPr>
          <w:rFonts w:eastAsia="Times New Roman"/>
          <w:szCs w:val="24"/>
          <w:u w:val="single"/>
          <w:lang w:eastAsia="ru-RU"/>
        </w:rPr>
      </w:pPr>
    </w:p>
    <w:p w:rsidR="00B43B37" w:rsidRDefault="00B43B37" w:rsidP="00B43B37">
      <w:pPr>
        <w:rPr>
          <w:rFonts w:eastAsia="Times New Roman"/>
          <w:szCs w:val="24"/>
          <w:u w:val="single"/>
          <w:lang w:eastAsia="ru-RU"/>
        </w:rPr>
      </w:pPr>
      <w:r>
        <w:rPr>
          <w:rFonts w:eastAsia="Times New Roman"/>
          <w:szCs w:val="24"/>
          <w:u w:val="single"/>
          <w:lang w:eastAsia="ru-RU"/>
        </w:rPr>
        <w:t>Медикаментозная терапия.</w:t>
      </w:r>
    </w:p>
    <w:p w:rsidR="00B43B37" w:rsidRPr="003F7AC3" w:rsidRDefault="00B43B37" w:rsidP="00B43B37">
      <w:pPr>
        <w:ind w:firstLine="708"/>
        <w:rPr>
          <w:rFonts w:eastAsia="Times New Roman"/>
          <w:szCs w:val="24"/>
          <w:lang w:eastAsia="ru-RU"/>
        </w:rPr>
      </w:pPr>
      <w:r w:rsidRPr="003F7AC3">
        <w:rPr>
          <w:rFonts w:eastAsia="Times New Roman"/>
          <w:szCs w:val="24"/>
          <w:lang w:eastAsia="ru-RU"/>
        </w:rPr>
        <w:t>1) Антикоагулянтная терапия</w:t>
      </w:r>
      <w:r>
        <w:rPr>
          <w:rFonts w:eastAsia="Times New Roman"/>
          <w:szCs w:val="24"/>
          <w:lang w:eastAsia="ru-RU"/>
        </w:rPr>
        <w:t xml:space="preserve">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Oncology/Hematology","id":"ITEM-2","issued":{"date-parts":[["2018","4","1"]]},"page":"41-50","publisher":"Elsevier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-3","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-3","issued":{"date-parts":[["2010"]]},"number-of-pages":"192","title":"Практическая коагулология","type":"book"},"uris":["http://www.mendeley.com/documents/?uuid=36d7b04e-d654-47d2-a073-3cc2bb6e80ce"]}],"mendeley":{"formattedCitation":"[72,74,75]","plainTextFormattedCitation":"[72,74,75]","previouslyFormattedCitation":"[72,74,75]"},"properties":{"noteIndex":0},"schema":"https://github.com/citation-style-language/schema/raw/master/csl-citation.json"}</w:instrText>
      </w:r>
      <w:r>
        <w:fldChar w:fldCharType="separate"/>
      </w:r>
      <w:r w:rsidR="005600FF" w:rsidRPr="005600FF">
        <w:rPr>
          <w:noProof/>
        </w:rPr>
        <w:t>[72,74,75]</w:t>
      </w:r>
      <w:r>
        <w:fldChar w:fldCharType="end"/>
      </w:r>
      <w:r>
        <w:rPr>
          <w:rFonts w:eastAsia="Times New Roman"/>
          <w:szCs w:val="24"/>
          <w:lang w:eastAsia="ru-RU"/>
        </w:rPr>
        <w:t>.</w:t>
      </w:r>
    </w:p>
    <w:p w:rsidR="00B43B37" w:rsidRDefault="00B43B37" w:rsidP="00B43B37">
      <w:pPr>
        <w:widowControl w:val="0"/>
        <w:rPr>
          <w:rFonts w:eastAsia="Times New Roman"/>
          <w:szCs w:val="24"/>
          <w:lang w:eastAsia="ru-RU"/>
        </w:rPr>
      </w:pPr>
      <w:r>
        <w:rPr>
          <w:rFonts w:eastAsia="Times New Roman"/>
          <w:szCs w:val="24"/>
          <w:lang w:eastAsia="ru-RU"/>
        </w:rPr>
        <w:t>Осуществляется лечение нефракционированным гепарином (НФГ), предпочтительно путем постоянного внутривенного введения при помощи инфузомата</w:t>
      </w:r>
      <w:r w:rsidRPr="00987C04">
        <w:rPr>
          <w:rFonts w:eastAsia="Times New Roman"/>
          <w:szCs w:val="24"/>
          <w:lang w:eastAsia="ru-RU"/>
        </w:rPr>
        <w:t xml:space="preserve"> </w:t>
      </w:r>
      <w:r>
        <w:rPr>
          <w:rFonts w:eastAsia="Times New Roman"/>
          <w:szCs w:val="24"/>
          <w:lang w:eastAsia="ru-RU"/>
        </w:rPr>
        <w:fldChar w:fldCharType="begin" w:fldLock="1"/>
      </w:r>
      <w:r w:rsidR="003524A5">
        <w:rPr>
          <w:rFonts w:eastAsia="Times New Roman"/>
          <w:szCs w:val="24"/>
          <w:lang w:eastAsia="ru-RU"/>
        </w:rPr>
        <w:instrText>ADDIN CSL_CITATION {"citationItems":[{"id":"ITEM-1","itemData":{"author":[{"dropping-particle":"","family":"Weitz","given":"I. C.","non-dropping-particle":"","parse-names":false,"suffix":""},{"dropping-particle":"","family":"Israel","given":"V. K.","non-dropping-particle":"","parse-names":false,"suffix":""},{"dropping-particle":"","family":"Waisman","given":"James R","non-dropping-particle":"","parse-names":false,"suffix":""},{"dropping-particle":"","family":"Presant","given":"Cary A","non-dropping-particle":"","parse-names":false,"suffix":""},{"dropping-particle":"","family":"Rochanda","given":"Leanne","non-dropping-particle":"","parse-names":false,"suffix":""},{"dropping-particle":"","family":"Liebman","given":"Howard A","non-dropping-particle":"","parse-names":false,"suffix":""}],"container-title":"Thrombosis and Haemostasis","id":"ITEM-1","issue":"2","issued":{"date-parts":[["2002"]]},"page":"213-220","title":"Chemotherapy-induced activation of hemostasis: effect of a low molecular weight heparin (dalteparin sodium) on plasma markers of hemostatic activation","type":"article-journal","volume":"88"},"uris":["http://www.mendeley.com/documents/?uuid=4bd2d375-bafa-4614-b494-989a99e4214d"]}],"mendeley":{"formattedCitation":"[77]","plainTextFormattedCitation":"[77]","previouslyFormattedCitation":"[77]"},"properties":{"noteIndex":0},"schema":"https://github.com/citation-style-language/schema/raw/master/csl-citation.json"}</w:instrText>
      </w:r>
      <w:r>
        <w:rPr>
          <w:rFonts w:eastAsia="Times New Roman"/>
          <w:szCs w:val="24"/>
          <w:lang w:eastAsia="ru-RU"/>
        </w:rPr>
        <w:fldChar w:fldCharType="separate"/>
      </w:r>
      <w:r w:rsidR="005600FF" w:rsidRPr="005600FF">
        <w:rPr>
          <w:rFonts w:eastAsia="Times New Roman"/>
          <w:noProof/>
          <w:szCs w:val="24"/>
          <w:lang w:eastAsia="ru-RU"/>
        </w:rPr>
        <w:t>[77]</w:t>
      </w:r>
      <w:r>
        <w:rPr>
          <w:rFonts w:eastAsia="Times New Roman"/>
          <w:szCs w:val="24"/>
          <w:lang w:eastAsia="ru-RU"/>
        </w:rPr>
        <w:fldChar w:fldCharType="end"/>
      </w:r>
      <w:r>
        <w:rPr>
          <w:rFonts w:eastAsia="Times New Roman"/>
          <w:szCs w:val="24"/>
          <w:lang w:eastAsia="ru-RU"/>
        </w:rPr>
        <w:t xml:space="preserve">. Доза гепарина подбирается по АЧТВ, которое должно составлять 1,5-2 нормы. Начальная доза гепарина составляет 1000 МЕ/час. Профилактические и лечебные режимы введения НФГ представлены в таблицах 1 и 2. </w:t>
      </w:r>
    </w:p>
    <w:p w:rsidR="00B43B37" w:rsidRDefault="00B43B37" w:rsidP="00B43B37">
      <w:pPr>
        <w:widowControl w:val="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 xml:space="preserve">/л, дозу НФГ снижают вдвое; </w:t>
      </w:r>
      <w:r>
        <w:rPr>
          <w:rFonts w:eastAsia="Times New Roman"/>
          <w:szCs w:val="24"/>
          <w:lang w:eastAsia="ru-RU"/>
        </w:rPr>
        <w:lastRenderedPageBreak/>
        <w:t>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 отменяют. При развитии геморрагического синдрома любой тяжести введение НФГ прекращают и вводят протамина сульфат или свежезамороженную плазму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Pr>
          <w:szCs w:val="24"/>
        </w:rPr>
        <w:t>ривароксабан, дабигатран, апиксабан)</w:t>
      </w:r>
      <w:r w:rsidRPr="00E425CD">
        <w:rPr>
          <w:szCs w:val="24"/>
        </w:rPr>
        <w:t xml:space="preserve"> </w:t>
      </w:r>
      <w:r>
        <w:rPr>
          <w:szCs w:val="24"/>
        </w:rPr>
        <w:fldChar w:fldCharType="begin" w:fldLock="1"/>
      </w:r>
      <w:r w:rsidR="003524A5">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[78]","plainTextFormattedCitation":"[78]","previouslyFormattedCitation":"[78]"},"properties":{"noteIndex":0},"schema":"https://github.com/citation-style-language/schema/raw/master/csl-citation.json"}</w:instrText>
      </w:r>
      <w:r>
        <w:rPr>
          <w:szCs w:val="24"/>
        </w:rPr>
        <w:fldChar w:fldCharType="separate"/>
      </w:r>
      <w:r w:rsidR="005600FF" w:rsidRPr="005600FF">
        <w:rPr>
          <w:noProof/>
          <w:szCs w:val="24"/>
        </w:rPr>
        <w:t>[78]</w:t>
      </w:r>
      <w:r>
        <w:rPr>
          <w:szCs w:val="24"/>
        </w:rPr>
        <w:fldChar w:fldCharType="end"/>
      </w:r>
      <w:r>
        <w:rPr>
          <w:szCs w:val="24"/>
        </w:rPr>
        <w:t xml:space="preserve">. </w:t>
      </w:r>
    </w:p>
    <w:p w:rsidR="00B43B37" w:rsidRDefault="00B43B37" w:rsidP="00B43B37">
      <w:pPr>
        <w:widowControl w:val="0"/>
        <w:rPr>
          <w:szCs w:val="24"/>
        </w:rPr>
      </w:pPr>
      <w:r>
        <w:rPr>
          <w:szCs w:val="24"/>
        </w:rPr>
        <w:t>ГИТ необходимо дифференцировать с миелотоксической тромбоцитопенией. Дифференциальным признаком является панцитопения при миелотоксичности и изолированная тромбоцитопения при ГИТ. Изолированное снижение тромбоцитов может быть и при инфекционных осложнениях – как признак потребления при микротромбировании.</w:t>
      </w:r>
    </w:p>
    <w:p w:rsidR="00B43B37" w:rsidRDefault="00B43B37" w:rsidP="00B43B37">
      <w:pPr>
        <w:widowControl w:val="0"/>
        <w:rPr>
          <w:rFonts w:eastAsia="Times New Roman"/>
          <w:szCs w:val="24"/>
          <w:lang w:eastAsia="ru-RU"/>
        </w:rPr>
      </w:pPr>
      <w:r>
        <w:rPr>
          <w:rFonts w:eastAsia="Times New Roman"/>
          <w:szCs w:val="24"/>
          <w:lang w:eastAsia="ru-RU"/>
        </w:rPr>
        <w:t>Альтернативой НФГ является подкожное введение низкомолекулярного 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и лечебные режимы введения НМГ представлены в таблицах 1 и 2. </w:t>
      </w:r>
    </w:p>
    <w:p w:rsidR="00B43B37" w:rsidRDefault="00B43B37" w:rsidP="00B43B37">
      <w:pPr>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rsidR="00B43B37" w:rsidRDefault="00B43B37" w:rsidP="004F39BB">
      <w:pPr>
        <w:pStyle w:val="afe"/>
        <w:numPr>
          <w:ilvl w:val="0"/>
          <w:numId w:val="21"/>
        </w:numPr>
        <w:ind w:left="1134"/>
        <w:rPr>
          <w:szCs w:val="24"/>
        </w:rPr>
      </w:pPr>
      <w:r>
        <w:rPr>
          <w:szCs w:val="24"/>
        </w:rPr>
        <w:t xml:space="preserve">при профилактической дозе НМГ – 0,3-0,4 МЕ/мл плазмы, </w:t>
      </w:r>
    </w:p>
    <w:p w:rsidR="00B43B37" w:rsidRDefault="00B43B37" w:rsidP="004F39BB">
      <w:pPr>
        <w:pStyle w:val="afe"/>
        <w:numPr>
          <w:ilvl w:val="0"/>
          <w:numId w:val="23"/>
        </w:numPr>
        <w:ind w:left="1134"/>
        <w:rPr>
          <w:szCs w:val="24"/>
        </w:rPr>
      </w:pPr>
      <w:r>
        <w:rPr>
          <w:szCs w:val="24"/>
        </w:rPr>
        <w:t>при лечебной дозе НМГ при введении 2 р/сут – 0,5-1,0 МЕ/мл плазмы,</w:t>
      </w:r>
    </w:p>
    <w:p w:rsidR="00B43B37" w:rsidRDefault="00B43B37" w:rsidP="004F39BB">
      <w:pPr>
        <w:pStyle w:val="afe"/>
        <w:numPr>
          <w:ilvl w:val="0"/>
          <w:numId w:val="23"/>
        </w:numPr>
        <w:ind w:left="1134"/>
        <w:rPr>
          <w:szCs w:val="24"/>
        </w:rPr>
      </w:pPr>
      <w:r>
        <w:rPr>
          <w:szCs w:val="24"/>
        </w:rPr>
        <w:t>при лечебной дозе НМГ при введении 1 р/сут – 1,0-2,0 МЕ/мл плазмы.</w:t>
      </w:r>
    </w:p>
    <w:p w:rsidR="00B43B37" w:rsidRDefault="00B43B37" w:rsidP="00B43B37">
      <w:pPr>
        <w:ind w:left="708"/>
        <w:rPr>
          <w:bCs/>
          <w:szCs w:val="24"/>
        </w:rPr>
      </w:pPr>
    </w:p>
    <w:p w:rsidR="00B43B37" w:rsidRPr="00B46409" w:rsidRDefault="00B43B37" w:rsidP="00B43B37">
      <w:pPr>
        <w:ind w:firstLine="0"/>
        <w:rPr>
          <w:bCs/>
          <w:szCs w:val="24"/>
        </w:rPr>
      </w:pPr>
      <w:r>
        <w:rPr>
          <w:bCs/>
          <w:szCs w:val="24"/>
        </w:rPr>
        <w:t>Таблица 1</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w:t>
      </w:r>
    </w:p>
    <w:tbl>
      <w:tblPr>
        <w:tblStyle w:val="1fc"/>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B43B37" w:rsidRPr="00B46409" w:rsidTr="005600FF">
        <w:trPr>
          <w:trHeight w:val="452"/>
        </w:trPr>
        <w:tc>
          <w:tcPr>
            <w:tcW w:w="3998" w:type="dxa"/>
            <w:shd w:val="clear" w:color="auto" w:fill="auto"/>
          </w:tcPr>
          <w:p w:rsidR="00B43B37" w:rsidRPr="00B46409" w:rsidRDefault="00B43B37" w:rsidP="005600FF">
            <w:pPr>
              <w:ind w:firstLine="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rsidR="00B43B37" w:rsidRPr="00B46409" w:rsidRDefault="00B43B37" w:rsidP="005600FF">
            <w:pPr>
              <w:ind w:firstLine="0"/>
              <w:jc w:val="center"/>
              <w:rPr>
                <w:rFonts w:cs="Times New Roman"/>
                <w:bCs/>
                <w:szCs w:val="24"/>
              </w:rPr>
            </w:pPr>
            <w:r w:rsidRPr="00B46409">
              <w:rPr>
                <w:rFonts w:eastAsiaTheme="majorEastAsia" w:cs="Times New Roman"/>
                <w:bCs/>
                <w:szCs w:val="24"/>
              </w:rPr>
              <w:t>Дозы</w:t>
            </w:r>
          </w:p>
        </w:tc>
      </w:tr>
      <w:tr w:rsidR="00B43B37" w:rsidRPr="00B46409" w:rsidTr="005600FF">
        <w:trPr>
          <w:trHeight w:val="452"/>
        </w:trPr>
        <w:tc>
          <w:tcPr>
            <w:tcW w:w="399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Нефракционированный гепарин</w:t>
            </w:r>
          </w:p>
        </w:tc>
        <w:tc>
          <w:tcPr>
            <w:tcW w:w="4678" w:type="dxa"/>
            <w:shd w:val="clear" w:color="auto" w:fill="auto"/>
          </w:tcPr>
          <w:p w:rsidR="00B43B37" w:rsidRPr="00B46409" w:rsidRDefault="00B43B37" w:rsidP="005600FF">
            <w:pPr>
              <w:ind w:firstLine="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B43B37" w:rsidRPr="00B46409" w:rsidTr="005600FF">
        <w:trPr>
          <w:trHeight w:val="452"/>
        </w:trPr>
        <w:tc>
          <w:tcPr>
            <w:tcW w:w="399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Далтепарин натрия</w:t>
            </w:r>
          </w:p>
        </w:tc>
        <w:tc>
          <w:tcPr>
            <w:tcW w:w="467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5000 МЕ 1 раз в день, п/к</w:t>
            </w:r>
          </w:p>
        </w:tc>
      </w:tr>
      <w:tr w:rsidR="00B43B37" w:rsidRPr="00B46409" w:rsidTr="005600FF">
        <w:trPr>
          <w:trHeight w:val="452"/>
        </w:trPr>
        <w:tc>
          <w:tcPr>
            <w:tcW w:w="399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0,4 мл 1 раз в день, п/к</w:t>
            </w:r>
          </w:p>
        </w:tc>
      </w:tr>
      <w:tr w:rsidR="00B43B37" w:rsidRPr="00B46409" w:rsidTr="005600FF">
        <w:trPr>
          <w:trHeight w:val="452"/>
        </w:trPr>
        <w:tc>
          <w:tcPr>
            <w:tcW w:w="399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0,3 мл 1 раз в день, п/к</w:t>
            </w:r>
          </w:p>
        </w:tc>
      </w:tr>
      <w:tr w:rsidR="00B43B37" w:rsidRPr="00B46409" w:rsidTr="005600FF">
        <w:trPr>
          <w:trHeight w:val="452"/>
        </w:trPr>
        <w:tc>
          <w:tcPr>
            <w:tcW w:w="399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2,5 мг 1 раз в день, п/к</w:t>
            </w:r>
          </w:p>
        </w:tc>
      </w:tr>
      <w:tr w:rsidR="00B43B37" w:rsidRPr="00B46409" w:rsidTr="005600FF">
        <w:trPr>
          <w:trHeight w:val="452"/>
        </w:trPr>
        <w:tc>
          <w:tcPr>
            <w:tcW w:w="3998"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lastRenderedPageBreak/>
              <w:t>после НМГ или НФГ</w:t>
            </w:r>
          </w:p>
        </w:tc>
      </w:tr>
      <w:tr w:rsidR="00B43B37" w:rsidRPr="00B46409" w:rsidTr="005600FF">
        <w:trPr>
          <w:trHeight w:val="452"/>
        </w:trPr>
        <w:tc>
          <w:tcPr>
            <w:tcW w:w="3998"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lastRenderedPageBreak/>
              <w:t>Ривароксабан</w:t>
            </w:r>
          </w:p>
        </w:tc>
        <w:tc>
          <w:tcPr>
            <w:tcW w:w="4678" w:type="dxa"/>
            <w:shd w:val="clear" w:color="auto" w:fill="auto"/>
          </w:tcPr>
          <w:p w:rsidR="00B43B37" w:rsidRPr="00A4634E" w:rsidRDefault="00B43B37" w:rsidP="005600F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B43B37" w:rsidRPr="00B46409" w:rsidTr="005600FF">
        <w:trPr>
          <w:trHeight w:val="452"/>
        </w:trPr>
        <w:tc>
          <w:tcPr>
            <w:tcW w:w="3998"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rsidR="00B43B37" w:rsidRPr="00A4634E" w:rsidRDefault="00B43B37" w:rsidP="005600F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B43B37" w:rsidRPr="00B46409" w:rsidTr="005600FF">
        <w:trPr>
          <w:trHeight w:val="452"/>
        </w:trPr>
        <w:tc>
          <w:tcPr>
            <w:tcW w:w="3998"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rsidR="00B43B37" w:rsidRPr="00A4634E" w:rsidRDefault="00B43B37" w:rsidP="005600F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rsidR="00B43B37" w:rsidRDefault="00B43B37" w:rsidP="00B43B37">
      <w:pPr>
        <w:rPr>
          <w:b/>
          <w:bCs/>
          <w:szCs w:val="24"/>
        </w:rPr>
      </w:pPr>
    </w:p>
    <w:p w:rsidR="00B43B37" w:rsidRPr="00A4634E" w:rsidRDefault="00B43B37" w:rsidP="00B43B37">
      <w:pPr>
        <w:ind w:firstLine="0"/>
        <w:rPr>
          <w:szCs w:val="24"/>
        </w:rPr>
      </w:pPr>
      <w:r w:rsidRPr="00A4634E">
        <w:rPr>
          <w:bCs/>
          <w:szCs w:val="24"/>
        </w:rPr>
        <w:t xml:space="preserve">Таблица </w:t>
      </w:r>
      <w:r>
        <w:rPr>
          <w:bCs/>
          <w:szCs w:val="24"/>
        </w:rPr>
        <w:t>2</w:t>
      </w:r>
      <w:r w:rsidRPr="00A4634E">
        <w:rPr>
          <w:bCs/>
          <w:szCs w:val="24"/>
        </w:rPr>
        <w:t xml:space="preserve">. Режимы антикоагулянтной терапии </w:t>
      </w:r>
      <w:r w:rsidRPr="00A4634E">
        <w:rPr>
          <w:bCs/>
          <w:iCs/>
          <w:szCs w:val="24"/>
        </w:rPr>
        <w:t xml:space="preserve">для лечения </w:t>
      </w:r>
      <w:r w:rsidRPr="00A4634E">
        <w:rPr>
          <w:bCs/>
          <w:szCs w:val="24"/>
        </w:rPr>
        <w:t>тромботических осложнений</w:t>
      </w:r>
    </w:p>
    <w:tbl>
      <w:tblPr>
        <w:tblStyle w:val="1fc"/>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73"/>
        <w:gridCol w:w="5103"/>
      </w:tblGrid>
      <w:tr w:rsidR="00B43B37" w:rsidRPr="00A4634E" w:rsidTr="005600FF">
        <w:trPr>
          <w:trHeight w:val="333"/>
        </w:trPr>
        <w:tc>
          <w:tcPr>
            <w:tcW w:w="3573" w:type="dxa"/>
            <w:shd w:val="clear" w:color="auto" w:fill="auto"/>
          </w:tcPr>
          <w:p w:rsidR="00B43B37" w:rsidRPr="00A4634E" w:rsidRDefault="00B43B37" w:rsidP="005600FF">
            <w:pPr>
              <w:ind w:firstLine="0"/>
              <w:jc w:val="center"/>
              <w:rPr>
                <w:rFonts w:eastAsia="Times New Roman" w:cs="Times New Roman"/>
                <w:szCs w:val="24"/>
                <w:lang w:eastAsia="ru-RU"/>
              </w:rPr>
            </w:pPr>
            <w:r>
              <w:rPr>
                <w:rFonts w:eastAsia="Times New Roman" w:cs="Times New Roman"/>
                <w:bCs/>
                <w:color w:val="000000" w:themeColor="text1" w:themeShade="BF"/>
                <w:kern w:val="2"/>
                <w:szCs w:val="24"/>
                <w:lang w:eastAsia="ru-RU"/>
              </w:rPr>
              <w:t>Препарат</w:t>
            </w:r>
          </w:p>
        </w:tc>
        <w:tc>
          <w:tcPr>
            <w:tcW w:w="5103" w:type="dxa"/>
            <w:shd w:val="clear" w:color="auto" w:fill="auto"/>
          </w:tcPr>
          <w:p w:rsidR="00B43B37" w:rsidRPr="00A4634E" w:rsidRDefault="00B43B37" w:rsidP="005600FF">
            <w:pPr>
              <w:ind w:firstLine="0"/>
              <w:jc w:val="center"/>
              <w:rPr>
                <w:rFonts w:eastAsia="Times New Roman" w:cs="Times New Roman"/>
                <w:szCs w:val="24"/>
                <w:lang w:eastAsia="ru-RU"/>
              </w:rPr>
            </w:pPr>
            <w:r w:rsidRPr="00A4634E">
              <w:rPr>
                <w:rFonts w:eastAsia="Times New Roman" w:cs="Times New Roman"/>
                <w:bCs/>
                <w:color w:val="000000" w:themeColor="text1" w:themeShade="BF"/>
                <w:kern w:val="2"/>
                <w:szCs w:val="24"/>
                <w:lang w:eastAsia="ru-RU"/>
              </w:rPr>
              <w:t>Доза</w:t>
            </w:r>
          </w:p>
        </w:tc>
      </w:tr>
      <w:tr w:rsidR="00B43B37" w:rsidRPr="00A4634E" w:rsidTr="005600FF">
        <w:trPr>
          <w:trHeight w:val="574"/>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Нефракционированный гепарин</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1000 МЕ/час 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B43B37" w:rsidRPr="00A4634E" w:rsidTr="005600FF">
        <w:trPr>
          <w:trHeight w:val="574"/>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Далтепарин натрия</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 xml:space="preserve">100 МЕ/кг каждые 12 ч или 200 МЕ/кг 1 раз в день, </w:t>
            </w:r>
            <w:r w:rsidRPr="00A4634E">
              <w:rPr>
                <w:rFonts w:eastAsia="Times New Roman" w:cs="Times New Roman"/>
                <w:bCs/>
                <w:color w:val="000000" w:themeColor="dark1" w:themeShade="BF"/>
                <w:kern w:val="2"/>
                <w:szCs w:val="24"/>
                <w:lang w:eastAsia="ru-RU"/>
              </w:rPr>
              <w:t>п/к</w:t>
            </w:r>
          </w:p>
        </w:tc>
      </w:tr>
      <w:tr w:rsidR="00B43B37" w:rsidRPr="00A4634E" w:rsidTr="005600FF">
        <w:trPr>
          <w:trHeight w:val="333"/>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Эноксапарин натрия</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100 МЕ/кг каждые 12 ч </w:t>
            </w:r>
            <w:r>
              <w:rPr>
                <w:rFonts w:eastAsia="Times New Roman" w:cs="Times New Roman"/>
                <w:bCs/>
                <w:color w:val="000000" w:themeColor="dark1" w:themeShade="BF"/>
                <w:kern w:val="2"/>
                <w:szCs w:val="24"/>
                <w:lang w:eastAsia="ru-RU"/>
              </w:rPr>
              <w:t>или</w:t>
            </w:r>
            <w:r w:rsidRPr="00A4634E">
              <w:rPr>
                <w:rFonts w:eastAsia="Times New Roman" w:cs="Times New Roman"/>
                <w:bCs/>
                <w:color w:val="000000" w:themeColor="dark1" w:themeShade="BF"/>
                <w:kern w:val="2"/>
                <w:szCs w:val="24"/>
                <w:lang w:eastAsia="ru-RU"/>
              </w:rPr>
              <w:t xml:space="preserve"> 1,5 мг/кг 1 раз в день, п/к</w:t>
            </w:r>
          </w:p>
        </w:tc>
      </w:tr>
      <w:tr w:rsidR="00B43B37" w:rsidRPr="00A4634E" w:rsidTr="005600FF">
        <w:trPr>
          <w:trHeight w:val="333"/>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Надропарин кальция</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86 МЕ/кг х 2 раза в день, п/к</w:t>
            </w:r>
          </w:p>
        </w:tc>
      </w:tr>
      <w:tr w:rsidR="00B43B37" w:rsidRPr="00A4634E" w:rsidTr="005600FF">
        <w:trPr>
          <w:trHeight w:val="821"/>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Фондапаринукс натрия</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менее 50 кг: 5 мг 1 раз в день</w:t>
            </w:r>
            <w:r>
              <w:rPr>
                <w:rFonts w:eastAsia="Times New Roman" w:cs="Times New Roman"/>
                <w:bCs/>
                <w:color w:val="000000" w:themeColor="dark1" w:themeShade="BF"/>
                <w:kern w:val="2"/>
                <w:szCs w:val="24"/>
                <w:lang w:eastAsia="ru-RU"/>
              </w:rPr>
              <w:t>, п/к</w:t>
            </w:r>
          </w:p>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50—100 кг: 7,5 мг 1 раз в д</w:t>
            </w:r>
            <w:r>
              <w:rPr>
                <w:rFonts w:eastAsia="Times New Roman" w:cs="Times New Roman"/>
                <w:bCs/>
                <w:color w:val="000000" w:themeColor="dark1" w:themeShade="BF"/>
                <w:kern w:val="2"/>
                <w:szCs w:val="24"/>
                <w:lang w:eastAsia="ru-RU"/>
              </w:rPr>
              <w:t xml:space="preserve">ень, п/к                         </w:t>
            </w:r>
            <w:r w:rsidRPr="00A4634E">
              <w:rPr>
                <w:rFonts w:eastAsia="Times New Roman" w:cs="Times New Roman"/>
                <w:bCs/>
                <w:color w:val="000000" w:themeColor="dark1" w:themeShade="BF"/>
                <w:kern w:val="2"/>
                <w:szCs w:val="24"/>
                <w:lang w:eastAsia="ru-RU"/>
              </w:rPr>
              <w:t>более 100 кг: 10 мг 1 раз в день</w:t>
            </w:r>
            <w:r>
              <w:rPr>
                <w:rFonts w:eastAsia="Times New Roman" w:cs="Times New Roman"/>
                <w:bCs/>
                <w:color w:val="000000" w:themeColor="dark1" w:themeShade="BF"/>
                <w:kern w:val="2"/>
                <w:szCs w:val="24"/>
                <w:lang w:eastAsia="ru-RU"/>
              </w:rPr>
              <w:t>, п/к</w:t>
            </w:r>
          </w:p>
        </w:tc>
      </w:tr>
      <w:tr w:rsidR="00B43B37" w:rsidRPr="00A4634E" w:rsidTr="005600FF">
        <w:trPr>
          <w:trHeight w:val="821"/>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целевые значения МНО: 2.0—3.0, </w:t>
            </w:r>
          </w:p>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B43B37" w:rsidRPr="00A4634E" w:rsidTr="005600FF">
        <w:trPr>
          <w:trHeight w:val="387"/>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 мг х 2 р/сутки в течение 21 дня, далее 20 мг утром, перорально</w:t>
            </w:r>
          </w:p>
        </w:tc>
      </w:tr>
      <w:tr w:rsidR="00B43B37" w:rsidRPr="00A4634E" w:rsidTr="005600FF">
        <w:trPr>
          <w:trHeight w:val="333"/>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 мг х 2 р/сутки, перорально</w:t>
            </w:r>
          </w:p>
        </w:tc>
      </w:tr>
      <w:tr w:rsidR="00B43B37" w:rsidRPr="00A4634E" w:rsidTr="005600FF">
        <w:trPr>
          <w:trHeight w:val="333"/>
        </w:trPr>
        <w:tc>
          <w:tcPr>
            <w:tcW w:w="357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5103" w:type="dxa"/>
            <w:shd w:val="clear" w:color="auto" w:fill="auto"/>
          </w:tcPr>
          <w:p w:rsidR="00B43B37" w:rsidRPr="00A4634E" w:rsidRDefault="00B43B37" w:rsidP="005600F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150 мг х 2р/сутки, перорально</w:t>
            </w:r>
          </w:p>
        </w:tc>
      </w:tr>
    </w:tbl>
    <w:p w:rsidR="00B43B37" w:rsidRDefault="00B43B37" w:rsidP="00B43B37">
      <w:pPr>
        <w:rPr>
          <w:szCs w:val="24"/>
        </w:rPr>
      </w:pPr>
    </w:p>
    <w:p w:rsidR="00B43B37" w:rsidRDefault="00B43B37" w:rsidP="00B43B37">
      <w:pPr>
        <w:ind w:firstLine="360"/>
        <w:rPr>
          <w:rFonts w:eastAsia="Times New Roman"/>
          <w:szCs w:val="24"/>
          <w:lang w:eastAsia="ru-RU"/>
        </w:rPr>
      </w:pPr>
    </w:p>
    <w:p w:rsidR="00B43B37" w:rsidRDefault="00B43B37" w:rsidP="00B43B37">
      <w:pPr>
        <w:rPr>
          <w:szCs w:val="24"/>
        </w:rPr>
      </w:pPr>
      <w:r>
        <w:rPr>
          <w:rFonts w:eastAsia="Times New Roman"/>
          <w:szCs w:val="24"/>
          <w:lang w:eastAsia="ru-RU"/>
        </w:rPr>
        <w:t>При длительной терапии НМГ рекомендуется мониторинг анти-Ха активности и коррекция дозы НМГ (при необходимости) один раз в месяц.</w:t>
      </w:r>
    </w:p>
    <w:p w:rsidR="00B43B37" w:rsidRDefault="00B43B37" w:rsidP="00B43B37">
      <w:pPr>
        <w:rPr>
          <w:rFonts w:eastAsia="Times New Roman"/>
          <w:szCs w:val="24"/>
          <w:lang w:eastAsia="ru-RU"/>
        </w:rPr>
      </w:pPr>
      <w:r>
        <w:rPr>
          <w:szCs w:val="24"/>
        </w:rPr>
        <w:t xml:space="preserve">Мониторинг анти-Ха активности абсолютно необходим в случае рецидивирующего тромбоза при использовании терапевтических доз НМГ или у пациентов с почечной недостаточностью. </w:t>
      </w:r>
      <w:r>
        <w:rPr>
          <w:rFonts w:eastAsia="Times New Roman"/>
          <w:szCs w:val="24"/>
          <w:lang w:eastAsia="ru-RU"/>
        </w:rPr>
        <w:t>Больным с нарушением функции почек рекомендуется коррекция дозы НМГ и мониторинг анти-Ха активности с частотой один раз в неделю. Для больных с клинически выраженной почечной недостаточностью (клиренс креатинина &lt;30 мл/мин) дозу НМГ корректируют таким образом, чтобы она соответствовала уровню анти-Ха 0,2</w:t>
      </w:r>
      <w:r>
        <w:rPr>
          <w:i/>
          <w:szCs w:val="24"/>
        </w:rPr>
        <w:t>—</w:t>
      </w:r>
      <w:r>
        <w:rPr>
          <w:rFonts w:eastAsia="Times New Roman"/>
          <w:szCs w:val="24"/>
          <w:lang w:eastAsia="ru-RU"/>
        </w:rPr>
        <w:t xml:space="preserve">0,3 </w:t>
      </w:r>
      <w:r>
        <w:rPr>
          <w:szCs w:val="24"/>
        </w:rPr>
        <w:t>анти-</w:t>
      </w:r>
      <w:r>
        <w:rPr>
          <w:szCs w:val="24"/>
          <w:lang w:val="en-US"/>
        </w:rPr>
        <w:t>Xa</w:t>
      </w:r>
      <w:r>
        <w:rPr>
          <w:szCs w:val="24"/>
        </w:rPr>
        <w:t xml:space="preserve"> МЕ</w:t>
      </w:r>
      <w:r>
        <w:rPr>
          <w:rFonts w:eastAsia="Times New Roman"/>
          <w:szCs w:val="24"/>
          <w:lang w:eastAsia="ru-RU"/>
        </w:rPr>
        <w:t xml:space="preserve">/мл. </w:t>
      </w:r>
    </w:p>
    <w:p w:rsidR="00B43B37" w:rsidRDefault="00B43B37" w:rsidP="00B43B37">
      <w:pPr>
        <w:rPr>
          <w:szCs w:val="24"/>
        </w:rPr>
      </w:pPr>
      <w:r>
        <w:rPr>
          <w:szCs w:val="24"/>
        </w:rPr>
        <w:lastRenderedPageBreak/>
        <w:t>Для выявления возможного накопления НМГ после нескольких введений следует проанализировать анти-Ха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rsidR="00B43B37" w:rsidRDefault="00B43B37" w:rsidP="00B43B37">
      <w:pPr>
        <w:rPr>
          <w:szCs w:val="24"/>
        </w:rPr>
      </w:pPr>
      <w:r>
        <w:rPr>
          <w:szCs w:val="24"/>
        </w:rPr>
        <w:t>Коррекция дозы НМГ у онкогематологических пациентов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rsidR="00B43B37" w:rsidRDefault="00B43B37" w:rsidP="00B43B37">
      <w:pPr>
        <w:rPr>
          <w:rFonts w:eastAsia="Times New Roman"/>
          <w:szCs w:val="24"/>
          <w:lang w:eastAsia="ru-RU"/>
        </w:rPr>
      </w:pPr>
      <w:r>
        <w:rPr>
          <w:rFonts w:eastAsia="Times New Roman"/>
          <w:szCs w:val="24"/>
          <w:lang w:eastAsia="ru-RU"/>
        </w:rPr>
        <w:t xml:space="preserve">В отдельных случаях тромбозов, а также при ГИТ </w:t>
      </w:r>
      <w:r>
        <w:rPr>
          <w:rFonts w:eastAsia="Times New Roman"/>
          <w:szCs w:val="24"/>
          <w:lang w:val="en-US" w:eastAsia="ru-RU"/>
        </w:rPr>
        <w:t>II</w:t>
      </w:r>
      <w:r>
        <w:rPr>
          <w:rFonts w:eastAsia="Times New Roman"/>
          <w:szCs w:val="24"/>
          <w:lang w:eastAsia="ru-RU"/>
        </w:rPr>
        <w:t xml:space="preserve"> применяется фондапаринукс 5 мг подкожно (п/к) 1 раз в день при весе пациента более 50кг. При весе пациента 75 кг и более фондапаринукс вводится в дозе 7,5 мг.</w:t>
      </w:r>
    </w:p>
    <w:p w:rsidR="00B43B37" w:rsidRDefault="00B43B37" w:rsidP="00B43B37">
      <w:pPr>
        <w:rPr>
          <w:rFonts w:eastAsia="Times New Roman"/>
          <w:szCs w:val="24"/>
          <w:lang w:eastAsia="ru-RU"/>
        </w:rPr>
      </w:pPr>
      <w:r>
        <w:rPr>
          <w:rFonts w:eastAsia="Times New Roman"/>
          <w:szCs w:val="24"/>
          <w:lang w:eastAsia="ru-RU"/>
        </w:rPr>
        <w:t>Прямые оральные антикоагулянты (ПОАК)</w:t>
      </w:r>
      <w:r>
        <w:rPr>
          <w:rFonts w:eastAsia="Times New Roman"/>
          <w:szCs w:val="24"/>
          <w:lang w:val="en-US" w:eastAsia="ru-RU"/>
        </w:rPr>
        <w:t xml:space="preserve"> </w:t>
      </w:r>
      <w:r>
        <w:rPr>
          <w:szCs w:val="24"/>
        </w:rPr>
        <w:fldChar w:fldCharType="begin" w:fldLock="1"/>
      </w:r>
      <w:r w:rsidR="003524A5">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[78]","plainTextFormattedCitation":"[78]","previouslyFormattedCitation":"[78]"},"properties":{"noteIndex":0},"schema":"https://github.com/citation-style-language/schema/raw/master/csl-citation.json"}</w:instrText>
      </w:r>
      <w:r>
        <w:rPr>
          <w:szCs w:val="24"/>
        </w:rPr>
        <w:fldChar w:fldCharType="separate"/>
      </w:r>
      <w:r w:rsidR="005600FF" w:rsidRPr="005600FF">
        <w:rPr>
          <w:noProof/>
          <w:szCs w:val="24"/>
        </w:rPr>
        <w:t>[78]</w:t>
      </w:r>
      <w:r>
        <w:rPr>
          <w:szCs w:val="24"/>
        </w:rPr>
        <w:fldChar w:fldCharType="end"/>
      </w:r>
      <w:r>
        <w:rPr>
          <w:rFonts w:eastAsia="Times New Roman"/>
          <w:szCs w:val="24"/>
          <w:lang w:eastAsia="ru-RU"/>
        </w:rPr>
        <w:t xml:space="preserve">: </w:t>
      </w:r>
    </w:p>
    <w:p w:rsidR="00B43B37" w:rsidRPr="00C83EC0" w:rsidRDefault="00B43B37" w:rsidP="004F39BB">
      <w:pPr>
        <w:pStyle w:val="afe"/>
        <w:numPr>
          <w:ilvl w:val="0"/>
          <w:numId w:val="31"/>
        </w:numPr>
        <w:ind w:left="1134"/>
        <w:contextualSpacing w:val="0"/>
        <w:rPr>
          <w:szCs w:val="24"/>
        </w:rPr>
      </w:pPr>
      <w:r w:rsidRPr="00C83EC0">
        <w:rPr>
          <w:szCs w:val="24"/>
        </w:rPr>
        <w:t>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rsidR="00B43B37" w:rsidRPr="00C83EC0" w:rsidRDefault="00B43B37" w:rsidP="004F39BB">
      <w:pPr>
        <w:pStyle w:val="afe"/>
        <w:numPr>
          <w:ilvl w:val="0"/>
          <w:numId w:val="31"/>
        </w:numPr>
        <w:ind w:left="1134"/>
        <w:contextualSpacing w:val="0"/>
        <w:rPr>
          <w:rFonts w:eastAsia="Times New Roman"/>
          <w:szCs w:val="24"/>
          <w:lang w:eastAsia="ru-RU"/>
        </w:rPr>
      </w:pPr>
      <w:r w:rsidRPr="00C83EC0">
        <w:rPr>
          <w:rFonts w:eastAsia="Times New Roman"/>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C83EC0">
        <w:rPr>
          <w:i/>
          <w:szCs w:val="24"/>
        </w:rPr>
        <w:t>—</w:t>
      </w:r>
      <w:r w:rsidRPr="00C83EC0">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rsidR="00B43B37" w:rsidRPr="00C83EC0" w:rsidRDefault="00B43B37" w:rsidP="004F39BB">
      <w:pPr>
        <w:pStyle w:val="afe"/>
        <w:numPr>
          <w:ilvl w:val="0"/>
          <w:numId w:val="31"/>
        </w:numPr>
        <w:ind w:left="1134"/>
        <w:contextualSpacing w:val="0"/>
        <w:rPr>
          <w:rFonts w:eastAsia="Times New Roman"/>
          <w:szCs w:val="24"/>
          <w:lang w:eastAsia="ru-RU"/>
        </w:rPr>
      </w:pPr>
      <w:r w:rsidRPr="00C83EC0">
        <w:rPr>
          <w:rFonts w:eastAsia="Times New Roman"/>
          <w:szCs w:val="24"/>
          <w:lang w:eastAsia="ru-RU"/>
        </w:rPr>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rsidR="00B43B37" w:rsidRPr="00C83EC0" w:rsidRDefault="00B43B37" w:rsidP="004F39BB">
      <w:pPr>
        <w:pStyle w:val="afe"/>
        <w:numPr>
          <w:ilvl w:val="0"/>
          <w:numId w:val="31"/>
        </w:numPr>
        <w:ind w:left="1134"/>
        <w:contextualSpacing w:val="0"/>
        <w:rPr>
          <w:rFonts w:eastAsia="Times New Roman"/>
          <w:szCs w:val="24"/>
          <w:lang w:eastAsia="ru-RU"/>
        </w:rPr>
      </w:pPr>
      <w:r w:rsidRPr="00C83EC0">
        <w:rPr>
          <w:rFonts w:eastAsia="Times New Roman"/>
          <w:szCs w:val="24"/>
          <w:lang w:eastAsia="ru-RU"/>
        </w:rPr>
        <w:t>сулодексид 250 ЛЕ х 2 раза в день.</w:t>
      </w:r>
    </w:p>
    <w:p w:rsidR="00B43B37" w:rsidRDefault="00B43B37" w:rsidP="00B43B37">
      <w:pPr>
        <w:rPr>
          <w:szCs w:val="24"/>
        </w:rPr>
      </w:pPr>
      <w:r>
        <w:rPr>
          <w:rFonts w:eastAsia="Times New Roman"/>
          <w:szCs w:val="24"/>
          <w:lang w:eastAsia="ru-RU"/>
        </w:rPr>
        <w:t xml:space="preserve">Антагонист витамина К (АВК)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w:t>
      </w:r>
      <w:r>
        <w:rPr>
          <w:szCs w:val="24"/>
        </w:rPr>
        <w:lastRenderedPageBreak/>
        <w:t xml:space="preserve">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3. В дальнейшем лабораторный контроль проводят регулярно каждые 4-8 недель.</w:t>
      </w:r>
    </w:p>
    <w:p w:rsidR="00B43B37" w:rsidRDefault="00B43B37" w:rsidP="00B43B37">
      <w:pPr>
        <w:ind w:firstLine="708"/>
        <w:rPr>
          <w:szCs w:val="24"/>
        </w:rPr>
      </w:pPr>
    </w:p>
    <w:p w:rsidR="00B43B37" w:rsidRPr="00B46409" w:rsidRDefault="00B43B37" w:rsidP="00B43B37">
      <w:pPr>
        <w:ind w:firstLine="0"/>
        <w:rPr>
          <w:szCs w:val="24"/>
        </w:rPr>
      </w:pPr>
      <w:r w:rsidRPr="00B46409">
        <w:rPr>
          <w:szCs w:val="24"/>
        </w:rPr>
        <w:t xml:space="preserve">Таблица </w:t>
      </w:r>
      <w:r>
        <w:rPr>
          <w:szCs w:val="24"/>
        </w:rPr>
        <w:t>3</w:t>
      </w:r>
      <w:r w:rsidRPr="00B46409">
        <w:rPr>
          <w:szCs w:val="24"/>
        </w:rPr>
        <w:t xml:space="preserve">. </w:t>
      </w:r>
      <w:r w:rsidRPr="00B46409">
        <w:rPr>
          <w:bCs/>
          <w:szCs w:val="24"/>
        </w:rPr>
        <w:t>Коррекция дозы варфарина в зависимости от МНО</w:t>
      </w:r>
    </w:p>
    <w:tbl>
      <w:tblPr>
        <w:tblStyle w:val="1fc"/>
        <w:tblW w:w="89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B43B37" w:rsidTr="005600FF">
        <w:trPr>
          <w:trHeight w:val="374"/>
        </w:trPr>
        <w:tc>
          <w:tcPr>
            <w:tcW w:w="4394" w:type="dxa"/>
            <w:shd w:val="clear" w:color="auto" w:fill="auto"/>
          </w:tcPr>
          <w:p w:rsidR="00B43B37" w:rsidRPr="007C4816" w:rsidRDefault="00B43B37" w:rsidP="005600FF">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rsidR="00B43B37" w:rsidRPr="007C4816" w:rsidRDefault="00B43B37" w:rsidP="005600FF">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B43B37" w:rsidTr="005600FF">
        <w:trPr>
          <w:trHeight w:val="714"/>
        </w:trPr>
        <w:tc>
          <w:tcPr>
            <w:tcW w:w="4394"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B43B37" w:rsidTr="005600FF">
        <w:trPr>
          <w:trHeight w:val="515"/>
        </w:trPr>
        <w:tc>
          <w:tcPr>
            <w:tcW w:w="4394"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B43B37" w:rsidTr="005600FF">
        <w:trPr>
          <w:trHeight w:val="539"/>
        </w:trPr>
        <w:tc>
          <w:tcPr>
            <w:tcW w:w="4394"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B43B37" w:rsidTr="005600FF">
        <w:trPr>
          <w:trHeight w:val="437"/>
        </w:trPr>
        <w:tc>
          <w:tcPr>
            <w:tcW w:w="4394"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B43B37" w:rsidTr="005600FF">
        <w:trPr>
          <w:trHeight w:val="565"/>
        </w:trPr>
        <w:tc>
          <w:tcPr>
            <w:tcW w:w="4394" w:type="dxa"/>
            <w:vMerge w:val="restart"/>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rsidR="00B43B37" w:rsidRPr="007C4816" w:rsidRDefault="00B43B37" w:rsidP="005600FF">
            <w:pPr>
              <w:ind w:firstLine="0"/>
              <w:jc w:val="center"/>
              <w:rPr>
                <w:rFonts w:cs="Times New Roman"/>
                <w:szCs w:val="24"/>
              </w:rPr>
            </w:pPr>
          </w:p>
        </w:tc>
        <w:tc>
          <w:tcPr>
            <w:tcW w:w="4570"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B43B37" w:rsidTr="005600FF">
        <w:trPr>
          <w:trHeight w:val="755"/>
        </w:trPr>
        <w:tc>
          <w:tcPr>
            <w:tcW w:w="4394" w:type="dxa"/>
            <w:vMerge/>
            <w:shd w:val="clear" w:color="auto" w:fill="auto"/>
          </w:tcPr>
          <w:p w:rsidR="00B43B37" w:rsidRPr="007C4816" w:rsidRDefault="00B43B37" w:rsidP="005600FF">
            <w:pPr>
              <w:ind w:firstLine="0"/>
              <w:jc w:val="center"/>
              <w:rPr>
                <w:rFonts w:eastAsiaTheme="majorEastAsia" w:cs="Times New Roman"/>
                <w:bCs/>
                <w:szCs w:val="24"/>
              </w:rPr>
            </w:pPr>
          </w:p>
        </w:tc>
        <w:tc>
          <w:tcPr>
            <w:tcW w:w="4570" w:type="dxa"/>
            <w:shd w:val="clear" w:color="auto" w:fill="auto"/>
          </w:tcPr>
          <w:p w:rsidR="00B43B37" w:rsidRPr="007C4816" w:rsidRDefault="00B43B37" w:rsidP="005600FF">
            <w:pPr>
              <w:ind w:firstLine="0"/>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rsidR="00B43B37" w:rsidRDefault="00B43B37" w:rsidP="00B43B37">
      <w:pPr>
        <w:rPr>
          <w:strike/>
          <w:szCs w:val="24"/>
        </w:rPr>
      </w:pPr>
    </w:p>
    <w:p w:rsidR="00B43B37" w:rsidRDefault="00B43B37" w:rsidP="00B43B37">
      <w:pPr>
        <w:rPr>
          <w:rFonts w:eastAsia="Times New Roman"/>
          <w:szCs w:val="24"/>
          <w:lang w:eastAsia="ru-RU"/>
        </w:rPr>
      </w:pPr>
      <w:r>
        <w:rPr>
          <w:rFonts w:eastAsia="Times New Roman"/>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rsidR="00B43B37" w:rsidRDefault="00B43B37" w:rsidP="00B43B37">
      <w:pPr>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rsidR="00B43B37" w:rsidRDefault="00B43B37" w:rsidP="004F39BB">
      <w:pPr>
        <w:pStyle w:val="afe"/>
        <w:numPr>
          <w:ilvl w:val="0"/>
          <w:numId w:val="24"/>
        </w:numPr>
        <w:ind w:left="1134"/>
        <w:rPr>
          <w:szCs w:val="24"/>
        </w:rPr>
      </w:pPr>
      <w:r>
        <w:rPr>
          <w:szCs w:val="24"/>
        </w:rPr>
        <w:lastRenderedPageBreak/>
        <w:t>лечение прямыми пероральными антикоагулянтами должно быть начато за 0-2 часа до следующего планового введения парентерального антикоагулянта;</w:t>
      </w:r>
    </w:p>
    <w:p w:rsidR="00B43B37" w:rsidRDefault="00B43B37" w:rsidP="004F39BB">
      <w:pPr>
        <w:pStyle w:val="afe"/>
        <w:numPr>
          <w:ilvl w:val="0"/>
          <w:numId w:val="24"/>
        </w:numPr>
        <w:ind w:left="1134"/>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rsidR="00B43B37" w:rsidRDefault="00B43B37" w:rsidP="00B43B37">
      <w:pPr>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rsidR="00B43B37" w:rsidRDefault="00B43B37" w:rsidP="00B43B37">
      <w:pPr>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rsidR="00B43B37" w:rsidRDefault="00B43B37" w:rsidP="004F39BB">
      <w:pPr>
        <w:pStyle w:val="afe"/>
        <w:numPr>
          <w:ilvl w:val="0"/>
          <w:numId w:val="25"/>
        </w:numPr>
        <w:ind w:left="1134"/>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rsidR="00B43B37" w:rsidRDefault="00B43B37" w:rsidP="004F39BB">
      <w:pPr>
        <w:pStyle w:val="afe"/>
        <w:numPr>
          <w:ilvl w:val="0"/>
          <w:numId w:val="25"/>
        </w:numPr>
        <w:ind w:left="1134"/>
        <w:rPr>
          <w:szCs w:val="24"/>
        </w:rPr>
      </w:pPr>
      <w:r>
        <w:rPr>
          <w:szCs w:val="24"/>
        </w:rPr>
        <w:t>для апиксабана – выждать 12 часов с приема последней дозы и ввести парентеральный антикоагулянт.</w:t>
      </w:r>
    </w:p>
    <w:p w:rsidR="00B43B37" w:rsidRDefault="00B43B37" w:rsidP="00B43B37">
      <w:pPr>
        <w:ind w:firstLine="708"/>
        <w:rPr>
          <w:bCs/>
          <w:szCs w:val="24"/>
        </w:rPr>
      </w:pPr>
      <w:r>
        <w:rPr>
          <w:bCs/>
          <w:szCs w:val="24"/>
        </w:rPr>
        <w:t>Гематологическим пациентам с высоким риском тромботических осложнений необходимо обязательное проведение антитромботической профилактики в случае проведения хирургического вмешательства. Дозы и режимы лекарственных препаратов представлены в таблице 4.</w:t>
      </w:r>
    </w:p>
    <w:p w:rsidR="00B43B37" w:rsidRDefault="00B43B37" w:rsidP="00B43B37">
      <w:pPr>
        <w:ind w:firstLine="0"/>
        <w:rPr>
          <w:bCs/>
          <w:szCs w:val="24"/>
        </w:rPr>
      </w:pPr>
    </w:p>
    <w:p w:rsidR="00B43B37" w:rsidRPr="00B46409" w:rsidRDefault="00B43B37" w:rsidP="00B43B37">
      <w:pPr>
        <w:ind w:firstLine="0"/>
        <w:rPr>
          <w:bCs/>
          <w:szCs w:val="24"/>
        </w:rPr>
      </w:pPr>
      <w:r w:rsidRPr="00B46409">
        <w:rPr>
          <w:bCs/>
          <w:szCs w:val="24"/>
        </w:rPr>
        <w:t xml:space="preserve">Таблица </w:t>
      </w:r>
      <w:r>
        <w:rPr>
          <w:bCs/>
          <w:szCs w:val="24"/>
        </w:rPr>
        <w:t>4</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 при проведении хирургических вмешательств</w:t>
      </w:r>
    </w:p>
    <w:tbl>
      <w:tblPr>
        <w:tblStyle w:val="1fc"/>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58"/>
        <w:gridCol w:w="4680"/>
      </w:tblGrid>
      <w:tr w:rsidR="00B43B37" w:rsidRPr="00B46409" w:rsidTr="005600FF">
        <w:trPr>
          <w:trHeight w:val="452"/>
        </w:trPr>
        <w:tc>
          <w:tcPr>
            <w:tcW w:w="325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Нефракционированный гепарин</w:t>
            </w:r>
          </w:p>
        </w:tc>
        <w:tc>
          <w:tcPr>
            <w:tcW w:w="4680"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B43B37" w:rsidRPr="00B46409" w:rsidTr="005600FF">
        <w:trPr>
          <w:trHeight w:val="452"/>
        </w:trPr>
        <w:tc>
          <w:tcPr>
            <w:tcW w:w="325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Далтепарин натрия</w:t>
            </w:r>
          </w:p>
        </w:tc>
        <w:tc>
          <w:tcPr>
            <w:tcW w:w="4680"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B43B37" w:rsidRPr="00B46409" w:rsidTr="005600FF">
        <w:trPr>
          <w:trHeight w:val="561"/>
        </w:trPr>
        <w:tc>
          <w:tcPr>
            <w:tcW w:w="325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Эноксапарин натрия</w:t>
            </w:r>
          </w:p>
        </w:tc>
        <w:tc>
          <w:tcPr>
            <w:tcW w:w="4680"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0,4 мл за 10—12 ч перед операцией и 0,4 мл 1 раз в день после, п/к</w:t>
            </w:r>
          </w:p>
        </w:tc>
      </w:tr>
      <w:tr w:rsidR="00B43B37" w:rsidRPr="00B46409" w:rsidTr="005600FF">
        <w:trPr>
          <w:trHeight w:val="452"/>
        </w:trPr>
        <w:tc>
          <w:tcPr>
            <w:tcW w:w="325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Надропарин кальция</w:t>
            </w:r>
          </w:p>
        </w:tc>
        <w:tc>
          <w:tcPr>
            <w:tcW w:w="4680"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0,3 мл за 10—12 ч перед операцией и 0,3 мл 1 раз в день после, п/к</w:t>
            </w:r>
          </w:p>
        </w:tc>
      </w:tr>
      <w:tr w:rsidR="00B43B37" w:rsidRPr="00B46409" w:rsidTr="005600FF">
        <w:trPr>
          <w:trHeight w:val="780"/>
        </w:trPr>
        <w:tc>
          <w:tcPr>
            <w:tcW w:w="3258"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Фондапаринукс натрия</w:t>
            </w:r>
          </w:p>
        </w:tc>
        <w:tc>
          <w:tcPr>
            <w:tcW w:w="4680" w:type="dxa"/>
            <w:shd w:val="clear" w:color="auto" w:fill="auto"/>
          </w:tcPr>
          <w:p w:rsidR="00B43B37" w:rsidRPr="00B46409" w:rsidRDefault="00B43B37" w:rsidP="005600FF">
            <w:pPr>
              <w:ind w:firstLine="0"/>
              <w:rPr>
                <w:rFonts w:cs="Times New Roman"/>
                <w:bCs/>
                <w:szCs w:val="24"/>
              </w:rPr>
            </w:pPr>
            <w:r w:rsidRPr="00B46409">
              <w:rPr>
                <w:rFonts w:eastAsiaTheme="majorEastAsia" w:cs="Times New Roman"/>
                <w:bCs/>
                <w:szCs w:val="24"/>
              </w:rPr>
              <w:t>2,5 мг ежедневно 1 раз в день перед оперативным лечением и через 6—8 ч после, п/к</w:t>
            </w:r>
          </w:p>
        </w:tc>
      </w:tr>
    </w:tbl>
    <w:p w:rsidR="00B43B37" w:rsidRDefault="00B43B37" w:rsidP="00B43B37">
      <w:pPr>
        <w:rPr>
          <w:b/>
          <w:bCs/>
          <w:szCs w:val="24"/>
        </w:rPr>
      </w:pPr>
    </w:p>
    <w:p w:rsidR="00B43B37" w:rsidRPr="00C14067" w:rsidRDefault="00B43B37" w:rsidP="00B43B37">
      <w:pPr>
        <w:rPr>
          <w:rFonts w:eastAsia="Times New Roman"/>
          <w:szCs w:val="24"/>
          <w:lang w:eastAsia="ru-RU"/>
        </w:rPr>
      </w:pPr>
      <w:r>
        <w:rPr>
          <w:rFonts w:eastAsia="Times New Roman"/>
          <w:szCs w:val="24"/>
          <w:lang w:eastAsia="ru-RU"/>
        </w:rPr>
        <w:lastRenderedPageBreak/>
        <w:t>Длительность терапии определяется причиной, видом и локализацией тромботического осложнения. Обязательно учитываются данные анамнеза пациента по предшествующим тромботическим событиям. В некоторых ситуациях антикоагулянтная терапия проводится пожизненно.</w:t>
      </w:r>
    </w:p>
    <w:p w:rsidR="00B43B37" w:rsidRDefault="00B43B37" w:rsidP="00B43B37">
      <w:pPr>
        <w:rPr>
          <w:rFonts w:eastAsia="Times New Roman"/>
          <w:szCs w:val="24"/>
          <w:u w:val="single"/>
          <w:lang w:eastAsia="ru-RU"/>
        </w:rPr>
      </w:pPr>
    </w:p>
    <w:p w:rsidR="00B43B37" w:rsidRPr="00307C3E" w:rsidRDefault="00B43B37" w:rsidP="00B43B37">
      <w:pPr>
        <w:rPr>
          <w:rFonts w:eastAsia="Times New Roman"/>
          <w:szCs w:val="24"/>
          <w:lang w:eastAsia="ru-RU"/>
        </w:rPr>
      </w:pPr>
      <w:r w:rsidRPr="00307C3E">
        <w:rPr>
          <w:rFonts w:eastAsia="Times New Roman"/>
          <w:szCs w:val="24"/>
          <w:lang w:eastAsia="ru-RU"/>
        </w:rPr>
        <w:t>2) Фибринолитическая терапия</w:t>
      </w:r>
      <w:r>
        <w:rPr>
          <w:rFonts w:eastAsia="Times New Roman"/>
          <w:szCs w:val="24"/>
          <w:lang w:eastAsia="ru-RU"/>
        </w:rPr>
        <w:t xml:space="preserve">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rsidRPr="00307C3E">
        <w:rPr>
          <w:rFonts w:eastAsia="Times New Roman"/>
          <w:szCs w:val="24"/>
          <w:lang w:eastAsia="ru-RU"/>
        </w:rPr>
        <w:t>.</w:t>
      </w:r>
    </w:p>
    <w:p w:rsidR="00B43B37" w:rsidRDefault="00B43B37" w:rsidP="00B43B37">
      <w:pPr>
        <w:rPr>
          <w:rFonts w:eastAsia="Times New Roman"/>
          <w:sz w:val="28"/>
          <w:szCs w:val="28"/>
          <w:lang w:eastAsia="ru-RU"/>
        </w:rPr>
      </w:pPr>
      <w:r>
        <w:rPr>
          <w:rFonts w:eastAsia="Times New Roman"/>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rsidR="00B43B37" w:rsidRDefault="00B43B37" w:rsidP="00B43B37">
      <w:pPr>
        <w:rPr>
          <w:rFonts w:eastAsia="Times New Roman"/>
          <w:szCs w:val="24"/>
          <w:u w:val="single"/>
          <w:lang w:eastAsia="ru-RU"/>
        </w:rPr>
      </w:pPr>
    </w:p>
    <w:p w:rsidR="00B43B37" w:rsidRPr="00307C3E" w:rsidRDefault="00B43B37" w:rsidP="00B43B37">
      <w:pPr>
        <w:rPr>
          <w:rFonts w:eastAsia="Times New Roman"/>
          <w:szCs w:val="24"/>
          <w:lang w:eastAsia="ru-RU"/>
        </w:rPr>
      </w:pPr>
      <w:r w:rsidRPr="00307C3E">
        <w:rPr>
          <w:rFonts w:eastAsia="Times New Roman"/>
          <w:szCs w:val="24"/>
          <w:lang w:eastAsia="ru-RU"/>
        </w:rPr>
        <w:t>3) Антиагрегантная терапия</w:t>
      </w:r>
      <w:r>
        <w:rPr>
          <w:rFonts w:eastAsia="Times New Roman"/>
          <w:szCs w:val="24"/>
          <w:lang w:eastAsia="ru-RU"/>
        </w:rPr>
        <w:t xml:space="preserve">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[74,75]","plainTextFormattedCitation":"[74,75]","previouslyFormattedCitation":"[74,75]"},"properties":{"noteIndex":0},"schema":"https://github.com/citation-style-language/schema/raw/master/csl-citation.json"}</w:instrText>
      </w:r>
      <w:r>
        <w:fldChar w:fldCharType="separate"/>
      </w:r>
      <w:r w:rsidR="005600FF" w:rsidRPr="005600FF">
        <w:rPr>
          <w:noProof/>
        </w:rPr>
        <w:t>[74,75]</w:t>
      </w:r>
      <w:r>
        <w:fldChar w:fldCharType="end"/>
      </w:r>
      <w:r w:rsidRPr="00307C3E">
        <w:rPr>
          <w:rFonts w:eastAsia="Times New Roman"/>
          <w:szCs w:val="24"/>
          <w:lang w:eastAsia="ru-RU"/>
        </w:rPr>
        <w:t>.</w:t>
      </w:r>
    </w:p>
    <w:p w:rsidR="00B43B37" w:rsidRDefault="00B43B37" w:rsidP="00B43B37">
      <w:pPr>
        <w:rPr>
          <w:rFonts w:eastAsia="Times New Roman"/>
          <w:szCs w:val="24"/>
          <w:lang w:eastAsia="ru-RU"/>
        </w:rPr>
      </w:pPr>
      <w:r w:rsidRPr="00A4634E">
        <w:rPr>
          <w:rFonts w:eastAsia="Times New Roman"/>
          <w:szCs w:val="24"/>
          <w:lang w:eastAsia="ru-RU"/>
        </w:rPr>
        <w:t>Антиагрегантная терапия</w:t>
      </w:r>
      <w:r>
        <w:rPr>
          <w:rFonts w:eastAsia="Times New Roman"/>
          <w:szCs w:val="24"/>
          <w:lang w:eastAsia="ru-RU"/>
        </w:rPr>
        <w:t xml:space="preserve"> применяется при артериальных тромбозах, венозных тромбозах, гипертромбоцитозах.  Используются следующие препараты:</w:t>
      </w:r>
    </w:p>
    <w:p w:rsidR="00B43B37" w:rsidRDefault="00B43B37" w:rsidP="004F39BB">
      <w:pPr>
        <w:numPr>
          <w:ilvl w:val="0"/>
          <w:numId w:val="28"/>
        </w:numPr>
        <w:ind w:left="1134"/>
        <w:rPr>
          <w:rFonts w:eastAsia="Times New Roman"/>
          <w:szCs w:val="24"/>
          <w:lang w:eastAsia="ru-RU"/>
        </w:rPr>
      </w:pPr>
      <w:r>
        <w:rPr>
          <w:rFonts w:eastAsia="Times New Roman"/>
          <w:szCs w:val="24"/>
          <w:lang w:eastAsia="ru-RU"/>
        </w:rPr>
        <w:t xml:space="preserve">Ацетилсалициловая кислота 75-150 мг в сутки. Подбор осуществляют с учетом показателей адреналин-индуцированной агрегации тромбоцитов. Агрегация должна составлять менее 50%. </w:t>
      </w:r>
    </w:p>
    <w:p w:rsidR="00B43B37" w:rsidRDefault="00B43B37" w:rsidP="004F39BB">
      <w:pPr>
        <w:pStyle w:val="afe"/>
        <w:numPr>
          <w:ilvl w:val="0"/>
          <w:numId w:val="28"/>
        </w:numPr>
        <w:ind w:left="1134"/>
        <w:rPr>
          <w:rFonts w:eastAsia="Times New Roman"/>
          <w:szCs w:val="24"/>
          <w:lang w:eastAsia="ru-RU"/>
        </w:rPr>
      </w:pPr>
      <w:r w:rsidRPr="00A4634E">
        <w:rPr>
          <w:rFonts w:eastAsia="Times New Roman"/>
          <w:szCs w:val="24"/>
          <w:lang w:eastAsia="ru-RU"/>
        </w:rPr>
        <w:t xml:space="preserve">Клопидогрел (непрямой ингибитор АДФ-рецептора тромбоцитов </w:t>
      </w:r>
      <w:r w:rsidRPr="00A4634E">
        <w:rPr>
          <w:rFonts w:eastAsia="Times New Roman"/>
          <w:szCs w:val="24"/>
          <w:lang w:val="en-US" w:eastAsia="ru-RU"/>
        </w:rPr>
        <w:t>P</w:t>
      </w:r>
      <w:r w:rsidRPr="00A4634E">
        <w:rPr>
          <w:rFonts w:eastAsia="Times New Roman"/>
          <w:szCs w:val="24"/>
          <w:lang w:eastAsia="ru-RU"/>
        </w:rPr>
        <w:t>2</w:t>
      </w:r>
      <w:r w:rsidRPr="00A4634E">
        <w:rPr>
          <w:rFonts w:eastAsia="Times New Roman"/>
          <w:szCs w:val="24"/>
          <w:lang w:val="en-US" w:eastAsia="ru-RU"/>
        </w:rPr>
        <w:t>Y</w:t>
      </w:r>
      <w:r w:rsidRPr="00A4634E">
        <w:rPr>
          <w:rFonts w:eastAsia="Times New Roman"/>
          <w:szCs w:val="24"/>
          <w:lang w:eastAsia="ru-RU"/>
        </w:rPr>
        <w:t>12) 75 мг/сут; в острых случаях клопидогрел принимается внутрь в дозе 300–600 мг/сут. Подбор осуществляют с учетом АДФ-индуцированной агрегации тромбоцитов. Агрегация должна составлять менее 45</w:t>
      </w:r>
      <w:r w:rsidRPr="00A4634E">
        <w:rPr>
          <w:i/>
          <w:szCs w:val="24"/>
        </w:rPr>
        <w:t>—</w:t>
      </w:r>
      <w:r w:rsidRPr="00A4634E">
        <w:rPr>
          <w:rFonts w:eastAsia="Times New Roman"/>
          <w:szCs w:val="24"/>
          <w:lang w:eastAsia="ru-RU"/>
        </w:rPr>
        <w:t xml:space="preserve">50%. </w:t>
      </w:r>
    </w:p>
    <w:p w:rsidR="00B43B37" w:rsidRPr="00A4634E" w:rsidRDefault="00B43B37" w:rsidP="004F39BB">
      <w:pPr>
        <w:pStyle w:val="afe"/>
        <w:numPr>
          <w:ilvl w:val="0"/>
          <w:numId w:val="28"/>
        </w:numPr>
        <w:ind w:left="1134"/>
        <w:rPr>
          <w:rFonts w:eastAsia="Times New Roman"/>
          <w:szCs w:val="24"/>
          <w:lang w:eastAsia="ru-RU"/>
        </w:rPr>
      </w:pPr>
      <w:r w:rsidRPr="00A4634E">
        <w:rPr>
          <w:rFonts w:eastAsia="Times New Roman"/>
          <w:szCs w:val="24"/>
          <w:lang w:eastAsia="ru-RU"/>
        </w:rPr>
        <w:t>Дипиридамол 25-75 мг/сут.</w:t>
      </w:r>
    </w:p>
    <w:p w:rsidR="00B43B37" w:rsidRDefault="00B43B37" w:rsidP="004F39BB">
      <w:pPr>
        <w:numPr>
          <w:ilvl w:val="0"/>
          <w:numId w:val="28"/>
        </w:numPr>
        <w:ind w:left="1134"/>
        <w:rPr>
          <w:rFonts w:eastAsia="Times New Roman"/>
          <w:szCs w:val="24"/>
          <w:lang w:eastAsia="ru-RU"/>
        </w:rPr>
      </w:pPr>
      <w:r>
        <w:rPr>
          <w:rFonts w:eastAsia="Times New Roman"/>
          <w:szCs w:val="24"/>
          <w:lang w:eastAsia="ru-RU"/>
        </w:rPr>
        <w:t>Пентоксифиллин 0,1 х 3 раза в день; или 400 мг 2-3раза в день.</w:t>
      </w:r>
    </w:p>
    <w:p w:rsidR="00B43B37" w:rsidRPr="003A104D" w:rsidRDefault="00B43B37" w:rsidP="004F39BB">
      <w:pPr>
        <w:pStyle w:val="afe"/>
        <w:numPr>
          <w:ilvl w:val="0"/>
          <w:numId w:val="28"/>
        </w:numPr>
        <w:spacing w:after="200"/>
        <w:ind w:left="1134"/>
      </w:pPr>
      <w:r>
        <w:rPr>
          <w:rFonts w:eastAsia="Times New Roman"/>
          <w:szCs w:val="24"/>
          <w:lang w:eastAsia="ru-RU"/>
        </w:rPr>
        <w:t>Тикагрелор (прямой ингибитор АДФ-рецептора тромбоцитов Р2</w:t>
      </w:r>
      <w:r>
        <w:rPr>
          <w:rFonts w:eastAsia="Times New Roman"/>
          <w:szCs w:val="24"/>
          <w:lang w:val="en-US" w:eastAsia="ru-RU"/>
        </w:rPr>
        <w:t>Y</w:t>
      </w:r>
      <w:r>
        <w:rPr>
          <w:rFonts w:eastAsia="Times New Roman"/>
          <w:szCs w:val="24"/>
          <w:lang w:eastAsia="ru-RU"/>
        </w:rPr>
        <w:t>12) 90 мг х 2 раза в день совместно с ацетилсалициловой кислотой. Применяется при проведении химиотерапии у больных ишемической болезнью сердца. Подбор осуществляют с учетом АДФ-индуцированной агрегации тромбоцитов. Агрегация должна составлять менее 30</w:t>
      </w:r>
      <w:r>
        <w:rPr>
          <w:szCs w:val="24"/>
        </w:rPr>
        <w:t>—4</w:t>
      </w:r>
      <w:r>
        <w:rPr>
          <w:rFonts w:eastAsia="Times New Roman"/>
          <w:szCs w:val="24"/>
          <w:lang w:eastAsia="ru-RU"/>
        </w:rPr>
        <w:t>0%.</w:t>
      </w:r>
    </w:p>
    <w:p w:rsidR="00B43B37" w:rsidRPr="00A4634E" w:rsidRDefault="00B43B37" w:rsidP="004F39BB">
      <w:pPr>
        <w:pStyle w:val="afe"/>
        <w:numPr>
          <w:ilvl w:val="0"/>
          <w:numId w:val="28"/>
        </w:numPr>
        <w:spacing w:after="200"/>
        <w:ind w:left="1134"/>
      </w:pPr>
      <w:r w:rsidRPr="00A4634E">
        <w:rPr>
          <w:rFonts w:eastAsia="Times New Roman"/>
          <w:szCs w:val="24"/>
          <w:lang w:eastAsia="ru-RU"/>
        </w:rPr>
        <w:t>Прасугрел (прямой ингибитор АДФ-рецептора тромбоцитов P2Y12) 10мг: 1 день 6 таб., затем 1 таб. в день с ацетилсалициловой кислотой. Применяется при проведении химиотерапии у больных с ишемической болезнью сердца. Подбор осуществляется с учетом АДФ-индуцир</w:t>
      </w:r>
      <w:r>
        <w:rPr>
          <w:rFonts w:eastAsia="Times New Roman"/>
          <w:szCs w:val="24"/>
          <w:lang w:eastAsia="ru-RU"/>
        </w:rPr>
        <w:t>ованной агрегации тромбоцитов (а</w:t>
      </w:r>
      <w:r w:rsidRPr="00A4634E">
        <w:rPr>
          <w:rFonts w:eastAsia="Times New Roman"/>
          <w:szCs w:val="24"/>
          <w:lang w:eastAsia="ru-RU"/>
        </w:rPr>
        <w:t>грегация должна составлять менее 30-40%</w:t>
      </w:r>
      <w:r>
        <w:rPr>
          <w:rFonts w:eastAsia="Times New Roman"/>
          <w:szCs w:val="24"/>
          <w:lang w:eastAsia="ru-RU"/>
        </w:rPr>
        <w:t>)</w:t>
      </w:r>
      <w:r w:rsidRPr="00A4634E">
        <w:rPr>
          <w:rFonts w:eastAsia="Times New Roman"/>
          <w:szCs w:val="24"/>
          <w:lang w:eastAsia="ru-RU"/>
        </w:rPr>
        <w:t>.</w:t>
      </w:r>
    </w:p>
    <w:p w:rsidR="00B43B37" w:rsidRPr="003A104D" w:rsidRDefault="00B43B37" w:rsidP="004F39BB">
      <w:pPr>
        <w:pStyle w:val="afe"/>
        <w:numPr>
          <w:ilvl w:val="0"/>
          <w:numId w:val="28"/>
        </w:numPr>
        <w:spacing w:after="200"/>
        <w:ind w:left="1134"/>
      </w:pPr>
      <w:r w:rsidRPr="0067126D">
        <w:rPr>
          <w:szCs w:val="24"/>
        </w:rPr>
        <w:lastRenderedPageBreak/>
        <w:t>Изосорбида мононитрат</w:t>
      </w:r>
      <w:r w:rsidRPr="003A104D">
        <w:rPr>
          <w:rFonts w:eastAsia="Times New Roman"/>
          <w:szCs w:val="24"/>
          <w:lang w:eastAsia="ru-RU"/>
        </w:rPr>
        <w:t xml:space="preserve"> 40 мг х 1-2 раза в день. Обладает наряду с дезагрегационными свойствами выраженным сосудорасширяющим эффектом.</w:t>
      </w:r>
    </w:p>
    <w:p w:rsidR="00B43B37" w:rsidRDefault="00B43B37" w:rsidP="004F39BB">
      <w:pPr>
        <w:pStyle w:val="afe"/>
        <w:numPr>
          <w:ilvl w:val="0"/>
          <w:numId w:val="28"/>
        </w:numPr>
        <w:spacing w:after="200"/>
        <w:ind w:left="1134"/>
      </w:pPr>
      <w:r w:rsidRPr="003A104D">
        <w:rPr>
          <w:rFonts w:eastAsia="Times New Roman"/>
          <w:szCs w:val="24"/>
          <w:lang w:eastAsia="ru-RU"/>
        </w:rPr>
        <w:t>Возможно использование никотиновой кислоты в инъекционной или таблетированной формах. Доза никотиновой кислоты подбирается по эритематозному эффекту, который проявляется легким покраснением лица и верхней половины туловища, тахикардией, небольшим чувством жара.</w:t>
      </w:r>
    </w:p>
    <w:p w:rsidR="00B43B37" w:rsidRDefault="00B43B37" w:rsidP="00B43B37">
      <w:pPr>
        <w:rPr>
          <w:rFonts w:eastAsia="Times New Roman"/>
          <w:szCs w:val="24"/>
          <w:lang w:eastAsia="ru-RU"/>
        </w:rPr>
      </w:pPr>
      <w:r w:rsidRPr="006F5CEC">
        <w:rPr>
          <w:rFonts w:eastAsia="Times New Roman"/>
          <w:szCs w:val="24"/>
          <w:lang w:eastAsia="ru-RU"/>
        </w:rPr>
        <w:t>4)  Вазопротекторная терапия</w:t>
      </w:r>
      <w:r>
        <w:rPr>
          <w:rFonts w:eastAsia="Times New Roman"/>
          <w:szCs w:val="24"/>
          <w:lang w:eastAsia="ru-RU"/>
        </w:rPr>
        <w:t xml:space="preserve">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[74]","plainTextFormattedCitation":"[74]","previouslyFormattedCitation":"[74]"},"properties":{"noteIndex":0},"schema":"https://github.com/citation-style-language/schema/raw/master/csl-citation.json"}</w:instrText>
      </w:r>
      <w:r>
        <w:fldChar w:fldCharType="separate"/>
      </w:r>
      <w:r w:rsidR="005600FF" w:rsidRPr="005600FF">
        <w:rPr>
          <w:noProof/>
        </w:rPr>
        <w:t>[74]</w:t>
      </w:r>
      <w:r>
        <w:fldChar w:fldCharType="end"/>
      </w:r>
      <w:r w:rsidRPr="006F5CEC">
        <w:rPr>
          <w:rFonts w:eastAsia="Times New Roman"/>
          <w:szCs w:val="24"/>
          <w:lang w:eastAsia="ru-RU"/>
        </w:rPr>
        <w:t>:</w:t>
      </w:r>
    </w:p>
    <w:p w:rsidR="00B43B37" w:rsidRDefault="00B43B37" w:rsidP="004F39BB">
      <w:pPr>
        <w:pStyle w:val="afe"/>
        <w:numPr>
          <w:ilvl w:val="0"/>
          <w:numId w:val="32"/>
        </w:numPr>
        <w:contextualSpacing w:val="0"/>
        <w:rPr>
          <w:rFonts w:eastAsia="Times New Roman"/>
          <w:szCs w:val="24"/>
          <w:lang w:eastAsia="ru-RU"/>
        </w:rPr>
      </w:pPr>
      <w:r w:rsidRPr="00440427">
        <w:rPr>
          <w:color w:val="333333"/>
          <w:szCs w:val="24"/>
        </w:rPr>
        <w:t>сухой экстракт красных листьев винограда</w:t>
      </w:r>
      <w:r w:rsidRPr="00440427">
        <w:rPr>
          <w:rFonts w:eastAsia="Times New Roman"/>
          <w:szCs w:val="24"/>
          <w:lang w:eastAsia="ru-RU"/>
        </w:rPr>
        <w:t xml:space="preserve"> 2 капс. утром натощак;</w:t>
      </w:r>
    </w:p>
    <w:p w:rsidR="00B43B37" w:rsidRDefault="00B43B37" w:rsidP="004F39BB">
      <w:pPr>
        <w:pStyle w:val="afe"/>
        <w:numPr>
          <w:ilvl w:val="0"/>
          <w:numId w:val="32"/>
        </w:numPr>
        <w:contextualSpacing w:val="0"/>
        <w:rPr>
          <w:rFonts w:eastAsia="Times New Roman"/>
          <w:szCs w:val="24"/>
          <w:lang w:eastAsia="ru-RU"/>
        </w:rPr>
      </w:pPr>
      <w:r w:rsidRPr="00440427">
        <w:rPr>
          <w:rFonts w:eastAsia="Times New Roman"/>
          <w:szCs w:val="24"/>
          <w:lang w:eastAsia="ru-RU"/>
        </w:rPr>
        <w:t>диосмин-содержащие препараты;</w:t>
      </w:r>
    </w:p>
    <w:p w:rsidR="00B43B37" w:rsidRPr="00440427" w:rsidRDefault="00B43B37" w:rsidP="004F39BB">
      <w:pPr>
        <w:pStyle w:val="afe"/>
        <w:numPr>
          <w:ilvl w:val="0"/>
          <w:numId w:val="32"/>
        </w:numPr>
        <w:contextualSpacing w:val="0"/>
        <w:rPr>
          <w:rFonts w:eastAsia="Times New Roman"/>
          <w:szCs w:val="24"/>
          <w:lang w:eastAsia="ru-RU"/>
        </w:rPr>
      </w:pPr>
      <w:r w:rsidRPr="00440427">
        <w:rPr>
          <w:rFonts w:eastAsia="Times New Roman"/>
          <w:szCs w:val="24"/>
          <w:lang w:eastAsia="ru-RU"/>
        </w:rPr>
        <w:t>алпростадил 20 мкг в/в капельно 1 раз в  сутки 10-14 дней.</w:t>
      </w:r>
    </w:p>
    <w:p w:rsidR="00B43B37" w:rsidRDefault="00B43B37" w:rsidP="00B43B37">
      <w:pPr>
        <w:rPr>
          <w:rFonts w:eastAsia="Times New Roman"/>
          <w:szCs w:val="24"/>
          <w:u w:val="single"/>
          <w:lang w:eastAsia="ru-RU"/>
        </w:rPr>
      </w:pPr>
    </w:p>
    <w:p w:rsidR="00B43B37" w:rsidRDefault="00B43B37" w:rsidP="00B43B37">
      <w:pPr>
        <w:rPr>
          <w:rFonts w:eastAsia="Times New Roman"/>
          <w:szCs w:val="24"/>
          <w:lang w:eastAsia="ru-RU"/>
        </w:rPr>
      </w:pPr>
      <w:r w:rsidRPr="00440427">
        <w:rPr>
          <w:rFonts w:eastAsia="Times New Roman"/>
          <w:szCs w:val="24"/>
          <w:lang w:eastAsia="ru-RU"/>
        </w:rPr>
        <w:t>5) Коррекция тромбофилических состояний</w:t>
      </w:r>
      <w:r>
        <w:rPr>
          <w:rFonts w:eastAsia="Times New Roman"/>
          <w:szCs w:val="24"/>
          <w:lang w:eastAsia="ru-RU"/>
        </w:rPr>
        <w:t xml:space="preserve">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[74]","plainTextFormattedCitation":"[74]","previouslyFormattedCitation":"[74]"},"properties":{"noteIndex":0},"schema":"https://github.com/citation-style-language/schema/raw/master/csl-citation.json"}</w:instrText>
      </w:r>
      <w:r>
        <w:fldChar w:fldCharType="separate"/>
      </w:r>
      <w:r w:rsidR="005600FF" w:rsidRPr="005600FF">
        <w:rPr>
          <w:noProof/>
        </w:rPr>
        <w:t>[74]</w:t>
      </w:r>
      <w:r>
        <w:fldChar w:fldCharType="end"/>
      </w:r>
      <w:r w:rsidRPr="00440427">
        <w:rPr>
          <w:rFonts w:eastAsia="Times New Roman"/>
          <w:szCs w:val="24"/>
          <w:lang w:eastAsia="ru-RU"/>
        </w:rPr>
        <w:t>:</w:t>
      </w:r>
    </w:p>
    <w:p w:rsidR="00B43B37" w:rsidRDefault="00B43B37" w:rsidP="004F39BB">
      <w:pPr>
        <w:pStyle w:val="afe"/>
        <w:numPr>
          <w:ilvl w:val="0"/>
          <w:numId w:val="34"/>
        </w:numPr>
        <w:contextualSpacing w:val="0"/>
        <w:rPr>
          <w:rFonts w:eastAsia="Times New Roman"/>
          <w:szCs w:val="24"/>
          <w:lang w:eastAsia="ru-RU"/>
        </w:rPr>
      </w:pPr>
      <w:r w:rsidRPr="00B54A88">
        <w:rPr>
          <w:rFonts w:eastAsia="Times New Roman"/>
          <w:szCs w:val="24"/>
          <w:lang w:eastAsia="ru-RU"/>
        </w:rPr>
        <w:t>При гипергомоцистеинемии используются витамины В6, В12, фолиевая кислота.</w:t>
      </w:r>
    </w:p>
    <w:p w:rsidR="00B43B37" w:rsidRPr="00B54A88" w:rsidRDefault="00B43B37" w:rsidP="004F39BB">
      <w:pPr>
        <w:pStyle w:val="afe"/>
        <w:numPr>
          <w:ilvl w:val="0"/>
          <w:numId w:val="34"/>
        </w:numPr>
        <w:contextualSpacing w:val="0"/>
        <w:rPr>
          <w:rFonts w:eastAsia="Times New Roman"/>
          <w:szCs w:val="24"/>
          <w:lang w:eastAsia="ru-RU"/>
        </w:rPr>
      </w:pPr>
      <w:r w:rsidRPr="00B54A88">
        <w:rPr>
          <w:rFonts w:eastAsia="Times New Roman"/>
          <w:szCs w:val="24"/>
          <w:lang w:eastAsia="ru-RU"/>
        </w:rPr>
        <w:t xml:space="preserve">При применении гепаринов может развиться резистентность к ним, наиболее часто обусловленная дефицитом АТ III вследствие его увеличенного потребления, длительной гепаринотерапией, патологией печени и действием лекарственных препаратов. Препарат Антитромбин </w:t>
      </w:r>
      <w:r w:rsidRPr="00B54A88">
        <w:rPr>
          <w:rFonts w:eastAsia="Times New Roman"/>
          <w:szCs w:val="24"/>
          <w:lang w:val="en-US" w:eastAsia="ru-RU"/>
        </w:rPr>
        <w:t>III</w:t>
      </w:r>
      <w:r w:rsidRPr="00B54A88">
        <w:rPr>
          <w:rFonts w:eastAsia="Times New Roman"/>
          <w:szCs w:val="24"/>
          <w:lang w:eastAsia="ru-RU"/>
        </w:rPr>
        <w:t xml:space="preserve"> показан также при наследственном и приобретенном дефиците АТ </w:t>
      </w:r>
      <w:r w:rsidRPr="00B54A88">
        <w:rPr>
          <w:rFonts w:eastAsia="Times New Roman"/>
          <w:szCs w:val="24"/>
          <w:lang w:val="en-US" w:eastAsia="ru-RU"/>
        </w:rPr>
        <w:t>III</w:t>
      </w:r>
      <w:r w:rsidRPr="00B54A88">
        <w:rPr>
          <w:rFonts w:eastAsia="Times New Roman"/>
          <w:szCs w:val="24"/>
          <w:lang w:eastAsia="ru-RU"/>
        </w:rPr>
        <w:t>.</w:t>
      </w:r>
    </w:p>
    <w:p w:rsidR="00B43B37" w:rsidRPr="00B54A88" w:rsidRDefault="00B43B37" w:rsidP="004F39BB">
      <w:pPr>
        <w:pStyle w:val="afe"/>
        <w:numPr>
          <w:ilvl w:val="0"/>
          <w:numId w:val="33"/>
        </w:numPr>
        <w:contextualSpacing w:val="0"/>
        <w:rPr>
          <w:rFonts w:eastAsia="Times New Roman"/>
          <w:szCs w:val="24"/>
          <w:lang w:eastAsia="ru-RU"/>
        </w:rPr>
      </w:pPr>
      <w:r w:rsidRPr="00B54A88">
        <w:rPr>
          <w:rFonts w:eastAsia="Times New Roman"/>
          <w:szCs w:val="24"/>
          <w:lang w:eastAsia="ru-RU"/>
        </w:rPr>
        <w:t xml:space="preserve">Для коррекции дефицита АТ </w:t>
      </w:r>
      <w:r w:rsidRPr="00B54A88">
        <w:rPr>
          <w:rFonts w:eastAsia="Times New Roman"/>
          <w:szCs w:val="24"/>
          <w:lang w:val="en-US" w:eastAsia="ru-RU"/>
        </w:rPr>
        <w:t>III</w:t>
      </w:r>
      <w:r w:rsidRPr="00B54A88">
        <w:rPr>
          <w:rFonts w:eastAsia="Times New Roman"/>
          <w:szCs w:val="24"/>
          <w:lang w:eastAsia="ru-RU"/>
        </w:rPr>
        <w:t xml:space="preserve"> используют СЗП или концентрат АТ III в дозе, рассчитываемой по формуле:</w:t>
      </w:r>
    </w:p>
    <w:p w:rsidR="00B43B37" w:rsidRDefault="00B43B37" w:rsidP="004F39BB">
      <w:pPr>
        <w:pStyle w:val="afe"/>
        <w:numPr>
          <w:ilvl w:val="0"/>
          <w:numId w:val="33"/>
        </w:numPr>
        <w:contextualSpacing w:val="0"/>
        <w:rPr>
          <w:rFonts w:eastAsia="Times New Roman"/>
          <w:szCs w:val="24"/>
          <w:lang w:eastAsia="ru-RU"/>
        </w:rPr>
      </w:pPr>
      <w:r w:rsidRPr="00B54A88">
        <w:rPr>
          <w:rFonts w:eastAsia="Times New Roman"/>
          <w:szCs w:val="24"/>
          <w:lang w:eastAsia="ru-RU"/>
        </w:rPr>
        <w:t xml:space="preserve">Необходимая доза АТ </w:t>
      </w:r>
      <w:r w:rsidRPr="00B54A88">
        <w:rPr>
          <w:rFonts w:eastAsia="Times New Roman"/>
          <w:szCs w:val="24"/>
          <w:lang w:val="en-US" w:eastAsia="ru-RU"/>
        </w:rPr>
        <w:t>III</w:t>
      </w:r>
      <w:r w:rsidRPr="00B54A88">
        <w:rPr>
          <w:rFonts w:eastAsia="Times New Roman"/>
          <w:szCs w:val="24"/>
          <w:lang w:eastAsia="ru-RU"/>
        </w:rPr>
        <w:t xml:space="preserve"> (ME) = масса тела (кг) × (целевое значение – исходная  активность АТ </w:t>
      </w:r>
      <w:r w:rsidRPr="00B54A88">
        <w:rPr>
          <w:rFonts w:eastAsia="Times New Roman"/>
          <w:szCs w:val="24"/>
          <w:lang w:val="en-US" w:eastAsia="ru-RU"/>
        </w:rPr>
        <w:t>III</w:t>
      </w:r>
      <w:r w:rsidRPr="00B54A88">
        <w:rPr>
          <w:rFonts w:eastAsia="Times New Roman"/>
          <w:szCs w:val="24"/>
          <w:lang w:eastAsia="ru-RU"/>
        </w:rPr>
        <w:t xml:space="preserve"> (%)) × 0.5</w:t>
      </w:r>
    </w:p>
    <w:p w:rsidR="00B43B37" w:rsidRDefault="00B43B37" w:rsidP="004F39BB">
      <w:pPr>
        <w:pStyle w:val="afe"/>
        <w:numPr>
          <w:ilvl w:val="0"/>
          <w:numId w:val="33"/>
        </w:numPr>
        <w:contextualSpacing w:val="0"/>
        <w:rPr>
          <w:rFonts w:eastAsia="Times New Roman"/>
          <w:szCs w:val="24"/>
          <w:lang w:eastAsia="ru-RU"/>
        </w:rPr>
      </w:pPr>
      <w:r w:rsidRPr="00B54A88">
        <w:rPr>
          <w:rFonts w:eastAsia="Times New Roman"/>
          <w:szCs w:val="24"/>
          <w:lang w:eastAsia="ru-RU"/>
        </w:rPr>
        <w:t xml:space="preserve">При дефиците плазменных антикоагулянтов, таких как АТ </w:t>
      </w:r>
      <w:r w:rsidRPr="00B54A88">
        <w:rPr>
          <w:rFonts w:eastAsia="Times New Roman"/>
          <w:szCs w:val="24"/>
          <w:lang w:val="en-US" w:eastAsia="ru-RU"/>
        </w:rPr>
        <w:t>III</w:t>
      </w:r>
      <w:r w:rsidRPr="00B54A88">
        <w:rPr>
          <w:rFonts w:eastAsia="Times New Roman"/>
          <w:szCs w:val="24"/>
          <w:lang w:eastAsia="ru-RU"/>
        </w:rPr>
        <w:t xml:space="preserve">, протеин С, протеин </w:t>
      </w:r>
      <w:r w:rsidRPr="00B54A88">
        <w:rPr>
          <w:rFonts w:eastAsia="Times New Roman"/>
          <w:szCs w:val="24"/>
          <w:lang w:val="en-US" w:eastAsia="ru-RU"/>
        </w:rPr>
        <w:t>S</w:t>
      </w:r>
      <w:r w:rsidRPr="00B54A88">
        <w:rPr>
          <w:rFonts w:eastAsia="Times New Roman"/>
          <w:szCs w:val="24"/>
          <w:lang w:eastAsia="ru-RU"/>
        </w:rPr>
        <w:t xml:space="preserve"> применяется СЗП. </w:t>
      </w:r>
    </w:p>
    <w:p w:rsidR="00B43B37" w:rsidRDefault="00B43B37" w:rsidP="004F39BB">
      <w:pPr>
        <w:pStyle w:val="afe"/>
        <w:numPr>
          <w:ilvl w:val="0"/>
          <w:numId w:val="33"/>
        </w:numPr>
        <w:contextualSpacing w:val="0"/>
        <w:rPr>
          <w:rFonts w:eastAsia="Times New Roman"/>
          <w:szCs w:val="24"/>
          <w:lang w:eastAsia="ru-RU"/>
        </w:rPr>
      </w:pPr>
      <w:r w:rsidRPr="00B54A88">
        <w:rPr>
          <w:rFonts w:eastAsia="Times New Roman"/>
          <w:szCs w:val="24"/>
          <w:lang w:eastAsia="ru-RU"/>
        </w:rPr>
        <w:t xml:space="preserve">При глубоком дефиците протеина С возможно использование препарата очищенного протеина С (Сепротин).  </w:t>
      </w:r>
    </w:p>
    <w:p w:rsidR="00B43B37" w:rsidRPr="00B54A88" w:rsidRDefault="00B43B37" w:rsidP="004F39BB">
      <w:pPr>
        <w:pStyle w:val="afe"/>
        <w:numPr>
          <w:ilvl w:val="0"/>
          <w:numId w:val="33"/>
        </w:numPr>
        <w:contextualSpacing w:val="0"/>
        <w:rPr>
          <w:rFonts w:eastAsia="Times New Roman"/>
          <w:szCs w:val="24"/>
          <w:lang w:eastAsia="ru-RU"/>
        </w:rPr>
      </w:pPr>
      <w:r w:rsidRPr="00B54A88">
        <w:rPr>
          <w:rFonts w:eastAsia="Times New Roman"/>
          <w:szCs w:val="24"/>
          <w:lang w:eastAsia="ru-RU"/>
        </w:rPr>
        <w:t>В комплексной терапии АФС может быть эффективна комбинация: дипиридамол, витамин Е, плаквенил.</w:t>
      </w:r>
    </w:p>
    <w:p w:rsidR="00B43B37" w:rsidRDefault="00B43B37" w:rsidP="00B43B37">
      <w:pPr>
        <w:rPr>
          <w:rFonts w:eastAsia="Times New Roman"/>
          <w:szCs w:val="24"/>
          <w:lang w:eastAsia="ru-RU"/>
        </w:rPr>
      </w:pPr>
    </w:p>
    <w:p w:rsidR="00B43B37" w:rsidRDefault="00B43B37" w:rsidP="00B43B37">
      <w:pPr>
        <w:rPr>
          <w:rFonts w:eastAsia="Times New Roman"/>
          <w:szCs w:val="24"/>
          <w:u w:val="single"/>
          <w:lang w:eastAsia="ru-RU"/>
        </w:rPr>
      </w:pPr>
      <w:r>
        <w:rPr>
          <w:rFonts w:eastAsia="Times New Roman"/>
          <w:szCs w:val="24"/>
          <w:u w:val="single"/>
          <w:lang w:eastAsia="ru-RU"/>
        </w:rPr>
        <w:t xml:space="preserve">Инструментальные методы лечения. </w:t>
      </w:r>
    </w:p>
    <w:p w:rsidR="00B43B37" w:rsidRDefault="00B43B37" w:rsidP="00B43B37">
      <w:pPr>
        <w:widowControl w:val="0"/>
        <w:rPr>
          <w:szCs w:val="24"/>
        </w:rPr>
      </w:pPr>
      <w:r w:rsidRPr="00482DE7">
        <w:rPr>
          <w:rFonts w:eastAsia="Times New Roman"/>
          <w:szCs w:val="24"/>
          <w:lang w:eastAsia="ru-RU"/>
        </w:rPr>
        <w:t>1)  Кава-фильтр</w:t>
      </w:r>
      <w:r>
        <w:rPr>
          <w:rFonts w:eastAsia="Times New Roman"/>
          <w:szCs w:val="24"/>
          <w:lang w:eastAsia="ru-RU"/>
        </w:rPr>
        <w:t xml:space="preserve"> устанавливается либо для профилактики ТЭЛА (если были эпизоды ТЭЛА ранее), либо при наличии флотирующего тромба в крупных венозных стволах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[74]","plainTextFormattedCitation":"[74]","previouslyFormattedCitation":"[74]"},"properties":{"noteIndex":0},"schema":"https://github.com/citation-style-language/schema/raw/master/csl-citation.json"}</w:instrText>
      </w:r>
      <w:r>
        <w:fldChar w:fldCharType="separate"/>
      </w:r>
      <w:r w:rsidR="005600FF" w:rsidRPr="005600FF">
        <w:rPr>
          <w:noProof/>
        </w:rPr>
        <w:t>[74]</w:t>
      </w:r>
      <w:r>
        <w:fldChar w:fldCharType="end"/>
      </w:r>
      <w:r>
        <w:rPr>
          <w:rFonts w:eastAsia="Times New Roman"/>
          <w:szCs w:val="24"/>
          <w:lang w:eastAsia="ru-RU"/>
        </w:rPr>
        <w:t>.</w:t>
      </w:r>
      <w:r>
        <w:rPr>
          <w:szCs w:val="24"/>
        </w:rPr>
        <w:t xml:space="preserve"> Показаниями для постановки венозного кава-фильтра является неэффективность или </w:t>
      </w:r>
      <w:r>
        <w:rPr>
          <w:szCs w:val="24"/>
        </w:rPr>
        <w:lastRenderedPageBreak/>
        <w:t>невозможность проведения антикоагулянтной терапии у больных с тромбозами глубоких вен нижних конечностей в следующих случаях:</w:t>
      </w:r>
    </w:p>
    <w:p w:rsidR="00B43B37" w:rsidRPr="005650C3" w:rsidRDefault="00B43B37" w:rsidP="004F39BB">
      <w:pPr>
        <w:pStyle w:val="afe"/>
        <w:numPr>
          <w:ilvl w:val="0"/>
          <w:numId w:val="33"/>
        </w:numPr>
        <w:contextualSpacing w:val="0"/>
        <w:rPr>
          <w:rFonts w:eastAsia="Times New Roman"/>
          <w:szCs w:val="24"/>
          <w:lang w:eastAsia="ru-RU"/>
        </w:rPr>
      </w:pPr>
      <w:r w:rsidRPr="005650C3">
        <w:rPr>
          <w:rFonts w:eastAsia="Times New Roman"/>
          <w:szCs w:val="24"/>
          <w:lang w:eastAsia="ru-RU"/>
        </w:rPr>
        <w:t>рецидивирующая ТЭЛА, несмотря на адекватную антикоагулянтную терапию;</w:t>
      </w:r>
    </w:p>
    <w:p w:rsidR="00B43B37" w:rsidRPr="005650C3" w:rsidRDefault="00B43B37" w:rsidP="004F39BB">
      <w:pPr>
        <w:pStyle w:val="afe"/>
        <w:numPr>
          <w:ilvl w:val="0"/>
          <w:numId w:val="33"/>
        </w:numPr>
        <w:contextualSpacing w:val="0"/>
        <w:rPr>
          <w:rFonts w:eastAsia="Times New Roman"/>
          <w:szCs w:val="24"/>
          <w:lang w:eastAsia="ru-RU"/>
        </w:rPr>
      </w:pPr>
      <w:r w:rsidRPr="005650C3">
        <w:rPr>
          <w:rFonts w:eastAsia="Times New Roman"/>
          <w:szCs w:val="24"/>
          <w:lang w:eastAsia="ru-RU"/>
        </w:rPr>
        <w:t>наличие противопоказаний к антикоагулянтной терапии;</w:t>
      </w:r>
    </w:p>
    <w:p w:rsidR="00B43B37" w:rsidRPr="005650C3" w:rsidRDefault="00B43B37" w:rsidP="004F39BB">
      <w:pPr>
        <w:pStyle w:val="afe"/>
        <w:numPr>
          <w:ilvl w:val="0"/>
          <w:numId w:val="33"/>
        </w:numPr>
        <w:contextualSpacing w:val="0"/>
        <w:rPr>
          <w:rFonts w:eastAsia="Times New Roman"/>
          <w:szCs w:val="24"/>
          <w:lang w:eastAsia="ru-RU"/>
        </w:rPr>
      </w:pPr>
      <w:r w:rsidRPr="005650C3">
        <w:rPr>
          <w:rFonts w:eastAsia="Times New Roman"/>
          <w:szCs w:val="24"/>
          <w:lang w:eastAsia="ru-RU"/>
        </w:rPr>
        <w:t>осложнения антикоагулянтной терапии, делающие невозможным</w:t>
      </w:r>
    </w:p>
    <w:p w:rsidR="00B43B37" w:rsidRPr="005650C3" w:rsidRDefault="00B43B37" w:rsidP="004F39BB">
      <w:pPr>
        <w:pStyle w:val="afe"/>
        <w:numPr>
          <w:ilvl w:val="0"/>
          <w:numId w:val="33"/>
        </w:numPr>
        <w:contextualSpacing w:val="0"/>
        <w:rPr>
          <w:rFonts w:eastAsia="Times New Roman"/>
          <w:szCs w:val="24"/>
          <w:lang w:eastAsia="ru-RU"/>
        </w:rPr>
      </w:pPr>
      <w:r w:rsidRPr="005650C3">
        <w:rPr>
          <w:rFonts w:eastAsia="Times New Roman"/>
          <w:szCs w:val="24"/>
          <w:lang w:eastAsia="ru-RU"/>
        </w:rPr>
        <w:t>дальнейшую гипокоагуляцию;</w:t>
      </w:r>
    </w:p>
    <w:p w:rsidR="00B43B37" w:rsidRPr="005650C3" w:rsidRDefault="00B43B37" w:rsidP="004F39BB">
      <w:pPr>
        <w:pStyle w:val="afe"/>
        <w:numPr>
          <w:ilvl w:val="0"/>
          <w:numId w:val="33"/>
        </w:numPr>
        <w:contextualSpacing w:val="0"/>
        <w:rPr>
          <w:rFonts w:eastAsia="Times New Roman"/>
          <w:szCs w:val="24"/>
          <w:lang w:eastAsia="ru-RU"/>
        </w:rPr>
      </w:pPr>
      <w:r w:rsidRPr="005650C3">
        <w:rPr>
          <w:rFonts w:eastAsia="Times New Roman"/>
          <w:szCs w:val="24"/>
          <w:lang w:eastAsia="ru-RU"/>
        </w:rPr>
        <w:t>невозможность достигнуть или поддерживать лечебный антикоагулянтный эффект.</w:t>
      </w:r>
    </w:p>
    <w:p w:rsidR="00B43B37" w:rsidRPr="00A13E2A" w:rsidRDefault="00B43B37" w:rsidP="00B43B37">
      <w:pPr>
        <w:rPr>
          <w:rFonts w:eastAsia="Times New Roman"/>
          <w:szCs w:val="24"/>
          <w:lang w:eastAsia="ru-RU"/>
        </w:rPr>
      </w:pPr>
      <w:r w:rsidRPr="00A13E2A">
        <w:rPr>
          <w:rFonts w:eastAsia="Times New Roman"/>
          <w:szCs w:val="24"/>
          <w:lang w:eastAsia="ru-RU"/>
        </w:rPr>
        <w:t>При исчезновении угрозы ВТЭО кава-фильтр удаляется (обычно через 1,5-2 мес).</w:t>
      </w:r>
    </w:p>
    <w:p w:rsidR="00B43B37" w:rsidRDefault="00B43B37" w:rsidP="00B43B37">
      <w:pPr>
        <w:ind w:left="1459"/>
        <w:rPr>
          <w:rFonts w:eastAsia="Times New Roman"/>
          <w:szCs w:val="24"/>
          <w:lang w:eastAsia="ru-RU"/>
        </w:rPr>
      </w:pPr>
    </w:p>
    <w:p w:rsidR="00B43B37" w:rsidRDefault="00B43B37" w:rsidP="00B43B37">
      <w:pPr>
        <w:rPr>
          <w:rFonts w:eastAsia="Times New Roman"/>
          <w:szCs w:val="24"/>
          <w:lang w:eastAsia="ru-RU"/>
        </w:rPr>
      </w:pPr>
      <w:r w:rsidRPr="00482DE7">
        <w:rPr>
          <w:rFonts w:eastAsia="Times New Roman"/>
          <w:szCs w:val="24"/>
          <w:lang w:eastAsia="ru-RU"/>
        </w:rPr>
        <w:t>2) Эндоваскулярная тромбоэкстракция</w:t>
      </w:r>
      <w:r>
        <w:rPr>
          <w:rFonts w:eastAsia="Times New Roman"/>
          <w:szCs w:val="24"/>
          <w:lang w:eastAsia="ru-RU"/>
        </w:rPr>
        <w:t xml:space="preserve"> используется при острых тромбозах сосудов головного мозга, ТЭЛА, остром коронарном синдроме, а также при угрозе формирования некрозов тканей и органов </w:t>
      </w:r>
      <w:r>
        <w:fldChar w:fldCharType="begin" w:fldLock="1"/>
      </w:r>
      <w:r w:rsidR="003524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[74]","plainTextFormattedCitation":"[74]","previouslyFormattedCitation":"[74]"},"properties":{"noteIndex":0},"schema":"https://github.com/citation-style-language/schema/raw/master/csl-citation.json"}</w:instrText>
      </w:r>
      <w:r>
        <w:fldChar w:fldCharType="separate"/>
      </w:r>
      <w:r w:rsidR="005600FF" w:rsidRPr="005600FF">
        <w:rPr>
          <w:noProof/>
        </w:rPr>
        <w:t>[74]</w:t>
      </w:r>
      <w:r>
        <w:fldChar w:fldCharType="end"/>
      </w:r>
      <w:r>
        <w:rPr>
          <w:rFonts w:eastAsia="Times New Roman"/>
          <w:szCs w:val="24"/>
          <w:lang w:eastAsia="ru-RU"/>
        </w:rPr>
        <w:t xml:space="preserve">. При необходимости устанавливаются различные сосудистые стенты. </w:t>
      </w:r>
    </w:p>
    <w:p w:rsidR="00B43B37" w:rsidRDefault="00B43B37" w:rsidP="00B43B37">
      <w:pPr>
        <w:ind w:left="708" w:firstLine="708"/>
        <w:rPr>
          <w:rFonts w:eastAsia="Times New Roman"/>
          <w:szCs w:val="24"/>
          <w:lang w:eastAsia="ru-RU"/>
        </w:rPr>
      </w:pPr>
    </w:p>
    <w:p w:rsidR="00B43B37" w:rsidRDefault="00B43B37" w:rsidP="00B43B37">
      <w:pPr>
        <w:rPr>
          <w:rFonts w:eastAsia="Times New Roman"/>
          <w:szCs w:val="24"/>
          <w:lang w:eastAsia="ru-RU"/>
        </w:rPr>
      </w:pPr>
      <w:r w:rsidRPr="00482DE7">
        <w:rPr>
          <w:rFonts w:eastAsia="Times New Roman"/>
          <w:szCs w:val="24"/>
          <w:lang w:eastAsia="ru-RU"/>
        </w:rPr>
        <w:t>3) Плазмаферез (ПФ)</w:t>
      </w:r>
      <w:r>
        <w:rPr>
          <w:rFonts w:eastAsia="Times New Roman"/>
          <w:szCs w:val="24"/>
          <w:lang w:eastAsia="ru-RU"/>
        </w:rPr>
        <w:t xml:space="preserve"> эффективен в комплексной терапии АФС и катастрофического АФС, ТТП и других видах ТМА, гипергомоцистеинемии, повышении активности факторов свертывания крови, при рецидивирующих тромбозах с угрозой развития тяжелых трофических нарушений. Объем, интенсивность, способы замещения ПФ зависят от характеристики заболеваний. </w:t>
      </w:r>
    </w:p>
    <w:p w:rsidR="00B43B37" w:rsidRDefault="00B43B37" w:rsidP="00B43B37">
      <w:pPr>
        <w:ind w:left="1429"/>
        <w:rPr>
          <w:rFonts w:eastAsia="Times New Roman"/>
          <w:szCs w:val="24"/>
          <w:lang w:eastAsia="ru-RU"/>
        </w:rPr>
      </w:pPr>
    </w:p>
    <w:p w:rsidR="00B43B37" w:rsidRPr="00111FC7" w:rsidRDefault="00B43B37" w:rsidP="00B43B37">
      <w:pPr>
        <w:ind w:firstLine="708"/>
        <w:rPr>
          <w:rFonts w:eastAsia="Times New Roman"/>
          <w:szCs w:val="24"/>
          <w:u w:val="single"/>
          <w:lang w:eastAsia="ru-RU"/>
        </w:rPr>
      </w:pPr>
      <w:r w:rsidRPr="00111FC7">
        <w:rPr>
          <w:rFonts w:eastAsia="Times New Roman"/>
          <w:szCs w:val="24"/>
          <w:u w:val="single"/>
          <w:lang w:eastAsia="ru-RU"/>
        </w:rPr>
        <w:t xml:space="preserve">Хирургическое лечение.   </w:t>
      </w:r>
    </w:p>
    <w:p w:rsidR="00B43B37" w:rsidRPr="00A13E2A" w:rsidRDefault="00B43B37" w:rsidP="00B43B37">
      <w:pPr>
        <w:contextualSpacing/>
        <w:rPr>
          <w:rFonts w:eastAsia="Times New Roman"/>
          <w:b/>
          <w:szCs w:val="24"/>
          <w:lang w:eastAsia="ru-RU"/>
        </w:rPr>
      </w:pPr>
      <w:r w:rsidRPr="00A13E2A">
        <w:rPr>
          <w:rFonts w:eastAsia="Times New Roman"/>
          <w:szCs w:val="24"/>
          <w:lang w:eastAsia="ru-RU"/>
        </w:rPr>
        <w:t xml:space="preserve">Диагностику и лечение артериальных тромбозов необходимо строго осуществлять совместно с ангиохирургом, часто в условиях специализированного ангиологического хирургического стационара. При ТЭЛА с тяжелыми гемодинамическими расстройствами (АД в легочной артерии более 60-65 мм.рт.ст.) показано хирургическое удаление тромбов из легочной артерии.  </w:t>
      </w:r>
    </w:p>
    <w:p w:rsidR="00B43B37" w:rsidRPr="00A13E2A" w:rsidRDefault="00B43B37" w:rsidP="00B43B37">
      <w:pPr>
        <w:rPr>
          <w:rFonts w:eastAsia="Times New Roman"/>
          <w:b/>
          <w:szCs w:val="24"/>
          <w:lang w:eastAsia="ru-RU"/>
        </w:rPr>
      </w:pPr>
      <w:r w:rsidRPr="00A13E2A">
        <w:rPr>
          <w:rFonts w:eastAsia="Times New Roman"/>
          <w:szCs w:val="24"/>
          <w:lang w:eastAsia="ru-RU"/>
        </w:rPr>
        <w:t>При развитии некротических изменений в результате окклюзирующих тромбозов показано экстренное хирургическое пособие.</w:t>
      </w:r>
    </w:p>
    <w:p w:rsidR="00B43B37" w:rsidRPr="00A13E2A" w:rsidRDefault="00B43B37" w:rsidP="00B43B37">
      <w:pPr>
        <w:rPr>
          <w:rFonts w:eastAsia="Times New Roman"/>
          <w:b/>
          <w:szCs w:val="24"/>
          <w:lang w:eastAsia="ru-RU"/>
        </w:rPr>
      </w:pPr>
      <w:r w:rsidRPr="00A13E2A">
        <w:rPr>
          <w:rFonts w:eastAsia="Times New Roman"/>
          <w:szCs w:val="24"/>
          <w:lang w:eastAsia="ru-RU"/>
        </w:rPr>
        <w:t xml:space="preserve">При флотирующих тромбах возможны применение эндоваскулярной тромбоэкстракции, установка кава-фильтра, хирургическая перевязка сосудов, прошивание нижней полой вены и др. </w:t>
      </w:r>
    </w:p>
    <w:p w:rsidR="00B43B37" w:rsidRDefault="00B43B37" w:rsidP="00B43B37">
      <w:pPr>
        <w:rPr>
          <w:rFonts w:eastAsia="Times New Roman"/>
          <w:szCs w:val="24"/>
          <w:lang w:eastAsia="ru-RU"/>
        </w:rPr>
      </w:pPr>
      <w:r>
        <w:rPr>
          <w:rFonts w:eastAsia="Times New Roman"/>
          <w:szCs w:val="24"/>
          <w:lang w:eastAsia="ru-RU"/>
        </w:rPr>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w:t>
      </w:r>
      <w:r>
        <w:rPr>
          <w:rFonts w:eastAsia="Times New Roman"/>
          <w:szCs w:val="24"/>
          <w:lang w:eastAsia="ru-RU"/>
        </w:rPr>
        <w:lastRenderedPageBreak/>
        <w:t xml:space="preserve">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rsidR="00B43B37" w:rsidRDefault="00B43B37" w:rsidP="00B43B37">
      <w:pPr>
        <w:rPr>
          <w:szCs w:val="24"/>
        </w:rPr>
      </w:pPr>
      <w:r>
        <w:rPr>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Pr>
          <w:szCs w:val="24"/>
          <w:lang w:val="en-US"/>
        </w:rPr>
        <w:t>III</w:t>
      </w:r>
      <w:r>
        <w:rPr>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Pr>
          <w:szCs w:val="24"/>
          <w:lang w:val="en-US"/>
        </w:rPr>
        <w:t>D</w:t>
      </w:r>
      <w:r>
        <w:rPr>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rsidR="00B43B37" w:rsidRDefault="00B43B37" w:rsidP="00B43B37">
      <w:pPr>
        <w:pStyle w:val="afd"/>
        <w:spacing w:beforeAutospacing="0" w:afterAutospacing="0" w:line="360" w:lineRule="auto"/>
      </w:pPr>
    </w:p>
    <w:p w:rsidR="00B43B37" w:rsidRPr="0067126D" w:rsidRDefault="00B43B37" w:rsidP="00B43B37">
      <w:pPr>
        <w:pStyle w:val="2"/>
        <w:spacing w:before="0"/>
      </w:pPr>
      <w:bookmarkStart w:id="91" w:name="_Toc67238433"/>
      <w:bookmarkStart w:id="92" w:name="_Toc67302923"/>
      <w:r w:rsidRPr="000322E4">
        <w:t>7.</w:t>
      </w:r>
      <w:r w:rsidRPr="0067126D">
        <w:t xml:space="preserve">6 </w:t>
      </w:r>
      <w:r w:rsidRPr="00FB583E">
        <w:t>Диагностика и лечение неврологических проявлений при гематологических заболеваниях</w:t>
      </w:r>
      <w:bookmarkEnd w:id="91"/>
      <w:bookmarkEnd w:id="92"/>
    </w:p>
    <w:p w:rsidR="00B43B37" w:rsidRDefault="00B43B37" w:rsidP="00B43B37">
      <w:pPr>
        <w:rPr>
          <w:szCs w:val="24"/>
        </w:rPr>
      </w:pPr>
      <w:r w:rsidRPr="00FB583E">
        <w:rPr>
          <w:szCs w:val="24"/>
        </w:rPr>
        <w:t xml:space="preserve">Вовлечение центральной нервной системы (ЦНС) и периферической нервной системы может выявляться при различных гематологических заболеваниях. Неврологические проявления могут быть как проявлением специфического поражения нервной системы (опухолевое поражение ЦНС), так и проявлением осложнений гематологического заболевания и его лечения (геморрагические, тромботические, токсические поражения нервной системы). Для диагностики и лечения неврологических проявлений и осложнений гематологических заболеваний применяется комплекс неврологических исследований и терапия сообразно виду нарушения, с учетом характера основного гематологического заболевания. </w:t>
      </w:r>
    </w:p>
    <w:p w:rsidR="00B43B37" w:rsidRPr="00FB583E" w:rsidRDefault="00B43B37" w:rsidP="00B43B37">
      <w:pPr>
        <w:rPr>
          <w:szCs w:val="24"/>
        </w:rPr>
      </w:pPr>
    </w:p>
    <w:p w:rsidR="00B43B37" w:rsidRPr="00FB583E" w:rsidRDefault="00B43B37" w:rsidP="00B43B37">
      <w:pPr>
        <w:rPr>
          <w:i/>
          <w:szCs w:val="24"/>
          <w:u w:val="single"/>
        </w:rPr>
      </w:pPr>
      <w:r w:rsidRPr="00FB583E">
        <w:rPr>
          <w:i/>
          <w:szCs w:val="24"/>
          <w:u w:val="single"/>
        </w:rPr>
        <w:t xml:space="preserve">Специфическое поражение ЦНС при гематологических заболеваниях. </w:t>
      </w:r>
    </w:p>
    <w:p w:rsidR="00B43B37" w:rsidRPr="00FB583E" w:rsidRDefault="00B43B37" w:rsidP="00B43B37">
      <w:pPr>
        <w:ind w:firstLine="708"/>
        <w:rPr>
          <w:szCs w:val="24"/>
        </w:rPr>
      </w:pPr>
      <w:r w:rsidRPr="00FB583E">
        <w:rPr>
          <w:szCs w:val="24"/>
        </w:rPr>
        <w:t xml:space="preserve">Специфическое опухолевое поражение ЦНС с вовлечением головного мозга, спинного мозга и оболочек может быть проявлением гематологического заболевания (лейкозы, лимфомы, парапротеинемические гемобластозы и др.). Так, на первичную лимфому ЦНС приходится около 5 - 7% от всех первичных опухолей головного мозга, 2 - 3% от всех неходжкинских лимфом, 4 - 6% от всех экстранодальных лимфом и 1% от опухолевых поражений спинного мозга.  Чаще всего опухолевое поражение ЦНС при гематологических заболеваниях локализуется в лобной доле – 50%, реже отмечается в мозолистом теле и глубинных структурах мозга (40%) мультифокальное поражение (35%), лептоменингеальное поражение (16%), изолированное поражение спинного мозга (1%). </w:t>
      </w:r>
      <w:r w:rsidRPr="00FB583E">
        <w:rPr>
          <w:szCs w:val="24"/>
        </w:rPr>
        <w:lastRenderedPageBreak/>
        <w:t>Кроме того, специфическое поражение ЦНС может развиваться по типу лейкемической инфильтрации оболочек мозга и поражения спиномозговой жидкости (нейролейкемия).</w:t>
      </w:r>
    </w:p>
    <w:p w:rsidR="00B43B37" w:rsidRPr="00FB583E" w:rsidRDefault="00B43B37" w:rsidP="00B43B37">
      <w:pPr>
        <w:ind w:firstLine="708"/>
        <w:rPr>
          <w:b/>
          <w:szCs w:val="24"/>
        </w:rPr>
      </w:pPr>
      <w:r w:rsidRPr="00FB583E">
        <w:rPr>
          <w:b/>
          <w:szCs w:val="24"/>
        </w:rPr>
        <w:t>Диагностика поражения ЦНС при гематологических заболеваниях.</w:t>
      </w:r>
    </w:p>
    <w:p w:rsidR="00B43B37" w:rsidRPr="00FB583E" w:rsidRDefault="00B43B37" w:rsidP="00B43B37">
      <w:pPr>
        <w:ind w:firstLine="708"/>
        <w:rPr>
          <w:szCs w:val="24"/>
        </w:rPr>
      </w:pPr>
      <w:r w:rsidRPr="00FB583E">
        <w:rPr>
          <w:szCs w:val="24"/>
        </w:rPr>
        <w:t>Клиническая картина</w:t>
      </w:r>
      <w:r w:rsidRPr="00FB583E">
        <w:rPr>
          <w:b/>
          <w:szCs w:val="24"/>
        </w:rPr>
        <w:t xml:space="preserve"> </w:t>
      </w:r>
      <w:r w:rsidRPr="00FB583E">
        <w:rPr>
          <w:szCs w:val="24"/>
        </w:rPr>
        <w:t xml:space="preserve">зависит от локализации и объема поражения, степени выраженности гипертензионно-гидроцефального синдрома. В 70% опухолевое поражение при гематологических заболеваниях  манифестирует с очаговой неврологической симптоматики, в 43%  – с изменения психики, в 33% – с признаков повышения внутричерепного давления, в 14% – с эпилептических приступов. </w:t>
      </w:r>
    </w:p>
    <w:p w:rsidR="00B43B37" w:rsidRPr="00FB583E" w:rsidRDefault="00B43B37" w:rsidP="00B43B37">
      <w:pPr>
        <w:ind w:firstLine="708"/>
        <w:rPr>
          <w:szCs w:val="24"/>
        </w:rPr>
      </w:pPr>
      <w:r w:rsidRPr="00FB583E">
        <w:rPr>
          <w:szCs w:val="24"/>
        </w:rPr>
        <w:t>Для первичной диагностики неврологического поражения ЦНС оценивается:</w:t>
      </w:r>
    </w:p>
    <w:p w:rsidR="00B43B37" w:rsidRPr="00FB583E" w:rsidRDefault="00B43B37" w:rsidP="004F39BB">
      <w:pPr>
        <w:pStyle w:val="afe"/>
        <w:numPr>
          <w:ilvl w:val="0"/>
          <w:numId w:val="49"/>
        </w:numPr>
        <w:rPr>
          <w:szCs w:val="24"/>
        </w:rPr>
      </w:pPr>
      <w:r w:rsidRPr="00FB583E">
        <w:rPr>
          <w:szCs w:val="24"/>
        </w:rPr>
        <w:t xml:space="preserve">жалобы; </w:t>
      </w:r>
    </w:p>
    <w:p w:rsidR="00B43B37" w:rsidRPr="00FB583E" w:rsidRDefault="00B43B37" w:rsidP="004F39BB">
      <w:pPr>
        <w:pStyle w:val="afe"/>
        <w:numPr>
          <w:ilvl w:val="0"/>
          <w:numId w:val="49"/>
        </w:numPr>
        <w:rPr>
          <w:szCs w:val="24"/>
        </w:rPr>
      </w:pPr>
      <w:r w:rsidRPr="00FB583E">
        <w:rPr>
          <w:szCs w:val="24"/>
        </w:rPr>
        <w:t xml:space="preserve">анамнез; </w:t>
      </w:r>
    </w:p>
    <w:p w:rsidR="00B43B37" w:rsidRPr="00FB583E" w:rsidRDefault="00B43B37" w:rsidP="004F39BB">
      <w:pPr>
        <w:pStyle w:val="afe"/>
        <w:numPr>
          <w:ilvl w:val="0"/>
          <w:numId w:val="49"/>
        </w:numPr>
        <w:rPr>
          <w:szCs w:val="24"/>
        </w:rPr>
      </w:pPr>
      <w:r w:rsidRPr="00FB583E">
        <w:rPr>
          <w:szCs w:val="24"/>
        </w:rPr>
        <w:t xml:space="preserve">оценка функционального статуса по шкале Карновского; </w:t>
      </w:r>
    </w:p>
    <w:p w:rsidR="00B43B37" w:rsidRPr="00FB583E" w:rsidRDefault="00B43B37" w:rsidP="004F39BB">
      <w:pPr>
        <w:pStyle w:val="afe"/>
        <w:numPr>
          <w:ilvl w:val="0"/>
          <w:numId w:val="49"/>
        </w:numPr>
        <w:rPr>
          <w:szCs w:val="24"/>
        </w:rPr>
      </w:pPr>
      <w:r w:rsidRPr="00FB583E">
        <w:rPr>
          <w:szCs w:val="24"/>
        </w:rPr>
        <w:t xml:space="preserve">неврологический статус с оценкой общемозговой и очаговой симптоматики и интеллектуально-мнестических нарушений; </w:t>
      </w:r>
    </w:p>
    <w:p w:rsidR="00B43B37" w:rsidRPr="00FB583E" w:rsidRDefault="00B43B37" w:rsidP="004F39BB">
      <w:pPr>
        <w:pStyle w:val="afe"/>
        <w:numPr>
          <w:ilvl w:val="0"/>
          <w:numId w:val="49"/>
        </w:numPr>
        <w:rPr>
          <w:szCs w:val="24"/>
        </w:rPr>
      </w:pPr>
      <w:r w:rsidRPr="00FB583E">
        <w:rPr>
          <w:szCs w:val="24"/>
        </w:rPr>
        <w:t xml:space="preserve">оценка  психического состояния; </w:t>
      </w:r>
    </w:p>
    <w:p w:rsidR="00B43B37" w:rsidRPr="00FB583E" w:rsidRDefault="00B43B37" w:rsidP="00B43B37">
      <w:pPr>
        <w:ind w:left="12" w:firstLine="708"/>
        <w:rPr>
          <w:b/>
          <w:szCs w:val="24"/>
        </w:rPr>
      </w:pPr>
      <w:r w:rsidRPr="00FB583E">
        <w:rPr>
          <w:b/>
          <w:szCs w:val="24"/>
        </w:rPr>
        <w:t>Лабораторная диагностика:</w:t>
      </w:r>
      <w:r w:rsidRPr="00FB583E">
        <w:rPr>
          <w:b/>
          <w:szCs w:val="24"/>
        </w:rPr>
        <w:tab/>
        <w:t xml:space="preserve"> </w:t>
      </w:r>
    </w:p>
    <w:p w:rsidR="00B43B37" w:rsidRPr="00FB583E" w:rsidRDefault="00B43B37" w:rsidP="004F39BB">
      <w:pPr>
        <w:pStyle w:val="afe"/>
        <w:numPr>
          <w:ilvl w:val="0"/>
          <w:numId w:val="49"/>
        </w:numPr>
        <w:rPr>
          <w:szCs w:val="24"/>
        </w:rPr>
      </w:pPr>
      <w:r w:rsidRPr="00FB583E">
        <w:rPr>
          <w:szCs w:val="24"/>
        </w:rPr>
        <w:t>Клинический анализ крови, морфологическое исследование мазка крови</w:t>
      </w:r>
    </w:p>
    <w:p w:rsidR="00B43B37" w:rsidRPr="00FB583E" w:rsidRDefault="00B43B37" w:rsidP="004F39BB">
      <w:pPr>
        <w:pStyle w:val="afe"/>
        <w:numPr>
          <w:ilvl w:val="0"/>
          <w:numId w:val="49"/>
        </w:numPr>
        <w:rPr>
          <w:szCs w:val="24"/>
        </w:rPr>
      </w:pPr>
      <w:r w:rsidRPr="00FB583E">
        <w:rPr>
          <w:szCs w:val="24"/>
        </w:rPr>
        <w:t>Общий анализ мочи</w:t>
      </w:r>
    </w:p>
    <w:p w:rsidR="00B43B37" w:rsidRPr="00FB583E" w:rsidRDefault="00B43B37" w:rsidP="004F39BB">
      <w:pPr>
        <w:pStyle w:val="afe"/>
        <w:numPr>
          <w:ilvl w:val="0"/>
          <w:numId w:val="49"/>
        </w:numPr>
        <w:rPr>
          <w:szCs w:val="24"/>
        </w:rPr>
      </w:pPr>
      <w:r w:rsidRPr="00FB583E">
        <w:rPr>
          <w:szCs w:val="24"/>
        </w:rPr>
        <w:t>Биохимический анализ крови – общий белок, фракции белка, креатинин, мочевина, мочевая кислота, билирубин, фракции билирубина, глюкоза, электролиты, аланиаминотрансфераза, аспартатаминотрансфераза, лактатдегидрогеназа, щелочная фосфатаза, амилаза</w:t>
      </w:r>
    </w:p>
    <w:p w:rsidR="00B43B37" w:rsidRPr="00FB583E" w:rsidRDefault="00B43B37" w:rsidP="004F39BB">
      <w:pPr>
        <w:pStyle w:val="afe"/>
        <w:numPr>
          <w:ilvl w:val="0"/>
          <w:numId w:val="49"/>
        </w:numPr>
        <w:rPr>
          <w:szCs w:val="24"/>
        </w:rPr>
      </w:pPr>
      <w:r w:rsidRPr="00FB583E">
        <w:rPr>
          <w:szCs w:val="24"/>
        </w:rPr>
        <w:t>Оценка кислотно-щелочного равновесия (по показаниям)</w:t>
      </w:r>
    </w:p>
    <w:p w:rsidR="00B43B37" w:rsidRPr="00FB583E" w:rsidRDefault="00B43B37" w:rsidP="004F39BB">
      <w:pPr>
        <w:pStyle w:val="afe"/>
        <w:numPr>
          <w:ilvl w:val="0"/>
          <w:numId w:val="49"/>
        </w:numPr>
        <w:rPr>
          <w:szCs w:val="24"/>
        </w:rPr>
      </w:pPr>
      <w:r w:rsidRPr="00FB583E">
        <w:rPr>
          <w:szCs w:val="24"/>
        </w:rPr>
        <w:t>Коагулограмма – активированное частичное тромбопластиновое время (АЧТВ), тромбиновое время (ТВ), протромбин по Квику (международное нормализованное отношение - МНО), плазменная концентрация фибриногена, а также по показаниям: плазменная концентрация антитромбина III (АТ III), XIIa-зависимый фибринолиз, агрегация тромбоцитов, индуцированная АДФ, адреналином, ристомицином, коллагеном, арахидоновой кислотой, D-димер, протеин С, протеин S.</w:t>
      </w:r>
    </w:p>
    <w:p w:rsidR="00B43B37" w:rsidRPr="00FB583E" w:rsidRDefault="00B43B37" w:rsidP="004F39BB">
      <w:pPr>
        <w:pStyle w:val="afe"/>
        <w:numPr>
          <w:ilvl w:val="0"/>
          <w:numId w:val="49"/>
        </w:numPr>
        <w:rPr>
          <w:szCs w:val="24"/>
        </w:rPr>
      </w:pPr>
      <w:r w:rsidRPr="00FB583E">
        <w:rPr>
          <w:szCs w:val="24"/>
        </w:rPr>
        <w:t>Определение маркеров тромбофилии (по показаниям)</w:t>
      </w:r>
    </w:p>
    <w:p w:rsidR="00B43B37" w:rsidRPr="00FB583E" w:rsidRDefault="00B43B37" w:rsidP="004F39BB">
      <w:pPr>
        <w:pStyle w:val="afe"/>
        <w:numPr>
          <w:ilvl w:val="0"/>
          <w:numId w:val="49"/>
        </w:numPr>
        <w:rPr>
          <w:szCs w:val="24"/>
        </w:rPr>
      </w:pPr>
      <w:r w:rsidRPr="00FB583E">
        <w:rPr>
          <w:szCs w:val="24"/>
        </w:rPr>
        <w:t>Иммунохимическое исследование крови и мочи, включая количество нормальных иммуноглобулинов, наличие моноклональной секреции, С-реактивный белок, бета-2-микроглобулин</w:t>
      </w:r>
    </w:p>
    <w:p w:rsidR="00B43B37" w:rsidRPr="00FB583E" w:rsidRDefault="00B43B37" w:rsidP="004F39BB">
      <w:pPr>
        <w:pStyle w:val="afe"/>
        <w:numPr>
          <w:ilvl w:val="0"/>
          <w:numId w:val="49"/>
        </w:numPr>
        <w:rPr>
          <w:szCs w:val="24"/>
        </w:rPr>
      </w:pPr>
      <w:r w:rsidRPr="00FB583E">
        <w:rPr>
          <w:szCs w:val="24"/>
        </w:rPr>
        <w:lastRenderedPageBreak/>
        <w:t>Определение группы крови и резус - фактора</w:t>
      </w:r>
    </w:p>
    <w:p w:rsidR="00B43B37" w:rsidRPr="00FB583E" w:rsidRDefault="00B43B37" w:rsidP="004F39BB">
      <w:pPr>
        <w:pStyle w:val="afe"/>
        <w:numPr>
          <w:ilvl w:val="0"/>
          <w:numId w:val="49"/>
        </w:numPr>
        <w:rPr>
          <w:szCs w:val="24"/>
        </w:rPr>
      </w:pPr>
      <w:r w:rsidRPr="00FB583E">
        <w:rPr>
          <w:szCs w:val="24"/>
        </w:rPr>
        <w:t>Исследование крови на вирусы гепатитов B и C, ВИЧ, сифилис</w:t>
      </w:r>
    </w:p>
    <w:p w:rsidR="00B43B37" w:rsidRPr="00FB583E" w:rsidRDefault="00B43B37" w:rsidP="004F39BB">
      <w:pPr>
        <w:pStyle w:val="afe"/>
        <w:numPr>
          <w:ilvl w:val="0"/>
          <w:numId w:val="49"/>
        </w:numPr>
        <w:rPr>
          <w:szCs w:val="24"/>
        </w:rPr>
      </w:pPr>
      <w:r w:rsidRPr="00FB583E">
        <w:rPr>
          <w:szCs w:val="24"/>
        </w:rPr>
        <w:t>Определение В-клеточной клональности в крови (по  показаниям)</w:t>
      </w:r>
    </w:p>
    <w:p w:rsidR="00B43B37" w:rsidRPr="00FB583E" w:rsidRDefault="00B43B37" w:rsidP="004F39BB">
      <w:pPr>
        <w:pStyle w:val="afe"/>
        <w:numPr>
          <w:ilvl w:val="0"/>
          <w:numId w:val="49"/>
        </w:numPr>
        <w:rPr>
          <w:szCs w:val="24"/>
        </w:rPr>
      </w:pPr>
      <w:r w:rsidRPr="00FB583E">
        <w:rPr>
          <w:szCs w:val="24"/>
        </w:rPr>
        <w:t>Определение клиренса креатинина по формуле Кокрофта- Голта</w:t>
      </w:r>
    </w:p>
    <w:p w:rsidR="00B43B37" w:rsidRPr="00FB583E" w:rsidRDefault="00B43B37" w:rsidP="004F39BB">
      <w:pPr>
        <w:pStyle w:val="afe"/>
        <w:numPr>
          <w:ilvl w:val="0"/>
          <w:numId w:val="49"/>
        </w:numPr>
        <w:rPr>
          <w:szCs w:val="24"/>
        </w:rPr>
      </w:pPr>
      <w:r w:rsidRPr="00FB583E">
        <w:rPr>
          <w:szCs w:val="24"/>
        </w:rPr>
        <w:t>Исследование ликвора – цитологическое, белок, глюкоза, вирусологическое, микробиологическое, иммуноцитохимическое, иммунофенотипическое. Исследование ликвора проводится по показаниям на различных этапах диагностики, лечения и наблюдения (до, в период и после курсов полихимиотерапии) в соответствии с соответствующим протоколом диагностики и лечения.</w:t>
      </w:r>
    </w:p>
    <w:p w:rsidR="00B43B37" w:rsidRPr="00FB583E" w:rsidRDefault="00B43B37" w:rsidP="004F39BB">
      <w:pPr>
        <w:pStyle w:val="afe"/>
        <w:numPr>
          <w:ilvl w:val="0"/>
          <w:numId w:val="49"/>
        </w:numPr>
        <w:rPr>
          <w:szCs w:val="24"/>
        </w:rPr>
      </w:pPr>
      <w:r w:rsidRPr="00FB583E">
        <w:rPr>
          <w:szCs w:val="24"/>
        </w:rPr>
        <w:t>Исследование материала биоптата опухоли ЦНС – цитологическое, гистологическое, иммуногистохимическое с необходимым набором иммуногистохимических маркеров (в том числе, CD20, CD45, CD79, MuM1, BCL2, BCL6, CD10, Ki-67), цитогенетическое исследование (стандартное и FISH, в том числе с маркерами BCL2, BCL6, c-MYC, TP53); молекулярно-биологическое исследование, в том числе, на мутации генов TP53, MYD88</w:t>
      </w:r>
    </w:p>
    <w:p w:rsidR="00B43B37" w:rsidRPr="00FB583E" w:rsidRDefault="00B43B37" w:rsidP="004F39BB">
      <w:pPr>
        <w:pStyle w:val="afe"/>
        <w:numPr>
          <w:ilvl w:val="0"/>
          <w:numId w:val="49"/>
        </w:numPr>
        <w:rPr>
          <w:szCs w:val="24"/>
        </w:rPr>
      </w:pPr>
      <w:r w:rsidRPr="00FB583E">
        <w:rPr>
          <w:szCs w:val="24"/>
        </w:rPr>
        <w:t xml:space="preserve">Исследования костного мозга цитологическое, гистологическое и молекулярно-биологическое (В-клеточная клональность, другие маркеры по показаниям) </w:t>
      </w:r>
    </w:p>
    <w:p w:rsidR="00B43B37" w:rsidRPr="00FB583E" w:rsidRDefault="00B43B37" w:rsidP="00B43B37">
      <w:pPr>
        <w:ind w:firstLine="708"/>
        <w:rPr>
          <w:b/>
          <w:szCs w:val="24"/>
        </w:rPr>
      </w:pPr>
      <w:r w:rsidRPr="00FB583E">
        <w:rPr>
          <w:b/>
          <w:szCs w:val="24"/>
        </w:rPr>
        <w:t>Инструментальная диагностика:</w:t>
      </w:r>
    </w:p>
    <w:p w:rsidR="00B43B37" w:rsidRPr="00FB583E" w:rsidRDefault="00B43B37" w:rsidP="004F39BB">
      <w:pPr>
        <w:pStyle w:val="afe"/>
        <w:numPr>
          <w:ilvl w:val="0"/>
          <w:numId w:val="49"/>
        </w:numPr>
        <w:rPr>
          <w:szCs w:val="24"/>
        </w:rPr>
      </w:pPr>
      <w:r w:rsidRPr="00FB583E">
        <w:rPr>
          <w:szCs w:val="24"/>
        </w:rPr>
        <w:t>КТ с внутривенным контрастированием или МРТ головного мозга с внутривенным контрастированием</w:t>
      </w:r>
    </w:p>
    <w:p w:rsidR="00B43B37" w:rsidRPr="00FB583E" w:rsidRDefault="00B43B37" w:rsidP="004F39BB">
      <w:pPr>
        <w:pStyle w:val="afe"/>
        <w:numPr>
          <w:ilvl w:val="0"/>
          <w:numId w:val="49"/>
        </w:numPr>
        <w:rPr>
          <w:szCs w:val="24"/>
        </w:rPr>
      </w:pPr>
      <w:r w:rsidRPr="00FB583E">
        <w:rPr>
          <w:szCs w:val="24"/>
        </w:rPr>
        <w:t>КТ/МРТ – ангиография (по показаниям)</w:t>
      </w:r>
    </w:p>
    <w:p w:rsidR="00B43B37" w:rsidRPr="00FB583E" w:rsidRDefault="00B43B37" w:rsidP="004F39BB">
      <w:pPr>
        <w:pStyle w:val="afe"/>
        <w:numPr>
          <w:ilvl w:val="0"/>
          <w:numId w:val="49"/>
        </w:numPr>
        <w:rPr>
          <w:szCs w:val="24"/>
        </w:rPr>
      </w:pPr>
      <w:r w:rsidRPr="00FB583E">
        <w:rPr>
          <w:szCs w:val="24"/>
        </w:rPr>
        <w:t>КТ брюшной полости, грудной клетки, малого таза</w:t>
      </w:r>
    </w:p>
    <w:p w:rsidR="00B43B37" w:rsidRPr="00FB583E" w:rsidRDefault="00B43B37" w:rsidP="004F39BB">
      <w:pPr>
        <w:pStyle w:val="afe"/>
        <w:numPr>
          <w:ilvl w:val="0"/>
          <w:numId w:val="49"/>
        </w:numPr>
        <w:rPr>
          <w:szCs w:val="24"/>
        </w:rPr>
      </w:pPr>
      <w:r w:rsidRPr="00FB583E">
        <w:rPr>
          <w:szCs w:val="24"/>
        </w:rPr>
        <w:t>УЗИ брюшной полости (по показаниям)</w:t>
      </w:r>
    </w:p>
    <w:p w:rsidR="00B43B37" w:rsidRPr="00FB583E" w:rsidRDefault="00B43B37" w:rsidP="004F39BB">
      <w:pPr>
        <w:pStyle w:val="afe"/>
        <w:numPr>
          <w:ilvl w:val="0"/>
          <w:numId w:val="49"/>
        </w:numPr>
        <w:rPr>
          <w:szCs w:val="24"/>
        </w:rPr>
      </w:pPr>
      <w:r w:rsidRPr="00FB583E">
        <w:rPr>
          <w:szCs w:val="24"/>
        </w:rPr>
        <w:t>Электроэнцефалография (ЭЭГ) с функциональными пробами для определения функционального состояния головного мозга и исключения эпиактивности</w:t>
      </w:r>
    </w:p>
    <w:p w:rsidR="00B43B37" w:rsidRPr="00FB583E" w:rsidRDefault="00B43B37" w:rsidP="004F39BB">
      <w:pPr>
        <w:pStyle w:val="afe"/>
        <w:numPr>
          <w:ilvl w:val="0"/>
          <w:numId w:val="49"/>
        </w:numPr>
        <w:rPr>
          <w:szCs w:val="24"/>
        </w:rPr>
      </w:pPr>
      <w:r w:rsidRPr="00FB583E">
        <w:rPr>
          <w:szCs w:val="24"/>
        </w:rPr>
        <w:t xml:space="preserve">ВП – вызванные потенциалы различной модальности (по показаниям): </w:t>
      </w:r>
    </w:p>
    <w:p w:rsidR="00B43B37" w:rsidRPr="00FB583E" w:rsidRDefault="00B43B37" w:rsidP="004F39BB">
      <w:pPr>
        <w:pStyle w:val="afe"/>
        <w:numPr>
          <w:ilvl w:val="1"/>
          <w:numId w:val="49"/>
        </w:numPr>
        <w:rPr>
          <w:szCs w:val="24"/>
        </w:rPr>
      </w:pPr>
      <w:r w:rsidRPr="00FB583E">
        <w:rPr>
          <w:szCs w:val="24"/>
        </w:rPr>
        <w:t>ЗВП – зрительные вызванные потенциалы,</w:t>
      </w:r>
    </w:p>
    <w:p w:rsidR="00B43B37" w:rsidRPr="00FB583E" w:rsidRDefault="00B43B37" w:rsidP="004F39BB">
      <w:pPr>
        <w:pStyle w:val="afe"/>
        <w:numPr>
          <w:ilvl w:val="1"/>
          <w:numId w:val="49"/>
        </w:numPr>
        <w:rPr>
          <w:szCs w:val="24"/>
        </w:rPr>
      </w:pPr>
      <w:r w:rsidRPr="00FB583E">
        <w:rPr>
          <w:szCs w:val="24"/>
        </w:rPr>
        <w:t>КВП – когнитивные вызванные потенциалы,</w:t>
      </w:r>
    </w:p>
    <w:p w:rsidR="00B43B37" w:rsidRPr="00FB583E" w:rsidRDefault="00B43B37" w:rsidP="004F39BB">
      <w:pPr>
        <w:pStyle w:val="afe"/>
        <w:numPr>
          <w:ilvl w:val="1"/>
          <w:numId w:val="49"/>
        </w:numPr>
        <w:rPr>
          <w:szCs w:val="24"/>
        </w:rPr>
      </w:pPr>
      <w:r w:rsidRPr="00FB583E">
        <w:rPr>
          <w:szCs w:val="24"/>
        </w:rPr>
        <w:t>КАСВП – коротколатентные акустические стволовые вызванные потенциалы</w:t>
      </w:r>
    </w:p>
    <w:p w:rsidR="00B43B37" w:rsidRPr="00FB583E" w:rsidRDefault="00B43B37" w:rsidP="004F39BB">
      <w:pPr>
        <w:pStyle w:val="afe"/>
        <w:numPr>
          <w:ilvl w:val="1"/>
          <w:numId w:val="49"/>
        </w:numPr>
        <w:rPr>
          <w:szCs w:val="24"/>
        </w:rPr>
      </w:pPr>
      <w:r w:rsidRPr="00FB583E">
        <w:rPr>
          <w:szCs w:val="24"/>
        </w:rPr>
        <w:t>ССВП – соматосенсорные вызванные потенциалы</w:t>
      </w:r>
    </w:p>
    <w:p w:rsidR="00B43B37" w:rsidRPr="00FB583E" w:rsidRDefault="00B43B37" w:rsidP="004F39BB">
      <w:pPr>
        <w:pStyle w:val="afe"/>
        <w:numPr>
          <w:ilvl w:val="0"/>
          <w:numId w:val="49"/>
        </w:numPr>
        <w:rPr>
          <w:szCs w:val="24"/>
        </w:rPr>
      </w:pPr>
      <w:r w:rsidRPr="00FB583E">
        <w:rPr>
          <w:szCs w:val="24"/>
        </w:rPr>
        <w:lastRenderedPageBreak/>
        <w:t>Транскраниальная магнитная стимуляция (ТКМС) (по показаниям)</w:t>
      </w:r>
    </w:p>
    <w:p w:rsidR="00B43B37" w:rsidRPr="00FB583E" w:rsidRDefault="00B43B37" w:rsidP="004F39BB">
      <w:pPr>
        <w:pStyle w:val="afe"/>
        <w:numPr>
          <w:ilvl w:val="0"/>
          <w:numId w:val="49"/>
        </w:numPr>
        <w:rPr>
          <w:szCs w:val="24"/>
        </w:rPr>
      </w:pPr>
      <w:r w:rsidRPr="00FB583E">
        <w:rPr>
          <w:szCs w:val="24"/>
        </w:rPr>
        <w:t>ПЭТ-КТ (по показаниям)</w:t>
      </w:r>
    </w:p>
    <w:p w:rsidR="00B43B37" w:rsidRPr="00FB583E" w:rsidRDefault="00B43B37" w:rsidP="004F39BB">
      <w:pPr>
        <w:pStyle w:val="afe"/>
        <w:numPr>
          <w:ilvl w:val="0"/>
          <w:numId w:val="49"/>
        </w:numPr>
        <w:rPr>
          <w:szCs w:val="24"/>
        </w:rPr>
      </w:pPr>
      <w:r w:rsidRPr="00FB583E">
        <w:rPr>
          <w:szCs w:val="24"/>
        </w:rPr>
        <w:t>Ультразвуковая допплерография (УЗДГ) - брахиоцефальных артерий и вен (по показаниям)</w:t>
      </w:r>
    </w:p>
    <w:p w:rsidR="00B43B37" w:rsidRPr="00FB583E" w:rsidRDefault="00B43B37" w:rsidP="004F39BB">
      <w:pPr>
        <w:pStyle w:val="afe"/>
        <w:numPr>
          <w:ilvl w:val="0"/>
          <w:numId w:val="49"/>
        </w:numPr>
        <w:rPr>
          <w:szCs w:val="24"/>
        </w:rPr>
      </w:pPr>
      <w:r w:rsidRPr="00FB583E">
        <w:rPr>
          <w:szCs w:val="24"/>
        </w:rPr>
        <w:t>ФГДС, ФКС (биопсия по показаниям)</w:t>
      </w:r>
    </w:p>
    <w:p w:rsidR="00B43B37" w:rsidRPr="00FB583E" w:rsidRDefault="00B43B37" w:rsidP="004F39BB">
      <w:pPr>
        <w:pStyle w:val="afe"/>
        <w:numPr>
          <w:ilvl w:val="0"/>
          <w:numId w:val="49"/>
        </w:numPr>
        <w:rPr>
          <w:szCs w:val="24"/>
        </w:rPr>
      </w:pPr>
      <w:r w:rsidRPr="00FB583E">
        <w:rPr>
          <w:szCs w:val="24"/>
        </w:rPr>
        <w:t>ЭКГ</w:t>
      </w:r>
    </w:p>
    <w:p w:rsidR="00B43B37" w:rsidRPr="00FB583E" w:rsidRDefault="00B43B37" w:rsidP="004F39BB">
      <w:pPr>
        <w:pStyle w:val="afe"/>
        <w:numPr>
          <w:ilvl w:val="0"/>
          <w:numId w:val="49"/>
        </w:numPr>
        <w:rPr>
          <w:szCs w:val="24"/>
        </w:rPr>
      </w:pPr>
      <w:r w:rsidRPr="00FB583E">
        <w:rPr>
          <w:szCs w:val="24"/>
        </w:rPr>
        <w:t>Эхо-КГ</w:t>
      </w:r>
    </w:p>
    <w:p w:rsidR="00B43B37" w:rsidRPr="00FB583E" w:rsidRDefault="00B43B37" w:rsidP="00B43B37">
      <w:pPr>
        <w:ind w:firstLine="708"/>
        <w:rPr>
          <w:b/>
          <w:szCs w:val="24"/>
        </w:rPr>
      </w:pPr>
      <w:r w:rsidRPr="00FB583E">
        <w:rPr>
          <w:b/>
          <w:szCs w:val="24"/>
        </w:rPr>
        <w:t>Консультация специалистов:</w:t>
      </w:r>
    </w:p>
    <w:p w:rsidR="00B43B37" w:rsidRPr="00FB583E" w:rsidRDefault="00B43B37" w:rsidP="004F39BB">
      <w:pPr>
        <w:pStyle w:val="afe"/>
        <w:numPr>
          <w:ilvl w:val="0"/>
          <w:numId w:val="49"/>
        </w:numPr>
        <w:rPr>
          <w:szCs w:val="24"/>
        </w:rPr>
      </w:pPr>
      <w:r w:rsidRPr="00FB583E">
        <w:rPr>
          <w:szCs w:val="24"/>
        </w:rPr>
        <w:t>Невролог – для оценки неврологического статуса</w:t>
      </w:r>
    </w:p>
    <w:p w:rsidR="00B43B37" w:rsidRPr="00FB583E" w:rsidRDefault="00B43B37" w:rsidP="004F39BB">
      <w:pPr>
        <w:pStyle w:val="afe"/>
        <w:numPr>
          <w:ilvl w:val="0"/>
          <w:numId w:val="49"/>
        </w:numPr>
        <w:rPr>
          <w:szCs w:val="24"/>
        </w:rPr>
      </w:pPr>
      <w:r w:rsidRPr="00FB583E">
        <w:rPr>
          <w:szCs w:val="24"/>
        </w:rPr>
        <w:t>Нейрохирург – для стереотаксической биопсии (СТБ) опухоли головного мозга или биопсия образования спинного мозга для верификации диагноза.</w:t>
      </w:r>
    </w:p>
    <w:p w:rsidR="00B43B37" w:rsidRPr="00FB583E" w:rsidRDefault="00B43B37" w:rsidP="004F39BB">
      <w:pPr>
        <w:pStyle w:val="afe"/>
        <w:numPr>
          <w:ilvl w:val="0"/>
          <w:numId w:val="49"/>
        </w:numPr>
        <w:rPr>
          <w:szCs w:val="24"/>
        </w:rPr>
      </w:pPr>
      <w:r w:rsidRPr="00FB583E">
        <w:rPr>
          <w:szCs w:val="24"/>
        </w:rPr>
        <w:t>Офтальмолог – для оценки состояния глазного дна, определения степени внутричерепной гипертензии</w:t>
      </w:r>
    </w:p>
    <w:p w:rsidR="00B43B37" w:rsidRPr="00FB583E" w:rsidRDefault="00B43B37" w:rsidP="004F39BB">
      <w:pPr>
        <w:pStyle w:val="afe"/>
        <w:numPr>
          <w:ilvl w:val="0"/>
          <w:numId w:val="49"/>
        </w:numPr>
        <w:rPr>
          <w:szCs w:val="24"/>
        </w:rPr>
      </w:pPr>
      <w:r w:rsidRPr="00FB583E">
        <w:rPr>
          <w:szCs w:val="24"/>
        </w:rPr>
        <w:t>По показаниям привлекаются другие специалисты:</w:t>
      </w:r>
    </w:p>
    <w:p w:rsidR="00B43B37" w:rsidRPr="00FB583E" w:rsidRDefault="00B43B37" w:rsidP="004F39BB">
      <w:pPr>
        <w:pStyle w:val="afe"/>
        <w:numPr>
          <w:ilvl w:val="0"/>
          <w:numId w:val="49"/>
        </w:numPr>
        <w:rPr>
          <w:szCs w:val="24"/>
        </w:rPr>
      </w:pPr>
      <w:r w:rsidRPr="00FB583E">
        <w:rPr>
          <w:szCs w:val="24"/>
        </w:rPr>
        <w:t>радиолог</w:t>
      </w:r>
    </w:p>
    <w:p w:rsidR="00B43B37" w:rsidRPr="00FB583E" w:rsidRDefault="00B43B37" w:rsidP="004F39BB">
      <w:pPr>
        <w:pStyle w:val="afe"/>
        <w:numPr>
          <w:ilvl w:val="0"/>
          <w:numId w:val="49"/>
        </w:numPr>
        <w:rPr>
          <w:szCs w:val="24"/>
        </w:rPr>
      </w:pPr>
      <w:r w:rsidRPr="00FB583E">
        <w:rPr>
          <w:szCs w:val="24"/>
        </w:rPr>
        <w:t>психиатр</w:t>
      </w:r>
    </w:p>
    <w:p w:rsidR="00B43B37" w:rsidRPr="00FB583E" w:rsidRDefault="00B43B37" w:rsidP="004F39BB">
      <w:pPr>
        <w:pStyle w:val="afe"/>
        <w:numPr>
          <w:ilvl w:val="0"/>
          <w:numId w:val="49"/>
        </w:numPr>
        <w:rPr>
          <w:szCs w:val="24"/>
        </w:rPr>
      </w:pPr>
      <w:r w:rsidRPr="00FB583E">
        <w:rPr>
          <w:szCs w:val="24"/>
        </w:rPr>
        <w:t>психолог</w:t>
      </w:r>
    </w:p>
    <w:p w:rsidR="00B43B37" w:rsidRPr="00FB583E" w:rsidRDefault="00B43B37" w:rsidP="004F39BB">
      <w:pPr>
        <w:pStyle w:val="afe"/>
        <w:numPr>
          <w:ilvl w:val="0"/>
          <w:numId w:val="49"/>
        </w:numPr>
        <w:rPr>
          <w:szCs w:val="24"/>
        </w:rPr>
      </w:pPr>
      <w:r w:rsidRPr="00FB583E">
        <w:rPr>
          <w:szCs w:val="24"/>
        </w:rPr>
        <w:t>кинезиотерапевт</w:t>
      </w:r>
    </w:p>
    <w:p w:rsidR="00B43B37" w:rsidRPr="00FB583E" w:rsidRDefault="00B43B37" w:rsidP="00B43B37">
      <w:pPr>
        <w:ind w:firstLine="708"/>
        <w:rPr>
          <w:b/>
          <w:szCs w:val="24"/>
        </w:rPr>
      </w:pPr>
      <w:r w:rsidRPr="00FB583E">
        <w:rPr>
          <w:b/>
          <w:szCs w:val="24"/>
        </w:rPr>
        <w:t>Лекарственная терапия неврологических осложнений специфического поражения ЦНС при гематологических заболеваниях.</w:t>
      </w:r>
    </w:p>
    <w:p w:rsidR="00B43B37" w:rsidRPr="00FB583E" w:rsidRDefault="00B43B37" w:rsidP="00B43B37">
      <w:pPr>
        <w:ind w:firstLine="708"/>
        <w:rPr>
          <w:szCs w:val="24"/>
        </w:rPr>
      </w:pPr>
      <w:r w:rsidRPr="00FB583E">
        <w:rPr>
          <w:szCs w:val="24"/>
        </w:rPr>
        <w:t>Основным методом лечения вовлечения ЦНС при онкогематологических заболеваниях (лейкозы, лимфомы) является химиотерапия. Дополнительно могут применяться хирургические и радиологические (лучевая терапия) методы лечения.</w:t>
      </w:r>
    </w:p>
    <w:p w:rsidR="00B43B37" w:rsidRPr="00FB583E" w:rsidRDefault="00B43B37" w:rsidP="00B43B37">
      <w:pPr>
        <w:ind w:firstLine="708"/>
        <w:rPr>
          <w:szCs w:val="24"/>
        </w:rPr>
      </w:pPr>
      <w:r w:rsidRPr="00FB583E">
        <w:rPr>
          <w:szCs w:val="24"/>
        </w:rPr>
        <w:t>Очаговое специфическое поражение головного мозга при онкогематологических заболеваниях сопровождается перифокальным отеком или повышением внутричерепного давления и часто вызывает эпилептические приступы.  В связи с этим могут применяться следующие основные группы лекарственных препаратов:</w:t>
      </w:r>
    </w:p>
    <w:p w:rsidR="00B43B37" w:rsidRPr="00FB583E" w:rsidRDefault="00B43B37" w:rsidP="004F39BB">
      <w:pPr>
        <w:pStyle w:val="afe"/>
        <w:numPr>
          <w:ilvl w:val="0"/>
          <w:numId w:val="49"/>
        </w:numPr>
        <w:rPr>
          <w:szCs w:val="24"/>
        </w:rPr>
      </w:pPr>
      <w:r w:rsidRPr="00FB583E">
        <w:rPr>
          <w:szCs w:val="24"/>
        </w:rPr>
        <w:t xml:space="preserve">Противоотечные препараты – маннитол в/в, лазикс в/в, ацетазоламид (диакарб) в таб. </w:t>
      </w:r>
    </w:p>
    <w:p w:rsidR="00B43B37" w:rsidRPr="00FB583E" w:rsidRDefault="00B43B37" w:rsidP="004F39BB">
      <w:pPr>
        <w:pStyle w:val="afe"/>
        <w:numPr>
          <w:ilvl w:val="0"/>
          <w:numId w:val="49"/>
        </w:numPr>
        <w:rPr>
          <w:szCs w:val="24"/>
        </w:rPr>
      </w:pPr>
      <w:r w:rsidRPr="00FB583E">
        <w:rPr>
          <w:szCs w:val="24"/>
        </w:rPr>
        <w:t>Противорвотная терапия – ондансетрон в/в</w:t>
      </w:r>
    </w:p>
    <w:p w:rsidR="00B43B37" w:rsidRPr="00FB583E" w:rsidRDefault="00B43B37" w:rsidP="004F39BB">
      <w:pPr>
        <w:pStyle w:val="afe"/>
        <w:numPr>
          <w:ilvl w:val="0"/>
          <w:numId w:val="49"/>
        </w:numPr>
        <w:rPr>
          <w:szCs w:val="24"/>
        </w:rPr>
      </w:pPr>
      <w:r w:rsidRPr="00FB583E">
        <w:rPr>
          <w:szCs w:val="24"/>
        </w:rPr>
        <w:t>Противоэпилептические, противосудорожные препараты – леветирацетамв/в, табл; бензобарбитал табл; конвулекс в/в, таб; прегабалин капс; габапентин таб, клоназепам таб; фенобарбитал таб, окскарбазепин таб, ламотриджил таб, диазепам в/в, таб; карбамазепин таб; фенитоин таб;</w:t>
      </w:r>
    </w:p>
    <w:p w:rsidR="00B43B37" w:rsidRPr="00FB583E" w:rsidRDefault="00B43B37" w:rsidP="004F39BB">
      <w:pPr>
        <w:pStyle w:val="afe"/>
        <w:numPr>
          <w:ilvl w:val="0"/>
          <w:numId w:val="49"/>
        </w:numPr>
        <w:rPr>
          <w:szCs w:val="24"/>
        </w:rPr>
      </w:pPr>
      <w:r w:rsidRPr="00FB583E">
        <w:rPr>
          <w:szCs w:val="24"/>
        </w:rPr>
        <w:lastRenderedPageBreak/>
        <w:t>Нейропротекторная терапия аминофенилмаслянная кислота – фенибут таб</w:t>
      </w:r>
    </w:p>
    <w:p w:rsidR="00B43B37" w:rsidRPr="00FB583E" w:rsidRDefault="00B43B37" w:rsidP="004F39BB">
      <w:pPr>
        <w:pStyle w:val="afe"/>
        <w:numPr>
          <w:ilvl w:val="0"/>
          <w:numId w:val="49"/>
        </w:numPr>
        <w:rPr>
          <w:szCs w:val="24"/>
        </w:rPr>
      </w:pPr>
      <w:r w:rsidRPr="00FB583E">
        <w:rPr>
          <w:szCs w:val="24"/>
        </w:rPr>
        <w:t>Дофаминэргические препараты: ПК-мерц в/в, таб; наком таб; мирапекс таб; акинетон таб.</w:t>
      </w:r>
    </w:p>
    <w:p w:rsidR="00B43B37" w:rsidRPr="00FB583E" w:rsidRDefault="00B43B37" w:rsidP="004F39BB">
      <w:pPr>
        <w:pStyle w:val="afe"/>
        <w:numPr>
          <w:ilvl w:val="0"/>
          <w:numId w:val="49"/>
        </w:numPr>
        <w:rPr>
          <w:szCs w:val="24"/>
        </w:rPr>
      </w:pPr>
      <w:r w:rsidRPr="00FB583E">
        <w:rPr>
          <w:szCs w:val="24"/>
        </w:rPr>
        <w:t>Витаминотерапия</w:t>
      </w:r>
      <w:r>
        <w:rPr>
          <w:szCs w:val="24"/>
        </w:rPr>
        <w:t xml:space="preserve"> –</w:t>
      </w:r>
      <w:r w:rsidRPr="00FB583E">
        <w:rPr>
          <w:szCs w:val="24"/>
        </w:rPr>
        <w:t xml:space="preserve"> церневит в/в, витамины группы В таб.</w:t>
      </w:r>
    </w:p>
    <w:p w:rsidR="00B43B37" w:rsidRPr="00FB583E" w:rsidRDefault="00B43B37" w:rsidP="004F39BB">
      <w:pPr>
        <w:pStyle w:val="afe"/>
        <w:numPr>
          <w:ilvl w:val="0"/>
          <w:numId w:val="49"/>
        </w:numPr>
        <w:rPr>
          <w:szCs w:val="24"/>
        </w:rPr>
      </w:pPr>
      <w:r w:rsidRPr="00FB583E">
        <w:rPr>
          <w:szCs w:val="24"/>
        </w:rPr>
        <w:t>Антиоксиданты –</w:t>
      </w:r>
      <w:r>
        <w:rPr>
          <w:szCs w:val="24"/>
        </w:rPr>
        <w:t xml:space="preserve"> </w:t>
      </w:r>
      <w:r w:rsidRPr="00FB583E">
        <w:rPr>
          <w:szCs w:val="24"/>
        </w:rPr>
        <w:t xml:space="preserve">альфа-липоевая кислота в/в, капс. </w:t>
      </w:r>
    </w:p>
    <w:p w:rsidR="00B43B37" w:rsidRPr="00FB583E" w:rsidRDefault="00B43B37" w:rsidP="004F39BB">
      <w:pPr>
        <w:pStyle w:val="afe"/>
        <w:numPr>
          <w:ilvl w:val="0"/>
          <w:numId w:val="49"/>
        </w:numPr>
        <w:rPr>
          <w:szCs w:val="24"/>
        </w:rPr>
      </w:pPr>
      <w:r w:rsidRPr="00FB583E">
        <w:rPr>
          <w:szCs w:val="24"/>
        </w:rPr>
        <w:t xml:space="preserve">Антидепрессанты </w:t>
      </w:r>
      <w:r>
        <w:rPr>
          <w:szCs w:val="24"/>
        </w:rPr>
        <w:t>–</w:t>
      </w:r>
      <w:r w:rsidRPr="00FB583E">
        <w:rPr>
          <w:szCs w:val="24"/>
        </w:rPr>
        <w:t xml:space="preserve"> по назначению психиатра</w:t>
      </w:r>
    </w:p>
    <w:p w:rsidR="00B43B37" w:rsidRPr="00FB583E" w:rsidRDefault="00B43B37" w:rsidP="00B43B37">
      <w:pPr>
        <w:ind w:firstLine="360"/>
        <w:rPr>
          <w:szCs w:val="24"/>
        </w:rPr>
      </w:pPr>
    </w:p>
    <w:p w:rsidR="00B43B37" w:rsidRPr="00FB583E" w:rsidRDefault="00B43B37" w:rsidP="00B43B37">
      <w:pPr>
        <w:pStyle w:val="afd"/>
        <w:spacing w:beforeAutospacing="0" w:afterAutospacing="0" w:line="360" w:lineRule="auto"/>
        <w:rPr>
          <w:i/>
          <w:u w:val="single"/>
        </w:rPr>
      </w:pPr>
      <w:r w:rsidRPr="00FB583E">
        <w:rPr>
          <w:i/>
          <w:u w:val="single"/>
        </w:rPr>
        <w:t>Острые нарушения мозгового кровообращения по ишемическому типу при гематологических заболеваниях.</w:t>
      </w:r>
    </w:p>
    <w:p w:rsidR="00B43B37" w:rsidRPr="00FB583E" w:rsidRDefault="00B43B37" w:rsidP="00B43B37">
      <w:pPr>
        <w:pStyle w:val="afd"/>
        <w:spacing w:beforeAutospacing="0" w:afterAutospacing="0" w:line="360" w:lineRule="auto"/>
        <w:rPr>
          <w:color w:val="000000"/>
        </w:rPr>
      </w:pPr>
      <w:r w:rsidRPr="00FB583E">
        <w:rPr>
          <w:color w:val="000000"/>
        </w:rPr>
        <w:t>Примерно в 10% случаев при гематологических заболеваниях отмечается нарушение мозгового кровообращения (ОНМК) по ишемическому типу. К заболеваниям, при которых наиболее часто возникают тромбозы, относятся миелопролиферативные заболевания, миеломная болезнь, лимфопролиферативные заболевания, тромботическая микроангиопатия, в том числе атипичный гемолитико-уремический синдром, тромботическая тромбоцитопеническая пурпура. Причинами тромбозов мозговых сосудов у пациентов с гематологическими заболеваниями могут быть:</w:t>
      </w:r>
    </w:p>
    <w:p w:rsidR="00B43B37" w:rsidRPr="00FB583E" w:rsidRDefault="00B43B37" w:rsidP="004F39BB">
      <w:pPr>
        <w:pStyle w:val="afe"/>
        <w:numPr>
          <w:ilvl w:val="0"/>
          <w:numId w:val="49"/>
        </w:numPr>
        <w:rPr>
          <w:szCs w:val="24"/>
        </w:rPr>
      </w:pPr>
      <w:r w:rsidRPr="00FB583E">
        <w:rPr>
          <w:szCs w:val="24"/>
        </w:rPr>
        <w:t>механические факторы (сдавление опухолью кровеносного сосуда, наличие центрального или периферического венозных катетеров, нарушение целостности эндотелия некоторыми химиопрепаратами и др.)</w:t>
      </w:r>
    </w:p>
    <w:p w:rsidR="00B43B37" w:rsidRPr="00FB583E" w:rsidRDefault="00B43B37" w:rsidP="004F39BB">
      <w:pPr>
        <w:pStyle w:val="afe"/>
        <w:numPr>
          <w:ilvl w:val="0"/>
          <w:numId w:val="49"/>
        </w:numPr>
        <w:rPr>
          <w:szCs w:val="24"/>
        </w:rPr>
      </w:pPr>
      <w:r w:rsidRPr="00FB583E">
        <w:rPr>
          <w:szCs w:val="24"/>
        </w:rPr>
        <w:t>коагулогические (повышение или снижение активности факторов свертывания крови, повышение агрегационных свойств тромбоцитов и гипертромбоцитоз) вследствие опухолевого процесса и/или его лечения</w:t>
      </w:r>
    </w:p>
    <w:p w:rsidR="00B43B37" w:rsidRPr="00FB583E" w:rsidRDefault="00B43B37" w:rsidP="004F39BB">
      <w:pPr>
        <w:pStyle w:val="afe"/>
        <w:numPr>
          <w:ilvl w:val="0"/>
          <w:numId w:val="49"/>
        </w:numPr>
        <w:rPr>
          <w:szCs w:val="24"/>
        </w:rPr>
      </w:pPr>
      <w:r w:rsidRPr="00FB583E">
        <w:rPr>
          <w:szCs w:val="24"/>
        </w:rPr>
        <w:t>реологические (в том числе за счет гиперлейкоцитоза, эритроцитоза гипертромбоцитоза)</w:t>
      </w:r>
    </w:p>
    <w:p w:rsidR="00B43B37" w:rsidRPr="00FB583E" w:rsidRDefault="00B43B37" w:rsidP="004F39BB">
      <w:pPr>
        <w:pStyle w:val="afe"/>
        <w:numPr>
          <w:ilvl w:val="0"/>
          <w:numId w:val="49"/>
        </w:numPr>
        <w:rPr>
          <w:szCs w:val="24"/>
        </w:rPr>
      </w:pPr>
      <w:r w:rsidRPr="00FB583E">
        <w:rPr>
          <w:szCs w:val="24"/>
        </w:rPr>
        <w:t>полихимиотерапия</w:t>
      </w:r>
    </w:p>
    <w:p w:rsidR="00B43B37" w:rsidRPr="00FB583E" w:rsidRDefault="00B43B37" w:rsidP="004F39BB">
      <w:pPr>
        <w:pStyle w:val="afe"/>
        <w:numPr>
          <w:ilvl w:val="0"/>
          <w:numId w:val="49"/>
        </w:numPr>
        <w:rPr>
          <w:szCs w:val="24"/>
        </w:rPr>
      </w:pPr>
      <w:r w:rsidRPr="00FB583E">
        <w:rPr>
          <w:szCs w:val="24"/>
        </w:rPr>
        <w:t xml:space="preserve">лучевая терапия </w:t>
      </w:r>
    </w:p>
    <w:p w:rsidR="00B43B37" w:rsidRPr="00FB583E" w:rsidRDefault="00B43B37" w:rsidP="004F39BB">
      <w:pPr>
        <w:pStyle w:val="afe"/>
        <w:numPr>
          <w:ilvl w:val="0"/>
          <w:numId w:val="49"/>
        </w:numPr>
        <w:rPr>
          <w:szCs w:val="24"/>
        </w:rPr>
      </w:pPr>
      <w:r w:rsidRPr="00FB583E">
        <w:rPr>
          <w:szCs w:val="24"/>
        </w:rPr>
        <w:t>наличие сопутствующих заболеваний – кардиологических (фибрилляция предсердий, эндокардит), эндокринологических (сахарный диабет), гипертоническая болезнь, атеросклероз</w:t>
      </w:r>
    </w:p>
    <w:p w:rsidR="00B43B37" w:rsidRPr="00FB583E" w:rsidRDefault="00B43B37" w:rsidP="004F39BB">
      <w:pPr>
        <w:pStyle w:val="afe"/>
        <w:numPr>
          <w:ilvl w:val="0"/>
          <w:numId w:val="49"/>
        </w:numPr>
        <w:rPr>
          <w:szCs w:val="24"/>
        </w:rPr>
      </w:pPr>
      <w:r w:rsidRPr="00FB583E">
        <w:rPr>
          <w:szCs w:val="24"/>
        </w:rPr>
        <w:t>сочетание вышеперечисленных факторов</w:t>
      </w:r>
    </w:p>
    <w:p w:rsidR="00B43B37" w:rsidRPr="00FB583E" w:rsidRDefault="00B43B37" w:rsidP="00B43B37">
      <w:pPr>
        <w:pStyle w:val="afd"/>
        <w:spacing w:beforeAutospacing="0" w:afterAutospacing="0" w:line="360" w:lineRule="auto"/>
        <w:rPr>
          <w:b/>
          <w:color w:val="000000"/>
        </w:rPr>
      </w:pPr>
      <w:r w:rsidRPr="00FB583E">
        <w:rPr>
          <w:b/>
          <w:color w:val="000000"/>
        </w:rPr>
        <w:t>Клинические проявления ОНМК по ишемическому типу:</w:t>
      </w:r>
    </w:p>
    <w:p w:rsidR="00B43B37" w:rsidRPr="00FB583E" w:rsidRDefault="00B43B37" w:rsidP="00B43B37">
      <w:pPr>
        <w:pStyle w:val="afd"/>
        <w:spacing w:beforeAutospacing="0" w:afterAutospacing="0" w:line="360" w:lineRule="auto"/>
        <w:rPr>
          <w:color w:val="000000"/>
        </w:rPr>
      </w:pPr>
      <w:r w:rsidRPr="00FB583E">
        <w:rPr>
          <w:color w:val="000000"/>
        </w:rPr>
        <w:t xml:space="preserve">Клиническая картина при ОНМК по ишемическому типу проявляется в виде общемозговой симптоматики с нарушением сознания и осознанности, нарушением речи; очаговой симптоматикой, двигательными и чувствительными нарушениями и зависит от бассейна кровоснабжения артерии, размеров зоны ишемии и перифокального отека. </w:t>
      </w:r>
    </w:p>
    <w:p w:rsidR="00B43B37" w:rsidRPr="00FB583E" w:rsidRDefault="00B43B37" w:rsidP="00B43B37">
      <w:pPr>
        <w:pStyle w:val="afd"/>
        <w:spacing w:beforeAutospacing="0" w:afterAutospacing="0" w:line="360" w:lineRule="auto"/>
        <w:rPr>
          <w:color w:val="000000"/>
        </w:rPr>
      </w:pPr>
      <w:r w:rsidRPr="00FB583E">
        <w:rPr>
          <w:color w:val="000000"/>
        </w:rPr>
        <w:lastRenderedPageBreak/>
        <w:t xml:space="preserve">Отмечаются тромбозы венозных синусов, которые характеризуются преимущественно общемозговой симптоматикой в выраженной головной болью и эпилептическими приступами. </w:t>
      </w:r>
    </w:p>
    <w:p w:rsidR="00B43B37" w:rsidRPr="00FB583E" w:rsidRDefault="00B43B37" w:rsidP="00B43B37">
      <w:pPr>
        <w:rPr>
          <w:szCs w:val="24"/>
        </w:rPr>
      </w:pPr>
      <w:r w:rsidRPr="00FB583E">
        <w:rPr>
          <w:szCs w:val="24"/>
        </w:rPr>
        <w:t>Первичная диагностика включает в себя оценку жалоб, анамнеза; оценку функционального статуса по шкале Карновского, оценку неврологического статуса с характеристикой общемозговой и очаговой симптоматики, интеллектуально-мнестических нарушений, оценку психического состояния.</w:t>
      </w:r>
    </w:p>
    <w:p w:rsidR="00B43B37" w:rsidRPr="00FB583E" w:rsidRDefault="00B43B37" w:rsidP="00B43B37">
      <w:pPr>
        <w:pStyle w:val="afd"/>
        <w:spacing w:beforeAutospacing="0" w:afterAutospacing="0" w:line="360" w:lineRule="auto"/>
        <w:ind w:firstLine="708"/>
        <w:rPr>
          <w:color w:val="000000"/>
        </w:rPr>
      </w:pPr>
      <w:r w:rsidRPr="00FB583E">
        <w:rPr>
          <w:b/>
        </w:rPr>
        <w:t>Лабораторная диагностика</w:t>
      </w:r>
      <w:r w:rsidRPr="00FB583E">
        <w:t>: см</w:t>
      </w:r>
      <w:r w:rsidRPr="00FB583E">
        <w:rPr>
          <w:color w:val="000000"/>
        </w:rPr>
        <w:t>. главу «Профилактика, диагностика и лечение тромботических осложнений при гематологических заболеваниях» в настоящем методическом руководстве.</w:t>
      </w:r>
    </w:p>
    <w:p w:rsidR="00B43B37" w:rsidRPr="00FB583E" w:rsidRDefault="00B43B37" w:rsidP="00B43B37">
      <w:pPr>
        <w:ind w:firstLine="708"/>
        <w:rPr>
          <w:b/>
          <w:szCs w:val="24"/>
        </w:rPr>
      </w:pPr>
      <w:r w:rsidRPr="00FB583E">
        <w:rPr>
          <w:b/>
          <w:szCs w:val="24"/>
        </w:rPr>
        <w:t>Инструментальная диагностика:</w:t>
      </w:r>
    </w:p>
    <w:p w:rsidR="00B43B37" w:rsidRPr="00FB583E" w:rsidRDefault="00B43B37" w:rsidP="004F39BB">
      <w:pPr>
        <w:pStyle w:val="afe"/>
        <w:numPr>
          <w:ilvl w:val="0"/>
          <w:numId w:val="49"/>
        </w:numPr>
        <w:rPr>
          <w:szCs w:val="24"/>
        </w:rPr>
      </w:pPr>
      <w:r w:rsidRPr="00FB583E">
        <w:rPr>
          <w:szCs w:val="24"/>
        </w:rPr>
        <w:t>КТ/МРТ -  головного/спинного мозга с контрастным усилением</w:t>
      </w:r>
    </w:p>
    <w:p w:rsidR="00B43B37" w:rsidRPr="00FB583E" w:rsidRDefault="00B43B37" w:rsidP="004F39BB">
      <w:pPr>
        <w:pStyle w:val="afe"/>
        <w:numPr>
          <w:ilvl w:val="0"/>
          <w:numId w:val="49"/>
        </w:numPr>
        <w:rPr>
          <w:szCs w:val="24"/>
        </w:rPr>
      </w:pPr>
      <w:r w:rsidRPr="00FB583E">
        <w:rPr>
          <w:szCs w:val="24"/>
        </w:rPr>
        <w:t>КТ/МРТ-ангиография (с проведением тромболизиса по показаниям)</w:t>
      </w:r>
    </w:p>
    <w:p w:rsidR="00B43B37" w:rsidRPr="00FB583E" w:rsidRDefault="00B43B37" w:rsidP="004F39BB">
      <w:pPr>
        <w:pStyle w:val="afe"/>
        <w:numPr>
          <w:ilvl w:val="0"/>
          <w:numId w:val="49"/>
        </w:numPr>
        <w:rPr>
          <w:szCs w:val="24"/>
        </w:rPr>
      </w:pPr>
      <w:r w:rsidRPr="00FB583E">
        <w:rPr>
          <w:szCs w:val="24"/>
        </w:rPr>
        <w:t>ЭКГ</w:t>
      </w:r>
    </w:p>
    <w:p w:rsidR="00B43B37" w:rsidRPr="00FB583E" w:rsidRDefault="00B43B37" w:rsidP="004F39BB">
      <w:pPr>
        <w:pStyle w:val="afe"/>
        <w:numPr>
          <w:ilvl w:val="0"/>
          <w:numId w:val="49"/>
        </w:numPr>
        <w:rPr>
          <w:szCs w:val="24"/>
        </w:rPr>
      </w:pPr>
      <w:r w:rsidRPr="00FB583E">
        <w:rPr>
          <w:szCs w:val="24"/>
        </w:rPr>
        <w:t>Эхо-КГ</w:t>
      </w:r>
    </w:p>
    <w:p w:rsidR="00B43B37" w:rsidRPr="00FB583E" w:rsidRDefault="00B43B37" w:rsidP="004F39BB">
      <w:pPr>
        <w:pStyle w:val="afe"/>
        <w:numPr>
          <w:ilvl w:val="0"/>
          <w:numId w:val="49"/>
        </w:numPr>
        <w:rPr>
          <w:szCs w:val="24"/>
        </w:rPr>
      </w:pPr>
      <w:r w:rsidRPr="00FB583E">
        <w:rPr>
          <w:szCs w:val="24"/>
        </w:rPr>
        <w:t xml:space="preserve"> УЗДГ брахиоцефальных артерий и вен </w:t>
      </w:r>
    </w:p>
    <w:p w:rsidR="00B43B37" w:rsidRPr="00FB583E" w:rsidRDefault="00B43B37" w:rsidP="004F39BB">
      <w:pPr>
        <w:pStyle w:val="afe"/>
        <w:numPr>
          <w:ilvl w:val="0"/>
          <w:numId w:val="49"/>
        </w:numPr>
        <w:rPr>
          <w:szCs w:val="24"/>
        </w:rPr>
      </w:pPr>
      <w:r w:rsidRPr="00FB583E">
        <w:rPr>
          <w:szCs w:val="24"/>
        </w:rPr>
        <w:t>КТ грудной клетки</w:t>
      </w:r>
    </w:p>
    <w:p w:rsidR="00B43B37" w:rsidRPr="00FB583E" w:rsidRDefault="00B43B37" w:rsidP="004F39BB">
      <w:pPr>
        <w:pStyle w:val="afe"/>
        <w:numPr>
          <w:ilvl w:val="0"/>
          <w:numId w:val="49"/>
        </w:numPr>
        <w:rPr>
          <w:szCs w:val="24"/>
        </w:rPr>
      </w:pPr>
      <w:r w:rsidRPr="00FB583E">
        <w:rPr>
          <w:szCs w:val="24"/>
        </w:rPr>
        <w:t>ЭЭГ с функциональными пробами для определения функционального состояния головного мозга и исключения эпиактивности</w:t>
      </w:r>
    </w:p>
    <w:p w:rsidR="00B43B37" w:rsidRPr="00FB583E" w:rsidRDefault="00B43B37" w:rsidP="004F39BB">
      <w:pPr>
        <w:pStyle w:val="afe"/>
        <w:numPr>
          <w:ilvl w:val="0"/>
          <w:numId w:val="49"/>
        </w:numPr>
        <w:rPr>
          <w:szCs w:val="24"/>
        </w:rPr>
      </w:pPr>
      <w:r w:rsidRPr="00FB583E">
        <w:rPr>
          <w:szCs w:val="24"/>
        </w:rPr>
        <w:t>ВП различной модальности: ЗВП, КВП, КАСВП, ССВП (по показаниям)</w:t>
      </w:r>
    </w:p>
    <w:p w:rsidR="00B43B37" w:rsidRPr="00FB583E" w:rsidRDefault="00B43B37" w:rsidP="004F39BB">
      <w:pPr>
        <w:pStyle w:val="afe"/>
        <w:numPr>
          <w:ilvl w:val="0"/>
          <w:numId w:val="49"/>
        </w:numPr>
        <w:rPr>
          <w:szCs w:val="24"/>
        </w:rPr>
      </w:pPr>
      <w:r w:rsidRPr="00FB583E">
        <w:rPr>
          <w:szCs w:val="24"/>
        </w:rPr>
        <w:t>ТКМС (по показаниям)</w:t>
      </w:r>
    </w:p>
    <w:p w:rsidR="00B43B37" w:rsidRPr="00FB583E" w:rsidRDefault="00B43B37" w:rsidP="00B43B37">
      <w:pPr>
        <w:ind w:firstLine="708"/>
        <w:rPr>
          <w:b/>
          <w:szCs w:val="24"/>
        </w:rPr>
      </w:pPr>
      <w:r w:rsidRPr="00FB583E">
        <w:rPr>
          <w:b/>
          <w:color w:val="000000"/>
          <w:szCs w:val="24"/>
        </w:rPr>
        <w:t>Консультации с</w:t>
      </w:r>
      <w:r w:rsidRPr="00FB583E">
        <w:rPr>
          <w:b/>
          <w:szCs w:val="24"/>
        </w:rPr>
        <w:t>пециалистов:</w:t>
      </w:r>
    </w:p>
    <w:p w:rsidR="00B43B37" w:rsidRPr="00FB583E" w:rsidRDefault="00B43B37" w:rsidP="004F39BB">
      <w:pPr>
        <w:pStyle w:val="afe"/>
        <w:numPr>
          <w:ilvl w:val="0"/>
          <w:numId w:val="49"/>
        </w:numPr>
        <w:rPr>
          <w:szCs w:val="24"/>
        </w:rPr>
      </w:pPr>
      <w:r w:rsidRPr="00FB583E">
        <w:rPr>
          <w:szCs w:val="24"/>
        </w:rPr>
        <w:t>невролог</w:t>
      </w:r>
    </w:p>
    <w:p w:rsidR="00B43B37" w:rsidRPr="00FB583E" w:rsidRDefault="00B43B37" w:rsidP="004F39BB">
      <w:pPr>
        <w:pStyle w:val="afe"/>
        <w:numPr>
          <w:ilvl w:val="0"/>
          <w:numId w:val="49"/>
        </w:numPr>
        <w:rPr>
          <w:szCs w:val="24"/>
        </w:rPr>
      </w:pPr>
      <w:r w:rsidRPr="00FB583E">
        <w:rPr>
          <w:szCs w:val="24"/>
        </w:rPr>
        <w:t>ангиохирург</w:t>
      </w:r>
    </w:p>
    <w:p w:rsidR="00B43B37" w:rsidRPr="00FB583E" w:rsidRDefault="00B43B37" w:rsidP="004F39BB">
      <w:pPr>
        <w:pStyle w:val="afe"/>
        <w:numPr>
          <w:ilvl w:val="0"/>
          <w:numId w:val="49"/>
        </w:numPr>
        <w:rPr>
          <w:szCs w:val="24"/>
        </w:rPr>
      </w:pPr>
      <w:r w:rsidRPr="00FB583E">
        <w:rPr>
          <w:szCs w:val="24"/>
        </w:rPr>
        <w:t>офтальмолог</w:t>
      </w:r>
    </w:p>
    <w:p w:rsidR="00B43B37" w:rsidRPr="00FB583E" w:rsidRDefault="00B43B37" w:rsidP="004F39BB">
      <w:pPr>
        <w:pStyle w:val="afe"/>
        <w:numPr>
          <w:ilvl w:val="0"/>
          <w:numId w:val="49"/>
        </w:numPr>
        <w:rPr>
          <w:szCs w:val="24"/>
        </w:rPr>
      </w:pPr>
      <w:r w:rsidRPr="00FB583E">
        <w:rPr>
          <w:szCs w:val="24"/>
        </w:rPr>
        <w:t>кардиолог по показаниям</w:t>
      </w:r>
    </w:p>
    <w:p w:rsidR="00B43B37" w:rsidRPr="00FB583E" w:rsidRDefault="00B43B37" w:rsidP="004F39BB">
      <w:pPr>
        <w:pStyle w:val="afe"/>
        <w:numPr>
          <w:ilvl w:val="0"/>
          <w:numId w:val="49"/>
        </w:numPr>
        <w:rPr>
          <w:szCs w:val="24"/>
        </w:rPr>
      </w:pPr>
      <w:r w:rsidRPr="00FB583E">
        <w:rPr>
          <w:szCs w:val="24"/>
        </w:rPr>
        <w:t>психиатр по показаниям</w:t>
      </w:r>
    </w:p>
    <w:p w:rsidR="00B43B37" w:rsidRPr="00FB583E" w:rsidRDefault="00B43B37" w:rsidP="004F39BB">
      <w:pPr>
        <w:pStyle w:val="afe"/>
        <w:numPr>
          <w:ilvl w:val="0"/>
          <w:numId w:val="49"/>
        </w:numPr>
        <w:rPr>
          <w:szCs w:val="24"/>
        </w:rPr>
      </w:pPr>
      <w:r w:rsidRPr="00FB583E">
        <w:rPr>
          <w:szCs w:val="24"/>
        </w:rPr>
        <w:t>психолог по показаниям</w:t>
      </w:r>
    </w:p>
    <w:p w:rsidR="00B43B37" w:rsidRPr="00FB583E" w:rsidRDefault="00B43B37" w:rsidP="004F39BB">
      <w:pPr>
        <w:pStyle w:val="afe"/>
        <w:numPr>
          <w:ilvl w:val="0"/>
          <w:numId w:val="49"/>
        </w:numPr>
        <w:rPr>
          <w:szCs w:val="24"/>
        </w:rPr>
      </w:pPr>
      <w:r w:rsidRPr="00FB583E">
        <w:rPr>
          <w:szCs w:val="24"/>
        </w:rPr>
        <w:t>кинезиотерапевт</w:t>
      </w:r>
    </w:p>
    <w:p w:rsidR="00B43B37" w:rsidRPr="00FB583E" w:rsidRDefault="00B43B37" w:rsidP="00B43B37">
      <w:pPr>
        <w:ind w:firstLine="708"/>
        <w:rPr>
          <w:b/>
          <w:szCs w:val="24"/>
        </w:rPr>
      </w:pPr>
      <w:r w:rsidRPr="00FB583E">
        <w:rPr>
          <w:b/>
          <w:szCs w:val="24"/>
        </w:rPr>
        <w:t xml:space="preserve">Основные группы лекарственных препаратов, применяемых в лечении ОНМК </w:t>
      </w:r>
      <w:r w:rsidRPr="00FB583E">
        <w:rPr>
          <w:b/>
          <w:color w:val="000000"/>
          <w:szCs w:val="24"/>
        </w:rPr>
        <w:t>по ишемическому типу</w:t>
      </w:r>
      <w:r w:rsidRPr="00FB583E">
        <w:rPr>
          <w:b/>
          <w:szCs w:val="24"/>
        </w:rPr>
        <w:t>:</w:t>
      </w:r>
    </w:p>
    <w:p w:rsidR="00B43B37" w:rsidRPr="00FB583E" w:rsidRDefault="00B43B37" w:rsidP="004F39BB">
      <w:pPr>
        <w:pStyle w:val="afe"/>
        <w:numPr>
          <w:ilvl w:val="0"/>
          <w:numId w:val="49"/>
        </w:numPr>
        <w:rPr>
          <w:szCs w:val="24"/>
        </w:rPr>
      </w:pPr>
      <w:r w:rsidRPr="00FB583E">
        <w:rPr>
          <w:szCs w:val="24"/>
        </w:rPr>
        <w:t xml:space="preserve">Противоотечные препараты – маннитол в/в, лазикс в/в, ацетазоламид (диакарб) в таб. </w:t>
      </w:r>
    </w:p>
    <w:p w:rsidR="00B43B37" w:rsidRPr="00FB583E" w:rsidRDefault="00B43B37" w:rsidP="004F39BB">
      <w:pPr>
        <w:pStyle w:val="afe"/>
        <w:numPr>
          <w:ilvl w:val="0"/>
          <w:numId w:val="49"/>
        </w:numPr>
        <w:rPr>
          <w:szCs w:val="24"/>
        </w:rPr>
      </w:pPr>
      <w:r w:rsidRPr="00FB583E">
        <w:rPr>
          <w:szCs w:val="24"/>
        </w:rPr>
        <w:t>Противорвотная терапия – ондансетрон в/в</w:t>
      </w:r>
    </w:p>
    <w:p w:rsidR="00B43B37" w:rsidRPr="00FB583E" w:rsidRDefault="00B43B37" w:rsidP="004F39BB">
      <w:pPr>
        <w:pStyle w:val="afe"/>
        <w:numPr>
          <w:ilvl w:val="0"/>
          <w:numId w:val="49"/>
        </w:numPr>
        <w:rPr>
          <w:szCs w:val="24"/>
        </w:rPr>
      </w:pPr>
      <w:r w:rsidRPr="00FB583E">
        <w:rPr>
          <w:szCs w:val="24"/>
        </w:rPr>
        <w:lastRenderedPageBreak/>
        <w:t>Противоэпилептические – леветирацетамв/в, табл; конвулекс в/в, таб; прегабалин капс; габапентин таб, клоназепам таб; фенобарбитал таб, окскарбазепин таб, ламотриджил таб, диазепам в/в, таб.</w:t>
      </w:r>
    </w:p>
    <w:p w:rsidR="00B43B37" w:rsidRPr="00FB583E" w:rsidRDefault="00B43B37" w:rsidP="004F39BB">
      <w:pPr>
        <w:pStyle w:val="afe"/>
        <w:numPr>
          <w:ilvl w:val="0"/>
          <w:numId w:val="49"/>
        </w:numPr>
        <w:rPr>
          <w:szCs w:val="24"/>
        </w:rPr>
      </w:pPr>
      <w:r w:rsidRPr="00FB583E">
        <w:rPr>
          <w:szCs w:val="24"/>
        </w:rPr>
        <w:t>Нейропротекторная терапия аминофенилмаслянная кислота – фенибут таб</w:t>
      </w:r>
    </w:p>
    <w:p w:rsidR="00B43B37" w:rsidRPr="00FB583E" w:rsidRDefault="00B43B37" w:rsidP="004F39BB">
      <w:pPr>
        <w:pStyle w:val="afe"/>
        <w:numPr>
          <w:ilvl w:val="0"/>
          <w:numId w:val="49"/>
        </w:numPr>
        <w:rPr>
          <w:szCs w:val="24"/>
        </w:rPr>
      </w:pPr>
      <w:r w:rsidRPr="00FB583E">
        <w:rPr>
          <w:szCs w:val="24"/>
        </w:rPr>
        <w:t>Дофаминэргические препараты: ПК-мерц в/в, таб; наком таб; мирапекс таб; акинетон таб.</w:t>
      </w:r>
    </w:p>
    <w:p w:rsidR="00B43B37" w:rsidRPr="00FB583E" w:rsidRDefault="00B43B37" w:rsidP="004F39BB">
      <w:pPr>
        <w:pStyle w:val="afe"/>
        <w:numPr>
          <w:ilvl w:val="0"/>
          <w:numId w:val="49"/>
        </w:numPr>
        <w:rPr>
          <w:szCs w:val="24"/>
        </w:rPr>
      </w:pPr>
      <w:r w:rsidRPr="00FB583E">
        <w:rPr>
          <w:szCs w:val="24"/>
        </w:rPr>
        <w:t>Витаминотерапия – церневит в/в, витамины группы В таб.</w:t>
      </w:r>
    </w:p>
    <w:p w:rsidR="00B43B37" w:rsidRPr="00FB583E" w:rsidRDefault="00B43B37" w:rsidP="004F39BB">
      <w:pPr>
        <w:pStyle w:val="afe"/>
        <w:numPr>
          <w:ilvl w:val="0"/>
          <w:numId w:val="49"/>
        </w:numPr>
        <w:rPr>
          <w:szCs w:val="24"/>
        </w:rPr>
      </w:pPr>
      <w:r w:rsidRPr="00FB583E">
        <w:rPr>
          <w:szCs w:val="24"/>
        </w:rPr>
        <w:t xml:space="preserve">Антиоксиданты – альфа-липоевая кислота в/в, капс. </w:t>
      </w:r>
    </w:p>
    <w:p w:rsidR="00B43B37" w:rsidRPr="00FB583E" w:rsidRDefault="00B43B37" w:rsidP="004F39BB">
      <w:pPr>
        <w:pStyle w:val="afe"/>
        <w:numPr>
          <w:ilvl w:val="0"/>
          <w:numId w:val="49"/>
        </w:numPr>
        <w:rPr>
          <w:szCs w:val="24"/>
        </w:rPr>
      </w:pPr>
      <w:r w:rsidRPr="00FB583E">
        <w:rPr>
          <w:szCs w:val="24"/>
        </w:rPr>
        <w:t>Антидепрессанты – по назначению психиатра</w:t>
      </w:r>
    </w:p>
    <w:p w:rsidR="00B43B37" w:rsidRPr="00FB583E" w:rsidRDefault="00B43B37" w:rsidP="00B43B37">
      <w:pPr>
        <w:rPr>
          <w:color w:val="000000"/>
          <w:szCs w:val="24"/>
        </w:rPr>
      </w:pPr>
      <w:r w:rsidRPr="00FB583E">
        <w:rPr>
          <w:b/>
          <w:color w:val="000000"/>
          <w:szCs w:val="24"/>
        </w:rPr>
        <w:t xml:space="preserve">Общие принципы профилактики ОНМК по ишемическому типу у гематологических больных - </w:t>
      </w:r>
      <w:r w:rsidRPr="00FB583E">
        <w:rPr>
          <w:szCs w:val="24"/>
        </w:rPr>
        <w:t>см</w:t>
      </w:r>
      <w:r w:rsidRPr="00FB583E">
        <w:rPr>
          <w:color w:val="000000"/>
          <w:szCs w:val="24"/>
        </w:rPr>
        <w:t>. главу «Профилактика, диагностика и лечение тромботических осложнений при гематологических заболеваниях» в настоящем методическом руководстве.</w:t>
      </w:r>
    </w:p>
    <w:p w:rsidR="00B43B37" w:rsidRPr="00FB583E" w:rsidRDefault="00B43B37" w:rsidP="00B43B37">
      <w:pPr>
        <w:ind w:left="360" w:firstLine="348"/>
        <w:rPr>
          <w:szCs w:val="24"/>
        </w:rPr>
      </w:pPr>
    </w:p>
    <w:p w:rsidR="00B43B37" w:rsidRPr="00FB583E" w:rsidRDefault="00B43B37" w:rsidP="00B43B37">
      <w:pPr>
        <w:rPr>
          <w:i/>
          <w:szCs w:val="24"/>
          <w:u w:val="single"/>
        </w:rPr>
      </w:pPr>
      <w:r w:rsidRPr="00FB583E">
        <w:rPr>
          <w:i/>
          <w:szCs w:val="24"/>
          <w:u w:val="single"/>
        </w:rPr>
        <w:t xml:space="preserve">Острое нарушение мозгового кровообращения по геморрагическому типу при гематологических заболеваниях. </w:t>
      </w:r>
    </w:p>
    <w:p w:rsidR="00B43B37" w:rsidRPr="00FB583E" w:rsidRDefault="00B43B37" w:rsidP="00B43B37">
      <w:pPr>
        <w:pStyle w:val="afd"/>
        <w:spacing w:beforeAutospacing="0" w:afterAutospacing="0" w:line="360" w:lineRule="auto"/>
        <w:ind w:firstLine="708"/>
        <w:rPr>
          <w:color w:val="000000"/>
        </w:rPr>
      </w:pPr>
      <w:r w:rsidRPr="00FB583E">
        <w:rPr>
          <w:color w:val="000000"/>
        </w:rPr>
        <w:t xml:space="preserve">ОНМК по геморрагическому типу могут возникнуть у пациентов с любым гематологическим заболеванием, особенно у пациентов с тромбоцитопенией в процессе химиотерапии любых типов лейкозов, лимфом, а также при наличии коагулопатии.   </w:t>
      </w:r>
    </w:p>
    <w:p w:rsidR="00B43B37" w:rsidRPr="00FB583E" w:rsidRDefault="00B43B37" w:rsidP="00B43B37">
      <w:pPr>
        <w:pStyle w:val="afd"/>
        <w:spacing w:beforeAutospacing="0" w:afterAutospacing="0" w:line="360" w:lineRule="auto"/>
        <w:ind w:firstLine="708"/>
        <w:rPr>
          <w:color w:val="000000"/>
        </w:rPr>
      </w:pPr>
      <w:r w:rsidRPr="00FB583E">
        <w:rPr>
          <w:color w:val="000000"/>
        </w:rPr>
        <w:t xml:space="preserve">Клиническая картина при ОНМК по геморрагическому типу проявляется в виде общемозговой с нарушением сознания и/или осознанности, выраженной головной боли, с менингеальной и очаговой симптоматикой, двигательными и чувствительными нарушениями, эпилептическими припадками. </w:t>
      </w:r>
    </w:p>
    <w:p w:rsidR="00B43B37" w:rsidRPr="00FB583E" w:rsidRDefault="00B43B37" w:rsidP="00B43B37">
      <w:pPr>
        <w:ind w:firstLine="708"/>
        <w:rPr>
          <w:color w:val="000000"/>
          <w:szCs w:val="24"/>
        </w:rPr>
      </w:pPr>
      <w:r w:rsidRPr="00FB583E">
        <w:rPr>
          <w:szCs w:val="24"/>
        </w:rPr>
        <w:t xml:space="preserve">Первичная диагностика включает в себя оценку жалоб, анамнеза; оценку функционального статуса по шкале Карновского, оценку неврологического статуса с характеристикой общемозговой и очаговой симптоматики, интеллектуально-мнестических нарушений.  </w:t>
      </w:r>
    </w:p>
    <w:p w:rsidR="00B43B37" w:rsidRPr="00FB583E" w:rsidRDefault="00B43B37" w:rsidP="00B43B37">
      <w:pPr>
        <w:ind w:firstLine="708"/>
        <w:rPr>
          <w:b/>
          <w:szCs w:val="24"/>
        </w:rPr>
      </w:pPr>
      <w:r w:rsidRPr="00FB583E">
        <w:rPr>
          <w:b/>
          <w:szCs w:val="24"/>
        </w:rPr>
        <w:t>Инструментальная диагностика:</w:t>
      </w:r>
    </w:p>
    <w:p w:rsidR="00B43B37" w:rsidRPr="00FB583E" w:rsidRDefault="00B43B37" w:rsidP="004F39BB">
      <w:pPr>
        <w:pStyle w:val="afe"/>
        <w:numPr>
          <w:ilvl w:val="0"/>
          <w:numId w:val="49"/>
        </w:numPr>
        <w:rPr>
          <w:szCs w:val="24"/>
        </w:rPr>
      </w:pPr>
      <w:r w:rsidRPr="00FB583E">
        <w:rPr>
          <w:szCs w:val="24"/>
        </w:rPr>
        <w:t>КТ или МРТ головного мозга (с в/в  контрастированием по показаниям)</w:t>
      </w:r>
    </w:p>
    <w:p w:rsidR="00B43B37" w:rsidRPr="00FB583E" w:rsidRDefault="00B43B37" w:rsidP="004F39BB">
      <w:pPr>
        <w:pStyle w:val="afe"/>
        <w:numPr>
          <w:ilvl w:val="0"/>
          <w:numId w:val="49"/>
        </w:numPr>
        <w:rPr>
          <w:szCs w:val="24"/>
        </w:rPr>
      </w:pPr>
      <w:r w:rsidRPr="00FB583E">
        <w:rPr>
          <w:szCs w:val="24"/>
        </w:rPr>
        <w:t xml:space="preserve">КТ-ангиография для исключения мальформации и аневризмы </w:t>
      </w:r>
    </w:p>
    <w:p w:rsidR="00B43B37" w:rsidRPr="00FB583E" w:rsidRDefault="00B43B37" w:rsidP="004F39BB">
      <w:pPr>
        <w:pStyle w:val="afe"/>
        <w:numPr>
          <w:ilvl w:val="0"/>
          <w:numId w:val="49"/>
        </w:numPr>
        <w:rPr>
          <w:szCs w:val="24"/>
        </w:rPr>
      </w:pPr>
      <w:r w:rsidRPr="00FB583E">
        <w:rPr>
          <w:szCs w:val="24"/>
        </w:rPr>
        <w:t>ЭКГ</w:t>
      </w:r>
    </w:p>
    <w:p w:rsidR="00B43B37" w:rsidRPr="00FB583E" w:rsidRDefault="00B43B37" w:rsidP="004F39BB">
      <w:pPr>
        <w:pStyle w:val="afe"/>
        <w:numPr>
          <w:ilvl w:val="0"/>
          <w:numId w:val="49"/>
        </w:numPr>
        <w:rPr>
          <w:szCs w:val="24"/>
        </w:rPr>
      </w:pPr>
      <w:r w:rsidRPr="00FB583E">
        <w:rPr>
          <w:szCs w:val="24"/>
        </w:rPr>
        <w:t>Эхо-КГ</w:t>
      </w:r>
    </w:p>
    <w:p w:rsidR="00B43B37" w:rsidRPr="00FB583E" w:rsidRDefault="00B43B37" w:rsidP="004F39BB">
      <w:pPr>
        <w:pStyle w:val="afe"/>
        <w:numPr>
          <w:ilvl w:val="0"/>
          <w:numId w:val="49"/>
        </w:numPr>
        <w:rPr>
          <w:szCs w:val="24"/>
        </w:rPr>
      </w:pPr>
      <w:r w:rsidRPr="00FB583E">
        <w:rPr>
          <w:szCs w:val="24"/>
        </w:rPr>
        <w:t xml:space="preserve">УЗДГ брахиоцефальных артерий и вен </w:t>
      </w:r>
    </w:p>
    <w:p w:rsidR="00B43B37" w:rsidRPr="00FB583E" w:rsidRDefault="00B43B37" w:rsidP="004F39BB">
      <w:pPr>
        <w:pStyle w:val="afe"/>
        <w:numPr>
          <w:ilvl w:val="0"/>
          <w:numId w:val="49"/>
        </w:numPr>
        <w:rPr>
          <w:szCs w:val="24"/>
        </w:rPr>
      </w:pPr>
      <w:r w:rsidRPr="00FB583E">
        <w:rPr>
          <w:szCs w:val="24"/>
        </w:rPr>
        <w:t>КТ грудной клетки</w:t>
      </w:r>
    </w:p>
    <w:p w:rsidR="00B43B37" w:rsidRPr="00FB583E" w:rsidRDefault="00B43B37" w:rsidP="004F39BB">
      <w:pPr>
        <w:pStyle w:val="afe"/>
        <w:numPr>
          <w:ilvl w:val="0"/>
          <w:numId w:val="49"/>
        </w:numPr>
        <w:rPr>
          <w:szCs w:val="24"/>
        </w:rPr>
      </w:pPr>
      <w:r w:rsidRPr="00FB583E">
        <w:rPr>
          <w:szCs w:val="24"/>
        </w:rPr>
        <w:lastRenderedPageBreak/>
        <w:t>ЭЭГ с функциональными пробами для определения функционального состояния головного мозга и исключения эпиактивности</w:t>
      </w:r>
    </w:p>
    <w:p w:rsidR="00B43B37" w:rsidRPr="00FB583E" w:rsidRDefault="00B43B37" w:rsidP="004F39BB">
      <w:pPr>
        <w:pStyle w:val="afe"/>
        <w:numPr>
          <w:ilvl w:val="0"/>
          <w:numId w:val="49"/>
        </w:numPr>
        <w:rPr>
          <w:szCs w:val="24"/>
        </w:rPr>
      </w:pPr>
      <w:r w:rsidRPr="00FB583E">
        <w:rPr>
          <w:szCs w:val="24"/>
        </w:rPr>
        <w:t>ВП различной модальности: ЗВП, КВП, КАСВП, ССВП (по показаниям)</w:t>
      </w:r>
    </w:p>
    <w:p w:rsidR="00B43B37" w:rsidRPr="00FB583E" w:rsidRDefault="00B43B37" w:rsidP="004F39BB">
      <w:pPr>
        <w:pStyle w:val="afe"/>
        <w:numPr>
          <w:ilvl w:val="0"/>
          <w:numId w:val="49"/>
        </w:numPr>
        <w:rPr>
          <w:szCs w:val="24"/>
        </w:rPr>
      </w:pPr>
      <w:r w:rsidRPr="00FB583E">
        <w:rPr>
          <w:szCs w:val="24"/>
        </w:rPr>
        <w:t>ТКМС (по показаниям)</w:t>
      </w:r>
    </w:p>
    <w:p w:rsidR="00B43B37" w:rsidRPr="00FB583E" w:rsidRDefault="00B43B37" w:rsidP="00B43B37">
      <w:pPr>
        <w:ind w:firstLine="708"/>
        <w:rPr>
          <w:b/>
          <w:szCs w:val="24"/>
        </w:rPr>
      </w:pPr>
      <w:r w:rsidRPr="00FB583E">
        <w:rPr>
          <w:b/>
          <w:szCs w:val="24"/>
        </w:rPr>
        <w:t>Консультации специалистов:</w:t>
      </w:r>
    </w:p>
    <w:p w:rsidR="00B43B37" w:rsidRPr="00FB583E" w:rsidRDefault="00B43B37" w:rsidP="004F39BB">
      <w:pPr>
        <w:pStyle w:val="afe"/>
        <w:numPr>
          <w:ilvl w:val="0"/>
          <w:numId w:val="49"/>
        </w:numPr>
        <w:rPr>
          <w:szCs w:val="24"/>
        </w:rPr>
      </w:pPr>
      <w:r w:rsidRPr="00FB583E">
        <w:rPr>
          <w:szCs w:val="24"/>
        </w:rPr>
        <w:t>нейрохирург</w:t>
      </w:r>
    </w:p>
    <w:p w:rsidR="00B43B37" w:rsidRPr="00FB583E" w:rsidRDefault="00B43B37" w:rsidP="004F39BB">
      <w:pPr>
        <w:pStyle w:val="afe"/>
        <w:numPr>
          <w:ilvl w:val="0"/>
          <w:numId w:val="49"/>
        </w:numPr>
        <w:rPr>
          <w:szCs w:val="24"/>
        </w:rPr>
      </w:pPr>
      <w:r w:rsidRPr="00FB583E">
        <w:rPr>
          <w:szCs w:val="24"/>
        </w:rPr>
        <w:t>невролог</w:t>
      </w:r>
    </w:p>
    <w:p w:rsidR="00B43B37" w:rsidRPr="00FB583E" w:rsidRDefault="00B43B37" w:rsidP="004F39BB">
      <w:pPr>
        <w:pStyle w:val="afe"/>
        <w:numPr>
          <w:ilvl w:val="0"/>
          <w:numId w:val="49"/>
        </w:numPr>
        <w:rPr>
          <w:szCs w:val="24"/>
        </w:rPr>
      </w:pPr>
      <w:r w:rsidRPr="00FB583E">
        <w:rPr>
          <w:szCs w:val="24"/>
        </w:rPr>
        <w:t>ангиохирург</w:t>
      </w:r>
    </w:p>
    <w:p w:rsidR="00B43B37" w:rsidRPr="00FB583E" w:rsidRDefault="00B43B37" w:rsidP="004F39BB">
      <w:pPr>
        <w:pStyle w:val="afe"/>
        <w:numPr>
          <w:ilvl w:val="0"/>
          <w:numId w:val="49"/>
        </w:numPr>
        <w:rPr>
          <w:szCs w:val="24"/>
        </w:rPr>
      </w:pPr>
      <w:r w:rsidRPr="00FB583E">
        <w:rPr>
          <w:szCs w:val="24"/>
        </w:rPr>
        <w:t>офтальмолог</w:t>
      </w:r>
    </w:p>
    <w:p w:rsidR="00B43B37" w:rsidRPr="00FB583E" w:rsidRDefault="00B43B37" w:rsidP="004F39BB">
      <w:pPr>
        <w:pStyle w:val="afe"/>
        <w:numPr>
          <w:ilvl w:val="0"/>
          <w:numId w:val="49"/>
        </w:numPr>
        <w:rPr>
          <w:szCs w:val="24"/>
        </w:rPr>
      </w:pPr>
      <w:r w:rsidRPr="00FB583E">
        <w:rPr>
          <w:szCs w:val="24"/>
        </w:rPr>
        <w:t>кардиолог по показаниям</w:t>
      </w:r>
    </w:p>
    <w:p w:rsidR="00B43B37" w:rsidRPr="00FB583E" w:rsidRDefault="00B43B37" w:rsidP="004F39BB">
      <w:pPr>
        <w:pStyle w:val="afe"/>
        <w:numPr>
          <w:ilvl w:val="0"/>
          <w:numId w:val="49"/>
        </w:numPr>
        <w:rPr>
          <w:szCs w:val="24"/>
        </w:rPr>
      </w:pPr>
      <w:r w:rsidRPr="00FB583E">
        <w:rPr>
          <w:szCs w:val="24"/>
        </w:rPr>
        <w:t>психиатр по показаниям</w:t>
      </w:r>
    </w:p>
    <w:p w:rsidR="00B43B37" w:rsidRPr="00FB583E" w:rsidRDefault="00B43B37" w:rsidP="004F39BB">
      <w:pPr>
        <w:pStyle w:val="afe"/>
        <w:numPr>
          <w:ilvl w:val="0"/>
          <w:numId w:val="49"/>
        </w:numPr>
        <w:rPr>
          <w:szCs w:val="24"/>
        </w:rPr>
      </w:pPr>
      <w:r w:rsidRPr="00FB583E">
        <w:rPr>
          <w:szCs w:val="24"/>
        </w:rPr>
        <w:t xml:space="preserve"> психолог по показаниям</w:t>
      </w:r>
    </w:p>
    <w:p w:rsidR="00B43B37" w:rsidRPr="00FB583E" w:rsidRDefault="00B43B37" w:rsidP="004F39BB">
      <w:pPr>
        <w:pStyle w:val="afe"/>
        <w:numPr>
          <w:ilvl w:val="0"/>
          <w:numId w:val="49"/>
        </w:numPr>
        <w:rPr>
          <w:szCs w:val="24"/>
        </w:rPr>
      </w:pPr>
      <w:r w:rsidRPr="00FB583E">
        <w:rPr>
          <w:szCs w:val="24"/>
        </w:rPr>
        <w:t>кинезиотерапевт по показаниям</w:t>
      </w:r>
    </w:p>
    <w:p w:rsidR="00B43B37" w:rsidRPr="00FB583E" w:rsidRDefault="00B43B37" w:rsidP="00B43B37">
      <w:pPr>
        <w:ind w:firstLine="708"/>
        <w:rPr>
          <w:b/>
          <w:szCs w:val="24"/>
        </w:rPr>
      </w:pPr>
      <w:r w:rsidRPr="00FB583E">
        <w:rPr>
          <w:b/>
          <w:szCs w:val="24"/>
        </w:rPr>
        <w:t xml:space="preserve">Лечение ОНМК по геморрагическому типу </w:t>
      </w:r>
    </w:p>
    <w:p w:rsidR="00B43B37" w:rsidRPr="00FB583E" w:rsidRDefault="00B43B37" w:rsidP="004F39BB">
      <w:pPr>
        <w:pStyle w:val="afe"/>
        <w:numPr>
          <w:ilvl w:val="0"/>
          <w:numId w:val="49"/>
        </w:numPr>
        <w:rPr>
          <w:szCs w:val="24"/>
        </w:rPr>
      </w:pPr>
      <w:r w:rsidRPr="00FB583E">
        <w:rPr>
          <w:szCs w:val="24"/>
        </w:rPr>
        <w:t>Оперативное лечение по показаниям.</w:t>
      </w:r>
    </w:p>
    <w:p w:rsidR="00B43B37" w:rsidRPr="00FB583E" w:rsidRDefault="00B43B37" w:rsidP="004F39BB">
      <w:pPr>
        <w:pStyle w:val="afe"/>
        <w:numPr>
          <w:ilvl w:val="0"/>
          <w:numId w:val="49"/>
        </w:numPr>
        <w:rPr>
          <w:szCs w:val="24"/>
        </w:rPr>
      </w:pPr>
      <w:r w:rsidRPr="00FB583E">
        <w:rPr>
          <w:szCs w:val="24"/>
        </w:rPr>
        <w:t>Наблюдение в условиях реанимационного отделения по показаниям</w:t>
      </w:r>
    </w:p>
    <w:p w:rsidR="00B43B37" w:rsidRPr="00FB583E" w:rsidRDefault="00B43B37" w:rsidP="004F39BB">
      <w:pPr>
        <w:pStyle w:val="afe"/>
        <w:numPr>
          <w:ilvl w:val="0"/>
          <w:numId w:val="49"/>
        </w:numPr>
        <w:rPr>
          <w:szCs w:val="24"/>
        </w:rPr>
      </w:pPr>
      <w:r w:rsidRPr="00FB583E">
        <w:rPr>
          <w:szCs w:val="24"/>
        </w:rPr>
        <w:t xml:space="preserve">Противоотечная терапия – маннитол в/в, фуросемид в/в </w:t>
      </w:r>
    </w:p>
    <w:p w:rsidR="00B43B37" w:rsidRPr="00FB583E" w:rsidRDefault="00B43B37" w:rsidP="004F39BB">
      <w:pPr>
        <w:pStyle w:val="afe"/>
        <w:numPr>
          <w:ilvl w:val="0"/>
          <w:numId w:val="49"/>
        </w:numPr>
        <w:rPr>
          <w:szCs w:val="24"/>
        </w:rPr>
      </w:pPr>
      <w:r w:rsidRPr="00FB583E">
        <w:rPr>
          <w:szCs w:val="24"/>
        </w:rPr>
        <w:t>Гемотрансфузионная терапия по показаниям - трансфузии тромбоконцентрата, свежезамороженной плазмы, криопреципитата, эритроцитсодержащих компонентов крови.</w:t>
      </w:r>
    </w:p>
    <w:p w:rsidR="00B43B37" w:rsidRPr="00FB583E" w:rsidRDefault="00B43B37" w:rsidP="004F39BB">
      <w:pPr>
        <w:pStyle w:val="afe"/>
        <w:numPr>
          <w:ilvl w:val="0"/>
          <w:numId w:val="49"/>
        </w:numPr>
        <w:rPr>
          <w:szCs w:val="24"/>
        </w:rPr>
      </w:pPr>
      <w:r w:rsidRPr="00FB583E">
        <w:rPr>
          <w:szCs w:val="24"/>
        </w:rPr>
        <w:t>Противоэпилептические по показаниям – леветирацетамв/в, табл; конвулекс в/в, таб; прегабалин капс; габапентин таб, клоназепам таб; фенобарбитал таб, окскарбазепин таб, ламотриджил таб, диазепам в/в, таб.</w:t>
      </w:r>
    </w:p>
    <w:p w:rsidR="00B43B37" w:rsidRPr="00FB583E" w:rsidRDefault="00B43B37" w:rsidP="004F39BB">
      <w:pPr>
        <w:pStyle w:val="afe"/>
        <w:numPr>
          <w:ilvl w:val="0"/>
          <w:numId w:val="49"/>
        </w:numPr>
        <w:rPr>
          <w:szCs w:val="24"/>
        </w:rPr>
      </w:pPr>
      <w:r w:rsidRPr="00FB583E">
        <w:rPr>
          <w:szCs w:val="24"/>
        </w:rPr>
        <w:t>Антидепрессанты – по назначению психиатра по показаниям</w:t>
      </w:r>
    </w:p>
    <w:p w:rsidR="00B43B37" w:rsidRPr="00FB583E" w:rsidRDefault="00B43B37" w:rsidP="00B43B37">
      <w:pPr>
        <w:pStyle w:val="afe"/>
        <w:rPr>
          <w:b/>
          <w:szCs w:val="24"/>
        </w:rPr>
      </w:pPr>
    </w:p>
    <w:p w:rsidR="00B43B37" w:rsidRPr="00FB583E" w:rsidRDefault="00B43B37" w:rsidP="00B43B37">
      <w:pPr>
        <w:rPr>
          <w:i/>
          <w:szCs w:val="24"/>
          <w:u w:val="single"/>
        </w:rPr>
      </w:pPr>
      <w:r w:rsidRPr="00FB583E">
        <w:rPr>
          <w:i/>
          <w:szCs w:val="24"/>
          <w:u w:val="single"/>
        </w:rPr>
        <w:t>Полиневропатии при гематологических заболеваниях.</w:t>
      </w:r>
    </w:p>
    <w:p w:rsidR="00B43B37" w:rsidRPr="00FB583E" w:rsidRDefault="00B43B37" w:rsidP="00B43B37">
      <w:pPr>
        <w:pStyle w:val="Default"/>
        <w:spacing w:line="360" w:lineRule="auto"/>
        <w:ind w:firstLine="709"/>
        <w:jc w:val="both"/>
      </w:pPr>
      <w:r w:rsidRPr="00FB583E">
        <w:t xml:space="preserve">Полиневропатии выявляются в 50-70% случаев у гематологических пациентов и характеризуются системным поражением моторных, сенсорных и вегетативных периферических нервов. По патогенетическому признаку полиневропатии разделяют на демиелинизирующие, аксональные и сочетанные. У гематологических пациентов по этиологическому фактору преобладают аутоиммунные, метаболические, инфекционные, токсические и сочетанные: </w:t>
      </w:r>
    </w:p>
    <w:p w:rsidR="00B43B37" w:rsidRPr="00FB583E" w:rsidRDefault="00B43B37" w:rsidP="004F39BB">
      <w:pPr>
        <w:pStyle w:val="afe"/>
        <w:numPr>
          <w:ilvl w:val="0"/>
          <w:numId w:val="49"/>
        </w:numPr>
        <w:rPr>
          <w:szCs w:val="24"/>
        </w:rPr>
      </w:pPr>
      <w:r w:rsidRPr="00FB583E">
        <w:rPr>
          <w:szCs w:val="24"/>
        </w:rPr>
        <w:t>парапротеинемические полиневропатии</w:t>
      </w:r>
    </w:p>
    <w:p w:rsidR="00B43B37" w:rsidRPr="00FB583E" w:rsidRDefault="00B43B37" w:rsidP="004F39BB">
      <w:pPr>
        <w:pStyle w:val="afe"/>
        <w:numPr>
          <w:ilvl w:val="0"/>
          <w:numId w:val="49"/>
        </w:numPr>
        <w:rPr>
          <w:szCs w:val="24"/>
        </w:rPr>
      </w:pPr>
      <w:r w:rsidRPr="00FB583E">
        <w:rPr>
          <w:szCs w:val="24"/>
        </w:rPr>
        <w:t xml:space="preserve">полиневропатии при нейролейкемии </w:t>
      </w:r>
    </w:p>
    <w:p w:rsidR="00B43B37" w:rsidRPr="00FB583E" w:rsidRDefault="00B43B37" w:rsidP="004F39BB">
      <w:pPr>
        <w:pStyle w:val="afe"/>
        <w:numPr>
          <w:ilvl w:val="0"/>
          <w:numId w:val="49"/>
        </w:numPr>
        <w:rPr>
          <w:szCs w:val="24"/>
        </w:rPr>
      </w:pPr>
      <w:r w:rsidRPr="00FB583E">
        <w:rPr>
          <w:szCs w:val="24"/>
        </w:rPr>
        <w:lastRenderedPageBreak/>
        <w:t>паранеопластические полиневропатии</w:t>
      </w:r>
    </w:p>
    <w:p w:rsidR="00B43B37" w:rsidRPr="00FB583E" w:rsidRDefault="00B43B37" w:rsidP="004F39BB">
      <w:pPr>
        <w:pStyle w:val="afe"/>
        <w:numPr>
          <w:ilvl w:val="0"/>
          <w:numId w:val="49"/>
        </w:numPr>
        <w:rPr>
          <w:szCs w:val="24"/>
        </w:rPr>
      </w:pPr>
      <w:r w:rsidRPr="00FB583E">
        <w:rPr>
          <w:szCs w:val="24"/>
        </w:rPr>
        <w:t xml:space="preserve"> метаболические полиневропатии</w:t>
      </w:r>
    </w:p>
    <w:p w:rsidR="00B43B37" w:rsidRPr="00FB583E" w:rsidRDefault="00B43B37" w:rsidP="004F39BB">
      <w:pPr>
        <w:pStyle w:val="afe"/>
        <w:numPr>
          <w:ilvl w:val="0"/>
          <w:numId w:val="49"/>
        </w:numPr>
        <w:rPr>
          <w:szCs w:val="24"/>
        </w:rPr>
      </w:pPr>
      <w:r w:rsidRPr="00FB583E">
        <w:rPr>
          <w:szCs w:val="24"/>
        </w:rPr>
        <w:t xml:space="preserve">диабетическая полиневропатия на фоне гормональной терапии </w:t>
      </w:r>
    </w:p>
    <w:p w:rsidR="00B43B37" w:rsidRPr="00FB583E" w:rsidRDefault="00B43B37" w:rsidP="004F39BB">
      <w:pPr>
        <w:pStyle w:val="afe"/>
        <w:numPr>
          <w:ilvl w:val="0"/>
          <w:numId w:val="49"/>
        </w:numPr>
        <w:rPr>
          <w:szCs w:val="24"/>
        </w:rPr>
      </w:pPr>
      <w:r w:rsidRPr="00FB583E">
        <w:rPr>
          <w:szCs w:val="24"/>
        </w:rPr>
        <w:t>полиневропатия при других эндокринных заболеваниях</w:t>
      </w:r>
    </w:p>
    <w:p w:rsidR="00B43B37" w:rsidRPr="00FB583E" w:rsidRDefault="00B43B37" w:rsidP="004F39BB">
      <w:pPr>
        <w:pStyle w:val="afe"/>
        <w:numPr>
          <w:ilvl w:val="0"/>
          <w:numId w:val="49"/>
        </w:numPr>
        <w:rPr>
          <w:szCs w:val="24"/>
        </w:rPr>
      </w:pPr>
      <w:r w:rsidRPr="00FB583E">
        <w:rPr>
          <w:szCs w:val="24"/>
        </w:rPr>
        <w:t>уремическая полиневропатия</w:t>
      </w:r>
    </w:p>
    <w:p w:rsidR="00B43B37" w:rsidRPr="00FB583E" w:rsidRDefault="00B43B37" w:rsidP="004F39BB">
      <w:pPr>
        <w:pStyle w:val="afe"/>
        <w:numPr>
          <w:ilvl w:val="0"/>
          <w:numId w:val="49"/>
        </w:numPr>
        <w:rPr>
          <w:szCs w:val="24"/>
        </w:rPr>
      </w:pPr>
      <w:r w:rsidRPr="00FB583E">
        <w:rPr>
          <w:szCs w:val="24"/>
        </w:rPr>
        <w:t>печеночная полиневропатия</w:t>
      </w:r>
    </w:p>
    <w:p w:rsidR="00B43B37" w:rsidRPr="00FB583E" w:rsidRDefault="00B43B37" w:rsidP="004F39BB">
      <w:pPr>
        <w:pStyle w:val="afe"/>
        <w:numPr>
          <w:ilvl w:val="0"/>
          <w:numId w:val="49"/>
        </w:numPr>
        <w:rPr>
          <w:szCs w:val="24"/>
        </w:rPr>
      </w:pPr>
      <w:r w:rsidRPr="00FB583E">
        <w:rPr>
          <w:szCs w:val="24"/>
        </w:rPr>
        <w:t>полиневропатия при первичном системном амилоидозе</w:t>
      </w:r>
    </w:p>
    <w:p w:rsidR="00B43B37" w:rsidRPr="00FB583E" w:rsidRDefault="00B43B37" w:rsidP="004F39BB">
      <w:pPr>
        <w:pStyle w:val="afe"/>
        <w:numPr>
          <w:ilvl w:val="0"/>
          <w:numId w:val="49"/>
        </w:numPr>
        <w:rPr>
          <w:szCs w:val="24"/>
        </w:rPr>
      </w:pPr>
      <w:r w:rsidRPr="00FB583E">
        <w:rPr>
          <w:szCs w:val="24"/>
        </w:rPr>
        <w:t>полиневропатии, связанные с дефицитом витаминов группы В</w:t>
      </w:r>
    </w:p>
    <w:p w:rsidR="00B43B37" w:rsidRPr="00FB583E" w:rsidRDefault="00B43B37" w:rsidP="004F39BB">
      <w:pPr>
        <w:pStyle w:val="afe"/>
        <w:numPr>
          <w:ilvl w:val="0"/>
          <w:numId w:val="49"/>
        </w:numPr>
        <w:rPr>
          <w:szCs w:val="24"/>
        </w:rPr>
      </w:pPr>
      <w:r w:rsidRPr="00FB583E">
        <w:rPr>
          <w:szCs w:val="24"/>
        </w:rPr>
        <w:t>токсические полиневропатии</w:t>
      </w:r>
    </w:p>
    <w:p w:rsidR="00B43B37" w:rsidRPr="00FB583E" w:rsidRDefault="00B43B37" w:rsidP="004F39BB">
      <w:pPr>
        <w:pStyle w:val="afe"/>
        <w:numPr>
          <w:ilvl w:val="0"/>
          <w:numId w:val="49"/>
        </w:numPr>
        <w:rPr>
          <w:szCs w:val="24"/>
        </w:rPr>
      </w:pPr>
      <w:r w:rsidRPr="00FB583E">
        <w:rPr>
          <w:szCs w:val="24"/>
        </w:rPr>
        <w:t>лекарственные полиневропатии</w:t>
      </w:r>
    </w:p>
    <w:p w:rsidR="00B43B37" w:rsidRPr="00FB583E" w:rsidRDefault="00B43B37" w:rsidP="004F39BB">
      <w:pPr>
        <w:pStyle w:val="afe"/>
        <w:numPr>
          <w:ilvl w:val="0"/>
          <w:numId w:val="49"/>
        </w:numPr>
        <w:rPr>
          <w:szCs w:val="24"/>
        </w:rPr>
      </w:pPr>
      <w:r w:rsidRPr="00FB583E">
        <w:rPr>
          <w:szCs w:val="24"/>
        </w:rPr>
        <w:t xml:space="preserve">полиневропатии критических состояний </w:t>
      </w:r>
    </w:p>
    <w:p w:rsidR="00B43B37" w:rsidRPr="00FB583E" w:rsidRDefault="00B43B37" w:rsidP="004F39BB">
      <w:pPr>
        <w:pStyle w:val="afe"/>
        <w:numPr>
          <w:ilvl w:val="0"/>
          <w:numId w:val="49"/>
        </w:numPr>
        <w:rPr>
          <w:szCs w:val="24"/>
        </w:rPr>
      </w:pPr>
      <w:r w:rsidRPr="00FB583E">
        <w:rPr>
          <w:szCs w:val="24"/>
        </w:rPr>
        <w:t xml:space="preserve">полиневропатии при системных заболеваниях </w:t>
      </w:r>
    </w:p>
    <w:p w:rsidR="00B43B37" w:rsidRPr="00FB583E" w:rsidRDefault="00B43B37" w:rsidP="004F39BB">
      <w:pPr>
        <w:pStyle w:val="afe"/>
        <w:numPr>
          <w:ilvl w:val="0"/>
          <w:numId w:val="49"/>
        </w:numPr>
        <w:rPr>
          <w:szCs w:val="24"/>
        </w:rPr>
      </w:pPr>
      <w:r w:rsidRPr="00FB583E">
        <w:rPr>
          <w:szCs w:val="24"/>
        </w:rPr>
        <w:t>инфекционно-токсические полиневропатии</w:t>
      </w:r>
    </w:p>
    <w:p w:rsidR="00B43B37" w:rsidRPr="00FB583E" w:rsidRDefault="00B43B37" w:rsidP="00B43B37">
      <w:pPr>
        <w:ind w:firstLine="708"/>
        <w:rPr>
          <w:szCs w:val="24"/>
        </w:rPr>
      </w:pPr>
      <w:r w:rsidRPr="00FB583E">
        <w:rPr>
          <w:b/>
          <w:szCs w:val="24"/>
        </w:rPr>
        <w:t>Клиническая картина полиневропатии</w:t>
      </w:r>
      <w:r w:rsidRPr="00FB583E">
        <w:rPr>
          <w:szCs w:val="24"/>
        </w:rPr>
        <w:t xml:space="preserve"> зависит от этиологического фактора, патогенеза и степени поражения различных волокон. В неврологическом статусе могут выявляться моторные, сенсорные и вегетативные симптомы и их сочетания. </w:t>
      </w:r>
      <w:r w:rsidRPr="00FB583E">
        <w:rPr>
          <w:color w:val="000000"/>
          <w:szCs w:val="24"/>
        </w:rPr>
        <w:t>Поражение моторных волокон приводит к развитию вялых парезов с последующим развитием мышечной атрофии.</w:t>
      </w:r>
      <w:r w:rsidRPr="00FB583E">
        <w:rPr>
          <w:szCs w:val="24"/>
        </w:rPr>
        <w:t xml:space="preserve"> Сенсорные поражения характеризуются нарушением всех видов чувствительности и болевой симптоматикой. Нарушение вегетативных функций проявляется сухостью кожных покровов или гипергидрозом, нарушением регуляции сосудистого тонуса; поражением висцеральных вегетативных волокон. Отмечается также поражение черепных нервов. </w:t>
      </w:r>
    </w:p>
    <w:p w:rsidR="00B43B37" w:rsidRPr="00FB583E" w:rsidRDefault="00B43B37" w:rsidP="00B43B37">
      <w:pPr>
        <w:ind w:firstLine="708"/>
        <w:rPr>
          <w:szCs w:val="24"/>
        </w:rPr>
      </w:pPr>
      <w:r w:rsidRPr="00FB583E">
        <w:rPr>
          <w:b/>
          <w:szCs w:val="24"/>
        </w:rPr>
        <w:t>Первичная диагностика</w:t>
      </w:r>
      <w:r w:rsidRPr="00FB583E">
        <w:rPr>
          <w:szCs w:val="24"/>
        </w:rPr>
        <w:t xml:space="preserve"> включает в себя оценку жалоб, анамнеза, оценку функционального статуса по шкале Карновского, оценку неврологического статуса с характеристикой общемозговой и очаговой симптоматики, оценку степени тяжести моторных, сенсорных и вегетативных нарушений. </w:t>
      </w:r>
    </w:p>
    <w:p w:rsidR="00B43B37" w:rsidRPr="00FB583E" w:rsidRDefault="00B43B37" w:rsidP="00B43B37">
      <w:pPr>
        <w:pStyle w:val="afe"/>
        <w:ind w:left="0"/>
        <w:rPr>
          <w:szCs w:val="24"/>
        </w:rPr>
      </w:pPr>
      <w:r w:rsidRPr="00FB583E">
        <w:rPr>
          <w:b/>
          <w:szCs w:val="24"/>
        </w:rPr>
        <w:t>Лабораторные исследования:</w:t>
      </w:r>
      <w:r w:rsidRPr="00FB583E">
        <w:rPr>
          <w:szCs w:val="24"/>
        </w:rPr>
        <w:t xml:space="preserve"> </w:t>
      </w:r>
    </w:p>
    <w:p w:rsidR="00B43B37" w:rsidRPr="00FB583E" w:rsidRDefault="00B43B37" w:rsidP="004F39BB">
      <w:pPr>
        <w:pStyle w:val="afe"/>
        <w:numPr>
          <w:ilvl w:val="0"/>
          <w:numId w:val="49"/>
        </w:numPr>
        <w:rPr>
          <w:szCs w:val="24"/>
        </w:rPr>
      </w:pPr>
      <w:r w:rsidRPr="00FB583E">
        <w:rPr>
          <w:szCs w:val="24"/>
        </w:rPr>
        <w:t>Клинический анализ крови, морфологическое исследование мазка крови</w:t>
      </w:r>
    </w:p>
    <w:p w:rsidR="00B43B37" w:rsidRPr="00FB583E" w:rsidRDefault="00B43B37" w:rsidP="004F39BB">
      <w:pPr>
        <w:pStyle w:val="afe"/>
        <w:numPr>
          <w:ilvl w:val="0"/>
          <w:numId w:val="49"/>
        </w:numPr>
        <w:rPr>
          <w:szCs w:val="24"/>
        </w:rPr>
      </w:pPr>
      <w:r w:rsidRPr="00FB583E">
        <w:rPr>
          <w:szCs w:val="24"/>
        </w:rPr>
        <w:t>Общий анализ мочи</w:t>
      </w:r>
    </w:p>
    <w:p w:rsidR="00B43B37" w:rsidRPr="00FB583E" w:rsidRDefault="00B43B37" w:rsidP="004F39BB">
      <w:pPr>
        <w:pStyle w:val="afe"/>
        <w:numPr>
          <w:ilvl w:val="0"/>
          <w:numId w:val="49"/>
        </w:numPr>
        <w:rPr>
          <w:szCs w:val="24"/>
        </w:rPr>
      </w:pPr>
      <w:r w:rsidRPr="00FB583E">
        <w:rPr>
          <w:szCs w:val="24"/>
        </w:rPr>
        <w:t>Биохимический анализ крови – общий белок, фракции белка, креатинин, мочевина, мочевая кислота, билирубин, фракции билирубина, глюкоза, электролиты, АЛТ, АСТ, ЛДГ, ЩФ, амилаза, В12</w:t>
      </w:r>
    </w:p>
    <w:p w:rsidR="00B43B37" w:rsidRPr="00FB583E" w:rsidRDefault="00B43B37" w:rsidP="004F39BB">
      <w:pPr>
        <w:pStyle w:val="afe"/>
        <w:numPr>
          <w:ilvl w:val="0"/>
          <w:numId w:val="49"/>
        </w:numPr>
        <w:rPr>
          <w:szCs w:val="24"/>
        </w:rPr>
      </w:pPr>
      <w:r w:rsidRPr="00FB583E">
        <w:rPr>
          <w:szCs w:val="24"/>
        </w:rPr>
        <w:t>Оценка кислотно-щелочного равновесия (по показаниям)</w:t>
      </w:r>
    </w:p>
    <w:p w:rsidR="00B43B37" w:rsidRPr="00FB583E" w:rsidRDefault="00B43B37" w:rsidP="004F39BB">
      <w:pPr>
        <w:pStyle w:val="afe"/>
        <w:numPr>
          <w:ilvl w:val="0"/>
          <w:numId w:val="49"/>
        </w:numPr>
        <w:rPr>
          <w:szCs w:val="24"/>
        </w:rPr>
      </w:pPr>
      <w:r w:rsidRPr="00FB583E">
        <w:rPr>
          <w:szCs w:val="24"/>
        </w:rPr>
        <w:t>Определение группы крови и резус - фактора</w:t>
      </w:r>
    </w:p>
    <w:p w:rsidR="00B43B37" w:rsidRPr="00FB583E" w:rsidRDefault="00B43B37" w:rsidP="004F39BB">
      <w:pPr>
        <w:pStyle w:val="afe"/>
        <w:numPr>
          <w:ilvl w:val="0"/>
          <w:numId w:val="49"/>
        </w:numPr>
        <w:rPr>
          <w:szCs w:val="24"/>
        </w:rPr>
      </w:pPr>
      <w:r w:rsidRPr="00FB583E">
        <w:rPr>
          <w:szCs w:val="24"/>
        </w:rPr>
        <w:lastRenderedPageBreak/>
        <w:t>Исследование крови на вирусы гепатитов B и C, ВИЧ, сифилис</w:t>
      </w:r>
    </w:p>
    <w:p w:rsidR="00B43B37" w:rsidRPr="00FB583E" w:rsidRDefault="00B43B37" w:rsidP="004F39BB">
      <w:pPr>
        <w:pStyle w:val="afe"/>
        <w:numPr>
          <w:ilvl w:val="0"/>
          <w:numId w:val="49"/>
        </w:numPr>
        <w:rPr>
          <w:szCs w:val="24"/>
        </w:rPr>
      </w:pPr>
      <w:r w:rsidRPr="00FB583E">
        <w:rPr>
          <w:szCs w:val="24"/>
        </w:rPr>
        <w:t xml:space="preserve">Иммунохимическое исследование сыворотки крови и мочи (выявление белка Бен-Джонса) </w:t>
      </w:r>
    </w:p>
    <w:p w:rsidR="00B43B37" w:rsidRPr="00FB583E" w:rsidRDefault="00B43B37" w:rsidP="004F39BB">
      <w:pPr>
        <w:pStyle w:val="afe"/>
        <w:numPr>
          <w:ilvl w:val="0"/>
          <w:numId w:val="49"/>
        </w:numPr>
        <w:rPr>
          <w:szCs w:val="24"/>
        </w:rPr>
      </w:pPr>
      <w:r w:rsidRPr="00FB583E">
        <w:rPr>
          <w:szCs w:val="24"/>
        </w:rPr>
        <w:t>Исследование ликвора (белок, цитоз, цитология и т.д.)</w:t>
      </w:r>
    </w:p>
    <w:p w:rsidR="00B43B37" w:rsidRPr="00FB583E" w:rsidRDefault="00B43B37" w:rsidP="004F39BB">
      <w:pPr>
        <w:pStyle w:val="afe"/>
        <w:numPr>
          <w:ilvl w:val="0"/>
          <w:numId w:val="49"/>
        </w:numPr>
        <w:rPr>
          <w:szCs w:val="24"/>
        </w:rPr>
      </w:pPr>
      <w:r w:rsidRPr="00FB583E">
        <w:rPr>
          <w:szCs w:val="24"/>
        </w:rPr>
        <w:t>Исследование крови и ликвора для исключения вирусного поражения (в том числе с применением полимеразной цепной реакции)</w:t>
      </w:r>
    </w:p>
    <w:p w:rsidR="00B43B37" w:rsidRPr="00FB583E" w:rsidRDefault="00B43B37" w:rsidP="004F39BB">
      <w:pPr>
        <w:pStyle w:val="afe"/>
        <w:numPr>
          <w:ilvl w:val="0"/>
          <w:numId w:val="49"/>
        </w:numPr>
        <w:rPr>
          <w:szCs w:val="24"/>
        </w:rPr>
      </w:pPr>
      <w:r w:rsidRPr="00FB583E">
        <w:rPr>
          <w:szCs w:val="24"/>
        </w:rPr>
        <w:t>Иммунохимическое исследование ликвора (концентрация белка и обнаружение моноклонального IgM) по показаниям</w:t>
      </w:r>
    </w:p>
    <w:p w:rsidR="00B43B37" w:rsidRPr="00FB583E" w:rsidRDefault="00B43B37" w:rsidP="004F39BB">
      <w:pPr>
        <w:pStyle w:val="afe"/>
        <w:numPr>
          <w:ilvl w:val="0"/>
          <w:numId w:val="49"/>
        </w:numPr>
        <w:rPr>
          <w:szCs w:val="24"/>
        </w:rPr>
      </w:pPr>
      <w:r w:rsidRPr="00FB583E">
        <w:rPr>
          <w:szCs w:val="24"/>
        </w:rPr>
        <w:t>Исследование ликвора на антитела к ганглиозидам GV1, GV2 по показаниям</w:t>
      </w:r>
    </w:p>
    <w:p w:rsidR="00B43B37" w:rsidRPr="00FB583E" w:rsidRDefault="00B43B37" w:rsidP="004F39BB">
      <w:pPr>
        <w:pStyle w:val="afe"/>
        <w:numPr>
          <w:ilvl w:val="0"/>
          <w:numId w:val="49"/>
        </w:numPr>
        <w:rPr>
          <w:szCs w:val="24"/>
        </w:rPr>
      </w:pPr>
      <w:r w:rsidRPr="00FB583E">
        <w:rPr>
          <w:szCs w:val="24"/>
        </w:rPr>
        <w:t>Цитологическое и гистологическое исследования костного мозга (миелограмма и трепанобиопсия)</w:t>
      </w:r>
    </w:p>
    <w:p w:rsidR="00B43B37" w:rsidRPr="00FB583E" w:rsidRDefault="00B43B37" w:rsidP="004F39BB">
      <w:pPr>
        <w:pStyle w:val="afe"/>
        <w:numPr>
          <w:ilvl w:val="0"/>
          <w:numId w:val="49"/>
        </w:numPr>
        <w:rPr>
          <w:szCs w:val="24"/>
        </w:rPr>
      </w:pPr>
      <w:r w:rsidRPr="00FB583E">
        <w:rPr>
          <w:szCs w:val="24"/>
        </w:rPr>
        <w:t>Анализ крови на исследование антител к GM1-ганглиозидам (по показаниям)</w:t>
      </w:r>
    </w:p>
    <w:p w:rsidR="00B43B37" w:rsidRPr="00FB583E" w:rsidRDefault="00B43B37" w:rsidP="004F39BB">
      <w:pPr>
        <w:pStyle w:val="afe"/>
        <w:numPr>
          <w:ilvl w:val="0"/>
          <w:numId w:val="49"/>
        </w:numPr>
        <w:rPr>
          <w:szCs w:val="24"/>
        </w:rPr>
      </w:pPr>
      <w:r w:rsidRPr="00FB583E">
        <w:rPr>
          <w:szCs w:val="24"/>
        </w:rPr>
        <w:t>Анализ крови на антитела к ассоциированному с миелином гликопротеину (анти-MAG антитела) по показаниям</w:t>
      </w:r>
    </w:p>
    <w:p w:rsidR="00B43B37" w:rsidRPr="00FB583E" w:rsidRDefault="00B43B37" w:rsidP="004F39BB">
      <w:pPr>
        <w:pStyle w:val="afe"/>
        <w:numPr>
          <w:ilvl w:val="0"/>
          <w:numId w:val="49"/>
        </w:numPr>
        <w:rPr>
          <w:szCs w:val="24"/>
        </w:rPr>
      </w:pPr>
      <w:r w:rsidRPr="00FB583E">
        <w:rPr>
          <w:szCs w:val="24"/>
        </w:rPr>
        <w:t>Анализ крови на исследование уровня фактора роста эндотелия сосудов, интерлeйкина-6, фактора некроза опухоли α и интерлeйкина-1β (по показаниям)</w:t>
      </w:r>
    </w:p>
    <w:p w:rsidR="00B43B37" w:rsidRPr="00FB583E" w:rsidRDefault="00B43B37" w:rsidP="00B43B37">
      <w:pPr>
        <w:ind w:firstLine="708"/>
        <w:rPr>
          <w:b/>
          <w:szCs w:val="24"/>
        </w:rPr>
      </w:pPr>
      <w:r w:rsidRPr="00FB583E">
        <w:rPr>
          <w:b/>
          <w:szCs w:val="24"/>
        </w:rPr>
        <w:t>Манипуляции:</w:t>
      </w:r>
    </w:p>
    <w:p w:rsidR="00B43B37" w:rsidRPr="00FB583E" w:rsidRDefault="00B43B37" w:rsidP="004F39BB">
      <w:pPr>
        <w:pStyle w:val="afe"/>
        <w:numPr>
          <w:ilvl w:val="0"/>
          <w:numId w:val="49"/>
        </w:numPr>
        <w:rPr>
          <w:szCs w:val="24"/>
        </w:rPr>
      </w:pPr>
      <w:r w:rsidRPr="00FB583E">
        <w:rPr>
          <w:szCs w:val="24"/>
        </w:rPr>
        <w:t>Люмбальная пункция (ЛП)</w:t>
      </w:r>
    </w:p>
    <w:p w:rsidR="00B43B37" w:rsidRPr="00FB583E" w:rsidRDefault="00B43B37" w:rsidP="004F39BB">
      <w:pPr>
        <w:pStyle w:val="afe"/>
        <w:numPr>
          <w:ilvl w:val="0"/>
          <w:numId w:val="49"/>
        </w:numPr>
        <w:rPr>
          <w:szCs w:val="24"/>
        </w:rPr>
      </w:pPr>
      <w:r w:rsidRPr="00FB583E">
        <w:rPr>
          <w:szCs w:val="24"/>
        </w:rPr>
        <w:t>Стереотаксическия биопсия (СТБ)</w:t>
      </w:r>
    </w:p>
    <w:p w:rsidR="00B43B37" w:rsidRPr="00FB583E" w:rsidRDefault="00B43B37" w:rsidP="004F39BB">
      <w:pPr>
        <w:pStyle w:val="afe"/>
        <w:numPr>
          <w:ilvl w:val="0"/>
          <w:numId w:val="49"/>
        </w:numPr>
        <w:rPr>
          <w:szCs w:val="24"/>
        </w:rPr>
      </w:pPr>
      <w:r w:rsidRPr="00FB583E">
        <w:rPr>
          <w:szCs w:val="24"/>
        </w:rPr>
        <w:t>Трепанобиопсия (ТБ)</w:t>
      </w:r>
    </w:p>
    <w:p w:rsidR="00B43B37" w:rsidRPr="00FB583E" w:rsidRDefault="00B43B37" w:rsidP="00B43B37">
      <w:pPr>
        <w:pStyle w:val="afe"/>
        <w:shd w:val="clear" w:color="auto" w:fill="FFFFFF"/>
        <w:rPr>
          <w:b/>
          <w:szCs w:val="24"/>
        </w:rPr>
      </w:pPr>
      <w:r w:rsidRPr="00FB583E">
        <w:rPr>
          <w:b/>
          <w:szCs w:val="24"/>
        </w:rPr>
        <w:t>Инструментальные исследования:</w:t>
      </w:r>
    </w:p>
    <w:p w:rsidR="00B43B37" w:rsidRPr="00FB583E" w:rsidRDefault="00B43B37" w:rsidP="004F39BB">
      <w:pPr>
        <w:pStyle w:val="afe"/>
        <w:numPr>
          <w:ilvl w:val="0"/>
          <w:numId w:val="49"/>
        </w:numPr>
        <w:rPr>
          <w:szCs w:val="24"/>
        </w:rPr>
      </w:pPr>
      <w:r w:rsidRPr="00FB583E">
        <w:rPr>
          <w:szCs w:val="24"/>
        </w:rPr>
        <w:t>ЭКГ</w:t>
      </w:r>
    </w:p>
    <w:p w:rsidR="00B43B37" w:rsidRPr="00FB583E" w:rsidRDefault="00B43B37" w:rsidP="004F39BB">
      <w:pPr>
        <w:pStyle w:val="afe"/>
        <w:numPr>
          <w:ilvl w:val="0"/>
          <w:numId w:val="49"/>
        </w:numPr>
        <w:rPr>
          <w:szCs w:val="24"/>
        </w:rPr>
      </w:pPr>
      <w:r w:rsidRPr="00FB583E">
        <w:rPr>
          <w:szCs w:val="24"/>
        </w:rPr>
        <w:t>Холтеровское мониторирование  (по показаниям)</w:t>
      </w:r>
    </w:p>
    <w:p w:rsidR="00B43B37" w:rsidRPr="00FB583E" w:rsidRDefault="00B43B37" w:rsidP="004F39BB">
      <w:pPr>
        <w:pStyle w:val="afe"/>
        <w:numPr>
          <w:ilvl w:val="0"/>
          <w:numId w:val="49"/>
        </w:numPr>
        <w:rPr>
          <w:szCs w:val="24"/>
        </w:rPr>
      </w:pPr>
      <w:r w:rsidRPr="00FB583E">
        <w:rPr>
          <w:szCs w:val="24"/>
        </w:rPr>
        <w:t>Функция внешнего дыхания</w:t>
      </w:r>
    </w:p>
    <w:p w:rsidR="00B43B37" w:rsidRPr="00FB583E" w:rsidRDefault="00B43B37" w:rsidP="004F39BB">
      <w:pPr>
        <w:pStyle w:val="afe"/>
        <w:numPr>
          <w:ilvl w:val="0"/>
          <w:numId w:val="49"/>
        </w:numPr>
        <w:rPr>
          <w:szCs w:val="24"/>
        </w:rPr>
      </w:pPr>
      <w:r w:rsidRPr="00FB583E">
        <w:rPr>
          <w:szCs w:val="24"/>
        </w:rPr>
        <w:t>ЭНМГ с исследованием двигательных и чувствительных нервов (по показаниям)</w:t>
      </w:r>
    </w:p>
    <w:p w:rsidR="00B43B37" w:rsidRPr="00FB583E" w:rsidRDefault="00B43B37" w:rsidP="004F39BB">
      <w:pPr>
        <w:pStyle w:val="afe"/>
        <w:numPr>
          <w:ilvl w:val="0"/>
          <w:numId w:val="49"/>
        </w:numPr>
        <w:rPr>
          <w:szCs w:val="24"/>
        </w:rPr>
      </w:pPr>
      <w:r w:rsidRPr="00FB583E">
        <w:rPr>
          <w:szCs w:val="24"/>
        </w:rPr>
        <w:t>Игольчатая электромиография (по показаниям)</w:t>
      </w:r>
    </w:p>
    <w:p w:rsidR="00B43B37" w:rsidRPr="00FB583E" w:rsidRDefault="00B43B37" w:rsidP="004F39BB">
      <w:pPr>
        <w:pStyle w:val="afe"/>
        <w:numPr>
          <w:ilvl w:val="0"/>
          <w:numId w:val="49"/>
        </w:numPr>
        <w:rPr>
          <w:szCs w:val="24"/>
        </w:rPr>
      </w:pPr>
      <w:r w:rsidRPr="00FB583E">
        <w:rPr>
          <w:szCs w:val="24"/>
        </w:rPr>
        <w:t>ВП различной модальности ЗВП, КВП, КАСВП, ССВП (по показаниям)</w:t>
      </w:r>
    </w:p>
    <w:p w:rsidR="00B43B37" w:rsidRPr="00FB583E" w:rsidRDefault="00B43B37" w:rsidP="004F39BB">
      <w:pPr>
        <w:pStyle w:val="afe"/>
        <w:numPr>
          <w:ilvl w:val="0"/>
          <w:numId w:val="49"/>
        </w:numPr>
        <w:rPr>
          <w:szCs w:val="24"/>
        </w:rPr>
      </w:pPr>
      <w:r w:rsidRPr="00FB583E">
        <w:rPr>
          <w:szCs w:val="24"/>
        </w:rPr>
        <w:t>УЗИ нервов (по показаниям)</w:t>
      </w:r>
    </w:p>
    <w:p w:rsidR="00B43B37" w:rsidRPr="00FB583E" w:rsidRDefault="00B43B37" w:rsidP="00B43B37">
      <w:pPr>
        <w:ind w:firstLine="708"/>
        <w:rPr>
          <w:b/>
          <w:szCs w:val="24"/>
        </w:rPr>
      </w:pPr>
      <w:r w:rsidRPr="00FB583E">
        <w:rPr>
          <w:b/>
          <w:szCs w:val="24"/>
        </w:rPr>
        <w:t>Консультации специалистов:</w:t>
      </w:r>
    </w:p>
    <w:p w:rsidR="00B43B37" w:rsidRPr="00FB583E" w:rsidRDefault="00B43B37" w:rsidP="004F39BB">
      <w:pPr>
        <w:pStyle w:val="afe"/>
        <w:numPr>
          <w:ilvl w:val="0"/>
          <w:numId w:val="49"/>
        </w:numPr>
        <w:rPr>
          <w:szCs w:val="24"/>
        </w:rPr>
      </w:pPr>
      <w:r w:rsidRPr="00FB583E">
        <w:rPr>
          <w:szCs w:val="24"/>
        </w:rPr>
        <w:t xml:space="preserve">невролог </w:t>
      </w:r>
    </w:p>
    <w:p w:rsidR="00B43B37" w:rsidRPr="00FB583E" w:rsidRDefault="00B43B37" w:rsidP="004F39BB">
      <w:pPr>
        <w:pStyle w:val="afe"/>
        <w:numPr>
          <w:ilvl w:val="0"/>
          <w:numId w:val="49"/>
        </w:numPr>
        <w:rPr>
          <w:szCs w:val="24"/>
        </w:rPr>
      </w:pPr>
      <w:r w:rsidRPr="00FB583E">
        <w:rPr>
          <w:szCs w:val="24"/>
        </w:rPr>
        <w:t>ортопед</w:t>
      </w:r>
    </w:p>
    <w:p w:rsidR="00B43B37" w:rsidRPr="00FB583E" w:rsidRDefault="00B43B37" w:rsidP="004F39BB">
      <w:pPr>
        <w:pStyle w:val="afe"/>
        <w:numPr>
          <w:ilvl w:val="0"/>
          <w:numId w:val="49"/>
        </w:numPr>
        <w:rPr>
          <w:szCs w:val="24"/>
        </w:rPr>
      </w:pPr>
      <w:r w:rsidRPr="00FB583E">
        <w:rPr>
          <w:szCs w:val="24"/>
        </w:rPr>
        <w:t>офтальмолог (оценка функции зрительных нервов)</w:t>
      </w:r>
    </w:p>
    <w:p w:rsidR="00B43B37" w:rsidRPr="00FB583E" w:rsidRDefault="00B43B37" w:rsidP="004F39BB">
      <w:pPr>
        <w:pStyle w:val="afe"/>
        <w:numPr>
          <w:ilvl w:val="0"/>
          <w:numId w:val="49"/>
        </w:numPr>
        <w:rPr>
          <w:szCs w:val="24"/>
        </w:rPr>
      </w:pPr>
      <w:r w:rsidRPr="00FB583E">
        <w:rPr>
          <w:szCs w:val="24"/>
        </w:rPr>
        <w:lastRenderedPageBreak/>
        <w:t>оториноларинголог (выявление бульбарных нарушений, пареза голосовых связок)</w:t>
      </w:r>
    </w:p>
    <w:p w:rsidR="00B43B37" w:rsidRPr="00FB583E" w:rsidRDefault="00B43B37" w:rsidP="004F39BB">
      <w:pPr>
        <w:pStyle w:val="afe"/>
        <w:numPr>
          <w:ilvl w:val="0"/>
          <w:numId w:val="49"/>
        </w:numPr>
        <w:rPr>
          <w:szCs w:val="24"/>
        </w:rPr>
      </w:pPr>
      <w:r w:rsidRPr="00FB583E">
        <w:rPr>
          <w:szCs w:val="24"/>
        </w:rPr>
        <w:t>кинезиотерапевт по показаниям</w:t>
      </w:r>
    </w:p>
    <w:p w:rsidR="00B43B37" w:rsidRPr="00FB583E" w:rsidRDefault="00B43B37" w:rsidP="00B43B37">
      <w:pPr>
        <w:ind w:firstLine="708"/>
        <w:rPr>
          <w:b/>
          <w:szCs w:val="24"/>
        </w:rPr>
      </w:pPr>
      <w:r w:rsidRPr="00FB583E">
        <w:rPr>
          <w:b/>
          <w:szCs w:val="24"/>
        </w:rPr>
        <w:t xml:space="preserve">Лечение: </w:t>
      </w:r>
    </w:p>
    <w:p w:rsidR="00B43B37" w:rsidRPr="00FB583E" w:rsidRDefault="00B43B37" w:rsidP="004F39BB">
      <w:pPr>
        <w:pStyle w:val="afe"/>
        <w:numPr>
          <w:ilvl w:val="0"/>
          <w:numId w:val="49"/>
        </w:numPr>
        <w:rPr>
          <w:szCs w:val="24"/>
        </w:rPr>
      </w:pPr>
      <w:r w:rsidRPr="00FB583E">
        <w:rPr>
          <w:szCs w:val="24"/>
        </w:rPr>
        <w:t>Плазмаферез (по показаниям)</w:t>
      </w:r>
    </w:p>
    <w:p w:rsidR="00B43B37" w:rsidRPr="00FB583E" w:rsidRDefault="00B43B37" w:rsidP="004F39BB">
      <w:pPr>
        <w:pStyle w:val="afe"/>
        <w:numPr>
          <w:ilvl w:val="0"/>
          <w:numId w:val="49"/>
        </w:numPr>
        <w:rPr>
          <w:szCs w:val="24"/>
        </w:rPr>
      </w:pPr>
      <w:r w:rsidRPr="00FB583E">
        <w:rPr>
          <w:szCs w:val="24"/>
        </w:rPr>
        <w:t>Лечение невропатической боли – антидепрессанты, антиконсульсанты, опиодные анальгетики (см. Приложение «Диагностика и лечение болевого синдрома в гематологии")</w:t>
      </w:r>
    </w:p>
    <w:p w:rsidR="00B43B37" w:rsidRPr="00FB583E" w:rsidRDefault="00B43B37" w:rsidP="004F39BB">
      <w:pPr>
        <w:pStyle w:val="afe"/>
        <w:numPr>
          <w:ilvl w:val="0"/>
          <w:numId w:val="49"/>
        </w:numPr>
        <w:rPr>
          <w:szCs w:val="24"/>
        </w:rPr>
      </w:pPr>
      <w:r w:rsidRPr="00FB583E">
        <w:rPr>
          <w:szCs w:val="24"/>
        </w:rPr>
        <w:t>Магнитная стимуляция (низкочастотная магнитотерапия) периферических нервов (по показаниям)</w:t>
      </w:r>
    </w:p>
    <w:p w:rsidR="00B43B37" w:rsidRPr="00FB583E" w:rsidRDefault="00B43B37" w:rsidP="004F39BB">
      <w:pPr>
        <w:pStyle w:val="afe"/>
        <w:numPr>
          <w:ilvl w:val="0"/>
          <w:numId w:val="49"/>
        </w:numPr>
        <w:rPr>
          <w:szCs w:val="24"/>
        </w:rPr>
      </w:pPr>
      <w:r w:rsidRPr="00FB583E">
        <w:rPr>
          <w:szCs w:val="24"/>
        </w:rPr>
        <w:t>Низкоинтенсивная лазеротерапия (по показаниям)</w:t>
      </w:r>
    </w:p>
    <w:p w:rsidR="00B43B37" w:rsidRPr="00FB583E" w:rsidRDefault="00B43B37" w:rsidP="004F39BB">
      <w:pPr>
        <w:pStyle w:val="afe"/>
        <w:numPr>
          <w:ilvl w:val="0"/>
          <w:numId w:val="49"/>
        </w:numPr>
        <w:rPr>
          <w:szCs w:val="24"/>
        </w:rPr>
      </w:pPr>
      <w:r w:rsidRPr="00FB583E">
        <w:rPr>
          <w:szCs w:val="24"/>
        </w:rPr>
        <w:t>Чрезкожная элктростимуляция (по показаниям)</w:t>
      </w:r>
    </w:p>
    <w:p w:rsidR="00B43B37" w:rsidRPr="00FB583E" w:rsidRDefault="00B43B37" w:rsidP="004F39BB">
      <w:pPr>
        <w:pStyle w:val="afe"/>
        <w:numPr>
          <w:ilvl w:val="0"/>
          <w:numId w:val="49"/>
        </w:numPr>
        <w:rPr>
          <w:szCs w:val="24"/>
        </w:rPr>
      </w:pPr>
      <w:r w:rsidRPr="00FB583E">
        <w:rPr>
          <w:szCs w:val="24"/>
        </w:rPr>
        <w:t xml:space="preserve">Улучшение метаболизма нервной ткани – берлитион, витамины группы В </w:t>
      </w:r>
    </w:p>
    <w:p w:rsidR="00B43B37" w:rsidRPr="00FB583E" w:rsidRDefault="00B43B37" w:rsidP="004F39BB">
      <w:pPr>
        <w:pStyle w:val="afe"/>
        <w:numPr>
          <w:ilvl w:val="0"/>
          <w:numId w:val="49"/>
        </w:numPr>
        <w:rPr>
          <w:szCs w:val="24"/>
        </w:rPr>
      </w:pPr>
      <w:r w:rsidRPr="00FB583E">
        <w:rPr>
          <w:szCs w:val="24"/>
        </w:rPr>
        <w:t>Улучшение нейромышечной передачи – ингибитор холинэстеразы ипидакрин</w:t>
      </w:r>
    </w:p>
    <w:p w:rsidR="00B43B37" w:rsidRPr="00FB583E" w:rsidRDefault="00B43B37" w:rsidP="004F39BB">
      <w:pPr>
        <w:pStyle w:val="afe"/>
        <w:numPr>
          <w:ilvl w:val="0"/>
          <w:numId w:val="49"/>
        </w:numPr>
        <w:rPr>
          <w:szCs w:val="24"/>
        </w:rPr>
      </w:pPr>
      <w:r w:rsidRPr="00FB583E">
        <w:rPr>
          <w:szCs w:val="24"/>
        </w:rPr>
        <w:t xml:space="preserve">Нейропротекторы –  холина альфосцерат–глиатилин, цитиколин  цераксон </w:t>
      </w:r>
    </w:p>
    <w:p w:rsidR="00B43B37" w:rsidRPr="00FB583E" w:rsidRDefault="00B43B37" w:rsidP="00B43B37">
      <w:pPr>
        <w:pStyle w:val="afe"/>
        <w:rPr>
          <w:b/>
          <w:i/>
          <w:color w:val="FF0000"/>
          <w:szCs w:val="24"/>
        </w:rPr>
      </w:pPr>
    </w:p>
    <w:p w:rsidR="00B43B37" w:rsidRPr="00FB583E" w:rsidRDefault="00B43B37" w:rsidP="00B43B37">
      <w:pPr>
        <w:rPr>
          <w:i/>
          <w:szCs w:val="24"/>
          <w:u w:val="single"/>
        </w:rPr>
      </w:pPr>
      <w:r w:rsidRPr="00FB583E">
        <w:rPr>
          <w:i/>
          <w:szCs w:val="24"/>
          <w:u w:val="single"/>
        </w:rPr>
        <w:t>Нейроинфекции при гематологических заболеваниях</w:t>
      </w:r>
    </w:p>
    <w:p w:rsidR="00B43B37" w:rsidRPr="00FB583E" w:rsidRDefault="00B43B37" w:rsidP="00B43B37">
      <w:pPr>
        <w:pStyle w:val="Default"/>
        <w:spacing w:line="360" w:lineRule="auto"/>
        <w:ind w:firstLine="709"/>
        <w:jc w:val="both"/>
      </w:pPr>
      <w:r w:rsidRPr="00FB583E">
        <w:t xml:space="preserve">Нейроинфекционные осложнения – менингиты, энцефалиты, менингоэнцефалиты, миелиты – наблюдаются примерно у 10% гематологических больных на фоне иммуносупрессии, нейтропении, сепсиса, пневмонии и других инфекционных осложнениях при цитостатической терапии. В структуре нейроинфекционных поражений у гематологических пациентов менингиты составляют 40%, энцефалиты – 40%, грибковое поражение ЦНС (инвазивный аспергиллез, инвазивный кандидоз) –15%, токсоплазмоз –5%. </w:t>
      </w:r>
    </w:p>
    <w:p w:rsidR="00B43B37" w:rsidRPr="00FB583E" w:rsidRDefault="00B43B37" w:rsidP="00B43B37">
      <w:pPr>
        <w:pStyle w:val="Default"/>
        <w:spacing w:line="360" w:lineRule="auto"/>
        <w:ind w:firstLine="709"/>
        <w:jc w:val="both"/>
        <w:rPr>
          <w:b/>
        </w:rPr>
      </w:pPr>
      <w:r w:rsidRPr="00FB583E">
        <w:rPr>
          <w:b/>
        </w:rPr>
        <w:t>Клиническая картина:</w:t>
      </w:r>
    </w:p>
    <w:p w:rsidR="00B43B37" w:rsidRPr="00FB583E" w:rsidRDefault="00B43B37" w:rsidP="00B43B37">
      <w:pPr>
        <w:pStyle w:val="Default"/>
        <w:spacing w:line="360" w:lineRule="auto"/>
        <w:ind w:firstLine="709"/>
        <w:jc w:val="both"/>
      </w:pPr>
      <w:r w:rsidRPr="00FB583E">
        <w:t>Менингеальная симптоматика доминирует при бактериальных, серозных менингитах и инвазивном кандидозе ЦНС, в то время, как общемозговая симптоматика – при вирусных энцефалитах. Клиническая картина при грибковом поражении и токсоплазмозе соответствует клинической картине объемного образования. При нейроинфекции клинические симптомы варьируют в широких пределах – от головной боли до развития тяжелых общемозговых симптомов с угнетением сознания, эпилептических припадков, выраженных очаговых и менингеальных симптомов.</w:t>
      </w:r>
    </w:p>
    <w:p w:rsidR="00B43B37" w:rsidRPr="00FB583E" w:rsidRDefault="00B43B37" w:rsidP="00B43B37">
      <w:pPr>
        <w:rPr>
          <w:b/>
          <w:szCs w:val="24"/>
        </w:rPr>
      </w:pPr>
      <w:r w:rsidRPr="00FB583E">
        <w:rPr>
          <w:b/>
          <w:szCs w:val="24"/>
        </w:rPr>
        <w:t>Для первичной диагностики оценивается:</w:t>
      </w:r>
    </w:p>
    <w:p w:rsidR="00B43B37" w:rsidRPr="00FB583E" w:rsidRDefault="00B43B37" w:rsidP="004F39BB">
      <w:pPr>
        <w:pStyle w:val="afe"/>
        <w:numPr>
          <w:ilvl w:val="0"/>
          <w:numId w:val="49"/>
        </w:numPr>
        <w:rPr>
          <w:szCs w:val="24"/>
        </w:rPr>
      </w:pPr>
      <w:r w:rsidRPr="00FB583E">
        <w:rPr>
          <w:szCs w:val="24"/>
        </w:rPr>
        <w:t xml:space="preserve">жалобы; </w:t>
      </w:r>
    </w:p>
    <w:p w:rsidR="00B43B37" w:rsidRPr="00FB583E" w:rsidRDefault="00B43B37" w:rsidP="004F39BB">
      <w:pPr>
        <w:pStyle w:val="afe"/>
        <w:numPr>
          <w:ilvl w:val="0"/>
          <w:numId w:val="49"/>
        </w:numPr>
        <w:rPr>
          <w:szCs w:val="24"/>
        </w:rPr>
      </w:pPr>
      <w:r w:rsidRPr="00FB583E">
        <w:rPr>
          <w:szCs w:val="24"/>
        </w:rPr>
        <w:t xml:space="preserve">анамнез; </w:t>
      </w:r>
    </w:p>
    <w:p w:rsidR="00B43B37" w:rsidRPr="00FB583E" w:rsidRDefault="00B43B37" w:rsidP="004F39BB">
      <w:pPr>
        <w:pStyle w:val="afe"/>
        <w:numPr>
          <w:ilvl w:val="0"/>
          <w:numId w:val="49"/>
        </w:numPr>
        <w:rPr>
          <w:szCs w:val="24"/>
        </w:rPr>
      </w:pPr>
      <w:r w:rsidRPr="00FB583E">
        <w:rPr>
          <w:szCs w:val="24"/>
        </w:rPr>
        <w:lastRenderedPageBreak/>
        <w:t xml:space="preserve">оценка функционального статуса по шкале Карновского; </w:t>
      </w:r>
    </w:p>
    <w:p w:rsidR="00B43B37" w:rsidRPr="00FB583E" w:rsidRDefault="00B43B37" w:rsidP="004F39BB">
      <w:pPr>
        <w:pStyle w:val="afe"/>
        <w:numPr>
          <w:ilvl w:val="0"/>
          <w:numId w:val="49"/>
        </w:numPr>
        <w:rPr>
          <w:szCs w:val="24"/>
        </w:rPr>
      </w:pPr>
      <w:r w:rsidRPr="00FB583E">
        <w:rPr>
          <w:szCs w:val="24"/>
        </w:rPr>
        <w:t>оценка по шкале SOFA;</w:t>
      </w:r>
    </w:p>
    <w:p w:rsidR="00B43B37" w:rsidRPr="00FB583E" w:rsidRDefault="00B43B37" w:rsidP="004F39BB">
      <w:pPr>
        <w:pStyle w:val="afe"/>
        <w:numPr>
          <w:ilvl w:val="0"/>
          <w:numId w:val="49"/>
        </w:numPr>
        <w:rPr>
          <w:szCs w:val="24"/>
        </w:rPr>
      </w:pPr>
      <w:r w:rsidRPr="00FB583E">
        <w:rPr>
          <w:szCs w:val="24"/>
        </w:rPr>
        <w:t xml:space="preserve">неврологический статус с оценкой общемозговой, очаговой, менингеальной симптоматики и интеллектуально-мнестических нарушений; </w:t>
      </w:r>
    </w:p>
    <w:p w:rsidR="00B43B37" w:rsidRPr="00FB583E" w:rsidRDefault="00B43B37" w:rsidP="004F39BB">
      <w:pPr>
        <w:pStyle w:val="afe"/>
        <w:numPr>
          <w:ilvl w:val="0"/>
          <w:numId w:val="49"/>
        </w:numPr>
        <w:rPr>
          <w:szCs w:val="24"/>
        </w:rPr>
      </w:pPr>
      <w:r w:rsidRPr="00FB583E">
        <w:rPr>
          <w:szCs w:val="24"/>
        </w:rPr>
        <w:t xml:space="preserve">оценка психического состояния; </w:t>
      </w:r>
    </w:p>
    <w:p w:rsidR="00B43B37" w:rsidRPr="00FB583E" w:rsidRDefault="00B43B37" w:rsidP="00B43B37">
      <w:pPr>
        <w:ind w:left="12" w:firstLine="708"/>
        <w:rPr>
          <w:b/>
          <w:szCs w:val="24"/>
        </w:rPr>
      </w:pPr>
      <w:r w:rsidRPr="00FB583E">
        <w:rPr>
          <w:b/>
          <w:szCs w:val="24"/>
        </w:rPr>
        <w:t>Лабораторная диагностика:</w:t>
      </w:r>
      <w:r w:rsidRPr="00FB583E">
        <w:rPr>
          <w:b/>
          <w:szCs w:val="24"/>
        </w:rPr>
        <w:tab/>
        <w:t xml:space="preserve"> </w:t>
      </w:r>
    </w:p>
    <w:p w:rsidR="00B43B37" w:rsidRPr="00FB583E" w:rsidRDefault="00B43B37" w:rsidP="004F39BB">
      <w:pPr>
        <w:pStyle w:val="afe"/>
        <w:numPr>
          <w:ilvl w:val="0"/>
          <w:numId w:val="49"/>
        </w:numPr>
        <w:rPr>
          <w:szCs w:val="24"/>
        </w:rPr>
      </w:pPr>
      <w:r w:rsidRPr="00FB583E">
        <w:rPr>
          <w:szCs w:val="24"/>
        </w:rPr>
        <w:t>Клинический анализ крови, морфологическое исследование мазка крови</w:t>
      </w:r>
    </w:p>
    <w:p w:rsidR="00B43B37" w:rsidRPr="00FB583E" w:rsidRDefault="00B43B37" w:rsidP="004F39BB">
      <w:pPr>
        <w:pStyle w:val="afe"/>
        <w:numPr>
          <w:ilvl w:val="0"/>
          <w:numId w:val="49"/>
        </w:numPr>
        <w:rPr>
          <w:szCs w:val="24"/>
        </w:rPr>
      </w:pPr>
      <w:r w:rsidRPr="00FB583E">
        <w:rPr>
          <w:szCs w:val="24"/>
        </w:rPr>
        <w:t>Общий анализ мочи</w:t>
      </w:r>
    </w:p>
    <w:p w:rsidR="00B43B37" w:rsidRPr="00FB583E" w:rsidRDefault="00B43B37" w:rsidP="004F39BB">
      <w:pPr>
        <w:pStyle w:val="afe"/>
        <w:numPr>
          <w:ilvl w:val="0"/>
          <w:numId w:val="49"/>
        </w:numPr>
        <w:rPr>
          <w:szCs w:val="24"/>
        </w:rPr>
      </w:pPr>
      <w:r w:rsidRPr="00FB583E">
        <w:rPr>
          <w:szCs w:val="24"/>
        </w:rPr>
        <w:t>Биохимический анализ крови – общий белок, фракции белка, креатинин, мочевина, мочевая кислота, билирубин, фракции билирубина, глюкоза, электролиты, аланиаминотрансфераза, аспартатаминотрансфераза, лактатдегидрогеназа, щелочная фосфатаза, амилаза</w:t>
      </w:r>
    </w:p>
    <w:p w:rsidR="00B43B37" w:rsidRPr="00FB583E" w:rsidRDefault="00B43B37" w:rsidP="004F39BB">
      <w:pPr>
        <w:pStyle w:val="afe"/>
        <w:numPr>
          <w:ilvl w:val="0"/>
          <w:numId w:val="49"/>
        </w:numPr>
        <w:rPr>
          <w:szCs w:val="24"/>
        </w:rPr>
      </w:pPr>
      <w:r w:rsidRPr="00FB583E">
        <w:rPr>
          <w:szCs w:val="24"/>
        </w:rPr>
        <w:t>Оценка кислотно-щелочного равновесия (по показаниям)</w:t>
      </w:r>
    </w:p>
    <w:p w:rsidR="00B43B37" w:rsidRPr="00FB583E" w:rsidRDefault="00B43B37" w:rsidP="004F39BB">
      <w:pPr>
        <w:pStyle w:val="afe"/>
        <w:numPr>
          <w:ilvl w:val="0"/>
          <w:numId w:val="49"/>
        </w:numPr>
        <w:rPr>
          <w:szCs w:val="24"/>
        </w:rPr>
      </w:pPr>
      <w:r w:rsidRPr="00FB583E">
        <w:rPr>
          <w:szCs w:val="24"/>
        </w:rPr>
        <w:t xml:space="preserve">Исследование ликвора в динамике – цитологическое, белок, глюкоза. На бактерии – микроскопия, посев, определение антигенов. Микобактерии – микроскопия, определение ДНК. Вирусы – определение ДНК. Грибы- микроскопия, посев, антигены. Токсоплазмоз- определение ДНК. </w:t>
      </w:r>
    </w:p>
    <w:p w:rsidR="00B43B37" w:rsidRPr="00FB583E" w:rsidRDefault="00B43B37" w:rsidP="004F39BB">
      <w:pPr>
        <w:pStyle w:val="afe"/>
        <w:numPr>
          <w:ilvl w:val="0"/>
          <w:numId w:val="49"/>
        </w:numPr>
        <w:rPr>
          <w:szCs w:val="24"/>
        </w:rPr>
      </w:pPr>
      <w:r w:rsidRPr="00FB583E">
        <w:rPr>
          <w:szCs w:val="24"/>
        </w:rPr>
        <w:t xml:space="preserve">(См. рекомендации бактериологической лаборатории). </w:t>
      </w:r>
    </w:p>
    <w:p w:rsidR="00B43B37" w:rsidRPr="00FB583E" w:rsidRDefault="00B43B37" w:rsidP="004F39BB">
      <w:pPr>
        <w:pStyle w:val="afe"/>
        <w:numPr>
          <w:ilvl w:val="0"/>
          <w:numId w:val="49"/>
        </w:numPr>
        <w:rPr>
          <w:szCs w:val="24"/>
        </w:rPr>
      </w:pPr>
      <w:r w:rsidRPr="00FB583E">
        <w:rPr>
          <w:szCs w:val="24"/>
        </w:rPr>
        <w:t>Иммунохимическое исследование крови и мочи, включая количество нормальных иммуноглобулинов, наличие моноклональной секреции, С-реактивный белок, бета-2-микроглобулин</w:t>
      </w:r>
    </w:p>
    <w:p w:rsidR="00B43B37" w:rsidRPr="00FB583E" w:rsidRDefault="00B43B37" w:rsidP="004F39BB">
      <w:pPr>
        <w:pStyle w:val="afe"/>
        <w:numPr>
          <w:ilvl w:val="0"/>
          <w:numId w:val="49"/>
        </w:numPr>
        <w:rPr>
          <w:szCs w:val="24"/>
        </w:rPr>
      </w:pPr>
      <w:r w:rsidRPr="00FB583E">
        <w:rPr>
          <w:szCs w:val="24"/>
        </w:rPr>
        <w:t>Определение группы крови и резус - фактора</w:t>
      </w:r>
    </w:p>
    <w:p w:rsidR="00B43B37" w:rsidRPr="00FB583E" w:rsidRDefault="00B43B37" w:rsidP="004F39BB">
      <w:pPr>
        <w:pStyle w:val="afe"/>
        <w:numPr>
          <w:ilvl w:val="0"/>
          <w:numId w:val="49"/>
        </w:numPr>
        <w:rPr>
          <w:szCs w:val="24"/>
        </w:rPr>
      </w:pPr>
      <w:r w:rsidRPr="00FB583E">
        <w:rPr>
          <w:szCs w:val="24"/>
        </w:rPr>
        <w:t>Исследование крови на вирусы гепатитов B и C, ВИЧ, сифилис</w:t>
      </w:r>
    </w:p>
    <w:p w:rsidR="00B43B37" w:rsidRPr="00FB583E" w:rsidRDefault="00B43B37" w:rsidP="004F39BB">
      <w:pPr>
        <w:pStyle w:val="afe"/>
        <w:numPr>
          <w:ilvl w:val="0"/>
          <w:numId w:val="49"/>
        </w:numPr>
        <w:rPr>
          <w:szCs w:val="24"/>
        </w:rPr>
      </w:pPr>
      <w:r w:rsidRPr="00FB583E">
        <w:rPr>
          <w:szCs w:val="24"/>
        </w:rPr>
        <w:t>Стереотаксическая биопсия при наличии очагов в головном мозге по данным КТ/МРТ.</w:t>
      </w:r>
    </w:p>
    <w:p w:rsidR="00B43B37" w:rsidRPr="00FB583E" w:rsidRDefault="00B43B37" w:rsidP="00B43B37">
      <w:pPr>
        <w:ind w:firstLine="708"/>
        <w:rPr>
          <w:b/>
          <w:szCs w:val="24"/>
        </w:rPr>
      </w:pPr>
      <w:r w:rsidRPr="00FB583E">
        <w:rPr>
          <w:b/>
          <w:szCs w:val="24"/>
        </w:rPr>
        <w:t>Инструментальная диагностика:</w:t>
      </w:r>
    </w:p>
    <w:p w:rsidR="00B43B37" w:rsidRPr="00FB583E" w:rsidRDefault="00B43B37" w:rsidP="004F39BB">
      <w:pPr>
        <w:pStyle w:val="afe"/>
        <w:numPr>
          <w:ilvl w:val="0"/>
          <w:numId w:val="49"/>
        </w:numPr>
        <w:rPr>
          <w:szCs w:val="24"/>
        </w:rPr>
      </w:pPr>
      <w:r w:rsidRPr="00FB583E">
        <w:rPr>
          <w:szCs w:val="24"/>
        </w:rPr>
        <w:t>КТ или МРТ головного мозга (с внутривенным контрастированием – по показаниям)</w:t>
      </w:r>
    </w:p>
    <w:p w:rsidR="00B43B37" w:rsidRPr="00FB583E" w:rsidRDefault="00B43B37" w:rsidP="004F39BB">
      <w:pPr>
        <w:pStyle w:val="afe"/>
        <w:numPr>
          <w:ilvl w:val="0"/>
          <w:numId w:val="49"/>
        </w:numPr>
        <w:rPr>
          <w:szCs w:val="24"/>
        </w:rPr>
      </w:pPr>
      <w:r w:rsidRPr="00FB583E">
        <w:rPr>
          <w:szCs w:val="24"/>
        </w:rPr>
        <w:t>КТ брюшной полости, грудной клетки, малого таза</w:t>
      </w:r>
    </w:p>
    <w:p w:rsidR="00B43B37" w:rsidRPr="00FB583E" w:rsidRDefault="00B43B37" w:rsidP="004F39BB">
      <w:pPr>
        <w:pStyle w:val="afe"/>
        <w:numPr>
          <w:ilvl w:val="0"/>
          <w:numId w:val="49"/>
        </w:numPr>
        <w:rPr>
          <w:szCs w:val="24"/>
        </w:rPr>
      </w:pPr>
      <w:r w:rsidRPr="00FB583E">
        <w:rPr>
          <w:szCs w:val="24"/>
        </w:rPr>
        <w:t>Электроэнцефалография (ЭЭГ) с функциональными пробами для определения функционального состояния головного мозга и исключения эпиактивности</w:t>
      </w:r>
    </w:p>
    <w:p w:rsidR="00B43B37" w:rsidRPr="00FB583E" w:rsidRDefault="00B43B37" w:rsidP="004F39BB">
      <w:pPr>
        <w:pStyle w:val="afe"/>
        <w:numPr>
          <w:ilvl w:val="0"/>
          <w:numId w:val="49"/>
        </w:numPr>
        <w:rPr>
          <w:szCs w:val="24"/>
        </w:rPr>
      </w:pPr>
      <w:r w:rsidRPr="00FB583E">
        <w:rPr>
          <w:szCs w:val="24"/>
        </w:rPr>
        <w:t xml:space="preserve">ВП – вызванные потенциалы различной модальности (по показаниям): ЗВП, КВП, КАСВП, ССВП. </w:t>
      </w:r>
    </w:p>
    <w:p w:rsidR="00B43B37" w:rsidRPr="00FB583E" w:rsidRDefault="00B43B37" w:rsidP="004F39BB">
      <w:pPr>
        <w:pStyle w:val="afe"/>
        <w:numPr>
          <w:ilvl w:val="0"/>
          <w:numId w:val="49"/>
        </w:numPr>
        <w:rPr>
          <w:szCs w:val="24"/>
        </w:rPr>
      </w:pPr>
      <w:r w:rsidRPr="00FB583E">
        <w:rPr>
          <w:szCs w:val="24"/>
        </w:rPr>
        <w:lastRenderedPageBreak/>
        <w:t>ТКМС (по показаниям)</w:t>
      </w:r>
    </w:p>
    <w:p w:rsidR="00B43B37" w:rsidRPr="00FB583E" w:rsidRDefault="00B43B37" w:rsidP="004F39BB">
      <w:pPr>
        <w:pStyle w:val="afe"/>
        <w:numPr>
          <w:ilvl w:val="0"/>
          <w:numId w:val="49"/>
        </w:numPr>
        <w:rPr>
          <w:szCs w:val="24"/>
        </w:rPr>
      </w:pPr>
      <w:r w:rsidRPr="00FB583E">
        <w:rPr>
          <w:szCs w:val="24"/>
        </w:rPr>
        <w:t>ПЭТ-КТ (по показаниям)</w:t>
      </w:r>
    </w:p>
    <w:p w:rsidR="00B43B37" w:rsidRPr="00FB583E" w:rsidRDefault="00B43B37" w:rsidP="004F39BB">
      <w:pPr>
        <w:pStyle w:val="afe"/>
        <w:numPr>
          <w:ilvl w:val="0"/>
          <w:numId w:val="49"/>
        </w:numPr>
        <w:rPr>
          <w:szCs w:val="24"/>
        </w:rPr>
      </w:pPr>
      <w:r w:rsidRPr="00FB583E">
        <w:rPr>
          <w:szCs w:val="24"/>
        </w:rPr>
        <w:t>УЗДГ брахиоцефальных артерий и вен (по показаниям)</w:t>
      </w:r>
    </w:p>
    <w:p w:rsidR="00B43B37" w:rsidRPr="00FB583E" w:rsidRDefault="00B43B37" w:rsidP="004F39BB">
      <w:pPr>
        <w:pStyle w:val="afe"/>
        <w:numPr>
          <w:ilvl w:val="0"/>
          <w:numId w:val="49"/>
        </w:numPr>
        <w:rPr>
          <w:szCs w:val="24"/>
        </w:rPr>
      </w:pPr>
      <w:r w:rsidRPr="00FB583E">
        <w:rPr>
          <w:szCs w:val="24"/>
        </w:rPr>
        <w:t>ФГДС  (биопсия по показаниям)</w:t>
      </w:r>
    </w:p>
    <w:p w:rsidR="00B43B37" w:rsidRPr="00FB583E" w:rsidRDefault="00B43B37" w:rsidP="004F39BB">
      <w:pPr>
        <w:pStyle w:val="afe"/>
        <w:numPr>
          <w:ilvl w:val="0"/>
          <w:numId w:val="49"/>
        </w:numPr>
        <w:rPr>
          <w:szCs w:val="24"/>
        </w:rPr>
      </w:pPr>
      <w:r w:rsidRPr="00FB583E">
        <w:rPr>
          <w:szCs w:val="24"/>
        </w:rPr>
        <w:t>ЭКГ</w:t>
      </w:r>
    </w:p>
    <w:p w:rsidR="00B43B37" w:rsidRPr="00FB583E" w:rsidRDefault="00B43B37" w:rsidP="004F39BB">
      <w:pPr>
        <w:pStyle w:val="afe"/>
        <w:numPr>
          <w:ilvl w:val="0"/>
          <w:numId w:val="49"/>
        </w:numPr>
        <w:rPr>
          <w:szCs w:val="24"/>
        </w:rPr>
      </w:pPr>
      <w:r w:rsidRPr="00FB583E">
        <w:rPr>
          <w:szCs w:val="24"/>
        </w:rPr>
        <w:t>Эхо-КГ</w:t>
      </w:r>
    </w:p>
    <w:p w:rsidR="00B43B37" w:rsidRPr="00FB583E" w:rsidRDefault="00B43B37" w:rsidP="00B43B37">
      <w:pPr>
        <w:ind w:firstLine="708"/>
        <w:rPr>
          <w:b/>
          <w:szCs w:val="24"/>
        </w:rPr>
      </w:pPr>
      <w:r w:rsidRPr="00FB583E">
        <w:rPr>
          <w:b/>
          <w:szCs w:val="24"/>
        </w:rPr>
        <w:t>Консультация специалистов:</w:t>
      </w:r>
    </w:p>
    <w:p w:rsidR="00B43B37" w:rsidRPr="00FB583E" w:rsidRDefault="00B43B37" w:rsidP="004F39BB">
      <w:pPr>
        <w:pStyle w:val="afe"/>
        <w:numPr>
          <w:ilvl w:val="0"/>
          <w:numId w:val="49"/>
        </w:numPr>
        <w:rPr>
          <w:szCs w:val="24"/>
        </w:rPr>
      </w:pPr>
      <w:r w:rsidRPr="00FB583E">
        <w:rPr>
          <w:szCs w:val="24"/>
        </w:rPr>
        <w:t>Невролог – для оценки неврологического статуса</w:t>
      </w:r>
    </w:p>
    <w:p w:rsidR="00B43B37" w:rsidRPr="00FB583E" w:rsidRDefault="00B43B37" w:rsidP="004F39BB">
      <w:pPr>
        <w:pStyle w:val="afe"/>
        <w:numPr>
          <w:ilvl w:val="0"/>
          <w:numId w:val="49"/>
        </w:numPr>
        <w:rPr>
          <w:szCs w:val="24"/>
        </w:rPr>
      </w:pPr>
      <w:r w:rsidRPr="00FB583E">
        <w:rPr>
          <w:szCs w:val="24"/>
        </w:rPr>
        <w:t>Нейрохирург – для  СТБ при очаговом поражении головного мозга для верификации диагноза.</w:t>
      </w:r>
    </w:p>
    <w:p w:rsidR="00B43B37" w:rsidRPr="00FB583E" w:rsidRDefault="00B43B37" w:rsidP="004F39BB">
      <w:pPr>
        <w:pStyle w:val="afe"/>
        <w:numPr>
          <w:ilvl w:val="0"/>
          <w:numId w:val="49"/>
        </w:numPr>
        <w:rPr>
          <w:szCs w:val="24"/>
        </w:rPr>
      </w:pPr>
      <w:r w:rsidRPr="00FB583E">
        <w:rPr>
          <w:szCs w:val="24"/>
        </w:rPr>
        <w:t>Офтальмолог – для оценки состояния глазного дна.</w:t>
      </w:r>
    </w:p>
    <w:p w:rsidR="00B43B37" w:rsidRPr="00FB583E" w:rsidRDefault="00B43B37" w:rsidP="004F39BB">
      <w:pPr>
        <w:pStyle w:val="afe"/>
        <w:numPr>
          <w:ilvl w:val="0"/>
          <w:numId w:val="49"/>
        </w:numPr>
        <w:rPr>
          <w:szCs w:val="24"/>
        </w:rPr>
      </w:pPr>
      <w:r w:rsidRPr="00FB583E">
        <w:rPr>
          <w:szCs w:val="24"/>
        </w:rPr>
        <w:t>По показаниям привлекаются другие специалисты:</w:t>
      </w:r>
    </w:p>
    <w:p w:rsidR="00B43B37" w:rsidRPr="00FB583E" w:rsidRDefault="00B43B37" w:rsidP="004F39BB">
      <w:pPr>
        <w:pStyle w:val="afe"/>
        <w:numPr>
          <w:ilvl w:val="1"/>
          <w:numId w:val="49"/>
        </w:numPr>
        <w:rPr>
          <w:szCs w:val="24"/>
        </w:rPr>
      </w:pPr>
      <w:r w:rsidRPr="00FB583E">
        <w:rPr>
          <w:szCs w:val="24"/>
        </w:rPr>
        <w:t>рентгенолог</w:t>
      </w:r>
    </w:p>
    <w:p w:rsidR="00B43B37" w:rsidRPr="00FB583E" w:rsidRDefault="00B43B37" w:rsidP="004F39BB">
      <w:pPr>
        <w:pStyle w:val="afe"/>
        <w:numPr>
          <w:ilvl w:val="1"/>
          <w:numId w:val="49"/>
        </w:numPr>
        <w:rPr>
          <w:szCs w:val="24"/>
        </w:rPr>
      </w:pPr>
      <w:r w:rsidRPr="00FB583E">
        <w:rPr>
          <w:szCs w:val="24"/>
        </w:rPr>
        <w:t>психиатр</w:t>
      </w:r>
    </w:p>
    <w:p w:rsidR="00B43B37" w:rsidRPr="00FB583E" w:rsidRDefault="00B43B37" w:rsidP="004F39BB">
      <w:pPr>
        <w:pStyle w:val="afe"/>
        <w:numPr>
          <w:ilvl w:val="1"/>
          <w:numId w:val="49"/>
        </w:numPr>
        <w:rPr>
          <w:szCs w:val="24"/>
        </w:rPr>
      </w:pPr>
      <w:r w:rsidRPr="00FB583E">
        <w:rPr>
          <w:szCs w:val="24"/>
        </w:rPr>
        <w:t>психолог</w:t>
      </w:r>
    </w:p>
    <w:p w:rsidR="00B43B37" w:rsidRPr="00FB583E" w:rsidRDefault="00B43B37" w:rsidP="004F39BB">
      <w:pPr>
        <w:pStyle w:val="afe"/>
        <w:numPr>
          <w:ilvl w:val="1"/>
          <w:numId w:val="49"/>
        </w:numPr>
        <w:rPr>
          <w:szCs w:val="24"/>
        </w:rPr>
      </w:pPr>
      <w:r w:rsidRPr="00FB583E">
        <w:rPr>
          <w:szCs w:val="24"/>
        </w:rPr>
        <w:t>кинезиотерапевт</w:t>
      </w:r>
    </w:p>
    <w:p w:rsidR="00B43B37" w:rsidRPr="00FB583E" w:rsidRDefault="00B43B37" w:rsidP="00B43B37">
      <w:pPr>
        <w:ind w:firstLine="708"/>
        <w:rPr>
          <w:b/>
          <w:szCs w:val="24"/>
        </w:rPr>
      </w:pPr>
      <w:r w:rsidRPr="00FB583E">
        <w:rPr>
          <w:b/>
          <w:szCs w:val="24"/>
        </w:rPr>
        <w:t xml:space="preserve">Лекарственная терапия </w:t>
      </w:r>
    </w:p>
    <w:p w:rsidR="00B43B37" w:rsidRPr="00FB583E" w:rsidRDefault="00B43B37" w:rsidP="004F39BB">
      <w:pPr>
        <w:pStyle w:val="afe"/>
        <w:numPr>
          <w:ilvl w:val="0"/>
          <w:numId w:val="49"/>
        </w:numPr>
        <w:rPr>
          <w:szCs w:val="24"/>
        </w:rPr>
      </w:pPr>
      <w:r w:rsidRPr="00FB583E">
        <w:rPr>
          <w:szCs w:val="24"/>
        </w:rPr>
        <w:t>Антибактериальная, противовирусная, противогрибковая терапия согласно выявленной инфекции</w:t>
      </w:r>
    </w:p>
    <w:p w:rsidR="00B43B37" w:rsidRPr="00FB583E" w:rsidRDefault="00B43B37" w:rsidP="004F39BB">
      <w:pPr>
        <w:pStyle w:val="afe"/>
        <w:numPr>
          <w:ilvl w:val="0"/>
          <w:numId w:val="49"/>
        </w:numPr>
        <w:rPr>
          <w:szCs w:val="24"/>
        </w:rPr>
      </w:pPr>
      <w:r w:rsidRPr="00FB583E">
        <w:rPr>
          <w:szCs w:val="24"/>
        </w:rPr>
        <w:t>Противоэпилептическая терапия, в том числе: леветирацетам в/в, табл; конвулекс в/в, таб; прегабалин капс; габапентин таб, клоназепам таб; фенобарбитал таб, окскарбазепин таб, ламотриджил таб, диазепам в/в, таб.</w:t>
      </w:r>
    </w:p>
    <w:p w:rsidR="00B43B37" w:rsidRPr="00FB583E" w:rsidRDefault="00B43B37" w:rsidP="004F39BB">
      <w:pPr>
        <w:pStyle w:val="afe"/>
        <w:numPr>
          <w:ilvl w:val="0"/>
          <w:numId w:val="49"/>
        </w:numPr>
        <w:rPr>
          <w:szCs w:val="24"/>
        </w:rPr>
      </w:pPr>
      <w:r w:rsidRPr="00FB583E">
        <w:rPr>
          <w:szCs w:val="24"/>
        </w:rPr>
        <w:t xml:space="preserve">Противоотечные препараты – маннитол в/в, лазикс в/в, ацетазоламид (диакарб) в таб. </w:t>
      </w:r>
    </w:p>
    <w:p w:rsidR="00B43B37" w:rsidRPr="00FB583E" w:rsidRDefault="00B43B37" w:rsidP="004F39BB">
      <w:pPr>
        <w:pStyle w:val="afe"/>
        <w:numPr>
          <w:ilvl w:val="0"/>
          <w:numId w:val="49"/>
        </w:numPr>
        <w:rPr>
          <w:szCs w:val="24"/>
        </w:rPr>
      </w:pPr>
      <w:r w:rsidRPr="00FB583E">
        <w:rPr>
          <w:szCs w:val="24"/>
        </w:rPr>
        <w:t>Противорвотная терапия – ондансетрон в/в</w:t>
      </w:r>
    </w:p>
    <w:p w:rsidR="00B43B37" w:rsidRPr="00FB583E" w:rsidRDefault="00B43B37" w:rsidP="004F39BB">
      <w:pPr>
        <w:pStyle w:val="afe"/>
        <w:numPr>
          <w:ilvl w:val="0"/>
          <w:numId w:val="49"/>
        </w:numPr>
        <w:rPr>
          <w:szCs w:val="24"/>
        </w:rPr>
      </w:pPr>
      <w:r w:rsidRPr="00FB583E">
        <w:rPr>
          <w:szCs w:val="24"/>
        </w:rPr>
        <w:t>Нейропротекторная терапия – аминофенилмаслянная кислота таб.</w:t>
      </w:r>
    </w:p>
    <w:p w:rsidR="00B43B37" w:rsidRPr="00FB583E" w:rsidRDefault="00B43B37" w:rsidP="004F39BB">
      <w:pPr>
        <w:pStyle w:val="afe"/>
        <w:numPr>
          <w:ilvl w:val="0"/>
          <w:numId w:val="49"/>
        </w:numPr>
        <w:rPr>
          <w:szCs w:val="24"/>
        </w:rPr>
      </w:pPr>
      <w:r w:rsidRPr="00FB583E">
        <w:rPr>
          <w:szCs w:val="24"/>
        </w:rPr>
        <w:t>Антидепрессанты –  по назначению психиатра</w:t>
      </w:r>
    </w:p>
    <w:p w:rsidR="00B43B37" w:rsidRPr="00FB583E" w:rsidRDefault="00B43B37" w:rsidP="004F39BB">
      <w:pPr>
        <w:pStyle w:val="afe"/>
        <w:numPr>
          <w:ilvl w:val="0"/>
          <w:numId w:val="49"/>
        </w:numPr>
        <w:rPr>
          <w:szCs w:val="24"/>
        </w:rPr>
      </w:pPr>
      <w:r w:rsidRPr="00FB583E">
        <w:rPr>
          <w:szCs w:val="24"/>
        </w:rPr>
        <w:t xml:space="preserve">Витаминотерапия </w:t>
      </w:r>
    </w:p>
    <w:p w:rsidR="00B43B37" w:rsidRPr="00FB583E" w:rsidRDefault="00B43B37" w:rsidP="00B43B37">
      <w:pPr>
        <w:rPr>
          <w:szCs w:val="24"/>
        </w:rPr>
      </w:pPr>
    </w:p>
    <w:p w:rsidR="00B43B37" w:rsidRPr="00FB583E" w:rsidRDefault="00B43B37" w:rsidP="00B43B37">
      <w:pPr>
        <w:rPr>
          <w:i/>
          <w:szCs w:val="24"/>
          <w:u w:val="single"/>
        </w:rPr>
      </w:pPr>
      <w:r w:rsidRPr="00FB583E">
        <w:rPr>
          <w:i/>
          <w:szCs w:val="24"/>
          <w:u w:val="single"/>
        </w:rPr>
        <w:t>Когнитивные нарушения у гематологических пациентов.</w:t>
      </w:r>
    </w:p>
    <w:p w:rsidR="00B43B37" w:rsidRPr="00FB583E" w:rsidRDefault="00B43B37" w:rsidP="00B43B37">
      <w:pPr>
        <w:ind w:firstLine="708"/>
        <w:rPr>
          <w:szCs w:val="24"/>
        </w:rPr>
      </w:pPr>
      <w:r w:rsidRPr="00FB583E">
        <w:rPr>
          <w:szCs w:val="24"/>
        </w:rPr>
        <w:t>Гематологические заболевания и их терапия</w:t>
      </w:r>
      <w:r w:rsidRPr="00FB583E">
        <w:rPr>
          <w:rFonts w:eastAsia="+mj-ea"/>
          <w:bCs/>
          <w:color w:val="000000"/>
          <w:kern w:val="24"/>
          <w:szCs w:val="24"/>
        </w:rPr>
        <w:t xml:space="preserve"> иммунодепрессантами и цитотоксическими препаратами, а также высокоинтенсивная специфическая терапия, в том числе, трансплантация гемопоэтических стволовых клеток</w:t>
      </w:r>
      <w:r w:rsidRPr="00FB583E">
        <w:rPr>
          <w:szCs w:val="24"/>
        </w:rPr>
        <w:t xml:space="preserve"> могут приводить к формированию у пациентов когнитивных расстройств различной степени тяжести, которые </w:t>
      </w:r>
      <w:r w:rsidRPr="00FB583E">
        <w:rPr>
          <w:szCs w:val="24"/>
        </w:rPr>
        <w:lastRenderedPageBreak/>
        <w:t>сопровождаются изменениями нейрофизиологических показателей (ЭЭГ, ВП) и данных нейровизуализации (КТ, МРТ). Нарушение когнитивных функций усугубляет у пациента симптомы депрессии и тревоги.</w:t>
      </w:r>
    </w:p>
    <w:p w:rsidR="00B43B37" w:rsidRPr="00FB583E" w:rsidRDefault="00B43B37" w:rsidP="00B43B37">
      <w:pPr>
        <w:ind w:firstLine="708"/>
        <w:rPr>
          <w:color w:val="333333"/>
          <w:szCs w:val="24"/>
          <w:shd w:val="clear" w:color="auto" w:fill="FFFFFF"/>
        </w:rPr>
      </w:pPr>
      <w:r w:rsidRPr="00FB583E">
        <w:rPr>
          <w:b/>
          <w:szCs w:val="24"/>
        </w:rPr>
        <w:t>Клинические проявления:</w:t>
      </w:r>
      <w:r>
        <w:rPr>
          <w:b/>
          <w:szCs w:val="24"/>
        </w:rPr>
        <w:t xml:space="preserve"> </w:t>
      </w:r>
      <w:r w:rsidRPr="00FB583E">
        <w:rPr>
          <w:szCs w:val="24"/>
        </w:rPr>
        <w:t>в</w:t>
      </w:r>
      <w:r w:rsidRPr="00FB583E">
        <w:rPr>
          <w:color w:val="333333"/>
          <w:szCs w:val="24"/>
          <w:shd w:val="clear" w:color="auto" w:fill="FFFFFF"/>
        </w:rPr>
        <w:t xml:space="preserve"> соответствии с критериями </w:t>
      </w:r>
      <w:r w:rsidRPr="00FB583E">
        <w:rPr>
          <w:color w:val="333333"/>
          <w:szCs w:val="24"/>
        </w:rPr>
        <w:t>Clinical Dementia Rating,</w:t>
      </w:r>
      <w:r w:rsidRPr="00FB583E">
        <w:rPr>
          <w:color w:val="333333"/>
          <w:szCs w:val="24"/>
          <w:shd w:val="clear" w:color="auto" w:fill="FFFFFF"/>
        </w:rPr>
        <w:t xml:space="preserve"> для распознавания синдрома мягкой деменции необходимо выявление следующих признаков: постоянное умеренное снижение памяти, частичная дезориентировка во времени; нарушение абстрактного мышления; нарушение повседневной деятельности и проч. </w:t>
      </w:r>
    </w:p>
    <w:p w:rsidR="00B43B37" w:rsidRPr="00FB583E" w:rsidRDefault="00B43B37" w:rsidP="00B43B37">
      <w:pPr>
        <w:ind w:firstLine="708"/>
        <w:rPr>
          <w:b/>
          <w:szCs w:val="24"/>
        </w:rPr>
      </w:pPr>
      <w:r w:rsidRPr="00FB583E">
        <w:rPr>
          <w:b/>
          <w:szCs w:val="24"/>
        </w:rPr>
        <w:t>Для первичной диагностики оценивается:</w:t>
      </w:r>
    </w:p>
    <w:p w:rsidR="00B43B37" w:rsidRPr="00FB583E" w:rsidRDefault="00B43B37" w:rsidP="004F39BB">
      <w:pPr>
        <w:pStyle w:val="afe"/>
        <w:numPr>
          <w:ilvl w:val="0"/>
          <w:numId w:val="49"/>
        </w:numPr>
        <w:rPr>
          <w:szCs w:val="24"/>
        </w:rPr>
      </w:pPr>
      <w:r w:rsidRPr="00FB583E">
        <w:rPr>
          <w:szCs w:val="24"/>
        </w:rPr>
        <w:t xml:space="preserve">жалобы; </w:t>
      </w:r>
    </w:p>
    <w:p w:rsidR="00B43B37" w:rsidRPr="00FB583E" w:rsidRDefault="00B43B37" w:rsidP="004F39BB">
      <w:pPr>
        <w:pStyle w:val="afe"/>
        <w:numPr>
          <w:ilvl w:val="0"/>
          <w:numId w:val="49"/>
        </w:numPr>
        <w:rPr>
          <w:szCs w:val="24"/>
        </w:rPr>
      </w:pPr>
      <w:r w:rsidRPr="00FB583E">
        <w:rPr>
          <w:szCs w:val="24"/>
        </w:rPr>
        <w:t xml:space="preserve">анамнез; </w:t>
      </w:r>
    </w:p>
    <w:p w:rsidR="00B43B37" w:rsidRPr="00FB583E" w:rsidRDefault="00B43B37" w:rsidP="004F39BB">
      <w:pPr>
        <w:pStyle w:val="afe"/>
        <w:numPr>
          <w:ilvl w:val="0"/>
          <w:numId w:val="49"/>
        </w:numPr>
        <w:rPr>
          <w:szCs w:val="24"/>
        </w:rPr>
      </w:pPr>
      <w:r w:rsidRPr="00FB583E">
        <w:rPr>
          <w:szCs w:val="24"/>
        </w:rPr>
        <w:t xml:space="preserve">оценка функционального статуса по шкале Карновского; </w:t>
      </w:r>
    </w:p>
    <w:p w:rsidR="00B43B37" w:rsidRPr="00FB583E" w:rsidRDefault="00B43B37" w:rsidP="004F39BB">
      <w:pPr>
        <w:pStyle w:val="afe"/>
        <w:numPr>
          <w:ilvl w:val="0"/>
          <w:numId w:val="49"/>
        </w:numPr>
        <w:rPr>
          <w:szCs w:val="24"/>
        </w:rPr>
      </w:pPr>
      <w:r w:rsidRPr="00FB583E">
        <w:rPr>
          <w:szCs w:val="24"/>
        </w:rPr>
        <w:t xml:space="preserve">неврологический статус с оценкой общемозговой, очаговой и менингеальной симптоматики; </w:t>
      </w:r>
    </w:p>
    <w:p w:rsidR="00B43B37" w:rsidRPr="00FB583E" w:rsidRDefault="00B43B37" w:rsidP="004F39BB">
      <w:pPr>
        <w:pStyle w:val="afe"/>
        <w:numPr>
          <w:ilvl w:val="0"/>
          <w:numId w:val="49"/>
        </w:numPr>
        <w:rPr>
          <w:szCs w:val="24"/>
        </w:rPr>
      </w:pPr>
      <w:r w:rsidRPr="00FB583E">
        <w:rPr>
          <w:szCs w:val="24"/>
        </w:rPr>
        <w:t>оценка психологического статуса с использованием психометрических и нейропсихологических инструментов: Монреальская шкала оценки когнитивных функций MoCA, Госпитальная шкала тревоги и депрессии HADS, «запоминание 10 слов», «запоминание 2 пары по 3 слова» , проба «кулак-ребро-ладонь», проба на реципрокную координацию, праксис позы пальцев, пробы Хеда, графомоторная проба, вербальная беглость (фонетическая и семантическая), таблицы Шульте, решение математических задач, счет по Крепелину, методика «от 100 по 7», пересказ рассказа;</w:t>
      </w:r>
    </w:p>
    <w:p w:rsidR="00B43B37" w:rsidRPr="00FB583E" w:rsidRDefault="00B43B37" w:rsidP="004F39BB">
      <w:pPr>
        <w:pStyle w:val="afe"/>
        <w:numPr>
          <w:ilvl w:val="0"/>
          <w:numId w:val="49"/>
        </w:numPr>
        <w:rPr>
          <w:szCs w:val="24"/>
        </w:rPr>
      </w:pPr>
      <w:r w:rsidRPr="00FB583E">
        <w:rPr>
          <w:szCs w:val="24"/>
        </w:rPr>
        <w:t xml:space="preserve">оценка психического состояния; </w:t>
      </w:r>
    </w:p>
    <w:p w:rsidR="00B43B37" w:rsidRPr="00FB583E" w:rsidRDefault="00B43B37" w:rsidP="004F39BB">
      <w:pPr>
        <w:pStyle w:val="afe"/>
        <w:numPr>
          <w:ilvl w:val="0"/>
          <w:numId w:val="49"/>
        </w:numPr>
        <w:rPr>
          <w:szCs w:val="24"/>
        </w:rPr>
      </w:pPr>
      <w:r w:rsidRPr="00FB583E">
        <w:rPr>
          <w:szCs w:val="24"/>
        </w:rPr>
        <w:t>нейрофизиологические исследования - ЭЭГ, КВП;</w:t>
      </w:r>
    </w:p>
    <w:p w:rsidR="00B43B37" w:rsidRPr="00FB583E" w:rsidRDefault="00B43B37" w:rsidP="004F39BB">
      <w:pPr>
        <w:pStyle w:val="afe"/>
        <w:numPr>
          <w:ilvl w:val="0"/>
          <w:numId w:val="49"/>
        </w:numPr>
        <w:rPr>
          <w:szCs w:val="24"/>
        </w:rPr>
      </w:pPr>
      <w:r w:rsidRPr="00FB583E">
        <w:rPr>
          <w:szCs w:val="24"/>
        </w:rPr>
        <w:t>нейровизуализационные исследования -  МРТ / КТ головного мозга.</w:t>
      </w:r>
    </w:p>
    <w:p w:rsidR="00B43B37" w:rsidRPr="00FB583E" w:rsidRDefault="00B43B37" w:rsidP="00B43B37">
      <w:pPr>
        <w:ind w:left="12" w:firstLine="708"/>
        <w:rPr>
          <w:b/>
          <w:szCs w:val="24"/>
        </w:rPr>
      </w:pPr>
      <w:r w:rsidRPr="00FB583E">
        <w:rPr>
          <w:b/>
          <w:szCs w:val="24"/>
        </w:rPr>
        <w:t>Лабораторная диагностика:</w:t>
      </w:r>
      <w:r>
        <w:rPr>
          <w:b/>
          <w:szCs w:val="24"/>
        </w:rPr>
        <w:t xml:space="preserve"> </w:t>
      </w:r>
      <w:r w:rsidRPr="00FB583E">
        <w:rPr>
          <w:szCs w:val="24"/>
        </w:rPr>
        <w:t xml:space="preserve">по назначению гематолога. </w:t>
      </w:r>
      <w:r w:rsidRPr="00FB583E">
        <w:rPr>
          <w:b/>
          <w:szCs w:val="24"/>
        </w:rPr>
        <w:t xml:space="preserve"> </w:t>
      </w:r>
    </w:p>
    <w:p w:rsidR="00B43B37" w:rsidRPr="00FB583E" w:rsidRDefault="00B43B37" w:rsidP="00B43B37">
      <w:pPr>
        <w:ind w:firstLine="708"/>
        <w:rPr>
          <w:b/>
          <w:szCs w:val="24"/>
        </w:rPr>
      </w:pPr>
      <w:r w:rsidRPr="00FB583E">
        <w:rPr>
          <w:b/>
          <w:szCs w:val="24"/>
        </w:rPr>
        <w:t>Инструментальная диагностика:</w:t>
      </w:r>
    </w:p>
    <w:p w:rsidR="00B43B37" w:rsidRPr="00FB583E" w:rsidRDefault="00B43B37" w:rsidP="004F39BB">
      <w:pPr>
        <w:pStyle w:val="afe"/>
        <w:numPr>
          <w:ilvl w:val="0"/>
          <w:numId w:val="49"/>
        </w:numPr>
        <w:rPr>
          <w:szCs w:val="24"/>
        </w:rPr>
      </w:pPr>
      <w:r w:rsidRPr="00FB583E">
        <w:rPr>
          <w:szCs w:val="24"/>
        </w:rPr>
        <w:t xml:space="preserve">КТ с внутривенным контрастированием или МРТ головного мозга </w:t>
      </w:r>
    </w:p>
    <w:p w:rsidR="00B43B37" w:rsidRPr="00FB583E" w:rsidRDefault="00B43B37" w:rsidP="004F39BB">
      <w:pPr>
        <w:pStyle w:val="afe"/>
        <w:numPr>
          <w:ilvl w:val="0"/>
          <w:numId w:val="49"/>
        </w:numPr>
        <w:rPr>
          <w:szCs w:val="24"/>
        </w:rPr>
      </w:pPr>
      <w:r w:rsidRPr="00FB583E">
        <w:rPr>
          <w:szCs w:val="24"/>
        </w:rPr>
        <w:t>ЭЭГ с функциональными пробами для определения функционального состояния головного мозга и исключения эпиактивности</w:t>
      </w:r>
    </w:p>
    <w:p w:rsidR="00B43B37" w:rsidRPr="00FB583E" w:rsidRDefault="00B43B37" w:rsidP="004F39BB">
      <w:pPr>
        <w:pStyle w:val="afe"/>
        <w:numPr>
          <w:ilvl w:val="0"/>
          <w:numId w:val="49"/>
        </w:numPr>
        <w:rPr>
          <w:szCs w:val="24"/>
        </w:rPr>
      </w:pPr>
      <w:r w:rsidRPr="00FB583E">
        <w:rPr>
          <w:szCs w:val="24"/>
        </w:rPr>
        <w:t>КВП</w:t>
      </w:r>
    </w:p>
    <w:p w:rsidR="00B43B37" w:rsidRPr="00FB583E" w:rsidRDefault="00B43B37" w:rsidP="004F39BB">
      <w:pPr>
        <w:pStyle w:val="afe"/>
        <w:numPr>
          <w:ilvl w:val="0"/>
          <w:numId w:val="49"/>
        </w:numPr>
        <w:rPr>
          <w:szCs w:val="24"/>
        </w:rPr>
      </w:pPr>
      <w:r w:rsidRPr="00FB583E">
        <w:rPr>
          <w:szCs w:val="24"/>
        </w:rPr>
        <w:t xml:space="preserve">ВП различной модальности (по показаниям): ЗВП, КАСВП, ССВП </w:t>
      </w:r>
    </w:p>
    <w:p w:rsidR="00B43B37" w:rsidRPr="00FB583E" w:rsidRDefault="00B43B37" w:rsidP="004F39BB">
      <w:pPr>
        <w:pStyle w:val="afe"/>
        <w:numPr>
          <w:ilvl w:val="0"/>
          <w:numId w:val="49"/>
        </w:numPr>
        <w:rPr>
          <w:szCs w:val="24"/>
        </w:rPr>
      </w:pPr>
      <w:r w:rsidRPr="00FB583E">
        <w:rPr>
          <w:szCs w:val="24"/>
        </w:rPr>
        <w:t>ТКМС (по показаниям)</w:t>
      </w:r>
    </w:p>
    <w:p w:rsidR="00B43B37" w:rsidRPr="00FB583E" w:rsidRDefault="00B43B37" w:rsidP="004F39BB">
      <w:pPr>
        <w:pStyle w:val="afe"/>
        <w:numPr>
          <w:ilvl w:val="0"/>
          <w:numId w:val="49"/>
        </w:numPr>
        <w:rPr>
          <w:szCs w:val="24"/>
        </w:rPr>
      </w:pPr>
      <w:r w:rsidRPr="00FB583E">
        <w:rPr>
          <w:szCs w:val="24"/>
        </w:rPr>
        <w:t>УЗДГ брахиоцефальных артерий и вен (по показаниям)</w:t>
      </w:r>
    </w:p>
    <w:p w:rsidR="00B43B37" w:rsidRPr="00FB583E" w:rsidRDefault="00B43B37" w:rsidP="004F39BB">
      <w:pPr>
        <w:pStyle w:val="afe"/>
        <w:numPr>
          <w:ilvl w:val="0"/>
          <w:numId w:val="49"/>
        </w:numPr>
        <w:rPr>
          <w:szCs w:val="24"/>
        </w:rPr>
      </w:pPr>
      <w:r w:rsidRPr="00FB583E">
        <w:rPr>
          <w:szCs w:val="24"/>
        </w:rPr>
        <w:lastRenderedPageBreak/>
        <w:t>Консультация специалистов:</w:t>
      </w:r>
    </w:p>
    <w:p w:rsidR="00B43B37" w:rsidRPr="00FB583E" w:rsidRDefault="00B43B37" w:rsidP="004F39BB">
      <w:pPr>
        <w:pStyle w:val="afe"/>
        <w:numPr>
          <w:ilvl w:val="0"/>
          <w:numId w:val="49"/>
        </w:numPr>
        <w:rPr>
          <w:szCs w:val="24"/>
        </w:rPr>
      </w:pPr>
      <w:r w:rsidRPr="00FB583E">
        <w:rPr>
          <w:szCs w:val="24"/>
        </w:rPr>
        <w:t>Невролог – для оценки неврологического статуса</w:t>
      </w:r>
    </w:p>
    <w:p w:rsidR="00B43B37" w:rsidRPr="00FB583E" w:rsidRDefault="00B43B37" w:rsidP="004F39BB">
      <w:pPr>
        <w:pStyle w:val="afe"/>
        <w:numPr>
          <w:ilvl w:val="0"/>
          <w:numId w:val="49"/>
        </w:numPr>
        <w:rPr>
          <w:szCs w:val="24"/>
        </w:rPr>
      </w:pPr>
      <w:r w:rsidRPr="00FB583E">
        <w:rPr>
          <w:szCs w:val="24"/>
        </w:rPr>
        <w:t>Офтальмолог – для оценки состояния глазного дна</w:t>
      </w:r>
    </w:p>
    <w:p w:rsidR="00B43B37" w:rsidRPr="00FB583E" w:rsidRDefault="00B43B37" w:rsidP="004F39BB">
      <w:pPr>
        <w:pStyle w:val="afe"/>
        <w:numPr>
          <w:ilvl w:val="0"/>
          <w:numId w:val="49"/>
        </w:numPr>
        <w:rPr>
          <w:szCs w:val="24"/>
        </w:rPr>
      </w:pPr>
      <w:r w:rsidRPr="00FB583E">
        <w:rPr>
          <w:szCs w:val="24"/>
        </w:rPr>
        <w:t>Психиатр</w:t>
      </w:r>
    </w:p>
    <w:p w:rsidR="00B43B37" w:rsidRPr="00FB583E" w:rsidRDefault="00B43B37" w:rsidP="004F39BB">
      <w:pPr>
        <w:pStyle w:val="afe"/>
        <w:numPr>
          <w:ilvl w:val="0"/>
          <w:numId w:val="49"/>
        </w:numPr>
        <w:rPr>
          <w:szCs w:val="24"/>
        </w:rPr>
      </w:pPr>
      <w:r w:rsidRPr="00FB583E">
        <w:rPr>
          <w:szCs w:val="24"/>
        </w:rPr>
        <w:t>Психолог</w:t>
      </w:r>
    </w:p>
    <w:p w:rsidR="00B43B37" w:rsidRPr="00FB583E" w:rsidRDefault="00B43B37" w:rsidP="004F39BB">
      <w:pPr>
        <w:pStyle w:val="afe"/>
        <w:numPr>
          <w:ilvl w:val="0"/>
          <w:numId w:val="49"/>
        </w:numPr>
        <w:rPr>
          <w:szCs w:val="24"/>
        </w:rPr>
      </w:pPr>
      <w:r w:rsidRPr="00FB583E">
        <w:rPr>
          <w:szCs w:val="24"/>
        </w:rPr>
        <w:t>радиолог (по показаниям)</w:t>
      </w:r>
    </w:p>
    <w:p w:rsidR="00B43B37" w:rsidRPr="00FB583E" w:rsidRDefault="00B43B37" w:rsidP="00B43B37">
      <w:pPr>
        <w:ind w:firstLine="708"/>
        <w:rPr>
          <w:b/>
          <w:szCs w:val="24"/>
        </w:rPr>
      </w:pPr>
      <w:r w:rsidRPr="00FB583E">
        <w:rPr>
          <w:b/>
          <w:szCs w:val="24"/>
        </w:rPr>
        <w:t xml:space="preserve">Лекарственная терапия: </w:t>
      </w:r>
      <w:r w:rsidRPr="00FB583E">
        <w:rPr>
          <w:rFonts w:eastAsia="Times New Roman"/>
          <w:bCs/>
          <w:color w:val="000000"/>
          <w:szCs w:val="24"/>
          <w:lang w:eastAsia="ar-SA"/>
        </w:rPr>
        <w:t xml:space="preserve">нейропротективные препараты </w:t>
      </w:r>
      <w:r w:rsidRPr="00FB583E">
        <w:rPr>
          <w:szCs w:val="24"/>
        </w:rPr>
        <w:t>назначаются пациентам, у которых выявляются когнитивные нарушения при отсутствии явных психопатологических расстройств (кроме астенических нарушений):</w:t>
      </w:r>
    </w:p>
    <w:p w:rsidR="00B43B37" w:rsidRPr="00FB583E" w:rsidRDefault="00B43B37" w:rsidP="004F39BB">
      <w:pPr>
        <w:pStyle w:val="afe"/>
        <w:numPr>
          <w:ilvl w:val="0"/>
          <w:numId w:val="49"/>
        </w:numPr>
        <w:rPr>
          <w:szCs w:val="24"/>
        </w:rPr>
      </w:pPr>
      <w:r w:rsidRPr="00FB583E">
        <w:rPr>
          <w:szCs w:val="24"/>
        </w:rPr>
        <w:t>Цитиколин в/в -  4 недели.</w:t>
      </w:r>
    </w:p>
    <w:p w:rsidR="00B43B37" w:rsidRPr="00FB583E" w:rsidRDefault="00B43B37" w:rsidP="004F39BB">
      <w:pPr>
        <w:pStyle w:val="afe"/>
        <w:numPr>
          <w:ilvl w:val="0"/>
          <w:numId w:val="49"/>
        </w:numPr>
        <w:rPr>
          <w:szCs w:val="24"/>
        </w:rPr>
      </w:pPr>
      <w:r w:rsidRPr="00FB583E">
        <w:rPr>
          <w:szCs w:val="24"/>
        </w:rPr>
        <w:t>Холина альфоцерат в/в - 4 недели.</w:t>
      </w:r>
    </w:p>
    <w:p w:rsidR="00B43B37" w:rsidRDefault="00B43B37" w:rsidP="004F39BB">
      <w:pPr>
        <w:pStyle w:val="afe"/>
        <w:numPr>
          <w:ilvl w:val="0"/>
          <w:numId w:val="49"/>
        </w:numPr>
        <w:rPr>
          <w:szCs w:val="24"/>
        </w:rPr>
      </w:pPr>
      <w:r w:rsidRPr="00FB583E">
        <w:rPr>
          <w:szCs w:val="24"/>
        </w:rPr>
        <w:t>Ипидакрин (не применятся у больных с эпилепсией) в таблетках - 4 недели (дозы препаратов в соответствии с рекомендуемым для пациентов общесоматической сети и не зависящие от тяжести соматического состояния)</w:t>
      </w:r>
    </w:p>
    <w:p w:rsidR="00B43B37" w:rsidRDefault="00B43B37" w:rsidP="004F39BB">
      <w:pPr>
        <w:pStyle w:val="afe"/>
        <w:numPr>
          <w:ilvl w:val="0"/>
          <w:numId w:val="49"/>
        </w:numPr>
        <w:rPr>
          <w:szCs w:val="24"/>
        </w:rPr>
      </w:pPr>
      <w:r w:rsidRPr="00FB583E">
        <w:rPr>
          <w:szCs w:val="24"/>
        </w:rPr>
        <w:t>При психических нарушениях по рекомендации психиатра назначаются транквилизаторы, антидепрессанты, нейролептики (см. рекомендации психиатра)</w:t>
      </w:r>
    </w:p>
    <w:p w:rsidR="00B43B37" w:rsidRPr="0067126D" w:rsidRDefault="00B43B37" w:rsidP="004F39BB">
      <w:pPr>
        <w:pStyle w:val="afe"/>
        <w:numPr>
          <w:ilvl w:val="0"/>
          <w:numId w:val="49"/>
        </w:numPr>
        <w:rPr>
          <w:szCs w:val="24"/>
        </w:rPr>
      </w:pPr>
      <w:r w:rsidRPr="00FB583E">
        <w:rPr>
          <w:rFonts w:eastAsia="Times New Roman"/>
          <w:bCs/>
          <w:color w:val="000000"/>
          <w:szCs w:val="24"/>
          <w:lang w:eastAsia="ar-SA"/>
        </w:rPr>
        <w:t>Когнитивно-поведенческая психотерапия с элементами психообразования по рекомендации психолога</w:t>
      </w:r>
    </w:p>
    <w:p w:rsidR="00B43B37" w:rsidRDefault="00B43B37" w:rsidP="00B43B37">
      <w:pPr>
        <w:rPr>
          <w:szCs w:val="24"/>
        </w:rPr>
      </w:pPr>
    </w:p>
    <w:p w:rsidR="00B43B37" w:rsidRPr="0067126D" w:rsidRDefault="00B43B37" w:rsidP="00B43B37">
      <w:pPr>
        <w:pStyle w:val="2"/>
        <w:spacing w:before="0"/>
      </w:pPr>
      <w:bookmarkStart w:id="93" w:name="_Toc67238434"/>
      <w:bookmarkStart w:id="94" w:name="_Toc67302924"/>
      <w:r w:rsidRPr="000322E4">
        <w:t>7.</w:t>
      </w:r>
      <w:r w:rsidRPr="0067126D">
        <w:t xml:space="preserve">7 </w:t>
      </w:r>
      <w:r w:rsidRPr="00DC46B0">
        <w:t>Кардиологическое обследование и лечение пациентов с гематологическими заболеваниями</w:t>
      </w:r>
      <w:bookmarkEnd w:id="93"/>
      <w:bookmarkEnd w:id="94"/>
    </w:p>
    <w:p w:rsidR="00B43B37" w:rsidRPr="00DC46B0" w:rsidRDefault="00B43B37" w:rsidP="00B43B37">
      <w:pPr>
        <w:rPr>
          <w:szCs w:val="24"/>
        </w:rPr>
      </w:pPr>
      <w:r w:rsidRPr="00DC46B0">
        <w:rPr>
          <w:szCs w:val="24"/>
        </w:rPr>
        <w:t xml:space="preserve">Накопленный опыт длительного наблюдения и лечения пациентов с онкогематологическими заболеваниями показывает, что кардиологические проблемы не только влияют на выбор гематологической терапии и возможность ее продолжения, но и существенно влияют на качество и продолжительность жизни, поэтому вопросы сопроводительного кардиологического ведения в гематологической практике крайне актуальны и важны. </w:t>
      </w:r>
    </w:p>
    <w:p w:rsidR="00B43B37" w:rsidRPr="00DC46B0" w:rsidRDefault="00B43B37" w:rsidP="00B43B37">
      <w:pPr>
        <w:rPr>
          <w:szCs w:val="24"/>
        </w:rPr>
      </w:pPr>
      <w:r w:rsidRPr="00DC46B0">
        <w:rPr>
          <w:szCs w:val="24"/>
        </w:rPr>
        <w:t xml:space="preserve">       Поражения сердечно-сосудистой системы, выявляемые у гематологических больных, можно разделить на несколько категорий</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w:t>
      </w:r>
    </w:p>
    <w:p w:rsidR="00B43B37" w:rsidRPr="00DC46B0" w:rsidRDefault="00B43B37" w:rsidP="004F39BB">
      <w:pPr>
        <w:pStyle w:val="afe"/>
        <w:numPr>
          <w:ilvl w:val="0"/>
          <w:numId w:val="51"/>
        </w:numPr>
        <w:rPr>
          <w:szCs w:val="24"/>
        </w:rPr>
      </w:pPr>
      <w:r w:rsidRPr="00DC46B0">
        <w:rPr>
          <w:szCs w:val="24"/>
        </w:rPr>
        <w:t>Возникающие вследствие гематологической патологии, например:</w:t>
      </w:r>
    </w:p>
    <w:p w:rsidR="00B43B37" w:rsidRPr="00DC46B0" w:rsidRDefault="00B43B37" w:rsidP="004F39BB">
      <w:pPr>
        <w:pStyle w:val="afe"/>
        <w:numPr>
          <w:ilvl w:val="1"/>
          <w:numId w:val="51"/>
        </w:numPr>
        <w:rPr>
          <w:szCs w:val="24"/>
        </w:rPr>
      </w:pPr>
      <w:r w:rsidRPr="00DC46B0">
        <w:rPr>
          <w:szCs w:val="24"/>
        </w:rPr>
        <w:t xml:space="preserve">гипертрофия миокарда (чаще при длительно существующей анемии); </w:t>
      </w:r>
    </w:p>
    <w:p w:rsidR="00B43B37" w:rsidRPr="00DC46B0" w:rsidRDefault="00B43B37" w:rsidP="004F39BB">
      <w:pPr>
        <w:pStyle w:val="afe"/>
        <w:numPr>
          <w:ilvl w:val="1"/>
          <w:numId w:val="51"/>
        </w:numPr>
        <w:rPr>
          <w:szCs w:val="24"/>
        </w:rPr>
      </w:pPr>
      <w:r w:rsidRPr="00DC46B0">
        <w:rPr>
          <w:szCs w:val="24"/>
        </w:rPr>
        <w:t xml:space="preserve">кардиопатический AL-амилоидоз (чаще при множественной миеломе, реже при других лимфопролиферативных заболеваниях); </w:t>
      </w:r>
    </w:p>
    <w:p w:rsidR="00B43B37" w:rsidRPr="00DC46B0" w:rsidRDefault="00B43B37" w:rsidP="004F39BB">
      <w:pPr>
        <w:pStyle w:val="afe"/>
        <w:numPr>
          <w:ilvl w:val="1"/>
          <w:numId w:val="51"/>
        </w:numPr>
        <w:rPr>
          <w:szCs w:val="24"/>
        </w:rPr>
      </w:pPr>
      <w:r w:rsidRPr="00DC46B0">
        <w:rPr>
          <w:szCs w:val="24"/>
        </w:rPr>
        <w:lastRenderedPageBreak/>
        <w:t>сдавление сердца опухолевым образованием средостения, часто с образованием выпота в перикард;</w:t>
      </w:r>
    </w:p>
    <w:p w:rsidR="00B43B37" w:rsidRPr="00DC46B0" w:rsidRDefault="00B43B37" w:rsidP="004F39BB">
      <w:pPr>
        <w:pStyle w:val="afe"/>
        <w:numPr>
          <w:ilvl w:val="1"/>
          <w:numId w:val="51"/>
        </w:numPr>
        <w:rPr>
          <w:szCs w:val="24"/>
        </w:rPr>
      </w:pPr>
      <w:r w:rsidRPr="00DC46B0">
        <w:rPr>
          <w:szCs w:val="24"/>
        </w:rPr>
        <w:t>непосредственное опухолевое поражение миокарда и оболочек сердца (например, при лимфоме, множественной миеломе и др.).</w:t>
      </w:r>
    </w:p>
    <w:p w:rsidR="00B43B37" w:rsidRPr="00DC46B0" w:rsidRDefault="00B43B37" w:rsidP="004F39BB">
      <w:pPr>
        <w:pStyle w:val="afe"/>
        <w:numPr>
          <w:ilvl w:val="0"/>
          <w:numId w:val="51"/>
        </w:numPr>
        <w:rPr>
          <w:szCs w:val="24"/>
        </w:rPr>
      </w:pPr>
      <w:r w:rsidRPr="00DC46B0">
        <w:rPr>
          <w:szCs w:val="24"/>
        </w:rPr>
        <w:t xml:space="preserve">Кардиотоксическое поражение сердца и сосудов в результате воздействия лекарственных препаратов (развивающиеся как в период гематологического лечения, так и после его завершения). </w:t>
      </w:r>
    </w:p>
    <w:p w:rsidR="00B43B37" w:rsidRPr="00DC46B0" w:rsidRDefault="00B43B37" w:rsidP="004F39BB">
      <w:pPr>
        <w:pStyle w:val="afe"/>
        <w:numPr>
          <w:ilvl w:val="0"/>
          <w:numId w:val="51"/>
        </w:numPr>
        <w:rPr>
          <w:szCs w:val="24"/>
        </w:rPr>
      </w:pPr>
      <w:r w:rsidRPr="00DC46B0">
        <w:rPr>
          <w:szCs w:val="24"/>
        </w:rPr>
        <w:t>Кардиотоксическое поражение сердца и сосудов в период или после проведения лучевой терапии (выпотной перикардит, острый коронарный синдром, поражения клапанов сердца, аорты, коронарных сосудов).</w:t>
      </w:r>
    </w:p>
    <w:p w:rsidR="00B43B37" w:rsidRPr="00DC46B0" w:rsidRDefault="00B43B37" w:rsidP="004F39BB">
      <w:pPr>
        <w:pStyle w:val="afe"/>
        <w:numPr>
          <w:ilvl w:val="0"/>
          <w:numId w:val="51"/>
        </w:numPr>
        <w:rPr>
          <w:szCs w:val="24"/>
        </w:rPr>
      </w:pPr>
      <w:r w:rsidRPr="00DC46B0">
        <w:rPr>
          <w:szCs w:val="24"/>
        </w:rPr>
        <w:t>Сопутствующая самостоятельная кардиологическая патология, не связанная с гематологическим заболеванием (артериальная гипертония, ишемическая болезнь сердца, аритмии, и др.)</w:t>
      </w:r>
    </w:p>
    <w:p w:rsidR="00B43B37" w:rsidRDefault="00B43B37" w:rsidP="00B43B37">
      <w:pPr>
        <w:rPr>
          <w:b/>
          <w:szCs w:val="24"/>
        </w:rPr>
      </w:pPr>
    </w:p>
    <w:p w:rsidR="00B43B37" w:rsidRPr="00DC46B0" w:rsidRDefault="00B43B37" w:rsidP="00B43B37">
      <w:pPr>
        <w:rPr>
          <w:i/>
          <w:szCs w:val="24"/>
          <w:u w:val="single"/>
        </w:rPr>
      </w:pPr>
      <w:r w:rsidRPr="00DC46B0">
        <w:rPr>
          <w:i/>
          <w:szCs w:val="24"/>
          <w:u w:val="single"/>
        </w:rPr>
        <w:t>Диагностика кардиальной патологии у гематологических пациентов</w:t>
      </w:r>
    </w:p>
    <w:p w:rsidR="00B43B37" w:rsidRPr="00DC46B0" w:rsidRDefault="00B43B37" w:rsidP="00B43B37">
      <w:pPr>
        <w:ind w:firstLine="708"/>
        <w:rPr>
          <w:szCs w:val="24"/>
        </w:rPr>
      </w:pPr>
      <w:r w:rsidRPr="00DC46B0">
        <w:rPr>
          <w:szCs w:val="24"/>
        </w:rPr>
        <w:t>На этапе диагностики гематологического заболевания одновременно рекомендовано обследование для уточнения/исключения возможной кардиологической патологии</w:t>
      </w:r>
      <w:r w:rsidRPr="00F11B54">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w:t>
      </w:r>
    </w:p>
    <w:p w:rsidR="00B43B37" w:rsidRPr="00DC46B0" w:rsidRDefault="00B43B37" w:rsidP="004F39BB">
      <w:pPr>
        <w:pStyle w:val="afe"/>
        <w:numPr>
          <w:ilvl w:val="0"/>
          <w:numId w:val="52"/>
        </w:numPr>
        <w:rPr>
          <w:szCs w:val="24"/>
        </w:rPr>
      </w:pPr>
      <w:r w:rsidRPr="00DC46B0">
        <w:rPr>
          <w:szCs w:val="24"/>
        </w:rPr>
        <w:t xml:space="preserve">Осмотр (консультация) врача-гематолога с выявлением симптомов, которые могут быть обусловлены кардиальной патологией (одышка, утомляемость, плохая переносимость нагрузки, отеки нижних конечностей, и т.д.); оценкой анамнеза: наличие ишемической болезни сердца (ИБС), артериальной гипертензии (АГ), аритмии, факторов риска, семейного анамнеза;  физикальное обследование с измерением артериального давления (АД). </w:t>
      </w:r>
    </w:p>
    <w:p w:rsidR="00B43B37" w:rsidRPr="00DC46B0" w:rsidRDefault="00B43B37" w:rsidP="004F39BB">
      <w:pPr>
        <w:pStyle w:val="afe"/>
        <w:numPr>
          <w:ilvl w:val="0"/>
          <w:numId w:val="52"/>
        </w:numPr>
        <w:rPr>
          <w:szCs w:val="24"/>
        </w:rPr>
      </w:pPr>
      <w:r w:rsidRPr="00DC46B0">
        <w:rPr>
          <w:szCs w:val="24"/>
        </w:rPr>
        <w:t>Осмотр (консультация) врача-кардиолога (по показаниям)</w:t>
      </w:r>
    </w:p>
    <w:p w:rsidR="00B43B37" w:rsidRDefault="00B43B37" w:rsidP="004F39BB">
      <w:pPr>
        <w:pStyle w:val="afe"/>
        <w:numPr>
          <w:ilvl w:val="0"/>
          <w:numId w:val="52"/>
        </w:numPr>
        <w:rPr>
          <w:szCs w:val="24"/>
        </w:rPr>
      </w:pPr>
      <w:r w:rsidRPr="00DC46B0">
        <w:rPr>
          <w:szCs w:val="24"/>
        </w:rPr>
        <w:t xml:space="preserve">Инструментальные исследования: </w:t>
      </w:r>
    </w:p>
    <w:p w:rsidR="00B43B37" w:rsidRDefault="00B43B37" w:rsidP="004F39BB">
      <w:pPr>
        <w:pStyle w:val="afe"/>
        <w:numPr>
          <w:ilvl w:val="1"/>
          <w:numId w:val="52"/>
        </w:numPr>
        <w:rPr>
          <w:szCs w:val="24"/>
        </w:rPr>
      </w:pPr>
      <w:r w:rsidRPr="00DC46B0">
        <w:rPr>
          <w:szCs w:val="24"/>
        </w:rPr>
        <w:t>Электрокардиография (ЭКГ) в 12 отведениях. На всех этапах диагностики первичного гематологического заболевания и рецидива, перед проведением гематологического лечения, в процессе проведения лечения, при оценке эффективности лечения и в процессе динамического наблюдения, при рефрактерном течении, п</w:t>
      </w:r>
      <w:r w:rsidRPr="00DC46B0">
        <w:rPr>
          <w:rFonts w:eastAsia="Times New Roman"/>
          <w:szCs w:val="24"/>
          <w:lang w:eastAsia="ru-RU"/>
        </w:rPr>
        <w:t>ри развитии осложнений –  т.е. на любом этапе диагностики, лечения и наблюдения</w:t>
      </w:r>
      <w:r w:rsidRPr="00DC46B0">
        <w:rPr>
          <w:szCs w:val="24"/>
        </w:rPr>
        <w:t xml:space="preserve"> всем пациентам необходимо проведение ЭКГ.</w:t>
      </w:r>
    </w:p>
    <w:p w:rsidR="00B43B37" w:rsidRDefault="00B43B37" w:rsidP="004F39BB">
      <w:pPr>
        <w:pStyle w:val="afe"/>
        <w:numPr>
          <w:ilvl w:val="1"/>
          <w:numId w:val="52"/>
        </w:numPr>
        <w:rPr>
          <w:szCs w:val="24"/>
        </w:rPr>
      </w:pPr>
      <w:r w:rsidRPr="00DC46B0">
        <w:rPr>
          <w:szCs w:val="24"/>
        </w:rPr>
        <w:t>Эхокардиография (ЭХО-КГ)</w:t>
      </w:r>
      <w:r>
        <w:rPr>
          <w:szCs w:val="24"/>
        </w:rPr>
        <w:t xml:space="preserve"> </w:t>
      </w:r>
      <w:r>
        <w:rPr>
          <w:szCs w:val="24"/>
        </w:rPr>
        <w:fldChar w:fldCharType="begin" w:fldLock="1"/>
      </w:r>
      <w:r w:rsidR="003524A5">
        <w:rPr>
          <w:szCs w:val="24"/>
        </w:rPr>
        <w:instrText>ADDIN CSL_CITATION {"citationItems":[{"id":"ITEM-1","itemData":{"author":[{"dropping-particle":"","family":"Васюк","given":"Ю.А.","non-dropping-particle":"","parse-names":false,"suffix":""},{"dropping-particle":"","family":"Несветов","given":"В.В.","non-dropping-particle":"","parse-names":false,"suffix":""},{"dropping-particle":"","family":"Школьник","given":"Е.Л.","non-dropping-particle":"","parse-names":false,"suffix":""},{"dropping-particle":"","family":"Фурсов","given":"С.А.","non-dropping-particle":"","parse-names":false,"suffix":""},{"dropping-particle":"","family":"Школьник","given":"Л.Д.","non-dropping-particle":"","parse-names":false,"suffix":""},{"dropping-particle":"","family":"Гендлин","given":"Г.Е.","non-dropping-particle":"","parse-names":false,"suffix":""},{"dropping-particle":"","family":"Емелина","given":"Е.И.","non-dropping-particle":"","parse-names":false,"suffix":""}],"container-title":"Кардиология","id":"ITEM-1","issue":"S4","issued":{"date-parts":[["2017"]]},"page":"31-17","title":"Возможности современных эхокардиографических технологий в ранней диагностике кардиотоксического действия химиотерапевтических препаратов антрациклинового ряда у онкологических больных.","type":"article-journal","volume":"57"},"uris":["http://www.mendeley.com/documents/?uuid=3fa599d7-1e0f-4994-84cd-b2b3148e9aa3"]}],"mendeley":{"formattedCitation":"[80]","plainTextFormattedCitation":"[80]","previouslyFormattedCitation":"[80]"},"properties":{"noteIndex":0},"schema":"https://github.com/citation-style-language/schema/raw/master/csl-citation.json"}</w:instrText>
      </w:r>
      <w:r>
        <w:rPr>
          <w:szCs w:val="24"/>
        </w:rPr>
        <w:fldChar w:fldCharType="separate"/>
      </w:r>
      <w:r w:rsidR="005600FF" w:rsidRPr="005600FF">
        <w:rPr>
          <w:noProof/>
          <w:szCs w:val="24"/>
        </w:rPr>
        <w:t>[80]</w:t>
      </w:r>
      <w:r>
        <w:rPr>
          <w:szCs w:val="24"/>
        </w:rPr>
        <w:fldChar w:fldCharType="end"/>
      </w:r>
      <w:r w:rsidRPr="00DC46B0">
        <w:rPr>
          <w:szCs w:val="24"/>
        </w:rPr>
        <w:t xml:space="preserve">. При наличии клинических показаний или при проведении лечения с возможными кардиотоксическими проявлениями, </w:t>
      </w:r>
      <w:r w:rsidRPr="00DC46B0">
        <w:rPr>
          <w:szCs w:val="24"/>
        </w:rPr>
        <w:lastRenderedPageBreak/>
        <w:t xml:space="preserve">на любом вышеуказанном этапе рекомендуется дополнительно проведение ЭХО-КГ.  </w:t>
      </w:r>
    </w:p>
    <w:p w:rsidR="00B43B37" w:rsidRDefault="00B43B37" w:rsidP="004F39BB">
      <w:pPr>
        <w:pStyle w:val="afe"/>
        <w:numPr>
          <w:ilvl w:val="0"/>
          <w:numId w:val="52"/>
        </w:numPr>
        <w:rPr>
          <w:szCs w:val="24"/>
        </w:rPr>
      </w:pPr>
      <w:r w:rsidRPr="00DC46B0">
        <w:rPr>
          <w:szCs w:val="24"/>
        </w:rPr>
        <w:t>Лабораторные исследования:</w:t>
      </w:r>
    </w:p>
    <w:p w:rsidR="00B43B37" w:rsidRDefault="00B43B37" w:rsidP="004F39BB">
      <w:pPr>
        <w:pStyle w:val="afe"/>
        <w:numPr>
          <w:ilvl w:val="1"/>
          <w:numId w:val="52"/>
        </w:numPr>
        <w:rPr>
          <w:szCs w:val="24"/>
        </w:rPr>
      </w:pPr>
      <w:r w:rsidRPr="00DC46B0">
        <w:rPr>
          <w:szCs w:val="24"/>
        </w:rPr>
        <w:t>Клинический анализ крови с определением гемоглобина, тромбоцитов, лейкоцитов, лейкоцитарной формулы, СОЭ;</w:t>
      </w:r>
    </w:p>
    <w:p w:rsidR="00B43B37" w:rsidRPr="00DC46B0" w:rsidRDefault="00B43B37" w:rsidP="004F39BB">
      <w:pPr>
        <w:pStyle w:val="afe"/>
        <w:numPr>
          <w:ilvl w:val="1"/>
          <w:numId w:val="52"/>
        </w:numPr>
        <w:rPr>
          <w:szCs w:val="24"/>
        </w:rPr>
      </w:pPr>
      <w:r w:rsidRPr="00DC46B0">
        <w:rPr>
          <w:szCs w:val="24"/>
        </w:rPr>
        <w:t>Биохимический анализ крови с определением липидного спектра, глюкозы, креатинина, мочевины, мочевой кислоты, калия, натрия, аспартатаминотрансферазы (АСТ), аланинаминотрансферазы (АЛТ).</w:t>
      </w:r>
    </w:p>
    <w:p w:rsidR="00B43B37" w:rsidRPr="00DC46B0" w:rsidRDefault="00B43B37" w:rsidP="00B43B37">
      <w:pPr>
        <w:rPr>
          <w:szCs w:val="24"/>
        </w:rPr>
      </w:pPr>
      <w:r w:rsidRPr="00DC46B0">
        <w:rPr>
          <w:szCs w:val="24"/>
        </w:rPr>
        <w:t>При выявлении (и/или для исключения) признаков кардиальной патологии, выявлении отклонений при первичном кардиологическом обследовании рекомендуется консультация кардиолога и проведение дополнительных исследований.</w:t>
      </w:r>
    </w:p>
    <w:p w:rsidR="00B43B37" w:rsidRDefault="00B43B37" w:rsidP="00B43B37">
      <w:pPr>
        <w:rPr>
          <w:b/>
          <w:szCs w:val="24"/>
        </w:rPr>
      </w:pPr>
    </w:p>
    <w:p w:rsidR="00B43B37" w:rsidRPr="00DC46B0" w:rsidRDefault="00B43B37" w:rsidP="00B43B37">
      <w:pPr>
        <w:rPr>
          <w:i/>
          <w:szCs w:val="24"/>
          <w:u w:val="single"/>
        </w:rPr>
      </w:pPr>
      <w:r w:rsidRPr="00DC46B0">
        <w:rPr>
          <w:i/>
          <w:szCs w:val="24"/>
          <w:u w:val="single"/>
        </w:rPr>
        <w:t>Дополнительное кардиологическое обследование</w:t>
      </w:r>
      <w:r>
        <w:rPr>
          <w:i/>
          <w:szCs w:val="24"/>
          <w:u w:val="single"/>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p>
    <w:p w:rsidR="00B43B37" w:rsidRPr="00DC46B0" w:rsidRDefault="00B43B37" w:rsidP="00B43B37">
      <w:pPr>
        <w:rPr>
          <w:szCs w:val="24"/>
          <w:u w:val="single"/>
        </w:rPr>
      </w:pPr>
      <w:r w:rsidRPr="00DC46B0">
        <w:rPr>
          <w:szCs w:val="24"/>
          <w:u w:val="single"/>
        </w:rPr>
        <w:t>Манипуляции:</w:t>
      </w:r>
    </w:p>
    <w:p w:rsidR="00B43B37" w:rsidRPr="00DC46B0" w:rsidRDefault="00B43B37" w:rsidP="004F39BB">
      <w:pPr>
        <w:pStyle w:val="afe"/>
        <w:numPr>
          <w:ilvl w:val="0"/>
          <w:numId w:val="53"/>
        </w:numPr>
        <w:rPr>
          <w:b/>
          <w:szCs w:val="24"/>
        </w:rPr>
      </w:pPr>
      <w:r w:rsidRPr="00DC46B0">
        <w:rPr>
          <w:i/>
          <w:szCs w:val="24"/>
        </w:rPr>
        <w:t>Суточное мониторирование ЭКГ по Холтеру</w:t>
      </w:r>
      <w:r w:rsidRPr="00DC46B0">
        <w:rPr>
          <w:szCs w:val="24"/>
        </w:rPr>
        <w:t xml:space="preserve"> –</w:t>
      </w:r>
      <w:r w:rsidRPr="00DC46B0">
        <w:rPr>
          <w:b/>
          <w:szCs w:val="24"/>
        </w:rPr>
        <w:t xml:space="preserve"> </w:t>
      </w:r>
      <w:r w:rsidRPr="00DC46B0">
        <w:rPr>
          <w:szCs w:val="24"/>
        </w:rPr>
        <w:t xml:space="preserve">рекомендуется пациентам при выявлении удлинения интервала </w:t>
      </w:r>
      <w:r w:rsidRPr="00DC46B0">
        <w:rPr>
          <w:szCs w:val="24"/>
          <w:lang w:val="en-US"/>
        </w:rPr>
        <w:t>QT</w:t>
      </w:r>
      <w:r w:rsidRPr="00DC46B0">
        <w:rPr>
          <w:szCs w:val="24"/>
        </w:rPr>
        <w:t xml:space="preserve">, ишемии миокарда, нарушений ритма и проводимости; диспозицией сегмента </w:t>
      </w:r>
      <w:r w:rsidRPr="00DC46B0">
        <w:rPr>
          <w:szCs w:val="24"/>
          <w:lang w:val="en-US"/>
        </w:rPr>
        <w:t>ST</w:t>
      </w:r>
      <w:r w:rsidRPr="00DC46B0">
        <w:rPr>
          <w:szCs w:val="24"/>
        </w:rPr>
        <w:t xml:space="preserve"> на ЭКГ; синусовой бради/тахикардией, при наличии жалоб на аритмию, эпизоды внезапной слабости, головокружений. Также проведение исследования рекомендуется при проведении лечения препаратами, способными вызывать кардиотоксические эффекты. Исследование проводится на любых этапах – в период диагностики гематологического заболевания, перед проведением гематологического лечения, в процессе проведения лечения, при оценке эффективности лечения и в процессе динамического наблюдения, при рефрактерном течении, п</w:t>
      </w:r>
      <w:r w:rsidRPr="00DC46B0">
        <w:rPr>
          <w:rFonts w:eastAsia="Times New Roman"/>
          <w:szCs w:val="24"/>
          <w:lang w:eastAsia="ru-RU"/>
        </w:rPr>
        <w:t>ри развитии осложнений (по показаниям</w:t>
      </w:r>
      <w:r w:rsidRPr="00DC46B0">
        <w:rPr>
          <w:szCs w:val="24"/>
        </w:rPr>
        <w:t>).</w:t>
      </w:r>
    </w:p>
    <w:p w:rsidR="00B43B37" w:rsidRPr="00DC46B0" w:rsidRDefault="00B43B37" w:rsidP="004F39BB">
      <w:pPr>
        <w:pStyle w:val="afe"/>
        <w:numPr>
          <w:ilvl w:val="0"/>
          <w:numId w:val="53"/>
        </w:numPr>
        <w:rPr>
          <w:szCs w:val="24"/>
        </w:rPr>
      </w:pPr>
      <w:r w:rsidRPr="00DC46B0">
        <w:rPr>
          <w:i/>
          <w:szCs w:val="24"/>
        </w:rPr>
        <w:t>Суточное мониторирование АД</w:t>
      </w:r>
      <w:r w:rsidRPr="00DC46B0">
        <w:rPr>
          <w:b/>
          <w:szCs w:val="24"/>
        </w:rPr>
        <w:t xml:space="preserve"> </w:t>
      </w:r>
      <w:r w:rsidRPr="00DC46B0">
        <w:rPr>
          <w:szCs w:val="24"/>
        </w:rPr>
        <w:t xml:space="preserve">– рекомендуется пациентам с артериальной гипертензией (АГ), и при назначении лекарственных препаратов, способных вызывать АГ.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rsidR="00B43B37" w:rsidRPr="00DC46B0" w:rsidRDefault="00B43B37" w:rsidP="004F39BB">
      <w:pPr>
        <w:pStyle w:val="afe"/>
        <w:numPr>
          <w:ilvl w:val="0"/>
          <w:numId w:val="53"/>
        </w:numPr>
        <w:rPr>
          <w:szCs w:val="24"/>
        </w:rPr>
      </w:pPr>
      <w:r w:rsidRPr="00DC46B0">
        <w:rPr>
          <w:i/>
          <w:szCs w:val="24"/>
        </w:rPr>
        <w:t>Тредмил-тест</w:t>
      </w:r>
      <w:r w:rsidRPr="00DC46B0">
        <w:rPr>
          <w:szCs w:val="24"/>
        </w:rPr>
        <w:t xml:space="preserve"> – рекомендуется для диагностики ишемической болезни сердца (ИБС) при атипичном болевом синдроме, а также при назначении препаратов, способных вызвать ишемию миокарда.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rsidR="00B43B37" w:rsidRPr="00DC46B0" w:rsidRDefault="00B43B37" w:rsidP="004F39BB">
      <w:pPr>
        <w:pStyle w:val="afe"/>
        <w:numPr>
          <w:ilvl w:val="0"/>
          <w:numId w:val="53"/>
        </w:numPr>
        <w:rPr>
          <w:szCs w:val="24"/>
        </w:rPr>
      </w:pPr>
      <w:r w:rsidRPr="00DC46B0">
        <w:rPr>
          <w:i/>
          <w:szCs w:val="24"/>
        </w:rPr>
        <w:t>МРТ сердца и сосудов (с контрастированием по показаниям)</w:t>
      </w:r>
      <w:r w:rsidRPr="00DC46B0">
        <w:rPr>
          <w:b/>
          <w:szCs w:val="24"/>
        </w:rPr>
        <w:t xml:space="preserve"> – </w:t>
      </w:r>
      <w:r w:rsidRPr="00DC46B0">
        <w:rPr>
          <w:szCs w:val="24"/>
        </w:rPr>
        <w:t xml:space="preserve">рекомендуется для диагностики патологии аорты, миокарда и оболочек сердца, выявления образований в полостях и на клапанах сердца, атеросклеротического поражения коронарных </w:t>
      </w:r>
      <w:r w:rsidRPr="00DC46B0">
        <w:rPr>
          <w:szCs w:val="24"/>
        </w:rPr>
        <w:lastRenderedPageBreak/>
        <w:t xml:space="preserve">артерий.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rsidR="00B43B37" w:rsidRPr="00DC46B0" w:rsidRDefault="00B43B37" w:rsidP="004F39BB">
      <w:pPr>
        <w:pStyle w:val="afe"/>
        <w:numPr>
          <w:ilvl w:val="0"/>
          <w:numId w:val="53"/>
        </w:numPr>
        <w:rPr>
          <w:szCs w:val="24"/>
        </w:rPr>
      </w:pPr>
      <w:r w:rsidRPr="00DC46B0">
        <w:rPr>
          <w:szCs w:val="24"/>
        </w:rPr>
        <w:t xml:space="preserve">КТ сердца и сосудов </w:t>
      </w:r>
      <w:r w:rsidRPr="00DC46B0">
        <w:rPr>
          <w:b/>
          <w:szCs w:val="24"/>
        </w:rPr>
        <w:t xml:space="preserve">– </w:t>
      </w:r>
      <w:r w:rsidRPr="00DC46B0">
        <w:rPr>
          <w:szCs w:val="24"/>
        </w:rPr>
        <w:t xml:space="preserve">рекомендуется пациентам с притивопоказаниями к проведению МРТ (наличие водителя ритма, механических протезов, при подозрении на сдавливающий перикардит, и др).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rsidR="00B43B37" w:rsidRPr="00DC46B0" w:rsidRDefault="00B43B37" w:rsidP="004F39BB">
      <w:pPr>
        <w:pStyle w:val="afe"/>
        <w:numPr>
          <w:ilvl w:val="0"/>
          <w:numId w:val="53"/>
        </w:numPr>
        <w:rPr>
          <w:szCs w:val="24"/>
        </w:rPr>
      </w:pPr>
      <w:r w:rsidRPr="00DC46B0">
        <w:rPr>
          <w:i/>
          <w:szCs w:val="24"/>
        </w:rPr>
        <w:t>Чреспищеводная эхокардиография (ЧПЭХО-КГ)</w:t>
      </w:r>
      <w:r w:rsidRPr="00DC46B0">
        <w:rPr>
          <w:b/>
          <w:szCs w:val="24"/>
        </w:rPr>
        <w:t xml:space="preserve"> – </w:t>
      </w:r>
      <w:r w:rsidRPr="00DC46B0">
        <w:rPr>
          <w:szCs w:val="24"/>
        </w:rPr>
        <w:t xml:space="preserve">рекомендуется для исключения тромбоза ушка левого предсердия; при врожденных пороках сердца; при выявлении образований на клапанах и в полостях сердца, при протезированных клапанах.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rsidR="00B43B37" w:rsidRPr="00DC46B0" w:rsidRDefault="00B43B37" w:rsidP="004F39BB">
      <w:pPr>
        <w:pStyle w:val="afe"/>
        <w:numPr>
          <w:ilvl w:val="0"/>
          <w:numId w:val="53"/>
        </w:numPr>
        <w:rPr>
          <w:szCs w:val="24"/>
        </w:rPr>
      </w:pPr>
      <w:r w:rsidRPr="00DC46B0">
        <w:rPr>
          <w:i/>
          <w:szCs w:val="24"/>
        </w:rPr>
        <w:t>Коронароангиография (КАГ)</w:t>
      </w:r>
      <w:r w:rsidRPr="00DC46B0">
        <w:rPr>
          <w:b/>
          <w:szCs w:val="24"/>
        </w:rPr>
        <w:t xml:space="preserve"> – </w:t>
      </w:r>
      <w:r w:rsidRPr="00DC46B0">
        <w:rPr>
          <w:szCs w:val="24"/>
        </w:rPr>
        <w:t xml:space="preserve">рекомендуется при назначении гематологического лечения препаратами, способными вызвать ишемию, при наличии факторов риска ИБС; при стенокардии, не поддающейся лекарственной коррекции, или с эпизодами безболевой ишемии на фоне антиангинальной терапии.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rsidR="00B43B37" w:rsidRDefault="00B43B37" w:rsidP="00B43B37">
      <w:pPr>
        <w:rPr>
          <w:b/>
          <w:szCs w:val="24"/>
        </w:rPr>
      </w:pPr>
    </w:p>
    <w:p w:rsidR="00B43B37" w:rsidRPr="00DC46B0" w:rsidRDefault="00B43B37" w:rsidP="00B43B37">
      <w:pPr>
        <w:rPr>
          <w:szCs w:val="24"/>
          <w:u w:val="single"/>
        </w:rPr>
      </w:pPr>
      <w:r w:rsidRPr="00DC46B0">
        <w:rPr>
          <w:szCs w:val="24"/>
          <w:u w:val="single"/>
        </w:rPr>
        <w:t xml:space="preserve">Лабораторные исследования: </w:t>
      </w:r>
    </w:p>
    <w:p w:rsidR="00B43B37" w:rsidRPr="00DC46B0" w:rsidRDefault="00B43B37" w:rsidP="004F39BB">
      <w:pPr>
        <w:numPr>
          <w:ilvl w:val="0"/>
          <w:numId w:val="54"/>
        </w:numPr>
        <w:rPr>
          <w:szCs w:val="24"/>
        </w:rPr>
      </w:pPr>
      <w:r w:rsidRPr="00DC46B0">
        <w:rPr>
          <w:szCs w:val="24"/>
        </w:rPr>
        <w:t xml:space="preserve">Кардиологические маркеры: тропонин </w:t>
      </w:r>
      <w:r w:rsidRPr="00DC46B0">
        <w:rPr>
          <w:szCs w:val="24"/>
          <w:lang w:val="en-US"/>
        </w:rPr>
        <w:t>I</w:t>
      </w:r>
      <w:r w:rsidRPr="00DC46B0">
        <w:rPr>
          <w:szCs w:val="24"/>
        </w:rPr>
        <w:t xml:space="preserve">, высокочувствительный тропонин, </w:t>
      </w:r>
      <w:r w:rsidRPr="00DC46B0">
        <w:rPr>
          <w:szCs w:val="24"/>
          <w:lang w:val="en-US"/>
        </w:rPr>
        <w:t>NTproBNP</w:t>
      </w:r>
      <w:r w:rsidRPr="00DC46B0">
        <w:rPr>
          <w:szCs w:val="24"/>
        </w:rPr>
        <w:t>.</w:t>
      </w:r>
    </w:p>
    <w:p w:rsidR="00B43B37" w:rsidRPr="00DC46B0" w:rsidRDefault="00B43B37" w:rsidP="004F39BB">
      <w:pPr>
        <w:numPr>
          <w:ilvl w:val="0"/>
          <w:numId w:val="54"/>
        </w:numPr>
        <w:rPr>
          <w:szCs w:val="24"/>
        </w:rPr>
      </w:pPr>
      <w:r w:rsidRPr="00DC46B0">
        <w:rPr>
          <w:szCs w:val="24"/>
        </w:rPr>
        <w:t>Коагулограмма: активированное частичное тромбопластиновое время (АЧТВ), протромбин, фибриноген, тромбиновое время, XII-а зависимый фибринолиз, протеины С и S, гомоцистеин, агрегация тромбоцитов, Д-димер, волчаночный антикоагулянт, антитела к бета2 гликопротеину 1, антитела к кардиолипину, мутации генов V фактор Лейден, метилентетрагидрофолат редуктазы, протромбина (по показаниям).</w:t>
      </w:r>
    </w:p>
    <w:p w:rsidR="00B43B37" w:rsidRPr="00DC46B0" w:rsidRDefault="00B43B37" w:rsidP="004F39BB">
      <w:pPr>
        <w:numPr>
          <w:ilvl w:val="0"/>
          <w:numId w:val="54"/>
        </w:numPr>
        <w:rPr>
          <w:szCs w:val="24"/>
        </w:rPr>
      </w:pPr>
      <w:r w:rsidRPr="00DC46B0">
        <w:rPr>
          <w:szCs w:val="24"/>
        </w:rPr>
        <w:t>Определение уровня калия и магния.</w:t>
      </w:r>
    </w:p>
    <w:p w:rsidR="00B43B37" w:rsidRPr="00DC46B0" w:rsidRDefault="00B43B37" w:rsidP="004F39BB">
      <w:pPr>
        <w:numPr>
          <w:ilvl w:val="0"/>
          <w:numId w:val="54"/>
        </w:numPr>
        <w:rPr>
          <w:szCs w:val="24"/>
        </w:rPr>
      </w:pPr>
      <w:r w:rsidRPr="00DC46B0">
        <w:rPr>
          <w:szCs w:val="24"/>
        </w:rPr>
        <w:t>Показатели липидного обмена: общий холестерин и фракции (липиды высокой, низкой, очень низкой плотности), триглицериды, индекс атерогенности).</w:t>
      </w:r>
    </w:p>
    <w:p w:rsidR="00B43B37" w:rsidRPr="00DC46B0" w:rsidRDefault="00B43B37" w:rsidP="00B43B37">
      <w:pPr>
        <w:rPr>
          <w:szCs w:val="24"/>
        </w:rPr>
      </w:pPr>
      <w:r w:rsidRPr="00DC46B0">
        <w:rPr>
          <w:szCs w:val="24"/>
        </w:rPr>
        <w:t>При амбулаторном лечении пациенту необходимо самостоятельно вести дневник мониторирования АД, ЧСС, ряда симптомов, которые могут быть признаками в том числе кардиологической патологии (одышка, отеки, и др.) для своевременного дополнительного кардиологического обследования.</w:t>
      </w:r>
    </w:p>
    <w:p w:rsidR="00B43B37" w:rsidRDefault="00B43B37" w:rsidP="00B43B37">
      <w:pPr>
        <w:rPr>
          <w:szCs w:val="24"/>
        </w:rPr>
      </w:pPr>
      <w:r w:rsidRPr="00DC46B0">
        <w:rPr>
          <w:szCs w:val="24"/>
        </w:rPr>
        <w:t>Сроки и объем планового кардиологического обследования</w:t>
      </w:r>
      <w:r w:rsidRPr="00DC46B0">
        <w:rPr>
          <w:b/>
          <w:szCs w:val="24"/>
        </w:rPr>
        <w:t xml:space="preserve"> </w:t>
      </w:r>
      <w:r w:rsidRPr="00DC46B0">
        <w:rPr>
          <w:szCs w:val="24"/>
        </w:rPr>
        <w:t xml:space="preserve">зависят от наличия исходной кардиальной патологии и от типа проводимого лечения. При отсутствии исходно </w:t>
      </w:r>
      <w:r w:rsidRPr="00DC46B0">
        <w:rPr>
          <w:szCs w:val="24"/>
        </w:rPr>
        <w:lastRenderedPageBreak/>
        <w:t>кардиальной патологии на фоне потенциально кардиотоксического лечения кардиологическое обследование рекомендовано проводить каждые 12 недель. Если имеется / выявлена кардиальная патология до / во время проведения потенциально кардиотоксического гематологического лечения кардиологическое обследование рекомендуется перед каждым курсом лечения или не реже, чем  раз в 4 недели. После завершения кардиотоксичного лечения проведение кардиологического обследования рекомендуется не реже чем раз в 6 мес при наличии кардиальной патологии, и не реже, чем раз в 12 мес при ее отсутствии. Кардиомониторинг стандартно включает ЭКГ, ЭХО-КГ, консультацию кардиолога.</w:t>
      </w:r>
    </w:p>
    <w:p w:rsidR="00B43B37" w:rsidRPr="00DC46B0" w:rsidRDefault="00B43B37" w:rsidP="00B43B37">
      <w:pPr>
        <w:rPr>
          <w:szCs w:val="24"/>
        </w:rPr>
      </w:pPr>
    </w:p>
    <w:p w:rsidR="00B43B37" w:rsidRPr="00DC46B0" w:rsidRDefault="00B43B37" w:rsidP="00B43B37">
      <w:pPr>
        <w:rPr>
          <w:i/>
          <w:szCs w:val="24"/>
          <w:u w:val="single"/>
        </w:rPr>
      </w:pPr>
      <w:r w:rsidRPr="00DC46B0">
        <w:rPr>
          <w:i/>
          <w:szCs w:val="24"/>
          <w:u w:val="single"/>
        </w:rPr>
        <w:t>Кардиомониторинг гематологического пациента при проведении (потенциально) кардиотоксичного лечения.</w:t>
      </w:r>
    </w:p>
    <w:p w:rsidR="00B43B37" w:rsidRPr="00DC46B0" w:rsidRDefault="00B43B37" w:rsidP="00B43B37">
      <w:pPr>
        <w:rPr>
          <w:szCs w:val="24"/>
        </w:rPr>
      </w:pPr>
      <w:r w:rsidRPr="00DC46B0">
        <w:rPr>
          <w:szCs w:val="24"/>
        </w:rPr>
        <w:t>Необходима настороженность в отношении возможных проявлений кардиотоксичности как в дебюте лечения, так и при его продолжении, поскольку некоторые проявления кардиотоксичности развиваются отсроченно и протекают малосимптомно, а некоторые проявления кардиотоксичности, напротив, развиваются молниеносно и требуют неотложных кардиологических мероприятий</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 xml:space="preserve">.  </w:t>
      </w:r>
    </w:p>
    <w:p w:rsidR="00B43B37" w:rsidRPr="00DC46B0" w:rsidRDefault="00B43B37" w:rsidP="00B43B37">
      <w:pPr>
        <w:rPr>
          <w:b/>
          <w:szCs w:val="24"/>
        </w:rPr>
      </w:pPr>
      <w:r w:rsidRPr="00DC46B0">
        <w:rPr>
          <w:szCs w:val="24"/>
        </w:rPr>
        <w:t>Необходимо учитывать потенцирование кардиотоксических эффектов при совместном применении препаратов, а также индивидуальные реакции с развитием ранее не описанных проявлений кардиотоксичности, особенно у пациентов, имеющих заболевания сердечно-сосудистой системы в анамнезе.</w:t>
      </w:r>
      <w:r w:rsidRPr="00DC46B0">
        <w:rPr>
          <w:b/>
          <w:szCs w:val="24"/>
        </w:rPr>
        <w:t xml:space="preserve"> </w:t>
      </w:r>
      <w:r w:rsidRPr="00DC46B0">
        <w:rPr>
          <w:szCs w:val="24"/>
        </w:rPr>
        <w:t xml:space="preserve">При наличии или появлении кардиальных изменений и/или заболеваний сердечно-сосудистой системы, необходимо обсуждение с кардиологом возможности дальнейшего проведения гематологической терапии, необходимости ее коррекции, применение кардиологического лечения. </w:t>
      </w:r>
    </w:p>
    <w:p w:rsidR="00B43B37" w:rsidRPr="00DC46B0" w:rsidRDefault="00B43B37" w:rsidP="00B43B37">
      <w:pPr>
        <w:rPr>
          <w:szCs w:val="24"/>
        </w:rPr>
      </w:pPr>
      <w:r w:rsidRPr="00DC46B0">
        <w:rPr>
          <w:szCs w:val="24"/>
        </w:rPr>
        <w:t>При применении препаратов, обладающих кардиотоксичностью (антрациклины, алкилирующие агенты, ингибиторы протеасом, моноклональные антитела), необходимо учитывать исходную систолическую функцию левого желудочка сердца</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w:t>
      </w:r>
    </w:p>
    <w:p w:rsidR="00B43B37" w:rsidRPr="00DC46B0" w:rsidRDefault="00B43B37" w:rsidP="004F39BB">
      <w:pPr>
        <w:pStyle w:val="afe"/>
        <w:numPr>
          <w:ilvl w:val="0"/>
          <w:numId w:val="55"/>
        </w:numPr>
        <w:rPr>
          <w:szCs w:val="24"/>
        </w:rPr>
      </w:pPr>
      <w:r w:rsidRPr="00DC46B0">
        <w:rPr>
          <w:szCs w:val="24"/>
        </w:rPr>
        <w:t xml:space="preserve">Кардиотоксические химиопрепараты не должны рутинно применяться  у больных  с фракцией выброса левого желудочка (ФВЛЖ) &lt; 30 %. Вопрос о назначении потенциально кардиотоксической противоопухолевой терапии в этом случае рекомендуется решать на консилиуме с участием кардиолога. </w:t>
      </w:r>
    </w:p>
    <w:p w:rsidR="00B43B37" w:rsidRPr="00DC46B0" w:rsidRDefault="00B43B37" w:rsidP="004F39BB">
      <w:pPr>
        <w:pStyle w:val="afe"/>
        <w:numPr>
          <w:ilvl w:val="0"/>
          <w:numId w:val="55"/>
        </w:numPr>
        <w:rPr>
          <w:szCs w:val="24"/>
        </w:rPr>
      </w:pPr>
      <w:r w:rsidRPr="00DC46B0">
        <w:rPr>
          <w:szCs w:val="24"/>
        </w:rPr>
        <w:t xml:space="preserve">При ФВЛЖ 30 – 50 % необходимо оценивать функцию левого желудочка по ЭхоКГ перед каждой новой дозой антрациклинов. </w:t>
      </w:r>
    </w:p>
    <w:p w:rsidR="00B43B37" w:rsidRPr="00DC46B0" w:rsidRDefault="00B43B37" w:rsidP="004F39BB">
      <w:pPr>
        <w:pStyle w:val="afe"/>
        <w:numPr>
          <w:ilvl w:val="0"/>
          <w:numId w:val="55"/>
        </w:numPr>
        <w:rPr>
          <w:szCs w:val="24"/>
        </w:rPr>
      </w:pPr>
      <w:r w:rsidRPr="00DC46B0">
        <w:rPr>
          <w:szCs w:val="24"/>
        </w:rPr>
        <w:lastRenderedPageBreak/>
        <w:t>При ФВЛЖ ≥ 50 %, необходимо оценивать функцию левого желудочка по ЭхоКГ повторно при достижении суммарной дозы кардиотоксичных химиопрепаратов 300 – 350 мг/м</w:t>
      </w:r>
      <w:r w:rsidRPr="00DC46B0">
        <w:rPr>
          <w:szCs w:val="24"/>
          <w:vertAlign w:val="superscript"/>
        </w:rPr>
        <w:t>2</w:t>
      </w:r>
      <w:r w:rsidRPr="00DC46B0">
        <w:rPr>
          <w:szCs w:val="24"/>
        </w:rPr>
        <w:t>.</w:t>
      </w:r>
    </w:p>
    <w:p w:rsidR="00B43B37" w:rsidRDefault="00B43B37" w:rsidP="00B43B37">
      <w:pPr>
        <w:rPr>
          <w:szCs w:val="24"/>
          <w:u w:val="single"/>
        </w:rPr>
      </w:pPr>
    </w:p>
    <w:p w:rsidR="00B43B37" w:rsidRPr="00DC46B0" w:rsidRDefault="00B43B37" w:rsidP="00B43B37">
      <w:pPr>
        <w:rPr>
          <w:szCs w:val="24"/>
        </w:rPr>
      </w:pPr>
      <w:r w:rsidRPr="00DC46B0">
        <w:rPr>
          <w:szCs w:val="24"/>
          <w:u w:val="single"/>
        </w:rPr>
        <w:t>Оценка безопасности продолжения лечения при использовании (потенциально) кардиотоксичных препаратов</w:t>
      </w:r>
      <w:r>
        <w:rPr>
          <w:szCs w:val="24"/>
          <w:u w:val="single"/>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w:t>
      </w:r>
    </w:p>
    <w:p w:rsidR="00B43B37" w:rsidRPr="00DC46B0" w:rsidRDefault="00B43B37" w:rsidP="004F39BB">
      <w:pPr>
        <w:numPr>
          <w:ilvl w:val="0"/>
          <w:numId w:val="54"/>
        </w:numPr>
        <w:rPr>
          <w:szCs w:val="24"/>
        </w:rPr>
      </w:pPr>
      <w:r w:rsidRPr="00DC46B0">
        <w:rPr>
          <w:szCs w:val="24"/>
        </w:rPr>
        <w:t xml:space="preserve">Продолжение лечения – при отсутствии снижения ФВЛЖ, или снижение, но при уровне ФВЛЖ  ≥ 50 %. </w:t>
      </w:r>
    </w:p>
    <w:p w:rsidR="00B43B37" w:rsidRPr="00DC46B0" w:rsidRDefault="00B43B37" w:rsidP="004F39BB">
      <w:pPr>
        <w:numPr>
          <w:ilvl w:val="0"/>
          <w:numId w:val="54"/>
        </w:numPr>
        <w:rPr>
          <w:szCs w:val="24"/>
        </w:rPr>
      </w:pPr>
      <w:r w:rsidRPr="00DC46B0">
        <w:rPr>
          <w:szCs w:val="24"/>
        </w:rPr>
        <w:t>Контроль через 3 недели – при снижение ФВЛЖ &lt; 50%. При сохраняющемся снижении ФВЛЖ &lt; 50% – обсудить возможность перерыва в лечении / альтернативного лечения.</w:t>
      </w:r>
    </w:p>
    <w:p w:rsidR="00B43B37" w:rsidRPr="00DC46B0" w:rsidRDefault="00B43B37" w:rsidP="004F39BB">
      <w:pPr>
        <w:numPr>
          <w:ilvl w:val="0"/>
          <w:numId w:val="54"/>
        </w:numPr>
        <w:rPr>
          <w:szCs w:val="24"/>
        </w:rPr>
      </w:pPr>
      <w:r w:rsidRPr="00DC46B0">
        <w:rPr>
          <w:szCs w:val="24"/>
        </w:rPr>
        <w:t>Прекращение лечения, обсуждение альтернативного лечения – при снижении ФВЛЖ &lt; 40%.</w:t>
      </w:r>
    </w:p>
    <w:p w:rsidR="00B43B37" w:rsidRPr="00DC46B0" w:rsidRDefault="00B43B37" w:rsidP="00B43B37">
      <w:pPr>
        <w:rPr>
          <w:szCs w:val="24"/>
        </w:rPr>
      </w:pPr>
    </w:p>
    <w:p w:rsidR="00B43B37" w:rsidRPr="00DC46B0" w:rsidRDefault="00B43B37" w:rsidP="00B43B37">
      <w:pPr>
        <w:rPr>
          <w:szCs w:val="24"/>
          <w:u w:val="single"/>
        </w:rPr>
      </w:pPr>
      <w:r w:rsidRPr="00DC46B0">
        <w:rPr>
          <w:szCs w:val="24"/>
          <w:u w:val="single"/>
        </w:rPr>
        <w:t>Степени кардиальных осложнений (нежелательных явлений)</w:t>
      </w:r>
      <w:r>
        <w:rPr>
          <w:szCs w:val="24"/>
          <w:u w:val="single"/>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u w:val="single"/>
        </w:rPr>
        <w:t xml:space="preserve">: </w:t>
      </w:r>
    </w:p>
    <w:p w:rsidR="00B43B37" w:rsidRPr="00DC46B0" w:rsidRDefault="00B43B37" w:rsidP="004F39BB">
      <w:pPr>
        <w:numPr>
          <w:ilvl w:val="0"/>
          <w:numId w:val="54"/>
        </w:numPr>
        <w:rPr>
          <w:szCs w:val="24"/>
        </w:rPr>
      </w:pPr>
      <w:r w:rsidRPr="00DC46B0">
        <w:rPr>
          <w:szCs w:val="24"/>
        </w:rPr>
        <w:t xml:space="preserve">Первая степень: изменения сердечно-сосудистой системы, не оказывающие влияние на ее нормальное функционирование и не влияющими на прогноз (желудочковая и наджелудочковая экстрасистолия без гемодинамических нарушений, АВ-блокада 1 степени,  полная и неполная блокада правой ножки пучка Гиса, полная блокада левой ножки пучка Гиса, блокады ветвей левой ножки пучка Гиса). Лекарственная коррекция выявленных изменений не требуется; отмена гематологического лечения не требуется; динамическое наблюдение гематолога и кардиолога. </w:t>
      </w:r>
    </w:p>
    <w:p w:rsidR="00B43B37" w:rsidRPr="00DC46B0" w:rsidRDefault="00B43B37" w:rsidP="004F39BB">
      <w:pPr>
        <w:numPr>
          <w:ilvl w:val="0"/>
          <w:numId w:val="54"/>
        </w:numPr>
        <w:rPr>
          <w:szCs w:val="24"/>
        </w:rPr>
      </w:pPr>
      <w:r w:rsidRPr="00DC46B0">
        <w:rPr>
          <w:szCs w:val="24"/>
        </w:rPr>
        <w:t xml:space="preserve">Вторая степень: умеренные изменения сердечно-сосудистой системы (развитие или усугубление АГ, развитие фибрилляции предсердий (ФП)). Проведение лекарственной коррекции; отмена гематологического лечения не требуется. </w:t>
      </w:r>
    </w:p>
    <w:p w:rsidR="00B43B37" w:rsidRPr="00DC46B0" w:rsidRDefault="00B43B37" w:rsidP="004F39BB">
      <w:pPr>
        <w:numPr>
          <w:ilvl w:val="0"/>
          <w:numId w:val="54"/>
        </w:numPr>
        <w:rPr>
          <w:szCs w:val="24"/>
        </w:rPr>
      </w:pPr>
      <w:r w:rsidRPr="00DC46B0">
        <w:rPr>
          <w:szCs w:val="24"/>
        </w:rPr>
        <w:t>Третья степень: значимые, но не жизнеурожающее изменения сердечно-сосудистой системы (инфаркт миокарда, кардиомиопатия, снижение систолической функции левого желудочка с ФВЛЖ &lt; 50 %).  Проведение лекарственной коррекции, подбор постоянной кардиальной терапии (возможно стационарно). Обсуждение вопроса об изменении/отмене гематологического лечения.</w:t>
      </w:r>
    </w:p>
    <w:p w:rsidR="00B43B37" w:rsidRPr="00DC46B0" w:rsidRDefault="00B43B37" w:rsidP="004F39BB">
      <w:pPr>
        <w:numPr>
          <w:ilvl w:val="0"/>
          <w:numId w:val="54"/>
        </w:numPr>
        <w:rPr>
          <w:szCs w:val="24"/>
        </w:rPr>
      </w:pPr>
      <w:r w:rsidRPr="00DC46B0">
        <w:rPr>
          <w:szCs w:val="24"/>
        </w:rPr>
        <w:t>Четвертая степень: жизнеугрожающие изменения сердечно-сосудистой системы (кардиогенный шок,  тромбоэмболия легочной артерии, жизнеугрожающие аритмии). Показано срочная госпитализация, отмена/коррекция гематологического лечения.</w:t>
      </w:r>
    </w:p>
    <w:p w:rsidR="00B43B37" w:rsidRPr="00DC46B0" w:rsidRDefault="00B43B37" w:rsidP="004F39BB">
      <w:pPr>
        <w:numPr>
          <w:ilvl w:val="0"/>
          <w:numId w:val="54"/>
        </w:numPr>
        <w:rPr>
          <w:szCs w:val="24"/>
        </w:rPr>
      </w:pPr>
      <w:r w:rsidRPr="00DC46B0">
        <w:rPr>
          <w:szCs w:val="24"/>
        </w:rPr>
        <w:lastRenderedPageBreak/>
        <w:t>Пятая степень: летальный исход, связанный с кардиальным нежелательным явлением.</w:t>
      </w:r>
    </w:p>
    <w:p w:rsidR="00B43B37" w:rsidRDefault="00B43B37" w:rsidP="00B43B37">
      <w:pPr>
        <w:rPr>
          <w:b/>
          <w:szCs w:val="24"/>
        </w:rPr>
      </w:pPr>
    </w:p>
    <w:p w:rsidR="00B43B37" w:rsidRPr="00DC46B0" w:rsidRDefault="00B43B37" w:rsidP="00B43B37">
      <w:pPr>
        <w:rPr>
          <w:i/>
          <w:szCs w:val="24"/>
          <w:u w:val="single"/>
        </w:rPr>
      </w:pPr>
      <w:r w:rsidRPr="00DC46B0">
        <w:rPr>
          <w:i/>
          <w:szCs w:val="24"/>
          <w:u w:val="single"/>
        </w:rPr>
        <w:t xml:space="preserve">Профилактика нежелательных кардиальных явлений при лечении в онкогематологии.  </w:t>
      </w:r>
    </w:p>
    <w:p w:rsidR="00B43B37" w:rsidRPr="00DC46B0" w:rsidRDefault="00B43B37" w:rsidP="00B43B37">
      <w:pPr>
        <w:rPr>
          <w:szCs w:val="24"/>
        </w:rPr>
      </w:pPr>
      <w:r w:rsidRPr="00DC46B0">
        <w:rPr>
          <w:szCs w:val="24"/>
        </w:rPr>
        <w:t>Возникновение побочных кардиологических явлений может стать причиной прекращения гематологического лечения, ухудшения состояния пациента, сокращения продолжительность жизни при излеченном гематологическом заболевании</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 xml:space="preserve">. </w:t>
      </w:r>
    </w:p>
    <w:p w:rsidR="00B43B37" w:rsidRPr="00DC46B0" w:rsidRDefault="00B43B37" w:rsidP="00B43B37">
      <w:pPr>
        <w:rPr>
          <w:szCs w:val="24"/>
        </w:rPr>
      </w:pPr>
      <w:r w:rsidRPr="00DC46B0">
        <w:rPr>
          <w:szCs w:val="24"/>
        </w:rPr>
        <w:t>Нежелательные кардиальные явления 4</w:t>
      </w:r>
      <w:r>
        <w:rPr>
          <w:szCs w:val="24"/>
        </w:rPr>
        <w:t>-</w:t>
      </w:r>
      <w:r w:rsidRPr="00DC46B0">
        <w:rPr>
          <w:szCs w:val="24"/>
        </w:rPr>
        <w:t>5 степеней возникают достаточно редко. Возможно увеличение частоты нежелательных кардиологических явлений 1</w:t>
      </w:r>
      <w:r>
        <w:rPr>
          <w:szCs w:val="24"/>
        </w:rPr>
        <w:t>-</w:t>
      </w:r>
      <w:r w:rsidRPr="00DC46B0">
        <w:rPr>
          <w:szCs w:val="24"/>
        </w:rPr>
        <w:t>3 степени по мере увеличения количества пациентов, выздоровевших от тяжелых онкогематологических заболеваний. Стратегия Европейского кардиологического сообщества по профилактике и лечению побочных кардиологических явлений при химиотерапевтическом лечении представлена в таб.1.</w:t>
      </w:r>
    </w:p>
    <w:p w:rsidR="00B43B37" w:rsidRDefault="00B43B37" w:rsidP="00B43B37">
      <w:pPr>
        <w:rPr>
          <w:b/>
          <w:szCs w:val="24"/>
        </w:rPr>
      </w:pPr>
    </w:p>
    <w:p w:rsidR="00B43B37" w:rsidRPr="00DC46B0" w:rsidRDefault="00B43B37" w:rsidP="00B43B37">
      <w:pPr>
        <w:rPr>
          <w:szCs w:val="24"/>
        </w:rPr>
      </w:pPr>
      <w:r w:rsidRPr="00DC46B0">
        <w:rPr>
          <w:szCs w:val="24"/>
        </w:rPr>
        <w:t>Таблица 1. Стратегии, применяемые для снижения кардиотоксичности химиотерапии</w:t>
      </w:r>
      <w:r w:rsidRPr="00673F99">
        <w:rPr>
          <w:szCs w:val="24"/>
        </w:rPr>
        <w:t xml:space="preserve"> </w:t>
      </w:r>
      <w:r>
        <w:rPr>
          <w:szCs w:val="24"/>
        </w:rPr>
        <w:fldChar w:fldCharType="begin" w:fldLock="1"/>
      </w:r>
      <w:r w:rsidR="003524A5">
        <w:rPr>
          <w:szCs w:val="24"/>
        </w:rPr>
        <w:instrText>ADDIN CSL_CITATION {"citationItems":[{"id":"ITEM-1","itemData":{"DOI":"10.1093/eurheartj/ehw211","ISSN":"15229645","PMID":"27567406","author":[{"dropping-particle":"","family":"Zamorano","given":"Jose Luis","non-dropping-particle":"","parse-names":false,"suffix":""},{"dropping-particle":"","family":"Lancellotti","given":"Patrizio","non-dropping-particle":"","parse-names":false,"suffix":""},{"dropping-particle":"","family":"Rodriguez Muñoz","given":"Daniel","non-dropping-particle":"","parse-names":false,"suffix":""},{"dropping-particle":"","family":"Aboyans","given":"Victor","non-dropping-particle":"","parse-names":false,"suffix":""},{"dropping-particle":"","family":"Asteggiano","given":"Riccardo","non-dropping-particle":"","parse-names":false,"suffix":""},{"dropping-particle":"","family":"Galderisi","given":"Maurizio","non-dropping-particle":"","parse-names":false,"suffix":""},{"dropping-particle":"","family":"Habib","given":"Gilbert","non-dropping-particle":"","parse-names":false,"suffix":""},{"dropping-particle":"","family":"Lenihan","given":"Daniel J.","non-dropping-particle":"","parse-names":false,"suffix":""},{"dropping-particle":"","family":"Lip","given":"Gregory Y.H.","non-dropping-particle":"","parse-names":false,"suffix":""},{"dropping-particle":"","family":"Lyon","given":"Alexander R.","non-dropping-particle":"","parse-names":false,"suffix":""},{"dropping-particle":"","family":"Lopez Fernandez","given":"Teresa","non-dropping-particle":"","parse-names":false,"suffix":""},{"dropping-particle":"","family":"Mohty","given":"Dania","non-dropping-particle":"","parse-names":false,"suffix":""},{"dropping-particle":"","family":"Piepoli","given":"Massimo F.","non-dropping-particle":"","parse-names":false,"suffix":""},{"dropping-particle":"","family":"Tamargo","given":"Juan","non-dropping-particle":"","parse-names":false,"suffix":""},{"dropping-particle":"","family":"Torbicki","given":"Adam","non-dropping-particle":"","parse-names":false,"suffix":""},{"dropping-particle":"","family":"Suter","given":"Thomas M.","non-dropping-particle":"","parse-names":false,"suffix":""},{"dropping-particle":"","family":"Achenbach","given":"Stephan","non-dropping-particle":"","parse-names":false,"suffix":""},{"dropping-particle":"","family":"Agewall","given":"Stefan","non-dropping-particle":"","parse-names":false,"suffix":""},{"dropping-particle":"","family":"Badimon","given":"Lina","non-dropping-particle":"","parse-names":false,"suffix":""},{"dropping-particle":"","family":"Barón-Esquivias","given":"Gonzalo","non-dropping-particle":"","parse-names":false,"suffix":""},{"dropping-particle":"","family":"Baumgartner","given":"Helmut","non-dropping-particle":"","parse-names":false,"suffix":""},{"dropping-particle":"","family":"Bax","given":"Jeroen J.","non-dropping-particle":"","parse-names":false,"suffix":""},{"dropping-particle":"","family":"Bueno","given":"Héctor","non-dropping-particle":"","parse-names":false,"suffix":""},{"dropping-particle":"","family":"Carerj","given":"Scipione","non-dropping-particle":"","parse-names":false,"suffix":""},{"dropping-particle":"","family":"Dean","given":"Veronica","non-dropping-particle":"","parse-names":false,"suffix":""},{"dropping-particle":"","family":"Erol","given":"Çetin","non-dropping-particle":"","parse-names":false,"suffix":""},{"dropping-particle":"","family":"Fitzsimons","given":"Donna","non-dropping-particle":"","parse-names":false,"suffix":""},{"dropping-particle":"","family":"Gaemperli","given":"Oliver","non-dropping-particle":"","parse-names":false,"suffix":""},{"dropping-particle":"","family":"Kirchhof","given":"Paulus","non-dropping-particle":"","parse-names":false,"suffix":""},{"dropping-particle":"","family":"Kolh","given":"Philippe","non-dropping-particle":"","parse-names":false,"suffix":""},{"dropping-particle":"","family":"Nihoyannopoulos","given":"Petros","non-dropping-particle":"","parse-names":false,"suffix":""},{"dropping-particle":"","family":"Ponikowski","given":"Piotr","non-dropping-particle":"","parse-names":false,"suffix":""},{"dropping-particle":"","family":"Roffi","given":"Marco","non-dropping-particle":"","parse-names":false,"suffix":""},{"dropping-particle":"","family":"Vaz Carneiro","given":"António","non-dropping-particle":"","parse-names":false,"suffix":""},{"dropping-particle":"","family":"Windecker","given":"Stephan","non-dropping-particle":"","parse-names":false,"suffix":""},{"dropping-particle":"","family":"Minotti","given":"Giorgio","non-dropping-particle":"","parse-names":false,"suffix":""},{"dropping-particle":"","family":"Cardinale","given":"Daniela","non-dropping-particle":"","parse-names":false,"suffix":""},{"dropping-particle":"","family":"Curigliano","given":"Giuseppe","non-dropping-particle":"","parse-names":false,"suffix":""},{"dropping-particle":"","family":"Azambuja","given":"Evandro","non-dropping-particle":"De","parse-names":false,"suffix":""},{"dropping-particle":"","family":"Dent","given":"Susan","non-dropping-particle":"","parse-names":false,"suffix":""},{"dropping-particle":"","family":"Ero","given":"Cetin","non-dropping-particle":"","parse-names":false,"suffix":""},{"dropping-particle":"","family":"Ewer","given":"Michael S.","non-dropping-particle":"","parse-names":false,"suffix":""},{"dropping-particle":"","family":"Farmakis","given":"Dimitrios","non-dropping-particle":"","parse-names":false,"suffix":""},{"dropping-particle":"","family":"Fietkau","given":"Rainer","non-dropping-particle":"","parse-names":false,"suffix":""},{"dropping-particle":"","family":"Kohl","given":"Philippe","non-dropping-particle":"","parse-names":false,"suffix":""},{"dropping-particle":"","family":"McGale","given":"Paul","non-dropping-particle":"","parse-names":false,"suffix":""},{"dropping-particle":"","family":"Ringwald","given":"Juergen","non-dropping-particle":"","parse-names":false,"suffix":""},{"dropping-particle":"","family":"Schulz-Menger","given":"Jeanette","non-dropping-particle":"","parse-names":false,"suffix":""},{"dropping-particle":"","family":"Stebbing","given":"Justin","non-dropping-particle":"","parse-names":false,"suffix":""},{"dropping-particle":"","family":"Steiner","given":"Rudolf K.","non-dropping-particle":"","parse-names":false,"suffix":""},{"dropping-particle":"","family":"Szmit","given":"Sebastian","non-dropping-particle":"","parse-names":false,"suffix":""}],"container-title":"European Heart Journal","id":"ITEM-1","issue":"36","issued":{"date-parts":[["2016","9","21"]]},"page":"2768-2801","publisher":"Oxford University Press","title":"2016 ESC Position Paper on cancer treatments and cardiovascular toxicity developed under the auspices of the ESC Committee for Practice Guidelines","type":"article","volume":"37"},"uris":["http://www.mendeley.com/documents/?uuid=b14e6a9e-39a8-33b0-ba1a-2593548d6d16"]}],"mendeley":{"formattedCitation":"[81]","plainTextFormattedCitation":"[81]","previouslyFormattedCitation":"[81]"},"properties":{"noteIndex":0},"schema":"https://github.com/citation-style-language/schema/raw/master/csl-citation.json"}</w:instrText>
      </w:r>
      <w:r>
        <w:rPr>
          <w:szCs w:val="24"/>
        </w:rPr>
        <w:fldChar w:fldCharType="separate"/>
      </w:r>
      <w:r w:rsidR="005600FF" w:rsidRPr="005600FF">
        <w:rPr>
          <w:noProof/>
          <w:szCs w:val="24"/>
        </w:rPr>
        <w:t>[81]</w:t>
      </w:r>
      <w:r>
        <w:rPr>
          <w:szCs w:val="24"/>
        </w:rPr>
        <w:fldChar w:fldCharType="end"/>
      </w:r>
      <w:r w:rsidRPr="00DC46B0">
        <w:rPr>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5070"/>
      </w:tblGrid>
      <w:tr w:rsidR="00B43B37" w:rsidRPr="00DC46B0" w:rsidTr="005600FF">
        <w:tc>
          <w:tcPr>
            <w:tcW w:w="4395" w:type="dxa"/>
            <w:shd w:val="clear" w:color="auto" w:fill="auto"/>
          </w:tcPr>
          <w:p w:rsidR="00B43B37" w:rsidRPr="00DC46B0" w:rsidRDefault="00B43B37" w:rsidP="005600FF">
            <w:pPr>
              <w:ind w:firstLine="0"/>
              <w:rPr>
                <w:szCs w:val="24"/>
              </w:rPr>
            </w:pPr>
            <w:r w:rsidRPr="00DC46B0">
              <w:rPr>
                <w:szCs w:val="24"/>
              </w:rPr>
              <w:t>Химиотерапевтические препараты</w:t>
            </w:r>
          </w:p>
        </w:tc>
        <w:tc>
          <w:tcPr>
            <w:tcW w:w="5209" w:type="dxa"/>
            <w:shd w:val="clear" w:color="auto" w:fill="auto"/>
          </w:tcPr>
          <w:p w:rsidR="00B43B37" w:rsidRPr="00DC46B0" w:rsidRDefault="00B43B37" w:rsidP="005600FF">
            <w:pPr>
              <w:ind w:firstLine="0"/>
              <w:rPr>
                <w:szCs w:val="24"/>
              </w:rPr>
            </w:pPr>
            <w:r w:rsidRPr="00DC46B0">
              <w:rPr>
                <w:szCs w:val="24"/>
              </w:rPr>
              <w:t>Возможные кардиопротективные мероприятия</w:t>
            </w:r>
          </w:p>
        </w:tc>
      </w:tr>
      <w:tr w:rsidR="00B43B37" w:rsidRPr="00DC46B0" w:rsidTr="005600FF">
        <w:tc>
          <w:tcPr>
            <w:tcW w:w="4395" w:type="dxa"/>
            <w:vMerge w:val="restart"/>
            <w:shd w:val="clear" w:color="auto" w:fill="auto"/>
          </w:tcPr>
          <w:p w:rsidR="00B43B37" w:rsidRPr="00DC46B0" w:rsidRDefault="00B43B37" w:rsidP="005600FF">
            <w:pPr>
              <w:ind w:firstLine="0"/>
              <w:rPr>
                <w:szCs w:val="24"/>
              </w:rPr>
            </w:pPr>
            <w:r w:rsidRPr="00DC46B0">
              <w:rPr>
                <w:szCs w:val="24"/>
              </w:rPr>
              <w:t>Любой вариант химиотерапевтического лечения</w:t>
            </w:r>
          </w:p>
        </w:tc>
        <w:tc>
          <w:tcPr>
            <w:tcW w:w="5209" w:type="dxa"/>
            <w:shd w:val="clear" w:color="auto" w:fill="auto"/>
          </w:tcPr>
          <w:p w:rsidR="00B43B37" w:rsidRPr="00DC46B0" w:rsidRDefault="00B43B37" w:rsidP="005600FF">
            <w:pPr>
              <w:ind w:firstLine="0"/>
              <w:rPr>
                <w:szCs w:val="24"/>
              </w:rPr>
            </w:pPr>
            <w:r w:rsidRPr="00DC46B0">
              <w:rPr>
                <w:szCs w:val="24"/>
              </w:rPr>
              <w:t xml:space="preserve">Перед лечением выявить факторы риска сердечно-сосудистого заболевания и провести соответствующее лечение. </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Лечить коморбидные состояния (ИБС, ХСН, АГ, БПА).</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 xml:space="preserve">Удлинение </w:t>
            </w:r>
            <w:r w:rsidRPr="00DC46B0">
              <w:rPr>
                <w:szCs w:val="24"/>
                <w:lang w:val="en-US"/>
              </w:rPr>
              <w:t>QTc</w:t>
            </w:r>
            <w:r w:rsidRPr="00DC46B0">
              <w:rPr>
                <w:szCs w:val="24"/>
              </w:rPr>
              <w:t xml:space="preserve"> и тахикардия типа «пируэт»: избегать препаратов, удлиняющих интервал </w:t>
            </w:r>
            <w:r w:rsidRPr="00DC46B0">
              <w:rPr>
                <w:szCs w:val="24"/>
                <w:lang w:val="en-US"/>
              </w:rPr>
              <w:t>QT</w:t>
            </w:r>
            <w:r w:rsidRPr="00DC46B0">
              <w:rPr>
                <w:szCs w:val="24"/>
              </w:rPr>
              <w:t>, коррекция электролитного дисбаланса.</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Минимизировать лучевую нагрузку на сердце.</w:t>
            </w:r>
          </w:p>
        </w:tc>
      </w:tr>
      <w:tr w:rsidR="00B43B37" w:rsidRPr="00DC46B0" w:rsidTr="005600FF">
        <w:tc>
          <w:tcPr>
            <w:tcW w:w="4395" w:type="dxa"/>
            <w:vMerge w:val="restart"/>
            <w:shd w:val="clear" w:color="auto" w:fill="auto"/>
          </w:tcPr>
          <w:p w:rsidR="00B43B37" w:rsidRPr="00DC46B0" w:rsidRDefault="00B43B37" w:rsidP="005600FF">
            <w:pPr>
              <w:ind w:firstLine="0"/>
              <w:rPr>
                <w:szCs w:val="24"/>
              </w:rPr>
            </w:pPr>
            <w:r w:rsidRPr="00DC46B0">
              <w:rPr>
                <w:szCs w:val="24"/>
              </w:rPr>
              <w:t>Антрациклины и их аналоги</w:t>
            </w:r>
          </w:p>
        </w:tc>
        <w:tc>
          <w:tcPr>
            <w:tcW w:w="5209" w:type="dxa"/>
            <w:shd w:val="clear" w:color="auto" w:fill="auto"/>
          </w:tcPr>
          <w:p w:rsidR="00B43B37" w:rsidRPr="00DC46B0" w:rsidRDefault="00B43B37" w:rsidP="005600FF">
            <w:pPr>
              <w:ind w:firstLine="0"/>
              <w:rPr>
                <w:szCs w:val="24"/>
              </w:rPr>
            </w:pPr>
            <w:r w:rsidRPr="00DC46B0">
              <w:rPr>
                <w:szCs w:val="24"/>
              </w:rPr>
              <w:t>Ограничивать суммарную дозу (мг/м</w:t>
            </w:r>
            <w:r w:rsidRPr="00DC46B0">
              <w:rPr>
                <w:szCs w:val="24"/>
                <w:vertAlign w:val="superscript"/>
              </w:rPr>
              <w:t>2</w:t>
            </w:r>
            <w:r w:rsidRPr="00DC46B0">
              <w:rPr>
                <w:szCs w:val="24"/>
              </w:rPr>
              <w:t>):</w:t>
            </w:r>
          </w:p>
          <w:p w:rsidR="00B43B37" w:rsidRPr="00DC46B0" w:rsidRDefault="00B43B37" w:rsidP="005600FF">
            <w:pPr>
              <w:ind w:firstLine="0"/>
              <w:rPr>
                <w:szCs w:val="24"/>
              </w:rPr>
            </w:pPr>
            <w:r w:rsidRPr="00DC46B0">
              <w:rPr>
                <w:szCs w:val="24"/>
              </w:rPr>
              <w:t>Даунорубицин &lt; 800</w:t>
            </w:r>
          </w:p>
          <w:p w:rsidR="00B43B37" w:rsidRPr="00DC46B0" w:rsidRDefault="00B43B37" w:rsidP="005600FF">
            <w:pPr>
              <w:ind w:firstLine="0"/>
              <w:rPr>
                <w:szCs w:val="24"/>
              </w:rPr>
            </w:pPr>
            <w:r w:rsidRPr="00DC46B0">
              <w:rPr>
                <w:szCs w:val="24"/>
              </w:rPr>
              <w:t>Доксорубицин &lt; 360</w:t>
            </w:r>
          </w:p>
          <w:p w:rsidR="00B43B37" w:rsidRPr="00DC46B0" w:rsidRDefault="00B43B37" w:rsidP="005600FF">
            <w:pPr>
              <w:ind w:firstLine="0"/>
              <w:rPr>
                <w:szCs w:val="24"/>
              </w:rPr>
            </w:pPr>
            <w:r w:rsidRPr="00DC46B0">
              <w:rPr>
                <w:szCs w:val="24"/>
              </w:rPr>
              <w:t>Эпирубицин &lt; 720</w:t>
            </w:r>
          </w:p>
          <w:p w:rsidR="00B43B37" w:rsidRPr="00DC46B0" w:rsidRDefault="00B43B37" w:rsidP="005600FF">
            <w:pPr>
              <w:ind w:firstLine="0"/>
              <w:rPr>
                <w:szCs w:val="24"/>
              </w:rPr>
            </w:pPr>
            <w:r w:rsidRPr="00DC46B0">
              <w:rPr>
                <w:szCs w:val="24"/>
              </w:rPr>
              <w:t>Митоксантрон &lt; 160</w:t>
            </w:r>
          </w:p>
          <w:p w:rsidR="00B43B37" w:rsidRPr="00DC46B0" w:rsidRDefault="00B43B37" w:rsidP="005600FF">
            <w:pPr>
              <w:ind w:firstLine="0"/>
              <w:rPr>
                <w:szCs w:val="24"/>
              </w:rPr>
            </w:pPr>
            <w:r w:rsidRPr="00DC46B0">
              <w:rPr>
                <w:szCs w:val="24"/>
              </w:rPr>
              <w:t>Идарубицин &lt;150</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Применить липосомальный доксорубцин или длительную инфузию.</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 xml:space="preserve">Назначить ингибитор АПФ или АРА </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 xml:space="preserve">Назначить блокатор бета-адренергических рецепторов </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Назначить статины</w:t>
            </w:r>
          </w:p>
        </w:tc>
      </w:tr>
      <w:tr w:rsidR="00B43B37" w:rsidRPr="00DC46B0" w:rsidTr="005600FF">
        <w:tc>
          <w:tcPr>
            <w:tcW w:w="4395" w:type="dxa"/>
            <w:vMerge/>
            <w:shd w:val="clear" w:color="auto" w:fill="auto"/>
          </w:tcPr>
          <w:p w:rsidR="00B43B37" w:rsidRPr="00DC46B0" w:rsidRDefault="00B43B37" w:rsidP="005600FF">
            <w:pPr>
              <w:ind w:firstLine="0"/>
              <w:rPr>
                <w:szCs w:val="24"/>
              </w:rPr>
            </w:pPr>
          </w:p>
        </w:tc>
        <w:tc>
          <w:tcPr>
            <w:tcW w:w="5209" w:type="dxa"/>
            <w:shd w:val="clear" w:color="auto" w:fill="auto"/>
          </w:tcPr>
          <w:p w:rsidR="00B43B37" w:rsidRPr="00DC46B0" w:rsidRDefault="00B43B37" w:rsidP="005600FF">
            <w:pPr>
              <w:ind w:firstLine="0"/>
              <w:rPr>
                <w:szCs w:val="24"/>
              </w:rPr>
            </w:pPr>
            <w:r w:rsidRPr="00DC46B0">
              <w:rPr>
                <w:szCs w:val="24"/>
              </w:rPr>
              <w:t>Осторожно ввести аэробные упражнения.</w:t>
            </w:r>
          </w:p>
        </w:tc>
      </w:tr>
    </w:tbl>
    <w:p w:rsidR="00B43B37" w:rsidRPr="00DC46B0" w:rsidRDefault="00B43B37" w:rsidP="00B43B37">
      <w:pPr>
        <w:rPr>
          <w:szCs w:val="24"/>
        </w:rPr>
      </w:pPr>
    </w:p>
    <w:p w:rsidR="00B43B37" w:rsidRPr="00DC46B0" w:rsidRDefault="00B43B37" w:rsidP="00B43B37">
      <w:pPr>
        <w:rPr>
          <w:szCs w:val="24"/>
        </w:rPr>
      </w:pPr>
      <w:r w:rsidRPr="00DC46B0">
        <w:rPr>
          <w:szCs w:val="24"/>
        </w:rPr>
        <w:t>Вероятность развития кардиотоксичности особенно высока у пациентов, получающие лечение анрациклин-содержащими режимами. Для оценки возможности снижения кардиотоксических эффектов необходимо учитывать факторы риска развития антрациклиновой кардиотоксичности</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 xml:space="preserve">: </w:t>
      </w:r>
    </w:p>
    <w:p w:rsidR="00B43B37" w:rsidRPr="004F07FC" w:rsidRDefault="00B43B37" w:rsidP="004F39BB">
      <w:pPr>
        <w:pStyle w:val="afe"/>
        <w:numPr>
          <w:ilvl w:val="0"/>
          <w:numId w:val="56"/>
        </w:numPr>
        <w:rPr>
          <w:szCs w:val="24"/>
        </w:rPr>
      </w:pPr>
      <w:r w:rsidRPr="004F07FC">
        <w:rPr>
          <w:szCs w:val="24"/>
        </w:rPr>
        <w:t>суммарная доза (для доксорубицина доза, превышающая 500 - 550 мг/м</w:t>
      </w:r>
      <w:r w:rsidRPr="004F07FC">
        <w:rPr>
          <w:szCs w:val="24"/>
          <w:vertAlign w:val="superscript"/>
        </w:rPr>
        <w:t>2</w:t>
      </w:r>
      <w:r w:rsidRPr="004F07FC">
        <w:rPr>
          <w:szCs w:val="24"/>
        </w:rPr>
        <w:t>)</w:t>
      </w:r>
    </w:p>
    <w:p w:rsidR="00B43B37" w:rsidRPr="004F07FC" w:rsidRDefault="00B43B37" w:rsidP="004F39BB">
      <w:pPr>
        <w:pStyle w:val="afe"/>
        <w:numPr>
          <w:ilvl w:val="0"/>
          <w:numId w:val="56"/>
        </w:numPr>
        <w:rPr>
          <w:szCs w:val="24"/>
        </w:rPr>
      </w:pPr>
      <w:r w:rsidRPr="004F07FC">
        <w:rPr>
          <w:szCs w:val="24"/>
        </w:rPr>
        <w:t>общая доза, введенная за день или курс химиотерапии</w:t>
      </w:r>
    </w:p>
    <w:p w:rsidR="00B43B37" w:rsidRPr="004F07FC" w:rsidRDefault="00B43B37" w:rsidP="004F39BB">
      <w:pPr>
        <w:pStyle w:val="afe"/>
        <w:numPr>
          <w:ilvl w:val="0"/>
          <w:numId w:val="56"/>
        </w:numPr>
        <w:rPr>
          <w:szCs w:val="24"/>
        </w:rPr>
      </w:pPr>
      <w:r w:rsidRPr="004F07FC">
        <w:rPr>
          <w:szCs w:val="24"/>
        </w:rPr>
        <w:t xml:space="preserve">скорость и порядок введения препаратов </w:t>
      </w:r>
    </w:p>
    <w:p w:rsidR="00B43B37" w:rsidRPr="004F07FC" w:rsidRDefault="00B43B37" w:rsidP="004F39BB">
      <w:pPr>
        <w:pStyle w:val="afe"/>
        <w:numPr>
          <w:ilvl w:val="0"/>
          <w:numId w:val="56"/>
        </w:numPr>
        <w:rPr>
          <w:szCs w:val="24"/>
        </w:rPr>
      </w:pPr>
      <w:r w:rsidRPr="004F07FC">
        <w:rPr>
          <w:szCs w:val="24"/>
        </w:rPr>
        <w:t>облучение средостения в анамнезе</w:t>
      </w:r>
    </w:p>
    <w:p w:rsidR="00B43B37" w:rsidRPr="004F07FC" w:rsidRDefault="00B43B37" w:rsidP="004F39BB">
      <w:pPr>
        <w:pStyle w:val="afe"/>
        <w:numPr>
          <w:ilvl w:val="0"/>
          <w:numId w:val="56"/>
        </w:numPr>
        <w:rPr>
          <w:szCs w:val="24"/>
        </w:rPr>
      </w:pPr>
      <w:r w:rsidRPr="004F07FC">
        <w:rPr>
          <w:szCs w:val="24"/>
        </w:rPr>
        <w:t>возраст (младше 15 и старше 65 лет)</w:t>
      </w:r>
    </w:p>
    <w:p w:rsidR="00B43B37" w:rsidRPr="004F07FC" w:rsidRDefault="00B43B37" w:rsidP="004F39BB">
      <w:pPr>
        <w:pStyle w:val="afe"/>
        <w:numPr>
          <w:ilvl w:val="0"/>
          <w:numId w:val="56"/>
        </w:numPr>
        <w:rPr>
          <w:szCs w:val="24"/>
        </w:rPr>
      </w:pPr>
      <w:r w:rsidRPr="004F07FC">
        <w:rPr>
          <w:szCs w:val="24"/>
        </w:rPr>
        <w:t>женский пол</w:t>
      </w:r>
    </w:p>
    <w:p w:rsidR="00B43B37" w:rsidRPr="004F07FC" w:rsidRDefault="00B43B37" w:rsidP="004F39BB">
      <w:pPr>
        <w:pStyle w:val="afe"/>
        <w:numPr>
          <w:ilvl w:val="0"/>
          <w:numId w:val="56"/>
        </w:numPr>
        <w:rPr>
          <w:szCs w:val="24"/>
        </w:rPr>
      </w:pPr>
      <w:r w:rsidRPr="004F07FC">
        <w:rPr>
          <w:szCs w:val="24"/>
        </w:rPr>
        <w:t>одновременное введение нескольких противоопухолевых средств (антрациклино-вые антибиотики, циклофосфан, блеомицин, этопозид, цисплатин, винкристин, актиномицин, метотрексат)</w:t>
      </w:r>
    </w:p>
    <w:p w:rsidR="00B43B37" w:rsidRPr="004F07FC" w:rsidRDefault="00B43B37" w:rsidP="004F39BB">
      <w:pPr>
        <w:pStyle w:val="afe"/>
        <w:numPr>
          <w:ilvl w:val="0"/>
          <w:numId w:val="56"/>
        </w:numPr>
        <w:rPr>
          <w:szCs w:val="24"/>
        </w:rPr>
      </w:pPr>
      <w:r w:rsidRPr="004F07FC">
        <w:rPr>
          <w:szCs w:val="24"/>
        </w:rPr>
        <w:t>предшествующая терапия антрациклинами</w:t>
      </w:r>
    </w:p>
    <w:p w:rsidR="00B43B37" w:rsidRPr="004F07FC" w:rsidRDefault="00B43B37" w:rsidP="004F39BB">
      <w:pPr>
        <w:pStyle w:val="afe"/>
        <w:numPr>
          <w:ilvl w:val="0"/>
          <w:numId w:val="56"/>
        </w:numPr>
        <w:rPr>
          <w:szCs w:val="24"/>
        </w:rPr>
      </w:pPr>
      <w:r w:rsidRPr="004F07FC">
        <w:rPr>
          <w:szCs w:val="24"/>
        </w:rPr>
        <w:t xml:space="preserve">сопутствующие заболевания сердечно-сосудистой системы </w:t>
      </w:r>
    </w:p>
    <w:p w:rsidR="00B43B37" w:rsidRPr="004F07FC" w:rsidRDefault="00B43B37" w:rsidP="004F39BB">
      <w:pPr>
        <w:pStyle w:val="afe"/>
        <w:numPr>
          <w:ilvl w:val="0"/>
          <w:numId w:val="56"/>
        </w:numPr>
        <w:rPr>
          <w:szCs w:val="24"/>
        </w:rPr>
      </w:pPr>
      <w:r w:rsidRPr="004F07FC">
        <w:rPr>
          <w:szCs w:val="24"/>
        </w:rPr>
        <w:t>дисбаланс электролитов (гипокалиемия, гипомагниемия).</w:t>
      </w:r>
    </w:p>
    <w:p w:rsidR="00B43B37" w:rsidRPr="00DC46B0" w:rsidRDefault="00B43B37" w:rsidP="00B43B37">
      <w:pPr>
        <w:rPr>
          <w:szCs w:val="24"/>
        </w:rPr>
      </w:pPr>
    </w:p>
    <w:p w:rsidR="00B43B37" w:rsidRPr="00DC46B0" w:rsidRDefault="00B43B37" w:rsidP="00B43B37">
      <w:pPr>
        <w:rPr>
          <w:szCs w:val="24"/>
        </w:rPr>
      </w:pPr>
      <w:r w:rsidRPr="00DC46B0">
        <w:rPr>
          <w:szCs w:val="24"/>
        </w:rPr>
        <w:t>Основные лекарственные средства профилактики кардиотоксичности – назначаемые совместно эналаприл, карведилол и низкие дозы статинов</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 Карведилол, вероятно, обладает наибольшими защитными свойствами из-за его антиоксидантной активности, способности блокировать апоптозные сигнальные пути, предполагаемой способности восстанавливать работу Ca2+-АТФ-азы и блокировать приток кальция в кардиомиоциты.</w:t>
      </w:r>
    </w:p>
    <w:p w:rsidR="00B43B37" w:rsidRPr="00DC46B0" w:rsidRDefault="00B43B37" w:rsidP="00B43B37">
      <w:pPr>
        <w:rPr>
          <w:szCs w:val="24"/>
        </w:rPr>
      </w:pPr>
      <w:r w:rsidRPr="00DC46B0">
        <w:rPr>
          <w:szCs w:val="24"/>
        </w:rPr>
        <w:t>Подход к профилактике кардиотоксичности пациентов, получающих лечение по поводу онкогематологического заболевания, представлен в таб.</w:t>
      </w:r>
      <w:r>
        <w:rPr>
          <w:szCs w:val="24"/>
        </w:rPr>
        <w:t xml:space="preserve"> </w:t>
      </w:r>
      <w:r w:rsidRPr="00DC46B0">
        <w:rPr>
          <w:szCs w:val="24"/>
        </w:rPr>
        <w:t xml:space="preserve">2.    </w:t>
      </w:r>
    </w:p>
    <w:p w:rsidR="00B43B37" w:rsidRDefault="00B43B37" w:rsidP="00B43B37">
      <w:pPr>
        <w:rPr>
          <w:b/>
          <w:szCs w:val="24"/>
        </w:rPr>
      </w:pPr>
    </w:p>
    <w:p w:rsidR="00B43B37" w:rsidRPr="004F07FC" w:rsidRDefault="00B43B37" w:rsidP="00B43B37">
      <w:pPr>
        <w:rPr>
          <w:szCs w:val="24"/>
          <w:lang w:val="en-US"/>
        </w:rPr>
      </w:pPr>
      <w:r w:rsidRPr="004F07FC">
        <w:rPr>
          <w:szCs w:val="24"/>
        </w:rPr>
        <w:t xml:space="preserve">Таблица 2. </w:t>
      </w:r>
      <w:r w:rsidRPr="004F07FC">
        <w:rPr>
          <w:bCs/>
          <w:szCs w:val="24"/>
        </w:rPr>
        <w:t xml:space="preserve">Оценка риска кардиотоксичности при лечении опухолей </w:t>
      </w:r>
      <w:r>
        <w:rPr>
          <w:bCs/>
          <w:szCs w:val="24"/>
        </w:rPr>
        <w:fldChar w:fldCharType="begin" w:fldLock="1"/>
      </w:r>
      <w:r w:rsidR="003524A5">
        <w:rPr>
          <w:bCs/>
          <w:szCs w:val="24"/>
        </w:rPr>
        <w:instrText>ADDIN CSL_CITATION {"citationItems":[{"id":"ITEM-1","itemData":{"DOI":"10.1093/eurheartj/ehw211","ISSN":"15229645","PMID":"27567406","author":[{"dropping-particle":"","family":"Zamorano","given":"Jose Luis","non-dropping-particle":"","parse-names":false,"suffix":""},{"dropping-particle":"","family":"Lancellotti","given":"Patrizio","non-dropping-particle":"","parse-names":false,"suffix":""},{"dropping-particle":"","family":"Rodriguez Muñoz","given":"Daniel","non-dropping-particle":"","parse-names":false,"suffix":""},{"dropping-particle":"","family":"Aboyans","given":"Victor","non-dropping-particle":"","parse-names":false,"suffix":""},{"dropping-particle":"","family":"Asteggiano","given":"Riccardo","non-dropping-particle":"","parse-names":false,"suffix":""},{"dropping-particle":"","family":"Galderisi","given":"Maurizio","non-dropping-particle":"","parse-names":false,"suffix":""},{"dropping-particle":"","family":"Habib","given":"Gilbert","non-dropping-particle":"","parse-names":false,"suffix":""},{"dropping-particle":"","family":"Lenihan","given":"Daniel J.","non-dropping-particle":"","parse-names":false,"suffix":""},{"dropping-particle":"","family":"Lip","given":"Gregory Y.H.","non-dropping-particle":"","parse-names":false,"suffix":""},{"dropping-particle":"","family":"Lyon","given":"Alexander R.","non-dropping-particle":"","parse-names":false,"suffix":""},{"dropping-particle":"","family":"Lopez Fernandez","given":"Teresa","non-dropping-particle":"","parse-names":false,"suffix":""},{"dropping-particle":"","family":"Mohty","given":"Dania","non-dropping-particle":"","parse-names":false,"suffix":""},{"dropping-particle":"","family":"Piepoli","given":"Massimo F.","non-dropping-particle":"","parse-names":false,"suffix":""},{"dropping-particle":"","family":"Tamargo","given":"Juan","non-dropping-particle":"","parse-names":false,"suffix":""},{"dropping-particle":"","family":"Torbicki","given":"Adam","non-dropping-particle":"","parse-names":false,"suffix":""},{"dropping-particle":"","family":"Suter","given":"Thomas M.","non-dropping-particle":"","parse-names":false,"suffix":""},{"dropping-particle":"","family":"Achenbach","given":"Stephan","non-dropping-particle":"","parse-names":false,"suffix":""},{"dropping-particle":"","family":"Agewall","given":"Stefan","non-dropping-particle":"","parse-names":false,"suffix":""},{"dropping-particle":"","family":"Badimon","given":"Lina","non-dropping-particle":"","parse-names":false,"suffix":""},{"dropping-particle":"","family":"Barón-Esquivias","given":"Gonzalo","non-dropping-particle":"","parse-names":false,"suffix":""},{"dropping-particle":"","family":"Baumgartner","given":"Helmut","non-dropping-particle":"","parse-names":false,"suffix":""},{"dropping-particle":"","family":"Bax","given":"Jeroen J.","non-dropping-particle":"","parse-names":false,"suffix":""},{"dropping-particle":"","family":"Bueno","given":"Héctor","non-dropping-particle":"","parse-names":false,"suffix":""},{"dropping-particle":"","family":"Carerj","given":"Scipione","non-dropping-particle":"","parse-names":false,"suffix":""},{"dropping-particle":"","family":"Dean","given":"Veronica","non-dropping-particle":"","parse-names":false,"suffix":""},{"dropping-particle":"","family":"Erol","given":"Çetin","non-dropping-particle":"","parse-names":false,"suffix":""},{"dropping-particle":"","family":"Fitzsimons","given":"Donna","non-dropping-particle":"","parse-names":false,"suffix":""},{"dropping-particle":"","family":"Gaemperli","given":"Oliver","non-dropping-particle":"","parse-names":false,"suffix":""},{"dropping-particle":"","family":"Kirchhof","given":"Paulus","non-dropping-particle":"","parse-names":false,"suffix":""},{"dropping-particle":"","family":"Kolh","given":"Philippe","non-dropping-particle":"","parse-names":false,"suffix":""},{"dropping-particle":"","family":"Nihoyannopoulos","given":"Petros","non-dropping-particle":"","parse-names":false,"suffix":""},{"dropping-particle":"","family":"Ponikowski","given":"Piotr","non-dropping-particle":"","parse-names":false,"suffix":""},{"dropping-particle":"","family":"Roffi","given":"Marco","non-dropping-particle":"","parse-names":false,"suffix":""},{"dropping-particle":"","family":"Vaz Carneiro","given":"António","non-dropping-particle":"","parse-names":false,"suffix":""},{"dropping-particle":"","family":"Windecker","given":"Stephan","non-dropping-particle":"","parse-names":false,"suffix":""},{"dropping-particle":"","family":"Minotti","given":"Giorgio","non-dropping-particle":"","parse-names":false,"suffix":""},{"dropping-particle":"","family":"Cardinale","given":"Daniela","non-dropping-particle":"","parse-names":false,"suffix":""},{"dropping-particle":"","family":"Curigliano","given":"Giuseppe","non-dropping-particle":"","parse-names":false,"suffix":""},{"dropping-particle":"","family":"Azambuja","given":"Evandro","non-dropping-particle":"De","parse-names":false,"suffix":""},{"dropping-particle":"","family":"Dent","given":"Susan","non-dropping-particle":"","parse-names":false,"suffix":""},{"dropping-particle":"","family":"Ero","given":"Cetin","non-dropping-particle":"","parse-names":false,"suffix":""},{"dropping-particle":"","family":"Ewer","given":"Michael S.","non-dropping-particle":"","parse-names":false,"suffix":""},{"dropping-particle":"","family":"Farmakis","given":"Dimitrios","non-dropping-particle":"","parse-names":false,"suffix":""},{"dropping-particle":"","family":"Fietkau","given":"Rainer","non-dropping-particle":"","parse-names":false,"suffix":""},{"dropping-particle":"","family":"Kohl","given":"Philippe","non-dropping-particle":"","parse-names":false,"suffix":""},{"dropping-particle":"","family":"McGale","given":"Paul","non-dropping-particle":"","parse-names":false,"suffix":""},{"dropping-particle":"","family":"Ringwald","given":"Juergen","non-dropping-particle":"","parse-names":false,"suffix":""},{"dropping-particle":"","family":"Schulz-Menger","given":"Jeanette","non-dropping-particle":"","parse-names":false,"suffix":""},{"dropping-particle":"","family":"Stebbing","given":"Justin","non-dropping-particle":"","parse-names":false,"suffix":""},{"dropping-particle":"","family":"Steiner","given":"Rudolf K.","non-dropping-particle":"","parse-names":false,"suffix":""},{"dropping-particle":"","family":"Szmit","given":"Sebastian","non-dropping-particle":"","parse-names":false,"suffix":""}],"container-title":"European Heart Journal","id":"ITEM-1","issue":"36","issued":{"date-parts":[["2016","9","21"]]},"page":"2768-2801","publisher":"Oxford University Press","title":"2016 ESC Position Paper on cancer treatments and cardiovascular toxicity developed under the auspices of the ESC Committee for Practice Guidelines","type":"article","volume":"37"},"uris":["http://www.mendeley.com/documents/?uuid=b14e6a9e-39a8-33b0-ba1a-2593548d6d16"]},{"id":"ITEM-2","itemData":{"DOI":"10.1530/ERP-17-0013","ISSN":"20550464","abstract":"Cardio-oncology is a rapidly growing feld aimed at minimizing the effects of cardiovascular morbidity and mortality in cancer survivors. To meet this aim, patients are assessed at baseline to define their risk of cardiotoxicity and then followed closely during and after chemotherapy to assess for early signs or symptoms of cardiovascular disease. Cardiac imaging, and in particular, transthoracic echocardiography, plays an essential role in the baseline assessment and serial follow-up of cardio-oncology patients. The objectives of this paper are to review the mechanisms of cardiotoxicity of several common chemotherapeutic agents associated with an increased risk for left ventricular systolic dysfunction and to outline recommendations regarding the baseline assessment and serial follow-up of cardio-oncology patients with a focus on the role of echocardiography.","author":[{"dropping-particle":"","family":"Larsen","given":"Carolyn M.","non-dropping-particle":"","parse-names":false,"suffix":""},{"dropping-particle":"","family":"Mulvagh","given":"Sharon L.","non-dropping-particle":"","parse-names":false,"suffix":""}],"container-title":"Echo Research and Practice","id":"ITEM-2","issue":"1","issued":{"date-parts":[["2017","3","1"]]},"page":"R33-R41","publisher":"BioScientifica Ltd.","title":"Cardio-oncology: What you need to know now for clinical practice and echocardiography","type":"article","volume":"4"},"uris":["http://www.mendeley.com/documents/?uuid=8c6f1c03-ad49-3f5e-8b63-59b182a86311"]}],"mendeley":{"formattedCitation":"[81,82]","plainTextFormattedCitation":"[81,82]","previouslyFormattedCitation":"[81,82]"},"properties":{"noteIndex":0},"schema":"https://github.com/citation-style-language/schema/raw/master/csl-citation.json"}</w:instrText>
      </w:r>
      <w:r>
        <w:rPr>
          <w:bCs/>
          <w:szCs w:val="24"/>
        </w:rPr>
        <w:fldChar w:fldCharType="separate"/>
      </w:r>
      <w:r w:rsidR="005600FF" w:rsidRPr="005600FF">
        <w:rPr>
          <w:bCs/>
          <w:noProof/>
          <w:szCs w:val="24"/>
          <w:lang w:val="en-US"/>
        </w:rPr>
        <w:t>[81,82]</w:t>
      </w:r>
      <w:r>
        <w:rPr>
          <w:bCs/>
          <w:szCs w:val="24"/>
        </w:rPr>
        <w:fldChar w:fldCharType="end"/>
      </w:r>
      <w:r w:rsidRPr="004F07FC">
        <w:rPr>
          <w:bCs/>
          <w:szCs w:val="24"/>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906"/>
        <w:gridCol w:w="4694"/>
      </w:tblGrid>
      <w:tr w:rsidR="00B43B37" w:rsidRPr="00DC46B0" w:rsidTr="005600FF">
        <w:trPr>
          <w:trHeight w:val="570"/>
        </w:trPr>
        <w:tc>
          <w:tcPr>
            <w:tcW w:w="5053" w:type="dxa"/>
            <w:gridSpan w:val="2"/>
            <w:shd w:val="clear" w:color="auto" w:fill="auto"/>
            <w:hideMark/>
          </w:tcPr>
          <w:p w:rsidR="00B43B37" w:rsidRPr="00DC46B0" w:rsidRDefault="00B43B37" w:rsidP="005600FF">
            <w:pPr>
              <w:ind w:firstLine="0"/>
              <w:rPr>
                <w:szCs w:val="24"/>
              </w:rPr>
            </w:pPr>
            <w:r w:rsidRPr="00DC46B0">
              <w:rPr>
                <w:bCs/>
                <w:szCs w:val="24"/>
              </w:rPr>
              <w:lastRenderedPageBreak/>
              <w:t xml:space="preserve">Риск, связанный с применяемым препаратом (% кардиальных осложнений препаратов) </w:t>
            </w:r>
          </w:p>
        </w:tc>
        <w:tc>
          <w:tcPr>
            <w:tcW w:w="4694" w:type="dxa"/>
            <w:shd w:val="clear" w:color="auto" w:fill="auto"/>
            <w:hideMark/>
          </w:tcPr>
          <w:p w:rsidR="00B43B37" w:rsidRPr="00DC46B0" w:rsidRDefault="00B43B37" w:rsidP="005600FF">
            <w:pPr>
              <w:ind w:firstLine="0"/>
              <w:rPr>
                <w:bCs/>
                <w:szCs w:val="24"/>
              </w:rPr>
            </w:pPr>
            <w:r w:rsidRPr="00DC46B0">
              <w:rPr>
                <w:bCs/>
                <w:szCs w:val="24"/>
              </w:rPr>
              <w:t xml:space="preserve">Риск, связанный с пациентом </w:t>
            </w:r>
          </w:p>
          <w:p w:rsidR="00B43B37" w:rsidRPr="00DC46B0" w:rsidRDefault="00B43B37" w:rsidP="005600FF">
            <w:pPr>
              <w:ind w:firstLine="0"/>
              <w:rPr>
                <w:szCs w:val="24"/>
              </w:rPr>
            </w:pPr>
            <w:r w:rsidRPr="00DC46B0">
              <w:rPr>
                <w:bCs/>
                <w:szCs w:val="24"/>
              </w:rPr>
              <w:t>(каждый из факторов – 1 балл)</w:t>
            </w:r>
          </w:p>
        </w:tc>
      </w:tr>
      <w:tr w:rsidR="00B43B37" w:rsidRPr="00DC46B0" w:rsidTr="005600FF">
        <w:trPr>
          <w:trHeight w:val="1095"/>
        </w:trPr>
        <w:tc>
          <w:tcPr>
            <w:tcW w:w="2147" w:type="dxa"/>
            <w:shd w:val="clear" w:color="auto" w:fill="auto"/>
            <w:hideMark/>
          </w:tcPr>
          <w:p w:rsidR="00B43B37" w:rsidRPr="00DC46B0" w:rsidRDefault="00B43B37" w:rsidP="005600FF">
            <w:pPr>
              <w:ind w:firstLine="0"/>
              <w:rPr>
                <w:szCs w:val="24"/>
              </w:rPr>
            </w:pPr>
            <w:r w:rsidRPr="00DC46B0">
              <w:rPr>
                <w:bCs/>
                <w:szCs w:val="24"/>
              </w:rPr>
              <w:t xml:space="preserve">Высокий риск – </w:t>
            </w:r>
            <w:r w:rsidRPr="00DC46B0">
              <w:rPr>
                <w:szCs w:val="24"/>
              </w:rPr>
              <w:t xml:space="preserve"> </w:t>
            </w:r>
            <w:r w:rsidRPr="00DC46B0">
              <w:rPr>
                <w:bCs/>
                <w:szCs w:val="24"/>
              </w:rPr>
              <w:t xml:space="preserve">4 балла </w:t>
            </w:r>
          </w:p>
        </w:tc>
        <w:tc>
          <w:tcPr>
            <w:tcW w:w="2906" w:type="dxa"/>
            <w:shd w:val="clear" w:color="auto" w:fill="auto"/>
            <w:hideMark/>
          </w:tcPr>
          <w:p w:rsidR="00B43B37" w:rsidRPr="00DC46B0" w:rsidRDefault="00B43B37" w:rsidP="005600FF">
            <w:pPr>
              <w:ind w:firstLine="0"/>
              <w:rPr>
                <w:bCs/>
                <w:szCs w:val="24"/>
              </w:rPr>
            </w:pPr>
            <w:r w:rsidRPr="00DC46B0">
              <w:rPr>
                <w:bCs/>
                <w:szCs w:val="24"/>
              </w:rPr>
              <w:t>Антрациклины (3 – 48%, в зависимости от суммарной дозы)</w:t>
            </w:r>
          </w:p>
          <w:p w:rsidR="00B43B37" w:rsidRPr="00DC46B0" w:rsidRDefault="00B43B37" w:rsidP="005600FF">
            <w:pPr>
              <w:ind w:firstLine="0"/>
              <w:rPr>
                <w:bCs/>
                <w:szCs w:val="24"/>
              </w:rPr>
            </w:pPr>
            <w:r w:rsidRPr="00DC46B0">
              <w:rPr>
                <w:bCs/>
                <w:szCs w:val="24"/>
              </w:rPr>
              <w:t>Циклофосфан (7 – 28%) Ифосфамид (до 17% в зависимости от дозы) Клофарабин (27%)</w:t>
            </w:r>
          </w:p>
          <w:p w:rsidR="00B43B37" w:rsidRPr="00DC46B0" w:rsidRDefault="00B43B37" w:rsidP="005600FF">
            <w:pPr>
              <w:ind w:firstLine="0"/>
              <w:rPr>
                <w:szCs w:val="24"/>
              </w:rPr>
            </w:pPr>
            <w:r w:rsidRPr="00DC46B0">
              <w:rPr>
                <w:bCs/>
                <w:szCs w:val="24"/>
              </w:rPr>
              <w:t>Карфилзомиб (11 – 25%)</w:t>
            </w:r>
          </w:p>
        </w:tc>
        <w:tc>
          <w:tcPr>
            <w:tcW w:w="4694" w:type="dxa"/>
            <w:vMerge w:val="restart"/>
            <w:shd w:val="clear" w:color="auto" w:fill="auto"/>
            <w:hideMark/>
          </w:tcPr>
          <w:p w:rsidR="00B43B37" w:rsidRPr="00DC46B0" w:rsidRDefault="00B43B37" w:rsidP="004F39BB">
            <w:pPr>
              <w:numPr>
                <w:ilvl w:val="0"/>
                <w:numId w:val="50"/>
              </w:numPr>
              <w:tabs>
                <w:tab w:val="clear" w:pos="720"/>
              </w:tabs>
              <w:ind w:left="0" w:firstLine="0"/>
              <w:rPr>
                <w:szCs w:val="24"/>
              </w:rPr>
            </w:pPr>
            <w:r w:rsidRPr="00DC46B0">
              <w:rPr>
                <w:bCs/>
                <w:szCs w:val="24"/>
              </w:rPr>
              <w:t>Заболевание сердца или ХСН</w:t>
            </w:r>
          </w:p>
          <w:p w:rsidR="00B43B37" w:rsidRPr="00DC46B0" w:rsidRDefault="00B43B37" w:rsidP="004F39BB">
            <w:pPr>
              <w:numPr>
                <w:ilvl w:val="0"/>
                <w:numId w:val="50"/>
              </w:numPr>
              <w:tabs>
                <w:tab w:val="clear" w:pos="720"/>
              </w:tabs>
              <w:ind w:left="0" w:firstLine="0"/>
              <w:rPr>
                <w:szCs w:val="24"/>
              </w:rPr>
            </w:pPr>
            <w:r w:rsidRPr="00DC46B0">
              <w:rPr>
                <w:bCs/>
                <w:szCs w:val="24"/>
              </w:rPr>
              <w:t>ИБС или ее эквивалент (БПА)</w:t>
            </w:r>
          </w:p>
          <w:p w:rsidR="00B43B37" w:rsidRPr="00DC46B0" w:rsidRDefault="00B43B37" w:rsidP="004F39BB">
            <w:pPr>
              <w:numPr>
                <w:ilvl w:val="0"/>
                <w:numId w:val="50"/>
              </w:numPr>
              <w:tabs>
                <w:tab w:val="clear" w:pos="720"/>
              </w:tabs>
              <w:ind w:left="0" w:firstLine="0"/>
              <w:rPr>
                <w:szCs w:val="24"/>
              </w:rPr>
            </w:pPr>
            <w:r w:rsidRPr="00DC46B0">
              <w:rPr>
                <w:bCs/>
                <w:szCs w:val="24"/>
              </w:rPr>
              <w:t>АГ</w:t>
            </w:r>
          </w:p>
          <w:p w:rsidR="00B43B37" w:rsidRPr="00DC46B0" w:rsidRDefault="00B43B37" w:rsidP="004F39BB">
            <w:pPr>
              <w:numPr>
                <w:ilvl w:val="0"/>
                <w:numId w:val="50"/>
              </w:numPr>
              <w:tabs>
                <w:tab w:val="clear" w:pos="720"/>
              </w:tabs>
              <w:ind w:left="0" w:firstLine="0"/>
              <w:rPr>
                <w:szCs w:val="24"/>
              </w:rPr>
            </w:pPr>
            <w:r w:rsidRPr="00DC46B0">
              <w:rPr>
                <w:bCs/>
                <w:szCs w:val="24"/>
              </w:rPr>
              <w:t>Сахарный диабет</w:t>
            </w:r>
          </w:p>
          <w:p w:rsidR="00B43B37" w:rsidRPr="00DC46B0" w:rsidRDefault="00B43B37" w:rsidP="004F39BB">
            <w:pPr>
              <w:numPr>
                <w:ilvl w:val="0"/>
                <w:numId w:val="50"/>
              </w:numPr>
              <w:tabs>
                <w:tab w:val="clear" w:pos="720"/>
              </w:tabs>
              <w:ind w:left="0" w:firstLine="0"/>
              <w:rPr>
                <w:szCs w:val="24"/>
              </w:rPr>
            </w:pPr>
            <w:r w:rsidRPr="00DC46B0">
              <w:rPr>
                <w:bCs/>
                <w:szCs w:val="24"/>
              </w:rPr>
              <w:t>Предшествующее лечение антрациклинами</w:t>
            </w:r>
          </w:p>
          <w:p w:rsidR="00B43B37" w:rsidRPr="00DC46B0" w:rsidRDefault="00B43B37" w:rsidP="004F39BB">
            <w:pPr>
              <w:numPr>
                <w:ilvl w:val="0"/>
                <w:numId w:val="50"/>
              </w:numPr>
              <w:tabs>
                <w:tab w:val="clear" w:pos="720"/>
              </w:tabs>
              <w:ind w:left="0" w:firstLine="0"/>
              <w:rPr>
                <w:szCs w:val="24"/>
              </w:rPr>
            </w:pPr>
            <w:r w:rsidRPr="00DC46B0">
              <w:rPr>
                <w:bCs/>
                <w:szCs w:val="24"/>
              </w:rPr>
              <w:t xml:space="preserve">Предшествующая или совместная лучевая терапия </w:t>
            </w:r>
          </w:p>
          <w:p w:rsidR="00B43B37" w:rsidRPr="00DC46B0" w:rsidRDefault="00B43B37" w:rsidP="004F39BB">
            <w:pPr>
              <w:numPr>
                <w:ilvl w:val="0"/>
                <w:numId w:val="50"/>
              </w:numPr>
              <w:tabs>
                <w:tab w:val="clear" w:pos="720"/>
              </w:tabs>
              <w:ind w:left="0" w:firstLine="0"/>
              <w:rPr>
                <w:szCs w:val="24"/>
              </w:rPr>
            </w:pPr>
            <w:r w:rsidRPr="00DC46B0">
              <w:rPr>
                <w:bCs/>
                <w:szCs w:val="24"/>
              </w:rPr>
              <w:t xml:space="preserve">Возраст </w:t>
            </w:r>
            <w:r w:rsidRPr="00DC46B0">
              <w:rPr>
                <w:bCs/>
                <w:szCs w:val="24"/>
                <w:lang w:val="en-US"/>
              </w:rPr>
              <w:t xml:space="preserve">&lt; </w:t>
            </w:r>
            <w:r w:rsidRPr="00DC46B0">
              <w:rPr>
                <w:bCs/>
                <w:szCs w:val="24"/>
              </w:rPr>
              <w:t xml:space="preserve">15 или </w:t>
            </w:r>
            <w:r w:rsidRPr="00DC46B0">
              <w:rPr>
                <w:bCs/>
                <w:szCs w:val="24"/>
                <w:lang w:val="en-US"/>
              </w:rPr>
              <w:t>&gt;</w:t>
            </w:r>
            <w:r w:rsidRPr="00DC46B0">
              <w:rPr>
                <w:bCs/>
                <w:szCs w:val="24"/>
              </w:rPr>
              <w:t xml:space="preserve"> 65 лет</w:t>
            </w:r>
          </w:p>
          <w:p w:rsidR="00B43B37" w:rsidRPr="00DC46B0" w:rsidRDefault="00B43B37" w:rsidP="004F39BB">
            <w:pPr>
              <w:numPr>
                <w:ilvl w:val="0"/>
                <w:numId w:val="50"/>
              </w:numPr>
              <w:tabs>
                <w:tab w:val="clear" w:pos="720"/>
              </w:tabs>
              <w:ind w:left="0" w:firstLine="0"/>
              <w:rPr>
                <w:szCs w:val="24"/>
              </w:rPr>
            </w:pPr>
            <w:r w:rsidRPr="00DC46B0">
              <w:rPr>
                <w:bCs/>
                <w:szCs w:val="24"/>
              </w:rPr>
              <w:t xml:space="preserve">Женский пол </w:t>
            </w:r>
          </w:p>
        </w:tc>
      </w:tr>
      <w:tr w:rsidR="00B43B37" w:rsidRPr="00DC46B0" w:rsidTr="005600FF">
        <w:trPr>
          <w:trHeight w:val="762"/>
        </w:trPr>
        <w:tc>
          <w:tcPr>
            <w:tcW w:w="2147" w:type="dxa"/>
            <w:shd w:val="clear" w:color="auto" w:fill="auto"/>
            <w:hideMark/>
          </w:tcPr>
          <w:p w:rsidR="00B43B37" w:rsidRPr="00DC46B0" w:rsidRDefault="00B43B37" w:rsidP="005600FF">
            <w:pPr>
              <w:ind w:firstLine="0"/>
              <w:rPr>
                <w:szCs w:val="24"/>
              </w:rPr>
            </w:pPr>
            <w:r w:rsidRPr="00DC46B0">
              <w:rPr>
                <w:bCs/>
                <w:szCs w:val="24"/>
              </w:rPr>
              <w:t xml:space="preserve">Промежуточный риск – 2 балла </w:t>
            </w:r>
          </w:p>
        </w:tc>
        <w:tc>
          <w:tcPr>
            <w:tcW w:w="2906" w:type="dxa"/>
            <w:shd w:val="clear" w:color="auto" w:fill="auto"/>
            <w:hideMark/>
          </w:tcPr>
          <w:p w:rsidR="00B43B37" w:rsidRPr="00DC46B0" w:rsidRDefault="00B43B37" w:rsidP="005600FF">
            <w:pPr>
              <w:ind w:firstLine="0"/>
              <w:rPr>
                <w:szCs w:val="24"/>
                <w:lang w:val="en-US"/>
              </w:rPr>
            </w:pPr>
            <w:r w:rsidRPr="00DC46B0">
              <w:rPr>
                <w:szCs w:val="24"/>
              </w:rPr>
              <w:t>Бортезомиб (2 – 5%)</w:t>
            </w:r>
          </w:p>
          <w:p w:rsidR="00B43B37" w:rsidRPr="00DC46B0" w:rsidRDefault="00B43B37" w:rsidP="005600FF">
            <w:pPr>
              <w:ind w:firstLine="0"/>
              <w:rPr>
                <w:szCs w:val="24"/>
                <w:lang w:val="en-US"/>
              </w:rPr>
            </w:pPr>
            <w:r w:rsidRPr="00DC46B0">
              <w:rPr>
                <w:bCs/>
                <w:szCs w:val="24"/>
              </w:rPr>
              <w:t xml:space="preserve">Дазатиниб (2 – 4%), </w:t>
            </w:r>
          </w:p>
          <w:p w:rsidR="00B43B37" w:rsidRPr="00DC46B0" w:rsidRDefault="00B43B37" w:rsidP="005600FF">
            <w:pPr>
              <w:ind w:firstLine="0"/>
              <w:rPr>
                <w:szCs w:val="24"/>
                <w:lang w:val="en-US"/>
              </w:rPr>
            </w:pPr>
            <w:r w:rsidRPr="00DC46B0">
              <w:rPr>
                <w:bCs/>
                <w:szCs w:val="24"/>
              </w:rPr>
              <w:t>Сорафениб (4 - %)</w:t>
            </w:r>
          </w:p>
        </w:tc>
        <w:tc>
          <w:tcPr>
            <w:tcW w:w="4694" w:type="dxa"/>
            <w:vMerge/>
            <w:shd w:val="clear" w:color="auto" w:fill="auto"/>
            <w:hideMark/>
          </w:tcPr>
          <w:p w:rsidR="00B43B37" w:rsidRPr="00DC46B0" w:rsidRDefault="00B43B37" w:rsidP="005600FF">
            <w:pPr>
              <w:ind w:firstLine="0"/>
              <w:rPr>
                <w:szCs w:val="24"/>
              </w:rPr>
            </w:pPr>
          </w:p>
        </w:tc>
      </w:tr>
      <w:tr w:rsidR="00B43B37" w:rsidRPr="00DC46B0" w:rsidTr="005600FF">
        <w:trPr>
          <w:trHeight w:val="570"/>
        </w:trPr>
        <w:tc>
          <w:tcPr>
            <w:tcW w:w="2147" w:type="dxa"/>
            <w:shd w:val="clear" w:color="auto" w:fill="auto"/>
            <w:hideMark/>
          </w:tcPr>
          <w:p w:rsidR="00B43B37" w:rsidRPr="00DC46B0" w:rsidRDefault="00B43B37" w:rsidP="005600FF">
            <w:pPr>
              <w:ind w:firstLine="0"/>
              <w:rPr>
                <w:szCs w:val="24"/>
              </w:rPr>
            </w:pPr>
            <w:r w:rsidRPr="00DC46B0">
              <w:rPr>
                <w:bCs/>
                <w:szCs w:val="24"/>
              </w:rPr>
              <w:t xml:space="preserve">Низкий риск – 1 балл </w:t>
            </w:r>
          </w:p>
        </w:tc>
        <w:tc>
          <w:tcPr>
            <w:tcW w:w="2906" w:type="dxa"/>
            <w:shd w:val="clear" w:color="auto" w:fill="auto"/>
            <w:hideMark/>
          </w:tcPr>
          <w:p w:rsidR="00B43B37" w:rsidRPr="00DC46B0" w:rsidRDefault="00B43B37" w:rsidP="005600FF">
            <w:pPr>
              <w:ind w:firstLine="0"/>
              <w:rPr>
                <w:szCs w:val="24"/>
              </w:rPr>
            </w:pPr>
            <w:r w:rsidRPr="00DC46B0">
              <w:rPr>
                <w:bCs/>
                <w:szCs w:val="24"/>
              </w:rPr>
              <w:t>Иматиниб (0,2 – 2,7%),</w:t>
            </w:r>
            <w:r w:rsidRPr="00DC46B0">
              <w:rPr>
                <w:bCs/>
                <w:szCs w:val="24"/>
                <w:lang w:val="en-US"/>
              </w:rPr>
              <w:t xml:space="preserve"> </w:t>
            </w:r>
            <w:r w:rsidRPr="00DC46B0">
              <w:rPr>
                <w:bCs/>
                <w:szCs w:val="24"/>
              </w:rPr>
              <w:t>Нилотиниб (1%).</w:t>
            </w:r>
          </w:p>
        </w:tc>
        <w:tc>
          <w:tcPr>
            <w:tcW w:w="4694" w:type="dxa"/>
            <w:vMerge/>
            <w:shd w:val="clear" w:color="auto" w:fill="auto"/>
            <w:hideMark/>
          </w:tcPr>
          <w:p w:rsidR="00B43B37" w:rsidRPr="00DC46B0" w:rsidRDefault="00B43B37" w:rsidP="005600FF">
            <w:pPr>
              <w:ind w:firstLine="0"/>
              <w:rPr>
                <w:szCs w:val="24"/>
              </w:rPr>
            </w:pPr>
          </w:p>
        </w:tc>
      </w:tr>
      <w:tr w:rsidR="00B43B37" w:rsidRPr="00DC46B0" w:rsidTr="005600FF">
        <w:trPr>
          <w:trHeight w:val="570"/>
        </w:trPr>
        <w:tc>
          <w:tcPr>
            <w:tcW w:w="2147" w:type="dxa"/>
            <w:shd w:val="clear" w:color="auto" w:fill="auto"/>
            <w:hideMark/>
          </w:tcPr>
          <w:p w:rsidR="00B43B37" w:rsidRPr="00DC46B0" w:rsidRDefault="00B43B37" w:rsidP="005600FF">
            <w:pPr>
              <w:ind w:firstLine="0"/>
              <w:rPr>
                <w:szCs w:val="24"/>
              </w:rPr>
            </w:pPr>
            <w:r w:rsidRPr="00DC46B0">
              <w:rPr>
                <w:bCs/>
                <w:szCs w:val="24"/>
              </w:rPr>
              <w:t xml:space="preserve">Отсутствие риска (очень низкий риск)  – 0 баллов </w:t>
            </w:r>
          </w:p>
        </w:tc>
        <w:tc>
          <w:tcPr>
            <w:tcW w:w="2906" w:type="dxa"/>
            <w:shd w:val="clear" w:color="auto" w:fill="auto"/>
            <w:hideMark/>
          </w:tcPr>
          <w:p w:rsidR="00B43B37" w:rsidRPr="00DC46B0" w:rsidRDefault="00B43B37" w:rsidP="005600FF">
            <w:pPr>
              <w:ind w:firstLine="0"/>
              <w:rPr>
                <w:bCs/>
                <w:szCs w:val="24"/>
              </w:rPr>
            </w:pPr>
            <w:r w:rsidRPr="00DC46B0">
              <w:rPr>
                <w:bCs/>
                <w:szCs w:val="24"/>
              </w:rPr>
              <w:t xml:space="preserve">Этопозид, </w:t>
            </w:r>
          </w:p>
          <w:p w:rsidR="00B43B37" w:rsidRPr="00DC46B0" w:rsidRDefault="00B43B37" w:rsidP="005600FF">
            <w:pPr>
              <w:ind w:firstLine="0"/>
              <w:rPr>
                <w:szCs w:val="24"/>
              </w:rPr>
            </w:pPr>
            <w:r w:rsidRPr="00DC46B0">
              <w:rPr>
                <w:bCs/>
                <w:szCs w:val="24"/>
              </w:rPr>
              <w:t>Ритуксимаб,</w:t>
            </w:r>
            <w:r w:rsidRPr="00DC46B0">
              <w:rPr>
                <w:szCs w:val="24"/>
              </w:rPr>
              <w:t xml:space="preserve"> </w:t>
            </w:r>
          </w:p>
          <w:p w:rsidR="00B43B37" w:rsidRPr="00DC46B0" w:rsidRDefault="00B43B37" w:rsidP="005600FF">
            <w:pPr>
              <w:ind w:firstLine="0"/>
              <w:rPr>
                <w:szCs w:val="24"/>
              </w:rPr>
            </w:pPr>
          </w:p>
        </w:tc>
        <w:tc>
          <w:tcPr>
            <w:tcW w:w="4694" w:type="dxa"/>
            <w:vMerge/>
            <w:shd w:val="clear" w:color="auto" w:fill="auto"/>
            <w:hideMark/>
          </w:tcPr>
          <w:p w:rsidR="00B43B37" w:rsidRPr="00DC46B0" w:rsidRDefault="00B43B37" w:rsidP="005600FF">
            <w:pPr>
              <w:ind w:firstLine="0"/>
              <w:rPr>
                <w:szCs w:val="24"/>
              </w:rPr>
            </w:pPr>
          </w:p>
        </w:tc>
      </w:tr>
      <w:tr w:rsidR="00B43B37" w:rsidRPr="00DC46B0" w:rsidTr="005600FF">
        <w:trPr>
          <w:trHeight w:val="570"/>
        </w:trPr>
        <w:tc>
          <w:tcPr>
            <w:tcW w:w="9747" w:type="dxa"/>
            <w:gridSpan w:val="3"/>
            <w:shd w:val="clear" w:color="auto" w:fill="auto"/>
            <w:hideMark/>
          </w:tcPr>
          <w:p w:rsidR="00B43B37" w:rsidRPr="00DC46B0" w:rsidRDefault="00B43B37" w:rsidP="005600FF">
            <w:pPr>
              <w:ind w:firstLine="0"/>
              <w:rPr>
                <w:szCs w:val="24"/>
              </w:rPr>
            </w:pPr>
            <w:r w:rsidRPr="00DC46B0">
              <w:rPr>
                <w:bCs/>
                <w:szCs w:val="24"/>
              </w:rPr>
              <w:t xml:space="preserve">Уровень риска – сумма баллов лекарственных и коморбидных  рисков: &gt; 6 – очень высокий, 5 – 6 – высокий, 3 – 4 – промежуточный, 1 – 2 – низкий, 0 – очень низкий </w:t>
            </w:r>
          </w:p>
        </w:tc>
      </w:tr>
    </w:tbl>
    <w:p w:rsidR="00B43B37" w:rsidRPr="00DC46B0" w:rsidRDefault="00B43B37" w:rsidP="00B43B37">
      <w:pPr>
        <w:rPr>
          <w:szCs w:val="24"/>
        </w:rPr>
      </w:pPr>
      <w:r w:rsidRPr="00DC46B0">
        <w:rPr>
          <w:szCs w:val="24"/>
        </w:rPr>
        <w:t xml:space="preserve">   </w:t>
      </w:r>
    </w:p>
    <w:p w:rsidR="00B43B37" w:rsidRPr="00DC46B0" w:rsidRDefault="00B43B37" w:rsidP="00B43B37">
      <w:pPr>
        <w:rPr>
          <w:szCs w:val="24"/>
        </w:rPr>
      </w:pPr>
      <w:r w:rsidRPr="00DC46B0">
        <w:rPr>
          <w:szCs w:val="24"/>
        </w:rPr>
        <w:t>Немодифицируемые факторы риска ИБС:</w:t>
      </w:r>
      <w:r w:rsidRPr="004F07FC">
        <w:rPr>
          <w:szCs w:val="24"/>
        </w:rPr>
        <w:t xml:space="preserve"> </w:t>
      </w:r>
      <w:r w:rsidRPr="00DC46B0">
        <w:rPr>
          <w:szCs w:val="24"/>
        </w:rPr>
        <w:t>возраст более 45 лет у мужчин и более 55 лет у женщин, мужской пол, наследственность (ранний атеросклероз у родственников, ранняя смерть родственников от ИБС)</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w:t>
      </w:r>
    </w:p>
    <w:p w:rsidR="00B43B37" w:rsidRPr="00DC46B0" w:rsidRDefault="00B43B37" w:rsidP="00B43B37">
      <w:pPr>
        <w:rPr>
          <w:szCs w:val="24"/>
        </w:rPr>
      </w:pPr>
      <w:r w:rsidRPr="00DC46B0">
        <w:rPr>
          <w:szCs w:val="24"/>
        </w:rPr>
        <w:t>Модифицируемые факторы риска ИБС:</w:t>
      </w:r>
      <w:r w:rsidRPr="004F07FC">
        <w:rPr>
          <w:szCs w:val="24"/>
        </w:rPr>
        <w:t xml:space="preserve"> </w:t>
      </w:r>
      <w:r w:rsidRPr="00DC46B0">
        <w:rPr>
          <w:szCs w:val="24"/>
        </w:rPr>
        <w:t>АГ, курение, ожирение, недостаточная физическая активность; потенциально или частично модифицируемые – дислипидемия, сахарный диабет, психоэмоциональное перенапряжение</w:t>
      </w:r>
      <w:r>
        <w:rPr>
          <w:szCs w:val="24"/>
        </w:rPr>
        <w:t xml:space="preserve"> </w:t>
      </w:r>
      <w:r>
        <w:rPr>
          <w:szCs w:val="24"/>
        </w:rPr>
        <w:fldChar w:fldCharType="begin" w:fldLock="1"/>
      </w:r>
      <w:r w:rsidR="003524A5">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[79]","plainTextFormattedCitation":"[79]","previouslyFormattedCitation":"[79]"},"properties":{"noteIndex":0},"schema":"https://github.com/citation-style-language/schema/raw/master/csl-citation.json"}</w:instrText>
      </w:r>
      <w:r>
        <w:rPr>
          <w:szCs w:val="24"/>
        </w:rPr>
        <w:fldChar w:fldCharType="separate"/>
      </w:r>
      <w:r w:rsidR="005600FF" w:rsidRPr="005600FF">
        <w:rPr>
          <w:noProof/>
          <w:szCs w:val="24"/>
        </w:rPr>
        <w:t>[79]</w:t>
      </w:r>
      <w:r>
        <w:rPr>
          <w:szCs w:val="24"/>
        </w:rPr>
        <w:fldChar w:fldCharType="end"/>
      </w:r>
      <w:r w:rsidRPr="00DC46B0">
        <w:rPr>
          <w:szCs w:val="24"/>
        </w:rPr>
        <w:t xml:space="preserve">. </w:t>
      </w:r>
    </w:p>
    <w:p w:rsidR="00B43B37" w:rsidRPr="00DC46B0" w:rsidRDefault="00B43B37" w:rsidP="00B43B37">
      <w:pPr>
        <w:rPr>
          <w:szCs w:val="24"/>
        </w:rPr>
      </w:pPr>
      <w:r w:rsidRPr="00DC46B0">
        <w:rPr>
          <w:szCs w:val="24"/>
        </w:rPr>
        <w:t xml:space="preserve">При выявлении дислипидемии, сахарного диабета необходимо оценить показания к проведению и назначить при необходимости гиполипидемическую и гипогликемическую терапию </w:t>
      </w:r>
    </w:p>
    <w:p w:rsidR="00B43B37" w:rsidRPr="00DC46B0" w:rsidRDefault="00B43B37" w:rsidP="00B43B37">
      <w:pPr>
        <w:rPr>
          <w:szCs w:val="24"/>
        </w:rPr>
      </w:pPr>
      <w:r w:rsidRPr="00DC46B0">
        <w:rPr>
          <w:szCs w:val="24"/>
        </w:rPr>
        <w:t xml:space="preserve">В соответствии с риском развития поражения миокарда предлагается профилактическое лечение ингибитором ангиотензинпревращающего фермента (иАПФ) или антагонистами рецепторов ангиотензина </w:t>
      </w:r>
      <w:r w:rsidRPr="00DC46B0">
        <w:rPr>
          <w:szCs w:val="24"/>
          <w:lang w:val="en-US"/>
        </w:rPr>
        <w:t>II</w:t>
      </w:r>
      <w:r w:rsidRPr="00DC46B0">
        <w:rPr>
          <w:szCs w:val="24"/>
        </w:rPr>
        <w:t xml:space="preserve"> (АРА), карведилолом и статинами в низких дозах (таб. 3).  </w:t>
      </w:r>
    </w:p>
    <w:p w:rsidR="00B43B37" w:rsidRDefault="00B43B37" w:rsidP="00B43B37">
      <w:pPr>
        <w:rPr>
          <w:b/>
          <w:szCs w:val="24"/>
        </w:rPr>
      </w:pPr>
    </w:p>
    <w:p w:rsidR="00B43B37" w:rsidRPr="004F07FC" w:rsidRDefault="00B43B37" w:rsidP="00B43B37">
      <w:pPr>
        <w:rPr>
          <w:szCs w:val="24"/>
        </w:rPr>
      </w:pPr>
      <w:r w:rsidRPr="004F07FC">
        <w:rPr>
          <w:szCs w:val="24"/>
        </w:rPr>
        <w:lastRenderedPageBreak/>
        <w:t xml:space="preserve">Таблица 3. Профилактика кардиотоксичности в соответствии с риском поражения миокарда </w:t>
      </w:r>
      <w:r>
        <w:rPr>
          <w:szCs w:val="24"/>
          <w:lang w:val="en-US"/>
        </w:rPr>
        <w:fldChar w:fldCharType="begin" w:fldLock="1"/>
      </w:r>
      <w:r w:rsidR="003524A5">
        <w:rPr>
          <w:szCs w:val="24"/>
          <w:lang w:val="en-US"/>
        </w:rPr>
        <w:instrText>ADDIN</w:instrText>
      </w:r>
      <w:r w:rsidR="003524A5" w:rsidRPr="00E45937">
        <w:rPr>
          <w:szCs w:val="24"/>
        </w:rPr>
        <w:instrText xml:space="preserve"> </w:instrText>
      </w:r>
      <w:r w:rsidR="003524A5">
        <w:rPr>
          <w:szCs w:val="24"/>
          <w:lang w:val="en-US"/>
        </w:rPr>
        <w:instrText>CSL</w:instrText>
      </w:r>
      <w:r w:rsidR="003524A5" w:rsidRPr="00E45937">
        <w:rPr>
          <w:szCs w:val="24"/>
        </w:rPr>
        <w:instrText>_</w:instrText>
      </w:r>
      <w:r w:rsidR="003524A5">
        <w:rPr>
          <w:szCs w:val="24"/>
          <w:lang w:val="en-US"/>
        </w:rPr>
        <w:instrText>CITATION</w:instrText>
      </w:r>
      <w:r w:rsidR="003524A5" w:rsidRPr="00E45937">
        <w:rPr>
          <w:szCs w:val="24"/>
        </w:rPr>
        <w:instrText xml:space="preserve"> {"</w:instrText>
      </w:r>
      <w:r w:rsidR="003524A5">
        <w:rPr>
          <w:szCs w:val="24"/>
          <w:lang w:val="en-US"/>
        </w:rPr>
        <w:instrText>citationItems</w:instrText>
      </w:r>
      <w:r w:rsidR="003524A5" w:rsidRPr="00E45937">
        <w:rPr>
          <w:szCs w:val="24"/>
        </w:rPr>
        <w:instrText>":[{"</w:instrText>
      </w:r>
      <w:r w:rsidR="003524A5">
        <w:rPr>
          <w:szCs w:val="24"/>
          <w:lang w:val="en-US"/>
        </w:rPr>
        <w:instrText>id</w:instrText>
      </w:r>
      <w:r w:rsidR="003524A5" w:rsidRPr="00E45937">
        <w:rPr>
          <w:szCs w:val="24"/>
        </w:rPr>
        <w:instrText>":"</w:instrText>
      </w:r>
      <w:r w:rsidR="003524A5">
        <w:rPr>
          <w:szCs w:val="24"/>
          <w:lang w:val="en-US"/>
        </w:rPr>
        <w:instrText>ITEM</w:instrText>
      </w:r>
      <w:r w:rsidR="003524A5" w:rsidRPr="00E45937">
        <w:rPr>
          <w:szCs w:val="24"/>
        </w:rPr>
        <w:instrText>-1","</w:instrText>
      </w:r>
      <w:r w:rsidR="003524A5">
        <w:rPr>
          <w:szCs w:val="24"/>
          <w:lang w:val="en-US"/>
        </w:rPr>
        <w:instrText>itemData</w:instrText>
      </w:r>
      <w:r w:rsidR="003524A5" w:rsidRPr="00E45937">
        <w:rPr>
          <w:szCs w:val="24"/>
        </w:rPr>
        <w:instrText>":{"</w:instrText>
      </w:r>
      <w:r w:rsidR="003524A5">
        <w:rPr>
          <w:szCs w:val="24"/>
          <w:lang w:val="en-US"/>
        </w:rPr>
        <w:instrText>DOI</w:instrText>
      </w:r>
      <w:r w:rsidR="003524A5" w:rsidRPr="00E45937">
        <w:rPr>
          <w:szCs w:val="24"/>
        </w:rPr>
        <w:instrText>":"10.1530/</w:instrText>
      </w:r>
      <w:r w:rsidR="003524A5">
        <w:rPr>
          <w:szCs w:val="24"/>
          <w:lang w:val="en-US"/>
        </w:rPr>
        <w:instrText>ERP</w:instrText>
      </w:r>
      <w:r w:rsidR="003524A5" w:rsidRPr="00E45937">
        <w:rPr>
          <w:szCs w:val="24"/>
        </w:rPr>
        <w:instrText>-17-0013","</w:instrText>
      </w:r>
      <w:r w:rsidR="003524A5">
        <w:rPr>
          <w:szCs w:val="24"/>
          <w:lang w:val="en-US"/>
        </w:rPr>
        <w:instrText>ISSN</w:instrText>
      </w:r>
      <w:r w:rsidR="003524A5" w:rsidRPr="00E45937">
        <w:rPr>
          <w:szCs w:val="24"/>
        </w:rPr>
        <w:instrText>":"20550464","</w:instrText>
      </w:r>
      <w:r w:rsidR="003524A5">
        <w:rPr>
          <w:szCs w:val="24"/>
          <w:lang w:val="en-US"/>
        </w:rPr>
        <w:instrText>abstract</w:instrText>
      </w:r>
      <w:r w:rsidR="003524A5" w:rsidRPr="00E45937">
        <w:rPr>
          <w:szCs w:val="24"/>
        </w:rPr>
        <w:instrText>":"</w:instrText>
      </w:r>
      <w:r w:rsidR="003524A5">
        <w:rPr>
          <w:szCs w:val="24"/>
          <w:lang w:val="en-US"/>
        </w:rPr>
        <w:instrText>Cardio</w:instrText>
      </w:r>
      <w:r w:rsidR="003524A5" w:rsidRPr="00E45937">
        <w:rPr>
          <w:szCs w:val="24"/>
        </w:rPr>
        <w:instrText>-</w:instrText>
      </w:r>
      <w:r w:rsidR="003524A5">
        <w:rPr>
          <w:szCs w:val="24"/>
          <w:lang w:val="en-US"/>
        </w:rPr>
        <w:instrText>oncology</w:instrText>
      </w:r>
      <w:r w:rsidR="003524A5" w:rsidRPr="00E45937">
        <w:rPr>
          <w:szCs w:val="24"/>
        </w:rPr>
        <w:instrText xml:space="preserve"> </w:instrText>
      </w:r>
      <w:r w:rsidR="003524A5">
        <w:rPr>
          <w:szCs w:val="24"/>
          <w:lang w:val="en-US"/>
        </w:rPr>
        <w:instrText>is</w:instrText>
      </w:r>
      <w:r w:rsidR="003524A5" w:rsidRPr="00E45937">
        <w:rPr>
          <w:szCs w:val="24"/>
        </w:rPr>
        <w:instrText xml:space="preserve"> </w:instrText>
      </w:r>
      <w:r w:rsidR="003524A5">
        <w:rPr>
          <w:szCs w:val="24"/>
          <w:lang w:val="en-US"/>
        </w:rPr>
        <w:instrText>a</w:instrText>
      </w:r>
      <w:r w:rsidR="003524A5" w:rsidRPr="00E45937">
        <w:rPr>
          <w:szCs w:val="24"/>
        </w:rPr>
        <w:instrText xml:space="preserve"> </w:instrText>
      </w:r>
      <w:r w:rsidR="003524A5">
        <w:rPr>
          <w:szCs w:val="24"/>
          <w:lang w:val="en-US"/>
        </w:rPr>
        <w:instrText>rapidly</w:instrText>
      </w:r>
      <w:r w:rsidR="003524A5" w:rsidRPr="00E45937">
        <w:rPr>
          <w:szCs w:val="24"/>
        </w:rPr>
        <w:instrText xml:space="preserve"> </w:instrText>
      </w:r>
      <w:r w:rsidR="003524A5">
        <w:rPr>
          <w:szCs w:val="24"/>
          <w:lang w:val="en-US"/>
        </w:rPr>
        <w:instrText>growing</w:instrText>
      </w:r>
      <w:r w:rsidR="003524A5" w:rsidRPr="00E45937">
        <w:rPr>
          <w:szCs w:val="24"/>
        </w:rPr>
        <w:instrText xml:space="preserve"> </w:instrText>
      </w:r>
      <w:r w:rsidR="003524A5">
        <w:rPr>
          <w:szCs w:val="24"/>
          <w:lang w:val="en-US"/>
        </w:rPr>
        <w:instrText>feld</w:instrText>
      </w:r>
      <w:r w:rsidR="003524A5" w:rsidRPr="00E45937">
        <w:rPr>
          <w:szCs w:val="24"/>
        </w:rPr>
        <w:instrText xml:space="preserve"> </w:instrText>
      </w:r>
      <w:r w:rsidR="003524A5">
        <w:rPr>
          <w:szCs w:val="24"/>
          <w:lang w:val="en-US"/>
        </w:rPr>
        <w:instrText>aimed</w:instrText>
      </w:r>
      <w:r w:rsidR="003524A5" w:rsidRPr="00E45937">
        <w:rPr>
          <w:szCs w:val="24"/>
        </w:rPr>
        <w:instrText xml:space="preserve"> </w:instrText>
      </w:r>
      <w:r w:rsidR="003524A5">
        <w:rPr>
          <w:szCs w:val="24"/>
          <w:lang w:val="en-US"/>
        </w:rPr>
        <w:instrText>at</w:instrText>
      </w:r>
      <w:r w:rsidR="003524A5" w:rsidRPr="00E45937">
        <w:rPr>
          <w:szCs w:val="24"/>
        </w:rPr>
        <w:instrText xml:space="preserve"> </w:instrText>
      </w:r>
      <w:r w:rsidR="003524A5">
        <w:rPr>
          <w:szCs w:val="24"/>
          <w:lang w:val="en-US"/>
        </w:rPr>
        <w:instrText>minimizing</w:instrText>
      </w:r>
      <w:r w:rsidR="003524A5" w:rsidRPr="00E45937">
        <w:rPr>
          <w:szCs w:val="24"/>
        </w:rPr>
        <w:instrText xml:space="preserve"> </w:instrText>
      </w:r>
      <w:r w:rsidR="003524A5">
        <w:rPr>
          <w:szCs w:val="24"/>
          <w:lang w:val="en-US"/>
        </w:rPr>
        <w:instrText>the</w:instrText>
      </w:r>
      <w:r w:rsidR="003524A5" w:rsidRPr="00E45937">
        <w:rPr>
          <w:szCs w:val="24"/>
        </w:rPr>
        <w:instrText xml:space="preserve"> </w:instrText>
      </w:r>
      <w:r w:rsidR="003524A5">
        <w:rPr>
          <w:szCs w:val="24"/>
          <w:lang w:val="en-US"/>
        </w:rPr>
        <w:instrText>effects</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cardiovascular</w:instrText>
      </w:r>
      <w:r w:rsidR="003524A5" w:rsidRPr="00E45937">
        <w:rPr>
          <w:szCs w:val="24"/>
        </w:rPr>
        <w:instrText xml:space="preserve"> </w:instrText>
      </w:r>
      <w:r w:rsidR="003524A5">
        <w:rPr>
          <w:szCs w:val="24"/>
          <w:lang w:val="en-US"/>
        </w:rPr>
        <w:instrText>morbidity</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mortality</w:instrText>
      </w:r>
      <w:r w:rsidR="003524A5" w:rsidRPr="00E45937">
        <w:rPr>
          <w:szCs w:val="24"/>
        </w:rPr>
        <w:instrText xml:space="preserve"> </w:instrText>
      </w:r>
      <w:r w:rsidR="003524A5">
        <w:rPr>
          <w:szCs w:val="24"/>
          <w:lang w:val="en-US"/>
        </w:rPr>
        <w:instrText>in</w:instrText>
      </w:r>
      <w:r w:rsidR="003524A5" w:rsidRPr="00E45937">
        <w:rPr>
          <w:szCs w:val="24"/>
        </w:rPr>
        <w:instrText xml:space="preserve"> </w:instrText>
      </w:r>
      <w:r w:rsidR="003524A5">
        <w:rPr>
          <w:szCs w:val="24"/>
          <w:lang w:val="en-US"/>
        </w:rPr>
        <w:instrText>cancer</w:instrText>
      </w:r>
      <w:r w:rsidR="003524A5" w:rsidRPr="00E45937">
        <w:rPr>
          <w:szCs w:val="24"/>
        </w:rPr>
        <w:instrText xml:space="preserve"> </w:instrText>
      </w:r>
      <w:r w:rsidR="003524A5">
        <w:rPr>
          <w:szCs w:val="24"/>
          <w:lang w:val="en-US"/>
        </w:rPr>
        <w:instrText>survivors</w:instrText>
      </w:r>
      <w:r w:rsidR="003524A5" w:rsidRPr="00E45937">
        <w:rPr>
          <w:szCs w:val="24"/>
        </w:rPr>
        <w:instrText xml:space="preserve">. </w:instrText>
      </w:r>
      <w:r w:rsidR="003524A5">
        <w:rPr>
          <w:szCs w:val="24"/>
          <w:lang w:val="en-US"/>
        </w:rPr>
        <w:instrText>To</w:instrText>
      </w:r>
      <w:r w:rsidR="003524A5" w:rsidRPr="00E45937">
        <w:rPr>
          <w:szCs w:val="24"/>
        </w:rPr>
        <w:instrText xml:space="preserve"> </w:instrText>
      </w:r>
      <w:r w:rsidR="003524A5">
        <w:rPr>
          <w:szCs w:val="24"/>
          <w:lang w:val="en-US"/>
        </w:rPr>
        <w:instrText>meet</w:instrText>
      </w:r>
      <w:r w:rsidR="003524A5" w:rsidRPr="00E45937">
        <w:rPr>
          <w:szCs w:val="24"/>
        </w:rPr>
        <w:instrText xml:space="preserve"> </w:instrText>
      </w:r>
      <w:r w:rsidR="003524A5">
        <w:rPr>
          <w:szCs w:val="24"/>
          <w:lang w:val="en-US"/>
        </w:rPr>
        <w:instrText>this</w:instrText>
      </w:r>
      <w:r w:rsidR="003524A5" w:rsidRPr="00E45937">
        <w:rPr>
          <w:szCs w:val="24"/>
        </w:rPr>
        <w:instrText xml:space="preserve"> </w:instrText>
      </w:r>
      <w:r w:rsidR="003524A5">
        <w:rPr>
          <w:szCs w:val="24"/>
          <w:lang w:val="en-US"/>
        </w:rPr>
        <w:instrText>aim</w:instrText>
      </w:r>
      <w:r w:rsidR="003524A5" w:rsidRPr="00E45937">
        <w:rPr>
          <w:szCs w:val="24"/>
        </w:rPr>
        <w:instrText xml:space="preserve">, </w:instrText>
      </w:r>
      <w:r w:rsidR="003524A5">
        <w:rPr>
          <w:szCs w:val="24"/>
          <w:lang w:val="en-US"/>
        </w:rPr>
        <w:instrText>patients</w:instrText>
      </w:r>
      <w:r w:rsidR="003524A5" w:rsidRPr="00E45937">
        <w:rPr>
          <w:szCs w:val="24"/>
        </w:rPr>
        <w:instrText xml:space="preserve"> </w:instrText>
      </w:r>
      <w:r w:rsidR="003524A5">
        <w:rPr>
          <w:szCs w:val="24"/>
          <w:lang w:val="en-US"/>
        </w:rPr>
        <w:instrText>are</w:instrText>
      </w:r>
      <w:r w:rsidR="003524A5" w:rsidRPr="00E45937">
        <w:rPr>
          <w:szCs w:val="24"/>
        </w:rPr>
        <w:instrText xml:space="preserve"> </w:instrText>
      </w:r>
      <w:r w:rsidR="003524A5">
        <w:rPr>
          <w:szCs w:val="24"/>
          <w:lang w:val="en-US"/>
        </w:rPr>
        <w:instrText>assessed</w:instrText>
      </w:r>
      <w:r w:rsidR="003524A5" w:rsidRPr="00E45937">
        <w:rPr>
          <w:szCs w:val="24"/>
        </w:rPr>
        <w:instrText xml:space="preserve"> </w:instrText>
      </w:r>
      <w:r w:rsidR="003524A5">
        <w:rPr>
          <w:szCs w:val="24"/>
          <w:lang w:val="en-US"/>
        </w:rPr>
        <w:instrText>at</w:instrText>
      </w:r>
      <w:r w:rsidR="003524A5" w:rsidRPr="00E45937">
        <w:rPr>
          <w:szCs w:val="24"/>
        </w:rPr>
        <w:instrText xml:space="preserve"> </w:instrText>
      </w:r>
      <w:r w:rsidR="003524A5">
        <w:rPr>
          <w:szCs w:val="24"/>
          <w:lang w:val="en-US"/>
        </w:rPr>
        <w:instrText>baseline</w:instrText>
      </w:r>
      <w:r w:rsidR="003524A5" w:rsidRPr="00E45937">
        <w:rPr>
          <w:szCs w:val="24"/>
        </w:rPr>
        <w:instrText xml:space="preserve"> </w:instrText>
      </w:r>
      <w:r w:rsidR="003524A5">
        <w:rPr>
          <w:szCs w:val="24"/>
          <w:lang w:val="en-US"/>
        </w:rPr>
        <w:instrText>to</w:instrText>
      </w:r>
      <w:r w:rsidR="003524A5" w:rsidRPr="00E45937">
        <w:rPr>
          <w:szCs w:val="24"/>
        </w:rPr>
        <w:instrText xml:space="preserve"> </w:instrText>
      </w:r>
      <w:r w:rsidR="003524A5">
        <w:rPr>
          <w:szCs w:val="24"/>
          <w:lang w:val="en-US"/>
        </w:rPr>
        <w:instrText>define</w:instrText>
      </w:r>
      <w:r w:rsidR="003524A5" w:rsidRPr="00E45937">
        <w:rPr>
          <w:szCs w:val="24"/>
        </w:rPr>
        <w:instrText xml:space="preserve"> </w:instrText>
      </w:r>
      <w:r w:rsidR="003524A5">
        <w:rPr>
          <w:szCs w:val="24"/>
          <w:lang w:val="en-US"/>
        </w:rPr>
        <w:instrText>their</w:instrText>
      </w:r>
      <w:r w:rsidR="003524A5" w:rsidRPr="00E45937">
        <w:rPr>
          <w:szCs w:val="24"/>
        </w:rPr>
        <w:instrText xml:space="preserve"> </w:instrText>
      </w:r>
      <w:r w:rsidR="003524A5">
        <w:rPr>
          <w:szCs w:val="24"/>
          <w:lang w:val="en-US"/>
        </w:rPr>
        <w:instrText>risk</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cardiotoxicity</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then</w:instrText>
      </w:r>
      <w:r w:rsidR="003524A5" w:rsidRPr="00E45937">
        <w:rPr>
          <w:szCs w:val="24"/>
        </w:rPr>
        <w:instrText xml:space="preserve"> </w:instrText>
      </w:r>
      <w:r w:rsidR="003524A5">
        <w:rPr>
          <w:szCs w:val="24"/>
          <w:lang w:val="en-US"/>
        </w:rPr>
        <w:instrText>followed</w:instrText>
      </w:r>
      <w:r w:rsidR="003524A5" w:rsidRPr="00E45937">
        <w:rPr>
          <w:szCs w:val="24"/>
        </w:rPr>
        <w:instrText xml:space="preserve"> </w:instrText>
      </w:r>
      <w:r w:rsidR="003524A5">
        <w:rPr>
          <w:szCs w:val="24"/>
          <w:lang w:val="en-US"/>
        </w:rPr>
        <w:instrText>closely</w:instrText>
      </w:r>
      <w:r w:rsidR="003524A5" w:rsidRPr="00E45937">
        <w:rPr>
          <w:szCs w:val="24"/>
        </w:rPr>
        <w:instrText xml:space="preserve"> </w:instrText>
      </w:r>
      <w:r w:rsidR="003524A5">
        <w:rPr>
          <w:szCs w:val="24"/>
          <w:lang w:val="en-US"/>
        </w:rPr>
        <w:instrText>during</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after</w:instrText>
      </w:r>
      <w:r w:rsidR="003524A5" w:rsidRPr="00E45937">
        <w:rPr>
          <w:szCs w:val="24"/>
        </w:rPr>
        <w:instrText xml:space="preserve"> </w:instrText>
      </w:r>
      <w:r w:rsidR="003524A5">
        <w:rPr>
          <w:szCs w:val="24"/>
          <w:lang w:val="en-US"/>
        </w:rPr>
        <w:instrText>chemotherapy</w:instrText>
      </w:r>
      <w:r w:rsidR="003524A5" w:rsidRPr="00E45937">
        <w:rPr>
          <w:szCs w:val="24"/>
        </w:rPr>
        <w:instrText xml:space="preserve"> </w:instrText>
      </w:r>
      <w:r w:rsidR="003524A5">
        <w:rPr>
          <w:szCs w:val="24"/>
          <w:lang w:val="en-US"/>
        </w:rPr>
        <w:instrText>to</w:instrText>
      </w:r>
      <w:r w:rsidR="003524A5" w:rsidRPr="00E45937">
        <w:rPr>
          <w:szCs w:val="24"/>
        </w:rPr>
        <w:instrText xml:space="preserve"> </w:instrText>
      </w:r>
      <w:r w:rsidR="003524A5">
        <w:rPr>
          <w:szCs w:val="24"/>
          <w:lang w:val="en-US"/>
        </w:rPr>
        <w:instrText>assess</w:instrText>
      </w:r>
      <w:r w:rsidR="003524A5" w:rsidRPr="00E45937">
        <w:rPr>
          <w:szCs w:val="24"/>
        </w:rPr>
        <w:instrText xml:space="preserve"> </w:instrText>
      </w:r>
      <w:r w:rsidR="003524A5">
        <w:rPr>
          <w:szCs w:val="24"/>
          <w:lang w:val="en-US"/>
        </w:rPr>
        <w:instrText>for</w:instrText>
      </w:r>
      <w:r w:rsidR="003524A5" w:rsidRPr="00E45937">
        <w:rPr>
          <w:szCs w:val="24"/>
        </w:rPr>
        <w:instrText xml:space="preserve"> </w:instrText>
      </w:r>
      <w:r w:rsidR="003524A5">
        <w:rPr>
          <w:szCs w:val="24"/>
          <w:lang w:val="en-US"/>
        </w:rPr>
        <w:instrText>early</w:instrText>
      </w:r>
      <w:r w:rsidR="003524A5" w:rsidRPr="00E45937">
        <w:rPr>
          <w:szCs w:val="24"/>
        </w:rPr>
        <w:instrText xml:space="preserve"> </w:instrText>
      </w:r>
      <w:r w:rsidR="003524A5">
        <w:rPr>
          <w:szCs w:val="24"/>
          <w:lang w:val="en-US"/>
        </w:rPr>
        <w:instrText>signs</w:instrText>
      </w:r>
      <w:r w:rsidR="003524A5" w:rsidRPr="00E45937">
        <w:rPr>
          <w:szCs w:val="24"/>
        </w:rPr>
        <w:instrText xml:space="preserve"> </w:instrText>
      </w:r>
      <w:r w:rsidR="003524A5">
        <w:rPr>
          <w:szCs w:val="24"/>
          <w:lang w:val="en-US"/>
        </w:rPr>
        <w:instrText>or</w:instrText>
      </w:r>
      <w:r w:rsidR="003524A5" w:rsidRPr="00E45937">
        <w:rPr>
          <w:szCs w:val="24"/>
        </w:rPr>
        <w:instrText xml:space="preserve"> </w:instrText>
      </w:r>
      <w:r w:rsidR="003524A5">
        <w:rPr>
          <w:szCs w:val="24"/>
          <w:lang w:val="en-US"/>
        </w:rPr>
        <w:instrText>symptoms</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cardiovascular</w:instrText>
      </w:r>
      <w:r w:rsidR="003524A5" w:rsidRPr="00E45937">
        <w:rPr>
          <w:szCs w:val="24"/>
        </w:rPr>
        <w:instrText xml:space="preserve"> </w:instrText>
      </w:r>
      <w:r w:rsidR="003524A5">
        <w:rPr>
          <w:szCs w:val="24"/>
          <w:lang w:val="en-US"/>
        </w:rPr>
        <w:instrText>disease</w:instrText>
      </w:r>
      <w:r w:rsidR="003524A5" w:rsidRPr="00E45937">
        <w:rPr>
          <w:szCs w:val="24"/>
        </w:rPr>
        <w:instrText xml:space="preserve">. </w:instrText>
      </w:r>
      <w:r w:rsidR="003524A5">
        <w:rPr>
          <w:szCs w:val="24"/>
          <w:lang w:val="en-US"/>
        </w:rPr>
        <w:instrText>Cardiac</w:instrText>
      </w:r>
      <w:r w:rsidR="003524A5" w:rsidRPr="00E45937">
        <w:rPr>
          <w:szCs w:val="24"/>
        </w:rPr>
        <w:instrText xml:space="preserve"> </w:instrText>
      </w:r>
      <w:r w:rsidR="003524A5">
        <w:rPr>
          <w:szCs w:val="24"/>
          <w:lang w:val="en-US"/>
        </w:rPr>
        <w:instrText>imaging</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in</w:instrText>
      </w:r>
      <w:r w:rsidR="003524A5" w:rsidRPr="00E45937">
        <w:rPr>
          <w:szCs w:val="24"/>
        </w:rPr>
        <w:instrText xml:space="preserve"> </w:instrText>
      </w:r>
      <w:r w:rsidR="003524A5">
        <w:rPr>
          <w:szCs w:val="24"/>
          <w:lang w:val="en-US"/>
        </w:rPr>
        <w:instrText>particular</w:instrText>
      </w:r>
      <w:r w:rsidR="003524A5" w:rsidRPr="00E45937">
        <w:rPr>
          <w:szCs w:val="24"/>
        </w:rPr>
        <w:instrText xml:space="preserve">, </w:instrText>
      </w:r>
      <w:r w:rsidR="003524A5">
        <w:rPr>
          <w:szCs w:val="24"/>
          <w:lang w:val="en-US"/>
        </w:rPr>
        <w:instrText>transthoracic</w:instrText>
      </w:r>
      <w:r w:rsidR="003524A5" w:rsidRPr="00E45937">
        <w:rPr>
          <w:szCs w:val="24"/>
        </w:rPr>
        <w:instrText xml:space="preserve"> </w:instrText>
      </w:r>
      <w:r w:rsidR="003524A5">
        <w:rPr>
          <w:szCs w:val="24"/>
          <w:lang w:val="en-US"/>
        </w:rPr>
        <w:instrText>echocardiography</w:instrText>
      </w:r>
      <w:r w:rsidR="003524A5" w:rsidRPr="00E45937">
        <w:rPr>
          <w:szCs w:val="24"/>
        </w:rPr>
        <w:instrText xml:space="preserve">, </w:instrText>
      </w:r>
      <w:r w:rsidR="003524A5">
        <w:rPr>
          <w:szCs w:val="24"/>
          <w:lang w:val="en-US"/>
        </w:rPr>
        <w:instrText>plays</w:instrText>
      </w:r>
      <w:r w:rsidR="003524A5" w:rsidRPr="00E45937">
        <w:rPr>
          <w:szCs w:val="24"/>
        </w:rPr>
        <w:instrText xml:space="preserve"> </w:instrText>
      </w:r>
      <w:r w:rsidR="003524A5">
        <w:rPr>
          <w:szCs w:val="24"/>
          <w:lang w:val="en-US"/>
        </w:rPr>
        <w:instrText>an</w:instrText>
      </w:r>
      <w:r w:rsidR="003524A5" w:rsidRPr="00E45937">
        <w:rPr>
          <w:szCs w:val="24"/>
        </w:rPr>
        <w:instrText xml:space="preserve"> </w:instrText>
      </w:r>
      <w:r w:rsidR="003524A5">
        <w:rPr>
          <w:szCs w:val="24"/>
          <w:lang w:val="en-US"/>
        </w:rPr>
        <w:instrText>essential</w:instrText>
      </w:r>
      <w:r w:rsidR="003524A5" w:rsidRPr="00E45937">
        <w:rPr>
          <w:szCs w:val="24"/>
        </w:rPr>
        <w:instrText xml:space="preserve"> </w:instrText>
      </w:r>
      <w:r w:rsidR="003524A5">
        <w:rPr>
          <w:szCs w:val="24"/>
          <w:lang w:val="en-US"/>
        </w:rPr>
        <w:instrText>role</w:instrText>
      </w:r>
      <w:r w:rsidR="003524A5" w:rsidRPr="00E45937">
        <w:rPr>
          <w:szCs w:val="24"/>
        </w:rPr>
        <w:instrText xml:space="preserve"> </w:instrText>
      </w:r>
      <w:r w:rsidR="003524A5">
        <w:rPr>
          <w:szCs w:val="24"/>
          <w:lang w:val="en-US"/>
        </w:rPr>
        <w:instrText>in</w:instrText>
      </w:r>
      <w:r w:rsidR="003524A5" w:rsidRPr="00E45937">
        <w:rPr>
          <w:szCs w:val="24"/>
        </w:rPr>
        <w:instrText xml:space="preserve"> </w:instrText>
      </w:r>
      <w:r w:rsidR="003524A5">
        <w:rPr>
          <w:szCs w:val="24"/>
          <w:lang w:val="en-US"/>
        </w:rPr>
        <w:instrText>the</w:instrText>
      </w:r>
      <w:r w:rsidR="003524A5" w:rsidRPr="00E45937">
        <w:rPr>
          <w:szCs w:val="24"/>
        </w:rPr>
        <w:instrText xml:space="preserve"> </w:instrText>
      </w:r>
      <w:r w:rsidR="003524A5">
        <w:rPr>
          <w:szCs w:val="24"/>
          <w:lang w:val="en-US"/>
        </w:rPr>
        <w:instrText>baseline</w:instrText>
      </w:r>
      <w:r w:rsidR="003524A5" w:rsidRPr="00E45937">
        <w:rPr>
          <w:szCs w:val="24"/>
        </w:rPr>
        <w:instrText xml:space="preserve"> </w:instrText>
      </w:r>
      <w:r w:rsidR="003524A5">
        <w:rPr>
          <w:szCs w:val="24"/>
          <w:lang w:val="en-US"/>
        </w:rPr>
        <w:instrText>assessment</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serial</w:instrText>
      </w:r>
      <w:r w:rsidR="003524A5" w:rsidRPr="00E45937">
        <w:rPr>
          <w:szCs w:val="24"/>
        </w:rPr>
        <w:instrText xml:space="preserve"> </w:instrText>
      </w:r>
      <w:r w:rsidR="003524A5">
        <w:rPr>
          <w:szCs w:val="24"/>
          <w:lang w:val="en-US"/>
        </w:rPr>
        <w:instrText>follow</w:instrText>
      </w:r>
      <w:r w:rsidR="003524A5" w:rsidRPr="00E45937">
        <w:rPr>
          <w:szCs w:val="24"/>
        </w:rPr>
        <w:instrText>-</w:instrText>
      </w:r>
      <w:r w:rsidR="003524A5">
        <w:rPr>
          <w:szCs w:val="24"/>
          <w:lang w:val="en-US"/>
        </w:rPr>
        <w:instrText>up</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cardio</w:instrText>
      </w:r>
      <w:r w:rsidR="003524A5" w:rsidRPr="00E45937">
        <w:rPr>
          <w:szCs w:val="24"/>
        </w:rPr>
        <w:instrText>-</w:instrText>
      </w:r>
      <w:r w:rsidR="003524A5">
        <w:rPr>
          <w:szCs w:val="24"/>
          <w:lang w:val="en-US"/>
        </w:rPr>
        <w:instrText>oncology</w:instrText>
      </w:r>
      <w:r w:rsidR="003524A5" w:rsidRPr="00E45937">
        <w:rPr>
          <w:szCs w:val="24"/>
        </w:rPr>
        <w:instrText xml:space="preserve"> </w:instrText>
      </w:r>
      <w:r w:rsidR="003524A5">
        <w:rPr>
          <w:szCs w:val="24"/>
          <w:lang w:val="en-US"/>
        </w:rPr>
        <w:instrText>patients</w:instrText>
      </w:r>
      <w:r w:rsidR="003524A5" w:rsidRPr="00E45937">
        <w:rPr>
          <w:szCs w:val="24"/>
        </w:rPr>
        <w:instrText xml:space="preserve">. </w:instrText>
      </w:r>
      <w:r w:rsidR="003524A5">
        <w:rPr>
          <w:szCs w:val="24"/>
          <w:lang w:val="en-US"/>
        </w:rPr>
        <w:instrText>The</w:instrText>
      </w:r>
      <w:r w:rsidR="003524A5" w:rsidRPr="00E45937">
        <w:rPr>
          <w:szCs w:val="24"/>
        </w:rPr>
        <w:instrText xml:space="preserve"> </w:instrText>
      </w:r>
      <w:r w:rsidR="003524A5">
        <w:rPr>
          <w:szCs w:val="24"/>
          <w:lang w:val="en-US"/>
        </w:rPr>
        <w:instrText>objectives</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this</w:instrText>
      </w:r>
      <w:r w:rsidR="003524A5" w:rsidRPr="00E45937">
        <w:rPr>
          <w:szCs w:val="24"/>
        </w:rPr>
        <w:instrText xml:space="preserve"> </w:instrText>
      </w:r>
      <w:r w:rsidR="003524A5">
        <w:rPr>
          <w:szCs w:val="24"/>
          <w:lang w:val="en-US"/>
        </w:rPr>
        <w:instrText>paper</w:instrText>
      </w:r>
      <w:r w:rsidR="003524A5" w:rsidRPr="00E45937">
        <w:rPr>
          <w:szCs w:val="24"/>
        </w:rPr>
        <w:instrText xml:space="preserve"> </w:instrText>
      </w:r>
      <w:r w:rsidR="003524A5">
        <w:rPr>
          <w:szCs w:val="24"/>
          <w:lang w:val="en-US"/>
        </w:rPr>
        <w:instrText>are</w:instrText>
      </w:r>
      <w:r w:rsidR="003524A5" w:rsidRPr="00E45937">
        <w:rPr>
          <w:szCs w:val="24"/>
        </w:rPr>
        <w:instrText xml:space="preserve"> </w:instrText>
      </w:r>
      <w:r w:rsidR="003524A5">
        <w:rPr>
          <w:szCs w:val="24"/>
          <w:lang w:val="en-US"/>
        </w:rPr>
        <w:instrText>to</w:instrText>
      </w:r>
      <w:r w:rsidR="003524A5" w:rsidRPr="00E45937">
        <w:rPr>
          <w:szCs w:val="24"/>
        </w:rPr>
        <w:instrText xml:space="preserve"> </w:instrText>
      </w:r>
      <w:r w:rsidR="003524A5">
        <w:rPr>
          <w:szCs w:val="24"/>
          <w:lang w:val="en-US"/>
        </w:rPr>
        <w:instrText>review</w:instrText>
      </w:r>
      <w:r w:rsidR="003524A5" w:rsidRPr="00E45937">
        <w:rPr>
          <w:szCs w:val="24"/>
        </w:rPr>
        <w:instrText xml:space="preserve"> </w:instrText>
      </w:r>
      <w:r w:rsidR="003524A5">
        <w:rPr>
          <w:szCs w:val="24"/>
          <w:lang w:val="en-US"/>
        </w:rPr>
        <w:instrText>the</w:instrText>
      </w:r>
      <w:r w:rsidR="003524A5" w:rsidRPr="00E45937">
        <w:rPr>
          <w:szCs w:val="24"/>
        </w:rPr>
        <w:instrText xml:space="preserve"> </w:instrText>
      </w:r>
      <w:r w:rsidR="003524A5">
        <w:rPr>
          <w:szCs w:val="24"/>
          <w:lang w:val="en-US"/>
        </w:rPr>
        <w:instrText>mechanisms</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cardiotoxicity</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several</w:instrText>
      </w:r>
      <w:r w:rsidR="003524A5" w:rsidRPr="00E45937">
        <w:rPr>
          <w:szCs w:val="24"/>
        </w:rPr>
        <w:instrText xml:space="preserve"> </w:instrText>
      </w:r>
      <w:r w:rsidR="003524A5">
        <w:rPr>
          <w:szCs w:val="24"/>
          <w:lang w:val="en-US"/>
        </w:rPr>
        <w:instrText>common</w:instrText>
      </w:r>
      <w:r w:rsidR="003524A5" w:rsidRPr="00E45937">
        <w:rPr>
          <w:szCs w:val="24"/>
        </w:rPr>
        <w:instrText xml:space="preserve"> </w:instrText>
      </w:r>
      <w:r w:rsidR="003524A5">
        <w:rPr>
          <w:szCs w:val="24"/>
          <w:lang w:val="en-US"/>
        </w:rPr>
        <w:instrText>chemotherapeutic</w:instrText>
      </w:r>
      <w:r w:rsidR="003524A5" w:rsidRPr="00E45937">
        <w:rPr>
          <w:szCs w:val="24"/>
        </w:rPr>
        <w:instrText xml:space="preserve"> </w:instrText>
      </w:r>
      <w:r w:rsidR="003524A5">
        <w:rPr>
          <w:szCs w:val="24"/>
          <w:lang w:val="en-US"/>
        </w:rPr>
        <w:instrText>agents</w:instrText>
      </w:r>
      <w:r w:rsidR="003524A5" w:rsidRPr="00E45937">
        <w:rPr>
          <w:szCs w:val="24"/>
        </w:rPr>
        <w:instrText xml:space="preserve"> </w:instrText>
      </w:r>
      <w:r w:rsidR="003524A5">
        <w:rPr>
          <w:szCs w:val="24"/>
          <w:lang w:val="en-US"/>
        </w:rPr>
        <w:instrText>associated</w:instrText>
      </w:r>
      <w:r w:rsidR="003524A5" w:rsidRPr="00E45937">
        <w:rPr>
          <w:szCs w:val="24"/>
        </w:rPr>
        <w:instrText xml:space="preserve"> </w:instrText>
      </w:r>
      <w:r w:rsidR="003524A5">
        <w:rPr>
          <w:szCs w:val="24"/>
          <w:lang w:val="en-US"/>
        </w:rPr>
        <w:instrText>with</w:instrText>
      </w:r>
      <w:r w:rsidR="003524A5" w:rsidRPr="00E45937">
        <w:rPr>
          <w:szCs w:val="24"/>
        </w:rPr>
        <w:instrText xml:space="preserve"> </w:instrText>
      </w:r>
      <w:r w:rsidR="003524A5">
        <w:rPr>
          <w:szCs w:val="24"/>
          <w:lang w:val="en-US"/>
        </w:rPr>
        <w:instrText>an</w:instrText>
      </w:r>
      <w:r w:rsidR="003524A5" w:rsidRPr="00E45937">
        <w:rPr>
          <w:szCs w:val="24"/>
        </w:rPr>
        <w:instrText xml:space="preserve"> </w:instrText>
      </w:r>
      <w:r w:rsidR="003524A5">
        <w:rPr>
          <w:szCs w:val="24"/>
          <w:lang w:val="en-US"/>
        </w:rPr>
        <w:instrText>increased</w:instrText>
      </w:r>
      <w:r w:rsidR="003524A5" w:rsidRPr="00E45937">
        <w:rPr>
          <w:szCs w:val="24"/>
        </w:rPr>
        <w:instrText xml:space="preserve"> </w:instrText>
      </w:r>
      <w:r w:rsidR="003524A5">
        <w:rPr>
          <w:szCs w:val="24"/>
          <w:lang w:val="en-US"/>
        </w:rPr>
        <w:instrText>risk</w:instrText>
      </w:r>
      <w:r w:rsidR="003524A5" w:rsidRPr="00E45937">
        <w:rPr>
          <w:szCs w:val="24"/>
        </w:rPr>
        <w:instrText xml:space="preserve"> </w:instrText>
      </w:r>
      <w:r w:rsidR="003524A5">
        <w:rPr>
          <w:szCs w:val="24"/>
          <w:lang w:val="en-US"/>
        </w:rPr>
        <w:instrText>for</w:instrText>
      </w:r>
      <w:r w:rsidR="003524A5" w:rsidRPr="00E45937">
        <w:rPr>
          <w:szCs w:val="24"/>
        </w:rPr>
        <w:instrText xml:space="preserve"> </w:instrText>
      </w:r>
      <w:r w:rsidR="003524A5">
        <w:rPr>
          <w:szCs w:val="24"/>
          <w:lang w:val="en-US"/>
        </w:rPr>
        <w:instrText>left</w:instrText>
      </w:r>
      <w:r w:rsidR="003524A5" w:rsidRPr="00E45937">
        <w:rPr>
          <w:szCs w:val="24"/>
        </w:rPr>
        <w:instrText xml:space="preserve"> </w:instrText>
      </w:r>
      <w:r w:rsidR="003524A5">
        <w:rPr>
          <w:szCs w:val="24"/>
          <w:lang w:val="en-US"/>
        </w:rPr>
        <w:instrText>ventricular</w:instrText>
      </w:r>
      <w:r w:rsidR="003524A5" w:rsidRPr="00E45937">
        <w:rPr>
          <w:szCs w:val="24"/>
        </w:rPr>
        <w:instrText xml:space="preserve"> </w:instrText>
      </w:r>
      <w:r w:rsidR="003524A5">
        <w:rPr>
          <w:szCs w:val="24"/>
          <w:lang w:val="en-US"/>
        </w:rPr>
        <w:instrText>systolic</w:instrText>
      </w:r>
      <w:r w:rsidR="003524A5" w:rsidRPr="00E45937">
        <w:rPr>
          <w:szCs w:val="24"/>
        </w:rPr>
        <w:instrText xml:space="preserve"> </w:instrText>
      </w:r>
      <w:r w:rsidR="003524A5">
        <w:rPr>
          <w:szCs w:val="24"/>
          <w:lang w:val="en-US"/>
        </w:rPr>
        <w:instrText>dysfunction</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to</w:instrText>
      </w:r>
      <w:r w:rsidR="003524A5" w:rsidRPr="00E45937">
        <w:rPr>
          <w:szCs w:val="24"/>
        </w:rPr>
        <w:instrText xml:space="preserve"> </w:instrText>
      </w:r>
      <w:r w:rsidR="003524A5">
        <w:rPr>
          <w:szCs w:val="24"/>
          <w:lang w:val="en-US"/>
        </w:rPr>
        <w:instrText>outline</w:instrText>
      </w:r>
      <w:r w:rsidR="003524A5" w:rsidRPr="00E45937">
        <w:rPr>
          <w:szCs w:val="24"/>
        </w:rPr>
        <w:instrText xml:space="preserve"> </w:instrText>
      </w:r>
      <w:r w:rsidR="003524A5">
        <w:rPr>
          <w:szCs w:val="24"/>
          <w:lang w:val="en-US"/>
        </w:rPr>
        <w:instrText>recommendations</w:instrText>
      </w:r>
      <w:r w:rsidR="003524A5" w:rsidRPr="00E45937">
        <w:rPr>
          <w:szCs w:val="24"/>
        </w:rPr>
        <w:instrText xml:space="preserve"> </w:instrText>
      </w:r>
      <w:r w:rsidR="003524A5">
        <w:rPr>
          <w:szCs w:val="24"/>
          <w:lang w:val="en-US"/>
        </w:rPr>
        <w:instrText>regarding</w:instrText>
      </w:r>
      <w:r w:rsidR="003524A5" w:rsidRPr="00E45937">
        <w:rPr>
          <w:szCs w:val="24"/>
        </w:rPr>
        <w:instrText xml:space="preserve"> </w:instrText>
      </w:r>
      <w:r w:rsidR="003524A5">
        <w:rPr>
          <w:szCs w:val="24"/>
          <w:lang w:val="en-US"/>
        </w:rPr>
        <w:instrText>the</w:instrText>
      </w:r>
      <w:r w:rsidR="003524A5" w:rsidRPr="00E45937">
        <w:rPr>
          <w:szCs w:val="24"/>
        </w:rPr>
        <w:instrText xml:space="preserve"> </w:instrText>
      </w:r>
      <w:r w:rsidR="003524A5">
        <w:rPr>
          <w:szCs w:val="24"/>
          <w:lang w:val="en-US"/>
        </w:rPr>
        <w:instrText>baseline</w:instrText>
      </w:r>
      <w:r w:rsidR="003524A5" w:rsidRPr="00E45937">
        <w:rPr>
          <w:szCs w:val="24"/>
        </w:rPr>
        <w:instrText xml:space="preserve"> </w:instrText>
      </w:r>
      <w:r w:rsidR="003524A5">
        <w:rPr>
          <w:szCs w:val="24"/>
          <w:lang w:val="en-US"/>
        </w:rPr>
        <w:instrText>assessment</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serial</w:instrText>
      </w:r>
      <w:r w:rsidR="003524A5" w:rsidRPr="00E45937">
        <w:rPr>
          <w:szCs w:val="24"/>
        </w:rPr>
        <w:instrText xml:space="preserve"> </w:instrText>
      </w:r>
      <w:r w:rsidR="003524A5">
        <w:rPr>
          <w:szCs w:val="24"/>
          <w:lang w:val="en-US"/>
        </w:rPr>
        <w:instrText>follow</w:instrText>
      </w:r>
      <w:r w:rsidR="003524A5" w:rsidRPr="00E45937">
        <w:rPr>
          <w:szCs w:val="24"/>
        </w:rPr>
        <w:instrText>-</w:instrText>
      </w:r>
      <w:r w:rsidR="003524A5">
        <w:rPr>
          <w:szCs w:val="24"/>
          <w:lang w:val="en-US"/>
        </w:rPr>
        <w:instrText>up</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cardio</w:instrText>
      </w:r>
      <w:r w:rsidR="003524A5" w:rsidRPr="00E45937">
        <w:rPr>
          <w:szCs w:val="24"/>
        </w:rPr>
        <w:instrText>-</w:instrText>
      </w:r>
      <w:r w:rsidR="003524A5">
        <w:rPr>
          <w:szCs w:val="24"/>
          <w:lang w:val="en-US"/>
        </w:rPr>
        <w:instrText>oncology</w:instrText>
      </w:r>
      <w:r w:rsidR="003524A5" w:rsidRPr="00E45937">
        <w:rPr>
          <w:szCs w:val="24"/>
        </w:rPr>
        <w:instrText xml:space="preserve"> </w:instrText>
      </w:r>
      <w:r w:rsidR="003524A5">
        <w:rPr>
          <w:szCs w:val="24"/>
          <w:lang w:val="en-US"/>
        </w:rPr>
        <w:instrText>patients</w:instrText>
      </w:r>
      <w:r w:rsidR="003524A5" w:rsidRPr="00E45937">
        <w:rPr>
          <w:szCs w:val="24"/>
        </w:rPr>
        <w:instrText xml:space="preserve"> </w:instrText>
      </w:r>
      <w:r w:rsidR="003524A5">
        <w:rPr>
          <w:szCs w:val="24"/>
          <w:lang w:val="en-US"/>
        </w:rPr>
        <w:instrText>with</w:instrText>
      </w:r>
      <w:r w:rsidR="003524A5" w:rsidRPr="00E45937">
        <w:rPr>
          <w:szCs w:val="24"/>
        </w:rPr>
        <w:instrText xml:space="preserve"> </w:instrText>
      </w:r>
      <w:r w:rsidR="003524A5">
        <w:rPr>
          <w:szCs w:val="24"/>
          <w:lang w:val="en-US"/>
        </w:rPr>
        <w:instrText>a</w:instrText>
      </w:r>
      <w:r w:rsidR="003524A5" w:rsidRPr="00E45937">
        <w:rPr>
          <w:szCs w:val="24"/>
        </w:rPr>
        <w:instrText xml:space="preserve"> </w:instrText>
      </w:r>
      <w:r w:rsidR="003524A5">
        <w:rPr>
          <w:szCs w:val="24"/>
          <w:lang w:val="en-US"/>
        </w:rPr>
        <w:instrText>focus</w:instrText>
      </w:r>
      <w:r w:rsidR="003524A5" w:rsidRPr="00E45937">
        <w:rPr>
          <w:szCs w:val="24"/>
        </w:rPr>
        <w:instrText xml:space="preserve"> </w:instrText>
      </w:r>
      <w:r w:rsidR="003524A5">
        <w:rPr>
          <w:szCs w:val="24"/>
          <w:lang w:val="en-US"/>
        </w:rPr>
        <w:instrText>on</w:instrText>
      </w:r>
      <w:r w:rsidR="003524A5" w:rsidRPr="00E45937">
        <w:rPr>
          <w:szCs w:val="24"/>
        </w:rPr>
        <w:instrText xml:space="preserve"> </w:instrText>
      </w:r>
      <w:r w:rsidR="003524A5">
        <w:rPr>
          <w:szCs w:val="24"/>
          <w:lang w:val="en-US"/>
        </w:rPr>
        <w:instrText>the</w:instrText>
      </w:r>
      <w:r w:rsidR="003524A5" w:rsidRPr="00E45937">
        <w:rPr>
          <w:szCs w:val="24"/>
        </w:rPr>
        <w:instrText xml:space="preserve"> </w:instrText>
      </w:r>
      <w:r w:rsidR="003524A5">
        <w:rPr>
          <w:szCs w:val="24"/>
          <w:lang w:val="en-US"/>
        </w:rPr>
        <w:instrText>role</w:instrText>
      </w:r>
      <w:r w:rsidR="003524A5" w:rsidRPr="00E45937">
        <w:rPr>
          <w:szCs w:val="24"/>
        </w:rPr>
        <w:instrText xml:space="preserve"> </w:instrText>
      </w:r>
      <w:r w:rsidR="003524A5">
        <w:rPr>
          <w:szCs w:val="24"/>
          <w:lang w:val="en-US"/>
        </w:rPr>
        <w:instrText>of</w:instrText>
      </w:r>
      <w:r w:rsidR="003524A5" w:rsidRPr="00E45937">
        <w:rPr>
          <w:szCs w:val="24"/>
        </w:rPr>
        <w:instrText xml:space="preserve"> </w:instrText>
      </w:r>
      <w:r w:rsidR="003524A5">
        <w:rPr>
          <w:szCs w:val="24"/>
          <w:lang w:val="en-US"/>
        </w:rPr>
        <w:instrText>echocardiography</w:instrText>
      </w:r>
      <w:r w:rsidR="003524A5" w:rsidRPr="00E45937">
        <w:rPr>
          <w:szCs w:val="24"/>
        </w:rPr>
        <w:instrText>.","</w:instrText>
      </w:r>
      <w:r w:rsidR="003524A5">
        <w:rPr>
          <w:szCs w:val="24"/>
          <w:lang w:val="en-US"/>
        </w:rPr>
        <w:instrText>author</w:instrText>
      </w:r>
      <w:r w:rsidR="003524A5" w:rsidRPr="00E45937">
        <w:rPr>
          <w:szCs w:val="24"/>
        </w:rPr>
        <w:instrText>":[{"</w:instrText>
      </w:r>
      <w:r w:rsidR="003524A5">
        <w:rPr>
          <w:szCs w:val="24"/>
          <w:lang w:val="en-US"/>
        </w:rPr>
        <w:instrText>dropping</w:instrText>
      </w:r>
      <w:r w:rsidR="003524A5" w:rsidRPr="00E45937">
        <w:rPr>
          <w:szCs w:val="24"/>
        </w:rPr>
        <w:instrText>-</w:instrText>
      </w:r>
      <w:r w:rsidR="003524A5">
        <w:rPr>
          <w:szCs w:val="24"/>
          <w:lang w:val="en-US"/>
        </w:rPr>
        <w:instrText>particle</w:instrText>
      </w:r>
      <w:r w:rsidR="003524A5" w:rsidRPr="00E45937">
        <w:rPr>
          <w:szCs w:val="24"/>
        </w:rPr>
        <w:instrText>":"","</w:instrText>
      </w:r>
      <w:r w:rsidR="003524A5">
        <w:rPr>
          <w:szCs w:val="24"/>
          <w:lang w:val="en-US"/>
        </w:rPr>
        <w:instrText>family</w:instrText>
      </w:r>
      <w:r w:rsidR="003524A5" w:rsidRPr="00E45937">
        <w:rPr>
          <w:szCs w:val="24"/>
        </w:rPr>
        <w:instrText>":"</w:instrText>
      </w:r>
      <w:r w:rsidR="003524A5">
        <w:rPr>
          <w:szCs w:val="24"/>
          <w:lang w:val="en-US"/>
        </w:rPr>
        <w:instrText>Larsen</w:instrText>
      </w:r>
      <w:r w:rsidR="003524A5" w:rsidRPr="00E45937">
        <w:rPr>
          <w:szCs w:val="24"/>
        </w:rPr>
        <w:instrText>","</w:instrText>
      </w:r>
      <w:r w:rsidR="003524A5">
        <w:rPr>
          <w:szCs w:val="24"/>
          <w:lang w:val="en-US"/>
        </w:rPr>
        <w:instrText>given</w:instrText>
      </w:r>
      <w:r w:rsidR="003524A5" w:rsidRPr="00E45937">
        <w:rPr>
          <w:szCs w:val="24"/>
        </w:rPr>
        <w:instrText>":"</w:instrText>
      </w:r>
      <w:r w:rsidR="003524A5">
        <w:rPr>
          <w:szCs w:val="24"/>
          <w:lang w:val="en-US"/>
        </w:rPr>
        <w:instrText>Carolyn</w:instrText>
      </w:r>
      <w:r w:rsidR="003524A5" w:rsidRPr="00E45937">
        <w:rPr>
          <w:szCs w:val="24"/>
        </w:rPr>
        <w:instrText xml:space="preserve"> </w:instrText>
      </w:r>
      <w:r w:rsidR="003524A5">
        <w:rPr>
          <w:szCs w:val="24"/>
          <w:lang w:val="en-US"/>
        </w:rPr>
        <w:instrText>M</w:instrText>
      </w:r>
      <w:r w:rsidR="003524A5" w:rsidRPr="00E45937">
        <w:rPr>
          <w:szCs w:val="24"/>
        </w:rPr>
        <w:instrText>.","</w:instrText>
      </w:r>
      <w:r w:rsidR="003524A5">
        <w:rPr>
          <w:szCs w:val="24"/>
          <w:lang w:val="en-US"/>
        </w:rPr>
        <w:instrText>non</w:instrText>
      </w:r>
      <w:r w:rsidR="003524A5" w:rsidRPr="00E45937">
        <w:rPr>
          <w:szCs w:val="24"/>
        </w:rPr>
        <w:instrText>-</w:instrText>
      </w:r>
      <w:r w:rsidR="003524A5">
        <w:rPr>
          <w:szCs w:val="24"/>
          <w:lang w:val="en-US"/>
        </w:rPr>
        <w:instrText>dropping</w:instrText>
      </w:r>
      <w:r w:rsidR="003524A5" w:rsidRPr="00E45937">
        <w:rPr>
          <w:szCs w:val="24"/>
        </w:rPr>
        <w:instrText>-</w:instrText>
      </w:r>
      <w:r w:rsidR="003524A5">
        <w:rPr>
          <w:szCs w:val="24"/>
          <w:lang w:val="en-US"/>
        </w:rPr>
        <w:instrText>particle</w:instrText>
      </w:r>
      <w:r w:rsidR="003524A5" w:rsidRPr="00E45937">
        <w:rPr>
          <w:szCs w:val="24"/>
        </w:rPr>
        <w:instrText>":"","</w:instrText>
      </w:r>
      <w:r w:rsidR="003524A5">
        <w:rPr>
          <w:szCs w:val="24"/>
          <w:lang w:val="en-US"/>
        </w:rPr>
        <w:instrText>parse</w:instrText>
      </w:r>
      <w:r w:rsidR="003524A5" w:rsidRPr="00E45937">
        <w:rPr>
          <w:szCs w:val="24"/>
        </w:rPr>
        <w:instrText>-</w:instrText>
      </w:r>
      <w:r w:rsidR="003524A5">
        <w:rPr>
          <w:szCs w:val="24"/>
          <w:lang w:val="en-US"/>
        </w:rPr>
        <w:instrText>names</w:instrText>
      </w:r>
      <w:r w:rsidR="003524A5" w:rsidRPr="00E45937">
        <w:rPr>
          <w:szCs w:val="24"/>
        </w:rPr>
        <w:instrText>":</w:instrText>
      </w:r>
      <w:r w:rsidR="003524A5">
        <w:rPr>
          <w:szCs w:val="24"/>
          <w:lang w:val="en-US"/>
        </w:rPr>
        <w:instrText>false</w:instrText>
      </w:r>
      <w:r w:rsidR="003524A5" w:rsidRPr="00E45937">
        <w:rPr>
          <w:szCs w:val="24"/>
        </w:rPr>
        <w:instrText>,"</w:instrText>
      </w:r>
      <w:r w:rsidR="003524A5">
        <w:rPr>
          <w:szCs w:val="24"/>
          <w:lang w:val="en-US"/>
        </w:rPr>
        <w:instrText>suffix</w:instrText>
      </w:r>
      <w:r w:rsidR="003524A5" w:rsidRPr="00E45937">
        <w:rPr>
          <w:szCs w:val="24"/>
        </w:rPr>
        <w:instrText>":""},{"</w:instrText>
      </w:r>
      <w:r w:rsidR="003524A5">
        <w:rPr>
          <w:szCs w:val="24"/>
          <w:lang w:val="en-US"/>
        </w:rPr>
        <w:instrText>dropping</w:instrText>
      </w:r>
      <w:r w:rsidR="003524A5" w:rsidRPr="00E45937">
        <w:rPr>
          <w:szCs w:val="24"/>
        </w:rPr>
        <w:instrText>-</w:instrText>
      </w:r>
      <w:r w:rsidR="003524A5">
        <w:rPr>
          <w:szCs w:val="24"/>
          <w:lang w:val="en-US"/>
        </w:rPr>
        <w:instrText>particle</w:instrText>
      </w:r>
      <w:r w:rsidR="003524A5" w:rsidRPr="00E45937">
        <w:rPr>
          <w:szCs w:val="24"/>
        </w:rPr>
        <w:instrText>":"","</w:instrText>
      </w:r>
      <w:r w:rsidR="003524A5">
        <w:rPr>
          <w:szCs w:val="24"/>
          <w:lang w:val="en-US"/>
        </w:rPr>
        <w:instrText>family</w:instrText>
      </w:r>
      <w:r w:rsidR="003524A5" w:rsidRPr="00E45937">
        <w:rPr>
          <w:szCs w:val="24"/>
        </w:rPr>
        <w:instrText>":"</w:instrText>
      </w:r>
      <w:r w:rsidR="003524A5">
        <w:rPr>
          <w:szCs w:val="24"/>
          <w:lang w:val="en-US"/>
        </w:rPr>
        <w:instrText>Mulvagh</w:instrText>
      </w:r>
      <w:r w:rsidR="003524A5" w:rsidRPr="00E45937">
        <w:rPr>
          <w:szCs w:val="24"/>
        </w:rPr>
        <w:instrText>","</w:instrText>
      </w:r>
      <w:r w:rsidR="003524A5">
        <w:rPr>
          <w:szCs w:val="24"/>
          <w:lang w:val="en-US"/>
        </w:rPr>
        <w:instrText>given</w:instrText>
      </w:r>
      <w:r w:rsidR="003524A5" w:rsidRPr="00E45937">
        <w:rPr>
          <w:szCs w:val="24"/>
        </w:rPr>
        <w:instrText>":"</w:instrText>
      </w:r>
      <w:r w:rsidR="003524A5">
        <w:rPr>
          <w:szCs w:val="24"/>
          <w:lang w:val="en-US"/>
        </w:rPr>
        <w:instrText>Sharon</w:instrText>
      </w:r>
      <w:r w:rsidR="003524A5" w:rsidRPr="00E45937">
        <w:rPr>
          <w:szCs w:val="24"/>
        </w:rPr>
        <w:instrText xml:space="preserve"> </w:instrText>
      </w:r>
      <w:r w:rsidR="003524A5">
        <w:rPr>
          <w:szCs w:val="24"/>
          <w:lang w:val="en-US"/>
        </w:rPr>
        <w:instrText>L</w:instrText>
      </w:r>
      <w:r w:rsidR="003524A5" w:rsidRPr="00E45937">
        <w:rPr>
          <w:szCs w:val="24"/>
        </w:rPr>
        <w:instrText>.","</w:instrText>
      </w:r>
      <w:r w:rsidR="003524A5">
        <w:rPr>
          <w:szCs w:val="24"/>
          <w:lang w:val="en-US"/>
        </w:rPr>
        <w:instrText>non</w:instrText>
      </w:r>
      <w:r w:rsidR="003524A5" w:rsidRPr="00E45937">
        <w:rPr>
          <w:szCs w:val="24"/>
        </w:rPr>
        <w:instrText>-</w:instrText>
      </w:r>
      <w:r w:rsidR="003524A5">
        <w:rPr>
          <w:szCs w:val="24"/>
          <w:lang w:val="en-US"/>
        </w:rPr>
        <w:instrText>dropping</w:instrText>
      </w:r>
      <w:r w:rsidR="003524A5" w:rsidRPr="00E45937">
        <w:rPr>
          <w:szCs w:val="24"/>
        </w:rPr>
        <w:instrText>-</w:instrText>
      </w:r>
      <w:r w:rsidR="003524A5">
        <w:rPr>
          <w:szCs w:val="24"/>
          <w:lang w:val="en-US"/>
        </w:rPr>
        <w:instrText>particle</w:instrText>
      </w:r>
      <w:r w:rsidR="003524A5" w:rsidRPr="00E45937">
        <w:rPr>
          <w:szCs w:val="24"/>
        </w:rPr>
        <w:instrText>":"","</w:instrText>
      </w:r>
      <w:r w:rsidR="003524A5">
        <w:rPr>
          <w:szCs w:val="24"/>
          <w:lang w:val="en-US"/>
        </w:rPr>
        <w:instrText>parse</w:instrText>
      </w:r>
      <w:r w:rsidR="003524A5" w:rsidRPr="00E45937">
        <w:rPr>
          <w:szCs w:val="24"/>
        </w:rPr>
        <w:instrText>-</w:instrText>
      </w:r>
      <w:r w:rsidR="003524A5">
        <w:rPr>
          <w:szCs w:val="24"/>
          <w:lang w:val="en-US"/>
        </w:rPr>
        <w:instrText>names</w:instrText>
      </w:r>
      <w:r w:rsidR="003524A5" w:rsidRPr="00E45937">
        <w:rPr>
          <w:szCs w:val="24"/>
        </w:rPr>
        <w:instrText>":</w:instrText>
      </w:r>
      <w:r w:rsidR="003524A5">
        <w:rPr>
          <w:szCs w:val="24"/>
          <w:lang w:val="en-US"/>
        </w:rPr>
        <w:instrText>false</w:instrText>
      </w:r>
      <w:r w:rsidR="003524A5" w:rsidRPr="00E45937">
        <w:rPr>
          <w:szCs w:val="24"/>
        </w:rPr>
        <w:instrText>,"</w:instrText>
      </w:r>
      <w:r w:rsidR="003524A5">
        <w:rPr>
          <w:szCs w:val="24"/>
          <w:lang w:val="en-US"/>
        </w:rPr>
        <w:instrText>suffix</w:instrText>
      </w:r>
      <w:r w:rsidR="003524A5" w:rsidRPr="00E45937">
        <w:rPr>
          <w:szCs w:val="24"/>
        </w:rPr>
        <w:instrText>":""}],"</w:instrText>
      </w:r>
      <w:r w:rsidR="003524A5">
        <w:rPr>
          <w:szCs w:val="24"/>
          <w:lang w:val="en-US"/>
        </w:rPr>
        <w:instrText>container</w:instrText>
      </w:r>
      <w:r w:rsidR="003524A5" w:rsidRPr="00E45937">
        <w:rPr>
          <w:szCs w:val="24"/>
        </w:rPr>
        <w:instrText>-</w:instrText>
      </w:r>
      <w:r w:rsidR="003524A5">
        <w:rPr>
          <w:szCs w:val="24"/>
          <w:lang w:val="en-US"/>
        </w:rPr>
        <w:instrText>title</w:instrText>
      </w:r>
      <w:r w:rsidR="003524A5" w:rsidRPr="00E45937">
        <w:rPr>
          <w:szCs w:val="24"/>
        </w:rPr>
        <w:instrText>":"</w:instrText>
      </w:r>
      <w:r w:rsidR="003524A5">
        <w:rPr>
          <w:szCs w:val="24"/>
          <w:lang w:val="en-US"/>
        </w:rPr>
        <w:instrText>Echo</w:instrText>
      </w:r>
      <w:r w:rsidR="003524A5" w:rsidRPr="00E45937">
        <w:rPr>
          <w:szCs w:val="24"/>
        </w:rPr>
        <w:instrText xml:space="preserve"> </w:instrText>
      </w:r>
      <w:r w:rsidR="003524A5">
        <w:rPr>
          <w:szCs w:val="24"/>
          <w:lang w:val="en-US"/>
        </w:rPr>
        <w:instrText>Research</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Practice</w:instrText>
      </w:r>
      <w:r w:rsidR="003524A5" w:rsidRPr="00E45937">
        <w:rPr>
          <w:szCs w:val="24"/>
        </w:rPr>
        <w:instrText>","</w:instrText>
      </w:r>
      <w:r w:rsidR="003524A5">
        <w:rPr>
          <w:szCs w:val="24"/>
          <w:lang w:val="en-US"/>
        </w:rPr>
        <w:instrText>id</w:instrText>
      </w:r>
      <w:r w:rsidR="003524A5" w:rsidRPr="00E45937">
        <w:rPr>
          <w:szCs w:val="24"/>
        </w:rPr>
        <w:instrText>":"</w:instrText>
      </w:r>
      <w:r w:rsidR="003524A5">
        <w:rPr>
          <w:szCs w:val="24"/>
          <w:lang w:val="en-US"/>
        </w:rPr>
        <w:instrText>ITEM</w:instrText>
      </w:r>
      <w:r w:rsidR="003524A5" w:rsidRPr="00E45937">
        <w:rPr>
          <w:szCs w:val="24"/>
        </w:rPr>
        <w:instrText>-1","</w:instrText>
      </w:r>
      <w:r w:rsidR="003524A5">
        <w:rPr>
          <w:szCs w:val="24"/>
          <w:lang w:val="en-US"/>
        </w:rPr>
        <w:instrText>issue</w:instrText>
      </w:r>
      <w:r w:rsidR="003524A5" w:rsidRPr="00E45937">
        <w:rPr>
          <w:szCs w:val="24"/>
        </w:rPr>
        <w:instrText>":"1","</w:instrText>
      </w:r>
      <w:r w:rsidR="003524A5">
        <w:rPr>
          <w:szCs w:val="24"/>
          <w:lang w:val="en-US"/>
        </w:rPr>
        <w:instrText>issued</w:instrText>
      </w:r>
      <w:r w:rsidR="003524A5" w:rsidRPr="00E45937">
        <w:rPr>
          <w:szCs w:val="24"/>
        </w:rPr>
        <w:instrText>":{"</w:instrText>
      </w:r>
      <w:r w:rsidR="003524A5">
        <w:rPr>
          <w:szCs w:val="24"/>
          <w:lang w:val="en-US"/>
        </w:rPr>
        <w:instrText>date</w:instrText>
      </w:r>
      <w:r w:rsidR="003524A5" w:rsidRPr="00E45937">
        <w:rPr>
          <w:szCs w:val="24"/>
        </w:rPr>
        <w:instrText>-</w:instrText>
      </w:r>
      <w:r w:rsidR="003524A5">
        <w:rPr>
          <w:szCs w:val="24"/>
          <w:lang w:val="en-US"/>
        </w:rPr>
        <w:instrText>parts</w:instrText>
      </w:r>
      <w:r w:rsidR="003524A5" w:rsidRPr="00E45937">
        <w:rPr>
          <w:szCs w:val="24"/>
        </w:rPr>
        <w:instrText>":[["2017","3","1"]]},"</w:instrText>
      </w:r>
      <w:r w:rsidR="003524A5">
        <w:rPr>
          <w:szCs w:val="24"/>
          <w:lang w:val="en-US"/>
        </w:rPr>
        <w:instrText>page</w:instrText>
      </w:r>
      <w:r w:rsidR="003524A5" w:rsidRPr="00E45937">
        <w:rPr>
          <w:szCs w:val="24"/>
        </w:rPr>
        <w:instrText>":"</w:instrText>
      </w:r>
      <w:r w:rsidR="003524A5">
        <w:rPr>
          <w:szCs w:val="24"/>
          <w:lang w:val="en-US"/>
        </w:rPr>
        <w:instrText>R</w:instrText>
      </w:r>
      <w:r w:rsidR="003524A5" w:rsidRPr="00E45937">
        <w:rPr>
          <w:szCs w:val="24"/>
        </w:rPr>
        <w:instrText>33-</w:instrText>
      </w:r>
      <w:r w:rsidR="003524A5">
        <w:rPr>
          <w:szCs w:val="24"/>
          <w:lang w:val="en-US"/>
        </w:rPr>
        <w:instrText>R</w:instrText>
      </w:r>
      <w:r w:rsidR="003524A5" w:rsidRPr="00E45937">
        <w:rPr>
          <w:szCs w:val="24"/>
        </w:rPr>
        <w:instrText>41","</w:instrText>
      </w:r>
      <w:r w:rsidR="003524A5">
        <w:rPr>
          <w:szCs w:val="24"/>
          <w:lang w:val="en-US"/>
        </w:rPr>
        <w:instrText>publisher</w:instrText>
      </w:r>
      <w:r w:rsidR="003524A5" w:rsidRPr="00E45937">
        <w:rPr>
          <w:szCs w:val="24"/>
        </w:rPr>
        <w:instrText>":"</w:instrText>
      </w:r>
      <w:r w:rsidR="003524A5">
        <w:rPr>
          <w:szCs w:val="24"/>
          <w:lang w:val="en-US"/>
        </w:rPr>
        <w:instrText>BioScientifica</w:instrText>
      </w:r>
      <w:r w:rsidR="003524A5" w:rsidRPr="00E45937">
        <w:rPr>
          <w:szCs w:val="24"/>
        </w:rPr>
        <w:instrText xml:space="preserve"> </w:instrText>
      </w:r>
      <w:r w:rsidR="003524A5">
        <w:rPr>
          <w:szCs w:val="24"/>
          <w:lang w:val="en-US"/>
        </w:rPr>
        <w:instrText>Ltd</w:instrText>
      </w:r>
      <w:r w:rsidR="003524A5" w:rsidRPr="00E45937">
        <w:rPr>
          <w:szCs w:val="24"/>
        </w:rPr>
        <w:instrText>.","</w:instrText>
      </w:r>
      <w:r w:rsidR="003524A5">
        <w:rPr>
          <w:szCs w:val="24"/>
          <w:lang w:val="en-US"/>
        </w:rPr>
        <w:instrText>title</w:instrText>
      </w:r>
      <w:r w:rsidR="003524A5" w:rsidRPr="00E45937">
        <w:rPr>
          <w:szCs w:val="24"/>
        </w:rPr>
        <w:instrText>":"</w:instrText>
      </w:r>
      <w:r w:rsidR="003524A5">
        <w:rPr>
          <w:szCs w:val="24"/>
          <w:lang w:val="en-US"/>
        </w:rPr>
        <w:instrText>Cardio</w:instrText>
      </w:r>
      <w:r w:rsidR="003524A5" w:rsidRPr="00E45937">
        <w:rPr>
          <w:szCs w:val="24"/>
        </w:rPr>
        <w:instrText>-</w:instrText>
      </w:r>
      <w:r w:rsidR="003524A5">
        <w:rPr>
          <w:szCs w:val="24"/>
          <w:lang w:val="en-US"/>
        </w:rPr>
        <w:instrText>oncology</w:instrText>
      </w:r>
      <w:r w:rsidR="003524A5" w:rsidRPr="00E45937">
        <w:rPr>
          <w:szCs w:val="24"/>
        </w:rPr>
        <w:instrText xml:space="preserve">: </w:instrText>
      </w:r>
      <w:r w:rsidR="003524A5">
        <w:rPr>
          <w:szCs w:val="24"/>
          <w:lang w:val="en-US"/>
        </w:rPr>
        <w:instrText>What</w:instrText>
      </w:r>
      <w:r w:rsidR="003524A5" w:rsidRPr="00E45937">
        <w:rPr>
          <w:szCs w:val="24"/>
        </w:rPr>
        <w:instrText xml:space="preserve"> </w:instrText>
      </w:r>
      <w:r w:rsidR="003524A5">
        <w:rPr>
          <w:szCs w:val="24"/>
          <w:lang w:val="en-US"/>
        </w:rPr>
        <w:instrText>you</w:instrText>
      </w:r>
      <w:r w:rsidR="003524A5" w:rsidRPr="00E45937">
        <w:rPr>
          <w:szCs w:val="24"/>
        </w:rPr>
        <w:instrText xml:space="preserve"> </w:instrText>
      </w:r>
      <w:r w:rsidR="003524A5">
        <w:rPr>
          <w:szCs w:val="24"/>
          <w:lang w:val="en-US"/>
        </w:rPr>
        <w:instrText>need</w:instrText>
      </w:r>
      <w:r w:rsidR="003524A5" w:rsidRPr="00E45937">
        <w:rPr>
          <w:szCs w:val="24"/>
        </w:rPr>
        <w:instrText xml:space="preserve"> </w:instrText>
      </w:r>
      <w:r w:rsidR="003524A5">
        <w:rPr>
          <w:szCs w:val="24"/>
          <w:lang w:val="en-US"/>
        </w:rPr>
        <w:instrText>to</w:instrText>
      </w:r>
      <w:r w:rsidR="003524A5" w:rsidRPr="00E45937">
        <w:rPr>
          <w:szCs w:val="24"/>
        </w:rPr>
        <w:instrText xml:space="preserve"> </w:instrText>
      </w:r>
      <w:r w:rsidR="003524A5">
        <w:rPr>
          <w:szCs w:val="24"/>
          <w:lang w:val="en-US"/>
        </w:rPr>
        <w:instrText>know</w:instrText>
      </w:r>
      <w:r w:rsidR="003524A5" w:rsidRPr="00E45937">
        <w:rPr>
          <w:szCs w:val="24"/>
        </w:rPr>
        <w:instrText xml:space="preserve"> </w:instrText>
      </w:r>
      <w:r w:rsidR="003524A5">
        <w:rPr>
          <w:szCs w:val="24"/>
          <w:lang w:val="en-US"/>
        </w:rPr>
        <w:instrText>now</w:instrText>
      </w:r>
      <w:r w:rsidR="003524A5" w:rsidRPr="00E45937">
        <w:rPr>
          <w:szCs w:val="24"/>
        </w:rPr>
        <w:instrText xml:space="preserve"> </w:instrText>
      </w:r>
      <w:r w:rsidR="003524A5">
        <w:rPr>
          <w:szCs w:val="24"/>
          <w:lang w:val="en-US"/>
        </w:rPr>
        <w:instrText>for</w:instrText>
      </w:r>
      <w:r w:rsidR="003524A5" w:rsidRPr="00E45937">
        <w:rPr>
          <w:szCs w:val="24"/>
        </w:rPr>
        <w:instrText xml:space="preserve"> </w:instrText>
      </w:r>
      <w:r w:rsidR="003524A5">
        <w:rPr>
          <w:szCs w:val="24"/>
          <w:lang w:val="en-US"/>
        </w:rPr>
        <w:instrText>clinical</w:instrText>
      </w:r>
      <w:r w:rsidR="003524A5" w:rsidRPr="00E45937">
        <w:rPr>
          <w:szCs w:val="24"/>
        </w:rPr>
        <w:instrText xml:space="preserve"> </w:instrText>
      </w:r>
      <w:r w:rsidR="003524A5">
        <w:rPr>
          <w:szCs w:val="24"/>
          <w:lang w:val="en-US"/>
        </w:rPr>
        <w:instrText>practice</w:instrText>
      </w:r>
      <w:r w:rsidR="003524A5" w:rsidRPr="00E45937">
        <w:rPr>
          <w:szCs w:val="24"/>
        </w:rPr>
        <w:instrText xml:space="preserve"> </w:instrText>
      </w:r>
      <w:r w:rsidR="003524A5">
        <w:rPr>
          <w:szCs w:val="24"/>
          <w:lang w:val="en-US"/>
        </w:rPr>
        <w:instrText>and</w:instrText>
      </w:r>
      <w:r w:rsidR="003524A5" w:rsidRPr="00E45937">
        <w:rPr>
          <w:szCs w:val="24"/>
        </w:rPr>
        <w:instrText xml:space="preserve"> </w:instrText>
      </w:r>
      <w:r w:rsidR="003524A5">
        <w:rPr>
          <w:szCs w:val="24"/>
          <w:lang w:val="en-US"/>
        </w:rPr>
        <w:instrText>echocardiography</w:instrText>
      </w:r>
      <w:r w:rsidR="003524A5" w:rsidRPr="00E45937">
        <w:rPr>
          <w:szCs w:val="24"/>
        </w:rPr>
        <w:instrText>","</w:instrText>
      </w:r>
      <w:r w:rsidR="003524A5">
        <w:rPr>
          <w:szCs w:val="24"/>
          <w:lang w:val="en-US"/>
        </w:rPr>
        <w:instrText>type</w:instrText>
      </w:r>
      <w:r w:rsidR="003524A5" w:rsidRPr="00E45937">
        <w:rPr>
          <w:szCs w:val="24"/>
        </w:rPr>
        <w:instrText>":"</w:instrText>
      </w:r>
      <w:r w:rsidR="003524A5">
        <w:rPr>
          <w:szCs w:val="24"/>
          <w:lang w:val="en-US"/>
        </w:rPr>
        <w:instrText>article</w:instrText>
      </w:r>
      <w:r w:rsidR="003524A5" w:rsidRPr="00E45937">
        <w:rPr>
          <w:szCs w:val="24"/>
        </w:rPr>
        <w:instrText>","</w:instrText>
      </w:r>
      <w:r w:rsidR="003524A5">
        <w:rPr>
          <w:szCs w:val="24"/>
          <w:lang w:val="en-US"/>
        </w:rPr>
        <w:instrText>volume</w:instrText>
      </w:r>
      <w:r w:rsidR="003524A5" w:rsidRPr="00E45937">
        <w:rPr>
          <w:szCs w:val="24"/>
        </w:rPr>
        <w:instrText>":"4"},"</w:instrText>
      </w:r>
      <w:r w:rsidR="003524A5">
        <w:rPr>
          <w:szCs w:val="24"/>
          <w:lang w:val="en-US"/>
        </w:rPr>
        <w:instrText>uris</w:instrText>
      </w:r>
      <w:r w:rsidR="003524A5" w:rsidRPr="00E45937">
        <w:rPr>
          <w:szCs w:val="24"/>
        </w:rPr>
        <w:instrText>":["</w:instrText>
      </w:r>
      <w:r w:rsidR="003524A5">
        <w:rPr>
          <w:szCs w:val="24"/>
          <w:lang w:val="en-US"/>
        </w:rPr>
        <w:instrText>http</w:instrText>
      </w:r>
      <w:r w:rsidR="003524A5" w:rsidRPr="00E45937">
        <w:rPr>
          <w:szCs w:val="24"/>
        </w:rPr>
        <w:instrText>://</w:instrText>
      </w:r>
      <w:r w:rsidR="003524A5">
        <w:rPr>
          <w:szCs w:val="24"/>
          <w:lang w:val="en-US"/>
        </w:rPr>
        <w:instrText>www</w:instrText>
      </w:r>
      <w:r w:rsidR="003524A5" w:rsidRPr="00E45937">
        <w:rPr>
          <w:szCs w:val="24"/>
        </w:rPr>
        <w:instrText>.</w:instrText>
      </w:r>
      <w:r w:rsidR="003524A5">
        <w:rPr>
          <w:szCs w:val="24"/>
          <w:lang w:val="en-US"/>
        </w:rPr>
        <w:instrText>mendeley</w:instrText>
      </w:r>
      <w:r w:rsidR="003524A5" w:rsidRPr="00E45937">
        <w:rPr>
          <w:szCs w:val="24"/>
        </w:rPr>
        <w:instrText>.</w:instrText>
      </w:r>
      <w:r w:rsidR="003524A5">
        <w:rPr>
          <w:szCs w:val="24"/>
          <w:lang w:val="en-US"/>
        </w:rPr>
        <w:instrText>com</w:instrText>
      </w:r>
      <w:r w:rsidR="003524A5" w:rsidRPr="00E45937">
        <w:rPr>
          <w:szCs w:val="24"/>
        </w:rPr>
        <w:instrText>/</w:instrText>
      </w:r>
      <w:r w:rsidR="003524A5">
        <w:rPr>
          <w:szCs w:val="24"/>
          <w:lang w:val="en-US"/>
        </w:rPr>
        <w:instrText>documents</w:instrText>
      </w:r>
      <w:r w:rsidR="003524A5" w:rsidRPr="00E45937">
        <w:rPr>
          <w:szCs w:val="24"/>
        </w:rPr>
        <w:instrText>/?</w:instrText>
      </w:r>
      <w:r w:rsidR="003524A5">
        <w:rPr>
          <w:szCs w:val="24"/>
          <w:lang w:val="en-US"/>
        </w:rPr>
        <w:instrText>uuid</w:instrText>
      </w:r>
      <w:r w:rsidR="003524A5" w:rsidRPr="00E45937">
        <w:rPr>
          <w:szCs w:val="24"/>
        </w:rPr>
        <w:instrText>=8</w:instrText>
      </w:r>
      <w:r w:rsidR="003524A5">
        <w:rPr>
          <w:szCs w:val="24"/>
          <w:lang w:val="en-US"/>
        </w:rPr>
        <w:instrText>c</w:instrText>
      </w:r>
      <w:r w:rsidR="003524A5" w:rsidRPr="00E45937">
        <w:rPr>
          <w:szCs w:val="24"/>
        </w:rPr>
        <w:instrText>6</w:instrText>
      </w:r>
      <w:r w:rsidR="003524A5">
        <w:rPr>
          <w:szCs w:val="24"/>
          <w:lang w:val="en-US"/>
        </w:rPr>
        <w:instrText>f</w:instrText>
      </w:r>
      <w:r w:rsidR="003524A5" w:rsidRPr="00E45937">
        <w:rPr>
          <w:szCs w:val="24"/>
        </w:rPr>
        <w:instrText>1</w:instrText>
      </w:r>
      <w:r w:rsidR="003524A5">
        <w:rPr>
          <w:szCs w:val="24"/>
          <w:lang w:val="en-US"/>
        </w:rPr>
        <w:instrText>c</w:instrText>
      </w:r>
      <w:r w:rsidR="003524A5" w:rsidRPr="00E45937">
        <w:rPr>
          <w:szCs w:val="24"/>
        </w:rPr>
        <w:instrText>03-</w:instrText>
      </w:r>
      <w:r w:rsidR="003524A5">
        <w:rPr>
          <w:szCs w:val="24"/>
          <w:lang w:val="en-US"/>
        </w:rPr>
        <w:instrText>ad</w:instrText>
      </w:r>
      <w:r w:rsidR="003524A5" w:rsidRPr="00E45937">
        <w:rPr>
          <w:szCs w:val="24"/>
        </w:rPr>
        <w:instrText>49-3</w:instrText>
      </w:r>
      <w:r w:rsidR="003524A5">
        <w:rPr>
          <w:szCs w:val="24"/>
          <w:lang w:val="en-US"/>
        </w:rPr>
        <w:instrText>f</w:instrText>
      </w:r>
      <w:r w:rsidR="003524A5" w:rsidRPr="00E45937">
        <w:rPr>
          <w:szCs w:val="24"/>
        </w:rPr>
        <w:instrText>5</w:instrText>
      </w:r>
      <w:r w:rsidR="003524A5">
        <w:rPr>
          <w:szCs w:val="24"/>
          <w:lang w:val="en-US"/>
        </w:rPr>
        <w:instrText>e</w:instrText>
      </w:r>
      <w:r w:rsidR="003524A5" w:rsidRPr="00E45937">
        <w:rPr>
          <w:szCs w:val="24"/>
        </w:rPr>
        <w:instrText>-8</w:instrText>
      </w:r>
      <w:r w:rsidR="003524A5">
        <w:rPr>
          <w:szCs w:val="24"/>
          <w:lang w:val="en-US"/>
        </w:rPr>
        <w:instrText>b</w:instrText>
      </w:r>
      <w:r w:rsidR="003524A5" w:rsidRPr="00E45937">
        <w:rPr>
          <w:szCs w:val="24"/>
        </w:rPr>
        <w:instrText>63-59</w:instrText>
      </w:r>
      <w:r w:rsidR="003524A5">
        <w:rPr>
          <w:szCs w:val="24"/>
          <w:lang w:val="en-US"/>
        </w:rPr>
        <w:instrText>b</w:instrText>
      </w:r>
      <w:r w:rsidR="003524A5" w:rsidRPr="00E45937">
        <w:rPr>
          <w:szCs w:val="24"/>
        </w:rPr>
        <w:instrText>182</w:instrText>
      </w:r>
      <w:r w:rsidR="003524A5">
        <w:rPr>
          <w:szCs w:val="24"/>
          <w:lang w:val="en-US"/>
        </w:rPr>
        <w:instrText>a</w:instrText>
      </w:r>
      <w:r w:rsidR="003524A5" w:rsidRPr="00E45937">
        <w:rPr>
          <w:szCs w:val="24"/>
        </w:rPr>
        <w:instrText>86311"]}],"</w:instrText>
      </w:r>
      <w:r w:rsidR="003524A5">
        <w:rPr>
          <w:szCs w:val="24"/>
          <w:lang w:val="en-US"/>
        </w:rPr>
        <w:instrText>mendeley</w:instrText>
      </w:r>
      <w:r w:rsidR="003524A5" w:rsidRPr="00E45937">
        <w:rPr>
          <w:szCs w:val="24"/>
        </w:rPr>
        <w:instrText>":{"</w:instrText>
      </w:r>
      <w:r w:rsidR="003524A5">
        <w:rPr>
          <w:szCs w:val="24"/>
          <w:lang w:val="en-US"/>
        </w:rPr>
        <w:instrText>formattedCitation</w:instrText>
      </w:r>
      <w:r w:rsidR="003524A5" w:rsidRPr="00E45937">
        <w:rPr>
          <w:szCs w:val="24"/>
        </w:rPr>
        <w:instrText>":"[82]","</w:instrText>
      </w:r>
      <w:r w:rsidR="003524A5">
        <w:rPr>
          <w:szCs w:val="24"/>
          <w:lang w:val="en-US"/>
        </w:rPr>
        <w:instrText>plainTextFormattedCitation</w:instrText>
      </w:r>
      <w:r w:rsidR="003524A5" w:rsidRPr="00E45937">
        <w:rPr>
          <w:szCs w:val="24"/>
        </w:rPr>
        <w:instrText>":"[82]","</w:instrText>
      </w:r>
      <w:r w:rsidR="003524A5">
        <w:rPr>
          <w:szCs w:val="24"/>
          <w:lang w:val="en-US"/>
        </w:rPr>
        <w:instrText>previouslyFormattedCitation</w:instrText>
      </w:r>
      <w:r w:rsidR="003524A5" w:rsidRPr="00E45937">
        <w:rPr>
          <w:szCs w:val="24"/>
        </w:rPr>
        <w:instrText>":"[82]"},"</w:instrText>
      </w:r>
      <w:r w:rsidR="003524A5">
        <w:rPr>
          <w:szCs w:val="24"/>
          <w:lang w:val="en-US"/>
        </w:rPr>
        <w:instrText>properties</w:instrText>
      </w:r>
      <w:r w:rsidR="003524A5" w:rsidRPr="00E45937">
        <w:rPr>
          <w:szCs w:val="24"/>
        </w:rPr>
        <w:instrText>":{"</w:instrText>
      </w:r>
      <w:r w:rsidR="003524A5">
        <w:rPr>
          <w:szCs w:val="24"/>
          <w:lang w:val="en-US"/>
        </w:rPr>
        <w:instrText>noteIndex</w:instrText>
      </w:r>
      <w:r w:rsidR="003524A5" w:rsidRPr="00E45937">
        <w:rPr>
          <w:szCs w:val="24"/>
        </w:rPr>
        <w:instrText>":0},"</w:instrText>
      </w:r>
      <w:r w:rsidR="003524A5">
        <w:rPr>
          <w:szCs w:val="24"/>
          <w:lang w:val="en-US"/>
        </w:rPr>
        <w:instrText>schema</w:instrText>
      </w:r>
      <w:r w:rsidR="003524A5" w:rsidRPr="00E45937">
        <w:rPr>
          <w:szCs w:val="24"/>
        </w:rPr>
        <w:instrText>":"</w:instrText>
      </w:r>
      <w:r w:rsidR="003524A5">
        <w:rPr>
          <w:szCs w:val="24"/>
          <w:lang w:val="en-US"/>
        </w:rPr>
        <w:instrText>https</w:instrText>
      </w:r>
      <w:r w:rsidR="003524A5" w:rsidRPr="00E45937">
        <w:rPr>
          <w:szCs w:val="24"/>
        </w:rPr>
        <w:instrText>://</w:instrText>
      </w:r>
      <w:r w:rsidR="003524A5">
        <w:rPr>
          <w:szCs w:val="24"/>
          <w:lang w:val="en-US"/>
        </w:rPr>
        <w:instrText>github</w:instrText>
      </w:r>
      <w:r w:rsidR="003524A5" w:rsidRPr="00E45937">
        <w:rPr>
          <w:szCs w:val="24"/>
        </w:rPr>
        <w:instrText>.</w:instrText>
      </w:r>
      <w:r w:rsidR="003524A5">
        <w:rPr>
          <w:szCs w:val="24"/>
          <w:lang w:val="en-US"/>
        </w:rPr>
        <w:instrText>com</w:instrText>
      </w:r>
      <w:r w:rsidR="003524A5" w:rsidRPr="00E45937">
        <w:rPr>
          <w:szCs w:val="24"/>
        </w:rPr>
        <w:instrText>/</w:instrText>
      </w:r>
      <w:r w:rsidR="003524A5">
        <w:rPr>
          <w:szCs w:val="24"/>
          <w:lang w:val="en-US"/>
        </w:rPr>
        <w:instrText>citation</w:instrText>
      </w:r>
      <w:r w:rsidR="003524A5" w:rsidRPr="00E45937">
        <w:rPr>
          <w:szCs w:val="24"/>
        </w:rPr>
        <w:instrText>-</w:instrText>
      </w:r>
      <w:r w:rsidR="003524A5">
        <w:rPr>
          <w:szCs w:val="24"/>
          <w:lang w:val="en-US"/>
        </w:rPr>
        <w:instrText>style</w:instrText>
      </w:r>
      <w:r w:rsidR="003524A5" w:rsidRPr="00E45937">
        <w:rPr>
          <w:szCs w:val="24"/>
        </w:rPr>
        <w:instrText>-</w:instrText>
      </w:r>
      <w:r w:rsidR="003524A5">
        <w:rPr>
          <w:szCs w:val="24"/>
          <w:lang w:val="en-US"/>
        </w:rPr>
        <w:instrText>language</w:instrText>
      </w:r>
      <w:r w:rsidR="003524A5" w:rsidRPr="00E45937">
        <w:rPr>
          <w:szCs w:val="24"/>
        </w:rPr>
        <w:instrText>/</w:instrText>
      </w:r>
      <w:r w:rsidR="003524A5">
        <w:rPr>
          <w:szCs w:val="24"/>
          <w:lang w:val="en-US"/>
        </w:rPr>
        <w:instrText>schema</w:instrText>
      </w:r>
      <w:r w:rsidR="003524A5" w:rsidRPr="00E45937">
        <w:rPr>
          <w:szCs w:val="24"/>
        </w:rPr>
        <w:instrText>/</w:instrText>
      </w:r>
      <w:r w:rsidR="003524A5">
        <w:rPr>
          <w:szCs w:val="24"/>
          <w:lang w:val="en-US"/>
        </w:rPr>
        <w:instrText>raw</w:instrText>
      </w:r>
      <w:r w:rsidR="003524A5" w:rsidRPr="00E45937">
        <w:rPr>
          <w:szCs w:val="24"/>
        </w:rPr>
        <w:instrText>/</w:instrText>
      </w:r>
      <w:r w:rsidR="003524A5">
        <w:rPr>
          <w:szCs w:val="24"/>
          <w:lang w:val="en-US"/>
        </w:rPr>
        <w:instrText>master</w:instrText>
      </w:r>
      <w:r w:rsidR="003524A5" w:rsidRPr="00E45937">
        <w:rPr>
          <w:szCs w:val="24"/>
        </w:rPr>
        <w:instrText>/</w:instrText>
      </w:r>
      <w:r w:rsidR="003524A5">
        <w:rPr>
          <w:szCs w:val="24"/>
          <w:lang w:val="en-US"/>
        </w:rPr>
        <w:instrText>csl</w:instrText>
      </w:r>
      <w:r w:rsidR="003524A5" w:rsidRPr="00E45937">
        <w:rPr>
          <w:szCs w:val="24"/>
        </w:rPr>
        <w:instrText>-</w:instrText>
      </w:r>
      <w:r w:rsidR="003524A5">
        <w:rPr>
          <w:szCs w:val="24"/>
          <w:lang w:val="en-US"/>
        </w:rPr>
        <w:instrText>citation</w:instrText>
      </w:r>
      <w:r w:rsidR="003524A5" w:rsidRPr="00E45937">
        <w:rPr>
          <w:szCs w:val="24"/>
        </w:rPr>
        <w:instrText>.</w:instrText>
      </w:r>
      <w:r w:rsidR="003524A5">
        <w:rPr>
          <w:szCs w:val="24"/>
          <w:lang w:val="en-US"/>
        </w:rPr>
        <w:instrText>json</w:instrText>
      </w:r>
      <w:r w:rsidR="003524A5" w:rsidRPr="00E45937">
        <w:rPr>
          <w:szCs w:val="24"/>
        </w:rPr>
        <w:instrText>"}</w:instrText>
      </w:r>
      <w:r>
        <w:rPr>
          <w:szCs w:val="24"/>
          <w:lang w:val="en-US"/>
        </w:rPr>
        <w:fldChar w:fldCharType="separate"/>
      </w:r>
      <w:r w:rsidR="005600FF" w:rsidRPr="005600FF">
        <w:rPr>
          <w:noProof/>
          <w:szCs w:val="24"/>
        </w:rPr>
        <w:t>[82]</w:t>
      </w:r>
      <w:r>
        <w:rPr>
          <w:szCs w:val="24"/>
          <w:lang w:val="en-US"/>
        </w:rPr>
        <w:fldChar w:fldCharType="end"/>
      </w:r>
      <w:r w:rsidRPr="004F07FC">
        <w:rPr>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B43B37" w:rsidRPr="00DC46B0" w:rsidTr="005600FF">
        <w:trPr>
          <w:trHeight w:val="584"/>
        </w:trPr>
        <w:tc>
          <w:tcPr>
            <w:tcW w:w="1951" w:type="dxa"/>
            <w:shd w:val="clear" w:color="auto" w:fill="auto"/>
            <w:hideMark/>
          </w:tcPr>
          <w:p w:rsidR="00B43B37" w:rsidRPr="00DC46B0" w:rsidRDefault="00B43B37" w:rsidP="005600FF">
            <w:pPr>
              <w:ind w:firstLine="0"/>
              <w:rPr>
                <w:b/>
                <w:bCs/>
                <w:szCs w:val="24"/>
              </w:rPr>
            </w:pPr>
            <w:r w:rsidRPr="00DC46B0">
              <w:rPr>
                <w:b/>
                <w:bCs/>
                <w:szCs w:val="24"/>
              </w:rPr>
              <w:t>Риск</w:t>
            </w:r>
          </w:p>
        </w:tc>
        <w:tc>
          <w:tcPr>
            <w:tcW w:w="7513" w:type="dxa"/>
            <w:shd w:val="clear" w:color="auto" w:fill="auto"/>
            <w:hideMark/>
          </w:tcPr>
          <w:p w:rsidR="00B43B37" w:rsidRPr="00DC46B0" w:rsidRDefault="00B43B37" w:rsidP="005600FF">
            <w:pPr>
              <w:ind w:firstLine="0"/>
              <w:rPr>
                <w:b/>
                <w:bCs/>
                <w:szCs w:val="24"/>
              </w:rPr>
            </w:pPr>
            <w:r w:rsidRPr="00DC46B0">
              <w:rPr>
                <w:b/>
                <w:bCs/>
                <w:szCs w:val="24"/>
              </w:rPr>
              <w:t xml:space="preserve">                                     Рекомендации</w:t>
            </w:r>
          </w:p>
        </w:tc>
      </w:tr>
      <w:tr w:rsidR="00B43B37" w:rsidRPr="00DC46B0" w:rsidTr="005600FF">
        <w:trPr>
          <w:trHeight w:val="584"/>
        </w:trPr>
        <w:tc>
          <w:tcPr>
            <w:tcW w:w="1951" w:type="dxa"/>
            <w:shd w:val="clear" w:color="auto" w:fill="auto"/>
            <w:hideMark/>
          </w:tcPr>
          <w:p w:rsidR="00B43B37" w:rsidRPr="00DC46B0" w:rsidRDefault="00B43B37" w:rsidP="005600FF">
            <w:pPr>
              <w:ind w:firstLine="0"/>
              <w:rPr>
                <w:bCs/>
                <w:szCs w:val="24"/>
              </w:rPr>
            </w:pPr>
            <w:r w:rsidRPr="00DC46B0">
              <w:rPr>
                <w:bCs/>
                <w:szCs w:val="24"/>
              </w:rPr>
              <w:t xml:space="preserve">Очень высокий риск </w:t>
            </w:r>
          </w:p>
        </w:tc>
        <w:tc>
          <w:tcPr>
            <w:tcW w:w="7513" w:type="dxa"/>
            <w:shd w:val="clear" w:color="auto" w:fill="auto"/>
            <w:hideMark/>
          </w:tcPr>
          <w:p w:rsidR="00B43B37" w:rsidRPr="00DC46B0" w:rsidRDefault="00B43B37" w:rsidP="005600FF">
            <w:pPr>
              <w:ind w:firstLine="0"/>
              <w:rPr>
                <w:bCs/>
                <w:szCs w:val="24"/>
              </w:rPr>
            </w:pPr>
            <w:r w:rsidRPr="00DC46B0">
              <w:rPr>
                <w:bCs/>
                <w:szCs w:val="24"/>
              </w:rPr>
              <w:t>За 1 неделю до ХТ начать иАПФ/АРА, карведилол, статины в низких дозах</w:t>
            </w:r>
            <w:r w:rsidRPr="00DC46B0">
              <w:rPr>
                <w:b/>
                <w:bCs/>
                <w:szCs w:val="24"/>
              </w:rPr>
              <w:t>.</w:t>
            </w:r>
            <w:r w:rsidRPr="00DC46B0">
              <w:rPr>
                <w:bCs/>
                <w:szCs w:val="24"/>
              </w:rPr>
              <w:t xml:space="preserve">  Далее, на фоне ХТ при стабильном состоянии  титровать по переносимости. </w:t>
            </w:r>
          </w:p>
        </w:tc>
      </w:tr>
      <w:tr w:rsidR="00B43B37" w:rsidRPr="00DC46B0" w:rsidTr="005600FF">
        <w:trPr>
          <w:trHeight w:val="357"/>
        </w:trPr>
        <w:tc>
          <w:tcPr>
            <w:tcW w:w="1951" w:type="dxa"/>
            <w:shd w:val="clear" w:color="auto" w:fill="auto"/>
            <w:hideMark/>
          </w:tcPr>
          <w:p w:rsidR="00B43B37" w:rsidRPr="00DC46B0" w:rsidRDefault="00B43B37" w:rsidP="005600FF">
            <w:pPr>
              <w:ind w:firstLine="0"/>
              <w:rPr>
                <w:bCs/>
                <w:szCs w:val="24"/>
              </w:rPr>
            </w:pPr>
            <w:r w:rsidRPr="00DC46B0">
              <w:rPr>
                <w:bCs/>
                <w:szCs w:val="24"/>
              </w:rPr>
              <w:t xml:space="preserve">Высокий риск </w:t>
            </w:r>
          </w:p>
        </w:tc>
        <w:tc>
          <w:tcPr>
            <w:tcW w:w="7513" w:type="dxa"/>
            <w:shd w:val="clear" w:color="auto" w:fill="auto"/>
            <w:hideMark/>
          </w:tcPr>
          <w:p w:rsidR="00B43B37" w:rsidRPr="00DC46B0" w:rsidRDefault="00B43B37" w:rsidP="005600FF">
            <w:pPr>
              <w:ind w:firstLine="0"/>
              <w:rPr>
                <w:bCs/>
                <w:szCs w:val="24"/>
              </w:rPr>
            </w:pPr>
            <w:r w:rsidRPr="00DC46B0">
              <w:rPr>
                <w:bCs/>
                <w:szCs w:val="24"/>
              </w:rPr>
              <w:t xml:space="preserve">Начать иАПФ/АРА, карведилол и/или статины.  </w:t>
            </w:r>
          </w:p>
        </w:tc>
      </w:tr>
      <w:tr w:rsidR="00B43B37" w:rsidRPr="00DC46B0" w:rsidTr="005600FF">
        <w:trPr>
          <w:trHeight w:val="584"/>
        </w:trPr>
        <w:tc>
          <w:tcPr>
            <w:tcW w:w="1951" w:type="dxa"/>
            <w:shd w:val="clear" w:color="auto" w:fill="auto"/>
            <w:hideMark/>
          </w:tcPr>
          <w:p w:rsidR="00B43B37" w:rsidRPr="00DC46B0" w:rsidRDefault="00B43B37" w:rsidP="005600FF">
            <w:pPr>
              <w:ind w:firstLine="0"/>
              <w:rPr>
                <w:bCs/>
                <w:szCs w:val="24"/>
              </w:rPr>
            </w:pPr>
            <w:r w:rsidRPr="00DC46B0">
              <w:rPr>
                <w:bCs/>
                <w:szCs w:val="24"/>
              </w:rPr>
              <w:t xml:space="preserve">Промежуточный риск </w:t>
            </w:r>
          </w:p>
        </w:tc>
        <w:tc>
          <w:tcPr>
            <w:tcW w:w="7513" w:type="dxa"/>
            <w:shd w:val="clear" w:color="auto" w:fill="auto"/>
            <w:hideMark/>
          </w:tcPr>
          <w:p w:rsidR="00B43B37" w:rsidRPr="00DC46B0" w:rsidRDefault="00B43B37" w:rsidP="005600FF">
            <w:pPr>
              <w:ind w:firstLine="0"/>
              <w:rPr>
                <w:bCs/>
                <w:szCs w:val="24"/>
              </w:rPr>
            </w:pPr>
            <w:r w:rsidRPr="00DC46B0">
              <w:rPr>
                <w:bCs/>
                <w:szCs w:val="24"/>
              </w:rPr>
              <w:t>Обсудить</w:t>
            </w:r>
            <w:r w:rsidRPr="00DC46B0">
              <w:rPr>
                <w:b/>
                <w:bCs/>
                <w:i/>
                <w:szCs w:val="24"/>
              </w:rPr>
              <w:t xml:space="preserve"> </w:t>
            </w:r>
            <w:r w:rsidRPr="00DC46B0">
              <w:rPr>
                <w:bCs/>
                <w:szCs w:val="24"/>
              </w:rPr>
              <w:t xml:space="preserve">необходимость медикаментозной профилактики. </w:t>
            </w:r>
          </w:p>
        </w:tc>
      </w:tr>
      <w:tr w:rsidR="00B43B37" w:rsidRPr="00DC46B0" w:rsidTr="005600FF">
        <w:trPr>
          <w:trHeight w:val="356"/>
        </w:trPr>
        <w:tc>
          <w:tcPr>
            <w:tcW w:w="1951" w:type="dxa"/>
            <w:shd w:val="clear" w:color="auto" w:fill="auto"/>
            <w:hideMark/>
          </w:tcPr>
          <w:p w:rsidR="00B43B37" w:rsidRPr="00DC46B0" w:rsidRDefault="00B43B37" w:rsidP="005600FF">
            <w:pPr>
              <w:ind w:firstLine="0"/>
              <w:rPr>
                <w:bCs/>
                <w:szCs w:val="24"/>
              </w:rPr>
            </w:pPr>
            <w:r w:rsidRPr="00DC46B0">
              <w:rPr>
                <w:bCs/>
                <w:szCs w:val="24"/>
              </w:rPr>
              <w:t xml:space="preserve">Низкий риск </w:t>
            </w:r>
          </w:p>
        </w:tc>
        <w:tc>
          <w:tcPr>
            <w:tcW w:w="7513" w:type="dxa"/>
            <w:shd w:val="clear" w:color="auto" w:fill="auto"/>
            <w:hideMark/>
          </w:tcPr>
          <w:p w:rsidR="00B43B37" w:rsidRPr="00DC46B0" w:rsidRDefault="00B43B37" w:rsidP="005600FF">
            <w:pPr>
              <w:ind w:firstLine="0"/>
              <w:rPr>
                <w:bCs/>
                <w:szCs w:val="24"/>
              </w:rPr>
            </w:pPr>
            <w:r w:rsidRPr="00DC46B0">
              <w:rPr>
                <w:bCs/>
                <w:szCs w:val="24"/>
              </w:rPr>
              <w:t xml:space="preserve">Только мониторинг состояния. </w:t>
            </w:r>
          </w:p>
        </w:tc>
      </w:tr>
      <w:tr w:rsidR="00B43B37" w:rsidRPr="00DC46B0" w:rsidTr="005600FF">
        <w:trPr>
          <w:trHeight w:val="417"/>
        </w:trPr>
        <w:tc>
          <w:tcPr>
            <w:tcW w:w="1951" w:type="dxa"/>
            <w:shd w:val="clear" w:color="auto" w:fill="auto"/>
            <w:hideMark/>
          </w:tcPr>
          <w:p w:rsidR="00B43B37" w:rsidRPr="00DC46B0" w:rsidRDefault="00B43B37" w:rsidP="005600FF">
            <w:pPr>
              <w:ind w:firstLine="0"/>
              <w:rPr>
                <w:bCs/>
                <w:szCs w:val="24"/>
              </w:rPr>
            </w:pPr>
            <w:r w:rsidRPr="00DC46B0">
              <w:rPr>
                <w:bCs/>
                <w:szCs w:val="24"/>
              </w:rPr>
              <w:t xml:space="preserve">Очень низкий риск </w:t>
            </w:r>
          </w:p>
        </w:tc>
        <w:tc>
          <w:tcPr>
            <w:tcW w:w="7513" w:type="dxa"/>
            <w:shd w:val="clear" w:color="auto" w:fill="auto"/>
            <w:hideMark/>
          </w:tcPr>
          <w:p w:rsidR="00B43B37" w:rsidRPr="00DC46B0" w:rsidRDefault="00B43B37" w:rsidP="005600FF">
            <w:pPr>
              <w:ind w:firstLine="0"/>
              <w:rPr>
                <w:bCs/>
                <w:szCs w:val="24"/>
              </w:rPr>
            </w:pPr>
            <w:r w:rsidRPr="00DC46B0">
              <w:rPr>
                <w:bCs/>
                <w:szCs w:val="24"/>
              </w:rPr>
              <w:t xml:space="preserve">Только мониторинг состояния. </w:t>
            </w:r>
          </w:p>
        </w:tc>
      </w:tr>
    </w:tbl>
    <w:p w:rsidR="00B43B37" w:rsidRPr="00DC46B0" w:rsidRDefault="00B43B37" w:rsidP="00B43B37">
      <w:pPr>
        <w:rPr>
          <w:szCs w:val="24"/>
        </w:rPr>
      </w:pPr>
    </w:p>
    <w:p w:rsidR="00B43B37" w:rsidRDefault="00B43B37" w:rsidP="00B43B37">
      <w:pPr>
        <w:rPr>
          <w:szCs w:val="24"/>
        </w:rPr>
      </w:pPr>
      <w:r w:rsidRPr="00DC46B0">
        <w:rPr>
          <w:szCs w:val="24"/>
        </w:rPr>
        <w:t xml:space="preserve">Рекомендуется тщательный мониторинг состояния больных, получающих гематологическое противоопухолевое лечение, в том числе даже с низким и очень низким рисками развития осложнений (таб. 4). </w:t>
      </w:r>
    </w:p>
    <w:p w:rsidR="00B43B37" w:rsidRPr="00DC46B0" w:rsidRDefault="00B43B37" w:rsidP="00B43B37">
      <w:pPr>
        <w:rPr>
          <w:szCs w:val="24"/>
        </w:rPr>
      </w:pPr>
    </w:p>
    <w:p w:rsidR="00B43B37" w:rsidRPr="004F07FC" w:rsidRDefault="00B43B37" w:rsidP="00B43B37">
      <w:pPr>
        <w:rPr>
          <w:szCs w:val="24"/>
        </w:rPr>
      </w:pPr>
      <w:r w:rsidRPr="004F07FC">
        <w:rPr>
          <w:bCs/>
          <w:szCs w:val="24"/>
        </w:rPr>
        <w:t xml:space="preserve">Таблица 4. Мониторинг  пациентов в  зависимости  от  риска  кардиотоксичности </w:t>
      </w:r>
      <w:r>
        <w:rPr>
          <w:bCs/>
          <w:szCs w:val="24"/>
        </w:rPr>
        <w:fldChar w:fldCharType="begin" w:fldLock="1"/>
      </w:r>
      <w:r w:rsidR="003524A5">
        <w:rPr>
          <w:bCs/>
          <w:szCs w:val="24"/>
        </w:rPr>
        <w:instrText>ADDIN CSL_CITATION {"citationItems":[{"id":"ITEM-1","itemData":{"DOI":"10.1530/ERP-17-0013","ISSN":"20550464","abstract":"Cardio-oncology is a rapidly growing feld aimed at minimizing the effects of cardiovascular morbidity and mortality in cancer survivors. To meet this aim, patients are assessed at baseline to define their risk of cardiotoxicity and then followed closely during and after chemotherapy to assess for early signs or symptoms of cardiovascular disease. Cardiac imaging, and in particular, transthoracic echocardiography, plays an essential role in the baseline assessment and serial follow-up of cardio-oncology patients. The objectives of this paper are to review the mechanisms of cardiotoxicity of several common chemotherapeutic agents associated with an increased risk for left ventricular systolic dysfunction and to outline recommendations regarding the baseline assessment and serial follow-up of cardio-oncology patients with a focus on the role of echocardiography.","author":[{"dropping-particle":"","family":"Larsen","given":"Carolyn M.","non-dropping-particle":"","parse-names":false,"suffix":""},{"dropping-particle":"","family":"Mulvagh","given":"Sharon L.","non-dropping-particle":"","parse-names":false,"suffix":""}],"container-title":"Echo Research and Practice","id":"ITEM-1","issue":"1","issued":{"date-parts":[["2017","3","1"]]},"page":"R33-R41","publisher":"BioScientifica Ltd.","title":"Cardio-oncology: What you need to know now for clinical practice and echocardiography","type":"article","volume":"4"},"uris":["http://www.mendeley.com/documents/?uuid=8c6f1c03-ad49-3f5e-8b63-59b182a86311"]}],"mendeley":{"formattedCitation":"[82]","plainTextFormattedCitation":"[82]","previouslyFormattedCitation":"[82]"},"properties":{"noteIndex":0},"schema":"https://github.com/citation-style-language/schema/raw/master/csl-citation.json"}</w:instrText>
      </w:r>
      <w:r>
        <w:rPr>
          <w:bCs/>
          <w:szCs w:val="24"/>
        </w:rPr>
        <w:fldChar w:fldCharType="separate"/>
      </w:r>
      <w:r w:rsidR="005600FF" w:rsidRPr="005600FF">
        <w:rPr>
          <w:bCs/>
          <w:noProof/>
          <w:szCs w:val="24"/>
        </w:rPr>
        <w:t>[82]</w:t>
      </w:r>
      <w:r>
        <w:rPr>
          <w:bCs/>
          <w:szCs w:val="24"/>
        </w:rPr>
        <w:fldChar w:fldCharType="end"/>
      </w:r>
      <w:r w:rsidRPr="004F07FC">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5"/>
      </w:tblGrid>
      <w:tr w:rsidR="00B43B37" w:rsidRPr="00DC46B0" w:rsidTr="005600FF">
        <w:tc>
          <w:tcPr>
            <w:tcW w:w="1951" w:type="dxa"/>
            <w:shd w:val="clear" w:color="auto" w:fill="auto"/>
          </w:tcPr>
          <w:p w:rsidR="00B43B37" w:rsidRPr="00DC46B0" w:rsidRDefault="00B43B37" w:rsidP="005600FF">
            <w:pPr>
              <w:ind w:firstLine="0"/>
              <w:rPr>
                <w:b/>
                <w:bCs/>
                <w:szCs w:val="24"/>
              </w:rPr>
            </w:pPr>
            <w:r w:rsidRPr="00DC46B0">
              <w:rPr>
                <w:b/>
                <w:bCs/>
                <w:szCs w:val="24"/>
              </w:rPr>
              <w:t xml:space="preserve">      Оценка</w:t>
            </w:r>
          </w:p>
          <w:p w:rsidR="00B43B37" w:rsidRPr="00DC46B0" w:rsidRDefault="00B43B37" w:rsidP="005600FF">
            <w:pPr>
              <w:ind w:firstLine="0"/>
              <w:rPr>
                <w:b/>
                <w:szCs w:val="24"/>
              </w:rPr>
            </w:pPr>
            <w:r w:rsidRPr="00DC46B0">
              <w:rPr>
                <w:b/>
                <w:bCs/>
                <w:szCs w:val="24"/>
              </w:rPr>
              <w:t xml:space="preserve">       риска</w:t>
            </w:r>
          </w:p>
        </w:tc>
        <w:tc>
          <w:tcPr>
            <w:tcW w:w="7620" w:type="dxa"/>
            <w:shd w:val="clear" w:color="auto" w:fill="auto"/>
          </w:tcPr>
          <w:p w:rsidR="00B43B37" w:rsidRPr="00DC46B0" w:rsidRDefault="00B43B37" w:rsidP="005600FF">
            <w:pPr>
              <w:ind w:firstLine="0"/>
              <w:jc w:val="center"/>
              <w:rPr>
                <w:b/>
                <w:szCs w:val="24"/>
              </w:rPr>
            </w:pPr>
            <w:r w:rsidRPr="00DC46B0">
              <w:rPr>
                <w:b/>
                <w:bCs/>
                <w:szCs w:val="24"/>
              </w:rPr>
              <w:t>Обследование</w:t>
            </w:r>
          </w:p>
        </w:tc>
      </w:tr>
      <w:tr w:rsidR="00B43B37" w:rsidRPr="00DC46B0" w:rsidTr="005600FF">
        <w:tc>
          <w:tcPr>
            <w:tcW w:w="1951" w:type="dxa"/>
            <w:shd w:val="clear" w:color="auto" w:fill="auto"/>
          </w:tcPr>
          <w:p w:rsidR="00B43B37" w:rsidRPr="00DC46B0" w:rsidRDefault="00B43B37" w:rsidP="005600FF">
            <w:pPr>
              <w:ind w:firstLine="0"/>
              <w:rPr>
                <w:szCs w:val="24"/>
              </w:rPr>
            </w:pPr>
            <w:r w:rsidRPr="00DC46B0">
              <w:rPr>
                <w:bCs/>
                <w:szCs w:val="24"/>
              </w:rPr>
              <w:t>Очень высокий риск</w:t>
            </w:r>
          </w:p>
        </w:tc>
        <w:tc>
          <w:tcPr>
            <w:tcW w:w="7620" w:type="dxa"/>
            <w:shd w:val="clear" w:color="auto" w:fill="auto"/>
          </w:tcPr>
          <w:p w:rsidR="00B43B37" w:rsidRPr="00DC46B0" w:rsidRDefault="00B43B37" w:rsidP="005600FF">
            <w:pPr>
              <w:ind w:firstLine="0"/>
              <w:rPr>
                <w:szCs w:val="24"/>
              </w:rPr>
            </w:pPr>
            <w:r w:rsidRPr="00DC46B0">
              <w:rPr>
                <w:bCs/>
                <w:szCs w:val="24"/>
              </w:rPr>
              <w:t xml:space="preserve">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перед началом химиотерапии, перед каждым последующим курсом, в конце лечения, на 3, 6 и 12-й месяцы после лечения. Желательно: ЭКГ, </w:t>
            </w:r>
            <w:r w:rsidRPr="00DC46B0">
              <w:rPr>
                <w:bCs/>
                <w:szCs w:val="24"/>
                <w:lang w:val="en-US"/>
              </w:rPr>
              <w:t>cTn</w:t>
            </w:r>
            <w:r w:rsidRPr="00DC46B0">
              <w:rPr>
                <w:bCs/>
                <w:szCs w:val="24"/>
              </w:rPr>
              <w:t>, ЭхоКГ во время химиотерапии.</w:t>
            </w:r>
          </w:p>
        </w:tc>
      </w:tr>
      <w:tr w:rsidR="00B43B37" w:rsidRPr="00DC46B0" w:rsidTr="005600FF">
        <w:tc>
          <w:tcPr>
            <w:tcW w:w="1951" w:type="dxa"/>
            <w:shd w:val="clear" w:color="auto" w:fill="auto"/>
          </w:tcPr>
          <w:p w:rsidR="00B43B37" w:rsidRPr="00DC46B0" w:rsidRDefault="00B43B37" w:rsidP="005600FF">
            <w:pPr>
              <w:ind w:firstLine="0"/>
              <w:rPr>
                <w:szCs w:val="24"/>
              </w:rPr>
            </w:pPr>
            <w:r w:rsidRPr="00DC46B0">
              <w:rPr>
                <w:bCs/>
                <w:szCs w:val="24"/>
              </w:rPr>
              <w:t>Высокий риск</w:t>
            </w:r>
          </w:p>
        </w:tc>
        <w:tc>
          <w:tcPr>
            <w:tcW w:w="7620" w:type="dxa"/>
            <w:shd w:val="clear" w:color="auto" w:fill="auto"/>
          </w:tcPr>
          <w:p w:rsidR="00B43B37" w:rsidRPr="00DC46B0" w:rsidRDefault="00B43B37" w:rsidP="005600FF">
            <w:pPr>
              <w:ind w:firstLine="0"/>
              <w:rPr>
                <w:szCs w:val="24"/>
              </w:rPr>
            </w:pPr>
            <w:r w:rsidRPr="00DC46B0">
              <w:rPr>
                <w:bCs/>
                <w:szCs w:val="24"/>
              </w:rPr>
              <w:t xml:space="preserve">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после каждого третьего курса, в конце лечения, через 3, 6 и 12 месяцев после лечения. Желательно: ЭКГ, </w:t>
            </w:r>
            <w:r w:rsidRPr="00DC46B0">
              <w:rPr>
                <w:bCs/>
                <w:szCs w:val="24"/>
                <w:lang w:val="en-US"/>
              </w:rPr>
              <w:t>cTn</w:t>
            </w:r>
            <w:r w:rsidRPr="00DC46B0">
              <w:rPr>
                <w:bCs/>
                <w:szCs w:val="24"/>
              </w:rPr>
              <w:t>, ЭхоКГ во время химиотерапии.</w:t>
            </w:r>
          </w:p>
        </w:tc>
      </w:tr>
      <w:tr w:rsidR="00B43B37" w:rsidRPr="00DC46B0" w:rsidTr="005600FF">
        <w:tc>
          <w:tcPr>
            <w:tcW w:w="1951" w:type="dxa"/>
            <w:shd w:val="clear" w:color="auto" w:fill="auto"/>
          </w:tcPr>
          <w:p w:rsidR="00B43B37" w:rsidRPr="00DC46B0" w:rsidRDefault="00B43B37" w:rsidP="005600FF">
            <w:pPr>
              <w:ind w:firstLine="0"/>
              <w:rPr>
                <w:szCs w:val="24"/>
              </w:rPr>
            </w:pPr>
            <w:r w:rsidRPr="00DC46B0">
              <w:rPr>
                <w:bCs/>
                <w:szCs w:val="24"/>
              </w:rPr>
              <w:t>Промежуточный риск</w:t>
            </w:r>
          </w:p>
        </w:tc>
        <w:tc>
          <w:tcPr>
            <w:tcW w:w="7620" w:type="dxa"/>
            <w:shd w:val="clear" w:color="auto" w:fill="auto"/>
          </w:tcPr>
          <w:p w:rsidR="00B43B37" w:rsidRPr="00DC46B0" w:rsidRDefault="00B43B37" w:rsidP="005600FF">
            <w:pPr>
              <w:ind w:firstLine="0"/>
              <w:rPr>
                <w:szCs w:val="24"/>
              </w:rPr>
            </w:pPr>
            <w:r w:rsidRPr="00DC46B0">
              <w:rPr>
                <w:bCs/>
                <w:szCs w:val="24"/>
              </w:rPr>
              <w:t xml:space="preserve">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в середине и в конце лечения, через 3 и 6 месяцев после лечения. Желательно: ЭКГ, </w:t>
            </w:r>
            <w:r w:rsidRPr="00DC46B0">
              <w:rPr>
                <w:bCs/>
                <w:szCs w:val="24"/>
                <w:lang w:val="en-US"/>
              </w:rPr>
              <w:t>cTn</w:t>
            </w:r>
            <w:r w:rsidRPr="00DC46B0">
              <w:rPr>
                <w:bCs/>
                <w:szCs w:val="24"/>
              </w:rPr>
              <w:t>, ЭхоКГ во время химиотерапии.</w:t>
            </w:r>
          </w:p>
        </w:tc>
      </w:tr>
      <w:tr w:rsidR="00B43B37" w:rsidRPr="00DC46B0" w:rsidTr="005600FF">
        <w:tc>
          <w:tcPr>
            <w:tcW w:w="1951" w:type="dxa"/>
            <w:shd w:val="clear" w:color="auto" w:fill="auto"/>
          </w:tcPr>
          <w:p w:rsidR="00B43B37" w:rsidRPr="00DC46B0" w:rsidRDefault="00B43B37" w:rsidP="005600FF">
            <w:pPr>
              <w:ind w:firstLine="0"/>
              <w:rPr>
                <w:szCs w:val="24"/>
              </w:rPr>
            </w:pPr>
            <w:r w:rsidRPr="00DC46B0">
              <w:rPr>
                <w:bCs/>
                <w:szCs w:val="24"/>
              </w:rPr>
              <w:lastRenderedPageBreak/>
              <w:t>Низкий риск</w:t>
            </w:r>
          </w:p>
        </w:tc>
        <w:tc>
          <w:tcPr>
            <w:tcW w:w="7620" w:type="dxa"/>
            <w:shd w:val="clear" w:color="auto" w:fill="auto"/>
          </w:tcPr>
          <w:p w:rsidR="00B43B37" w:rsidRPr="00DC46B0" w:rsidRDefault="00B43B37" w:rsidP="005600FF">
            <w:pPr>
              <w:ind w:firstLine="0"/>
              <w:rPr>
                <w:szCs w:val="24"/>
              </w:rPr>
            </w:pPr>
            <w:r w:rsidRPr="00DC46B0">
              <w:rPr>
                <w:bCs/>
                <w:szCs w:val="24"/>
              </w:rPr>
              <w:t xml:space="preserve">По возможности 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и/или ЭКГ, </w:t>
            </w:r>
            <w:r w:rsidRPr="00DC46B0">
              <w:rPr>
                <w:bCs/>
                <w:szCs w:val="24"/>
                <w:lang w:val="en-US"/>
              </w:rPr>
              <w:t>cTn</w:t>
            </w:r>
            <w:r w:rsidRPr="00DC46B0">
              <w:rPr>
                <w:bCs/>
                <w:szCs w:val="24"/>
              </w:rPr>
              <w:t>, в конце химиотерапии.</w:t>
            </w:r>
          </w:p>
        </w:tc>
      </w:tr>
      <w:tr w:rsidR="00B43B37" w:rsidRPr="00DC46B0" w:rsidTr="005600FF">
        <w:tc>
          <w:tcPr>
            <w:tcW w:w="1951" w:type="dxa"/>
            <w:shd w:val="clear" w:color="auto" w:fill="auto"/>
          </w:tcPr>
          <w:p w:rsidR="00B43B37" w:rsidRPr="00DC46B0" w:rsidRDefault="00B43B37" w:rsidP="005600FF">
            <w:pPr>
              <w:ind w:firstLine="0"/>
              <w:rPr>
                <w:szCs w:val="24"/>
              </w:rPr>
            </w:pPr>
            <w:r w:rsidRPr="00DC46B0">
              <w:rPr>
                <w:bCs/>
                <w:szCs w:val="24"/>
              </w:rPr>
              <w:t>Очень низкий риск</w:t>
            </w:r>
          </w:p>
        </w:tc>
        <w:tc>
          <w:tcPr>
            <w:tcW w:w="7620" w:type="dxa"/>
            <w:shd w:val="clear" w:color="auto" w:fill="auto"/>
          </w:tcPr>
          <w:p w:rsidR="00B43B37" w:rsidRPr="00DC46B0" w:rsidRDefault="00B43B37" w:rsidP="005600FF">
            <w:pPr>
              <w:ind w:firstLine="0"/>
              <w:rPr>
                <w:szCs w:val="24"/>
              </w:rPr>
            </w:pPr>
            <w:r w:rsidRPr="00DC46B0">
              <w:rPr>
                <w:bCs/>
                <w:szCs w:val="24"/>
              </w:rPr>
              <w:t xml:space="preserve">По возможности 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и/или ЭКГ, </w:t>
            </w:r>
            <w:r w:rsidRPr="00DC46B0">
              <w:rPr>
                <w:bCs/>
                <w:szCs w:val="24"/>
                <w:lang w:val="en-US"/>
              </w:rPr>
              <w:t>cTn</w:t>
            </w:r>
            <w:r w:rsidRPr="00DC46B0">
              <w:rPr>
                <w:bCs/>
                <w:szCs w:val="24"/>
              </w:rPr>
              <w:t>, в конце химиотерапии.</w:t>
            </w:r>
          </w:p>
        </w:tc>
      </w:tr>
    </w:tbl>
    <w:p w:rsidR="00B43B37" w:rsidRPr="00DC46B0" w:rsidRDefault="00B43B37" w:rsidP="00B43B37">
      <w:pPr>
        <w:rPr>
          <w:szCs w:val="24"/>
        </w:rPr>
      </w:pPr>
    </w:p>
    <w:p w:rsidR="00B43B37" w:rsidRPr="00DC46B0" w:rsidRDefault="00B43B37" w:rsidP="00B43B37">
      <w:pPr>
        <w:rPr>
          <w:szCs w:val="24"/>
        </w:rPr>
      </w:pPr>
      <w:r w:rsidRPr="00DC46B0">
        <w:rPr>
          <w:szCs w:val="24"/>
        </w:rPr>
        <w:t xml:space="preserve">Такой подход необходим для профилактики кардиотоксичности, проявляющейся тяжелой сердечной недостаточностью. Другие тяжелые осложнения – желудочковая тахикардия/фибрилляция желудочков сердца/внезапная смерть – могут развиться при введении (даже при первом) препарата антрациклинового ряда или бортезомиба, карфилзомиба, ритуксимаба, ромидепсина. Поэтому первые введения этих препаратов желательно проводить при тщательном мониторинге, в помещении, в котором возможна электрическая дефибрилляция.  </w:t>
      </w:r>
    </w:p>
    <w:p w:rsidR="00B43B37" w:rsidRPr="00DC46B0" w:rsidRDefault="00B43B37" w:rsidP="00B43B37">
      <w:pPr>
        <w:rPr>
          <w:szCs w:val="24"/>
        </w:rPr>
      </w:pPr>
      <w:r w:rsidRPr="00DC46B0">
        <w:rPr>
          <w:szCs w:val="24"/>
        </w:rPr>
        <w:t xml:space="preserve">       Довольно многие противоопухолевые препараты удлиняют интервал QT на ЭКГ (что способствует возникновению фибрилляции желудочков и внезапной смерти) –доксорубицин, бозутиниб, дазатиниб, нилотиниб, понатиниб, препараты триоксида мышьяка, вемурафениб и другие. Возможность удлинения интервала QT значительно увеличивается у пациентов с сердечно-сосудистыми заболеваниями или принимающих лекарства, индуцирующие удлинение электрокардиографического желудочкового комплекса. Пациенты, получающие лечение этими препаратами, должны пройти, кроме других видов обследования, суточное мониторирование ЭКГ.</w:t>
      </w:r>
    </w:p>
    <w:p w:rsidR="00B43B37" w:rsidRPr="00DC46B0" w:rsidRDefault="00B43B37" w:rsidP="00B43B37">
      <w:pPr>
        <w:rPr>
          <w:szCs w:val="24"/>
        </w:rPr>
      </w:pPr>
      <w:r w:rsidRPr="00DC46B0">
        <w:rPr>
          <w:szCs w:val="24"/>
        </w:rPr>
        <w:t>Несколько менее тяжелые осложнения – брадикардия и атриовентрикулярная блокада 2 и 3 степеней, однако нередко требует имплантации кардиостимулятора. Препараты, которые могут вызывать брадиаритмию – антрациклины, бортезомиб, циклофосфан, ритуксимаб, ибрутиниб, талидомид. Факторы риска брадикардии, синоатриальной, атриовентрикулярной блокад – перенесенный инфаркт миокарда (особенно нижней локализации), синдромы и Ленегра, гиперкалиемия (в т.</w:t>
      </w:r>
      <w:r w:rsidRPr="004F07FC">
        <w:rPr>
          <w:szCs w:val="24"/>
        </w:rPr>
        <w:t xml:space="preserve"> </w:t>
      </w:r>
      <w:r w:rsidRPr="00DC46B0">
        <w:rPr>
          <w:szCs w:val="24"/>
        </w:rPr>
        <w:t xml:space="preserve">ч., вследствие синдрома лизиса опухоли), старческий возраст. </w:t>
      </w:r>
    </w:p>
    <w:p w:rsidR="00B43B37" w:rsidRPr="00DC46B0" w:rsidRDefault="00B43B37" w:rsidP="00B43B37">
      <w:pPr>
        <w:rPr>
          <w:szCs w:val="24"/>
        </w:rPr>
      </w:pPr>
      <w:r w:rsidRPr="00DC46B0">
        <w:rPr>
          <w:szCs w:val="24"/>
        </w:rPr>
        <w:t>Кардиологическими нежелательными явлениями 1</w:t>
      </w:r>
      <w:r w:rsidRPr="00EB1E6B">
        <w:rPr>
          <w:szCs w:val="24"/>
        </w:rPr>
        <w:t>-</w:t>
      </w:r>
      <w:r w:rsidRPr="00DC46B0">
        <w:rPr>
          <w:szCs w:val="24"/>
        </w:rPr>
        <w:t xml:space="preserve">2 степени нередко являются АГ и ФП. ФП может возникать на фоне лечения ибрутинибом, циклофосфаном, изофосамидом, мельфаланом, антрациклинами, интерферонами, ритуксимабом, понатинибом. ФП нужно лечить совместно с кардиологом, чаще всего противоопухолевое лечение можно не прерывать. Сложность заключается в профилактике кардиоэмболического синдрома (прежде всего инсульта), возникающего при этом нарушении ритма. Профилактика состоит </w:t>
      </w:r>
      <w:r w:rsidRPr="00DC46B0">
        <w:rPr>
          <w:szCs w:val="24"/>
        </w:rPr>
        <w:lastRenderedPageBreak/>
        <w:t>из назначения антикоагулянтов в соответствии со шкалой CHA</w:t>
      </w:r>
      <w:r w:rsidRPr="00DC46B0">
        <w:rPr>
          <w:szCs w:val="24"/>
          <w:vertAlign w:val="subscript"/>
        </w:rPr>
        <w:t>2</w:t>
      </w:r>
      <w:r w:rsidRPr="00DC46B0">
        <w:rPr>
          <w:szCs w:val="24"/>
        </w:rPr>
        <w:t>DS</w:t>
      </w:r>
      <w:r w:rsidRPr="00DC46B0">
        <w:rPr>
          <w:szCs w:val="24"/>
          <w:vertAlign w:val="subscript"/>
        </w:rPr>
        <w:t>2</w:t>
      </w:r>
      <w:r w:rsidRPr="00DC46B0">
        <w:rPr>
          <w:szCs w:val="24"/>
        </w:rPr>
        <w:t>Vasc. В то же время, при онкогематологических заболеваниях нередко имеется склонность к кровоточивости, а также некоторые препараты, применяемые для лечения этих больных (ибрутиниб) также индуцируют гипокоагуляцию. В таких случаях применяют новые антикоагулянты - ривароксабан, апиксабан, (некоторые авторы предпочитают их дабигатрану). АГ лечится по общим правилам гипотензивной терапии с учетом возможного взаимодействия гипотензивных средств с противоопухолевыми препаратами.</w:t>
      </w:r>
    </w:p>
    <w:p w:rsidR="00B43B37" w:rsidRDefault="00B43B37" w:rsidP="00B43B37">
      <w:pPr>
        <w:rPr>
          <w:b/>
          <w:szCs w:val="24"/>
        </w:rPr>
      </w:pPr>
    </w:p>
    <w:p w:rsidR="00B43B37" w:rsidRPr="004F07FC" w:rsidRDefault="00B43B37" w:rsidP="00B43B37">
      <w:pPr>
        <w:rPr>
          <w:i/>
          <w:szCs w:val="24"/>
          <w:u w:val="single"/>
        </w:rPr>
      </w:pPr>
      <w:r w:rsidRPr="004F07FC">
        <w:rPr>
          <w:i/>
          <w:szCs w:val="24"/>
          <w:u w:val="single"/>
        </w:rPr>
        <w:t xml:space="preserve">Кардиологическое лечение гематологического пациента. </w:t>
      </w:r>
    </w:p>
    <w:p w:rsidR="00B43B37" w:rsidRPr="00DC46B0" w:rsidRDefault="00B43B37" w:rsidP="00B43B37">
      <w:pPr>
        <w:rPr>
          <w:szCs w:val="24"/>
        </w:rPr>
      </w:pPr>
      <w:r w:rsidRPr="00DC46B0">
        <w:rPr>
          <w:szCs w:val="24"/>
        </w:rPr>
        <w:t xml:space="preserve">Лекарственные препараты для лечения сердечно-сосудистых заболеваний у гематологических пациентов, их комбинации и дозовые режимы подбираются индивидуально в зависимости от показаний, с учетом диагностированного гематологического заболевания и планируемого гематологического лечения. </w:t>
      </w:r>
    </w:p>
    <w:p w:rsidR="00B43B37" w:rsidRPr="00DC46B0" w:rsidRDefault="00B43B37" w:rsidP="00B43B37">
      <w:pPr>
        <w:rPr>
          <w:szCs w:val="24"/>
        </w:rPr>
      </w:pPr>
      <w:r w:rsidRPr="00DC46B0">
        <w:rPr>
          <w:szCs w:val="24"/>
        </w:rPr>
        <w:t xml:space="preserve">Спектр основных применяемых сердечно-сосудистых препаратов:  </w:t>
      </w:r>
    </w:p>
    <w:p w:rsidR="00B43B37" w:rsidRPr="004F07FC" w:rsidRDefault="00B43B37" w:rsidP="004F39BB">
      <w:pPr>
        <w:pStyle w:val="afe"/>
        <w:numPr>
          <w:ilvl w:val="0"/>
          <w:numId w:val="57"/>
        </w:numPr>
        <w:rPr>
          <w:szCs w:val="24"/>
        </w:rPr>
      </w:pPr>
      <w:r w:rsidRPr="004F07FC">
        <w:rPr>
          <w:szCs w:val="24"/>
        </w:rPr>
        <w:t xml:space="preserve">Ингибиторы ангиотензинпревращающего фермента – Эналаприл, Периндоприл, Рамиприл,  Лизиноприл, Фозиноприл, Моэксиприл и др. </w:t>
      </w:r>
    </w:p>
    <w:p w:rsidR="00B43B37" w:rsidRPr="004F07FC" w:rsidRDefault="00B43B37" w:rsidP="004F39BB">
      <w:pPr>
        <w:pStyle w:val="afe"/>
        <w:numPr>
          <w:ilvl w:val="0"/>
          <w:numId w:val="57"/>
        </w:numPr>
        <w:rPr>
          <w:szCs w:val="24"/>
        </w:rPr>
      </w:pPr>
      <w:r w:rsidRPr="004F07FC">
        <w:rPr>
          <w:szCs w:val="24"/>
        </w:rPr>
        <w:t>Антагонисты рецепторов ангиотензина II – Лозартан, Валсартан, Кандесартан, Телмисартан и др.</w:t>
      </w:r>
    </w:p>
    <w:p w:rsidR="00B43B37" w:rsidRPr="004F07FC" w:rsidRDefault="00B43B37" w:rsidP="004F39BB">
      <w:pPr>
        <w:pStyle w:val="afe"/>
        <w:numPr>
          <w:ilvl w:val="0"/>
          <w:numId w:val="57"/>
        </w:numPr>
        <w:rPr>
          <w:szCs w:val="24"/>
        </w:rPr>
      </w:pPr>
      <w:r w:rsidRPr="004F07FC">
        <w:rPr>
          <w:szCs w:val="24"/>
        </w:rPr>
        <w:t xml:space="preserve">Ингибиторы ангиотензиновых рецепторов и неприлизина – комбинированное </w:t>
      </w:r>
      <w:r w:rsidRPr="004F07FC">
        <w:rPr>
          <w:rStyle w:val="1f9"/>
          <w:szCs w:val="24"/>
        </w:rPr>
        <w:t xml:space="preserve">гипотензивное средство </w:t>
      </w:r>
      <w:r w:rsidRPr="004F07FC">
        <w:rPr>
          <w:szCs w:val="24"/>
        </w:rPr>
        <w:t>Валсартан /сакубитрил, и др.</w:t>
      </w:r>
    </w:p>
    <w:p w:rsidR="00B43B37" w:rsidRPr="004F07FC" w:rsidRDefault="00B43B37" w:rsidP="004F39BB">
      <w:pPr>
        <w:pStyle w:val="afe"/>
        <w:numPr>
          <w:ilvl w:val="0"/>
          <w:numId w:val="57"/>
        </w:numPr>
        <w:rPr>
          <w:szCs w:val="24"/>
        </w:rPr>
      </w:pPr>
      <w:r w:rsidRPr="004F07FC">
        <w:rPr>
          <w:szCs w:val="24"/>
        </w:rPr>
        <w:t>Бета-адреноблокаторы – Бисопролол, Метопролол, Карведилол, Небиволол и др.</w:t>
      </w:r>
    </w:p>
    <w:p w:rsidR="00B43B37" w:rsidRPr="004F07FC" w:rsidRDefault="00B43B37" w:rsidP="004F39BB">
      <w:pPr>
        <w:pStyle w:val="afe"/>
        <w:numPr>
          <w:ilvl w:val="0"/>
          <w:numId w:val="57"/>
        </w:numPr>
        <w:rPr>
          <w:szCs w:val="24"/>
        </w:rPr>
      </w:pPr>
      <w:r w:rsidRPr="004F07FC">
        <w:rPr>
          <w:szCs w:val="24"/>
        </w:rPr>
        <w:t>Антагонисты кальция (дигидропиридины) – Амлодипин, Лерканидипин, Фелодипин и др.</w:t>
      </w:r>
    </w:p>
    <w:p w:rsidR="00B43B37" w:rsidRPr="004F07FC" w:rsidRDefault="00B43B37" w:rsidP="004F39BB">
      <w:pPr>
        <w:pStyle w:val="afe"/>
        <w:numPr>
          <w:ilvl w:val="0"/>
          <w:numId w:val="57"/>
        </w:numPr>
        <w:rPr>
          <w:szCs w:val="24"/>
        </w:rPr>
      </w:pPr>
      <w:r w:rsidRPr="004F07FC">
        <w:rPr>
          <w:szCs w:val="24"/>
        </w:rPr>
        <w:t>Агонисты имидазолиновых рецепторов – Моксонидин, Рилменидин и др.</w:t>
      </w:r>
    </w:p>
    <w:p w:rsidR="00B43B37" w:rsidRPr="004F07FC" w:rsidRDefault="00B43B37" w:rsidP="004F39BB">
      <w:pPr>
        <w:pStyle w:val="afe"/>
        <w:numPr>
          <w:ilvl w:val="0"/>
          <w:numId w:val="57"/>
        </w:numPr>
        <w:rPr>
          <w:szCs w:val="24"/>
        </w:rPr>
      </w:pPr>
      <w:r w:rsidRPr="004F07FC">
        <w:rPr>
          <w:szCs w:val="24"/>
        </w:rPr>
        <w:t>Антикоагулянты – Нефракционированный гепарин, Низкомолекулярные гепарины, витамин К-зависимые антикоагулянты (Варфарин), витамин К-независимые антикоагулянты (Апиксксабан, Ривароксабан, Дабигатран) и др.</w:t>
      </w:r>
    </w:p>
    <w:p w:rsidR="00B43B37" w:rsidRPr="004F07FC" w:rsidRDefault="00B43B37" w:rsidP="004F39BB">
      <w:pPr>
        <w:pStyle w:val="afe"/>
        <w:numPr>
          <w:ilvl w:val="0"/>
          <w:numId w:val="57"/>
        </w:numPr>
        <w:rPr>
          <w:szCs w:val="24"/>
        </w:rPr>
      </w:pPr>
      <w:r w:rsidRPr="004F07FC">
        <w:rPr>
          <w:szCs w:val="24"/>
        </w:rPr>
        <w:t>Антиагреганты – Аспирин, Клопидогрел и др.</w:t>
      </w:r>
    </w:p>
    <w:p w:rsidR="00B43B37" w:rsidRPr="004F07FC" w:rsidRDefault="00B43B37" w:rsidP="004F39BB">
      <w:pPr>
        <w:pStyle w:val="afe"/>
        <w:numPr>
          <w:ilvl w:val="0"/>
          <w:numId w:val="57"/>
        </w:numPr>
        <w:rPr>
          <w:szCs w:val="24"/>
        </w:rPr>
      </w:pPr>
      <w:r w:rsidRPr="004F07FC">
        <w:rPr>
          <w:szCs w:val="24"/>
        </w:rPr>
        <w:t>Диуретики – калийсберегающие (Спиронолоктон, Эплеренон и др.), тиазидоподобные (Гидрохлортиазид, Хлорталидон, Клопамид, Индапамид), петлевые (Фуросемид, Торасемид, Этакриновая кислота и др.).</w:t>
      </w:r>
    </w:p>
    <w:p w:rsidR="00B43B37" w:rsidRPr="004F07FC" w:rsidRDefault="00B43B37" w:rsidP="004F39BB">
      <w:pPr>
        <w:pStyle w:val="afe"/>
        <w:numPr>
          <w:ilvl w:val="0"/>
          <w:numId w:val="57"/>
        </w:numPr>
        <w:rPr>
          <w:szCs w:val="24"/>
        </w:rPr>
      </w:pPr>
      <w:r w:rsidRPr="004F07FC">
        <w:rPr>
          <w:szCs w:val="24"/>
        </w:rPr>
        <w:t>Статины – Розувастатин, Симвастатин, Аторвастатин и др.</w:t>
      </w:r>
    </w:p>
    <w:p w:rsidR="00B43B37" w:rsidRPr="004F07FC" w:rsidRDefault="00B43B37" w:rsidP="004F39BB">
      <w:pPr>
        <w:pStyle w:val="afe"/>
        <w:numPr>
          <w:ilvl w:val="0"/>
          <w:numId w:val="57"/>
        </w:numPr>
        <w:rPr>
          <w:szCs w:val="24"/>
        </w:rPr>
      </w:pPr>
      <w:r w:rsidRPr="004F07FC">
        <w:rPr>
          <w:szCs w:val="24"/>
        </w:rPr>
        <w:t>Антиаритмические средства – Соталол, Амиодарон, Этацизин, Новокаинамид, и др.</w:t>
      </w:r>
    </w:p>
    <w:p w:rsidR="00B43B37" w:rsidRPr="004F07FC" w:rsidRDefault="00B43B37" w:rsidP="004F39BB">
      <w:pPr>
        <w:pStyle w:val="afe"/>
        <w:numPr>
          <w:ilvl w:val="0"/>
          <w:numId w:val="57"/>
        </w:numPr>
        <w:rPr>
          <w:szCs w:val="24"/>
        </w:rPr>
      </w:pPr>
      <w:r w:rsidRPr="004F07FC">
        <w:rPr>
          <w:szCs w:val="24"/>
        </w:rPr>
        <w:t>Нитровазодилататоры – Изосорбида динитрат, Изосорбида-5-мононитрат, Глицерила тринитрат, и др.</w:t>
      </w:r>
    </w:p>
    <w:p w:rsidR="00B43B37" w:rsidRPr="004F07FC" w:rsidRDefault="00B43B37" w:rsidP="004F39BB">
      <w:pPr>
        <w:pStyle w:val="afe"/>
        <w:numPr>
          <w:ilvl w:val="0"/>
          <w:numId w:val="57"/>
        </w:numPr>
        <w:rPr>
          <w:szCs w:val="24"/>
        </w:rPr>
      </w:pPr>
      <w:r w:rsidRPr="004F07FC">
        <w:rPr>
          <w:szCs w:val="24"/>
        </w:rPr>
        <w:lastRenderedPageBreak/>
        <w:t>Сердечные гликозиды –</w:t>
      </w:r>
      <w:r w:rsidRPr="0067126D">
        <w:rPr>
          <w:szCs w:val="24"/>
        </w:rPr>
        <w:t xml:space="preserve"> </w:t>
      </w:r>
      <w:r w:rsidRPr="004F07FC">
        <w:rPr>
          <w:szCs w:val="24"/>
        </w:rPr>
        <w:t>дигоксин  и др.</w:t>
      </w:r>
    </w:p>
    <w:p w:rsidR="00B43B37" w:rsidRPr="00DC46B0" w:rsidRDefault="00B43B37" w:rsidP="00B43B37">
      <w:pPr>
        <w:rPr>
          <w:szCs w:val="24"/>
        </w:rPr>
      </w:pPr>
    </w:p>
    <w:p w:rsidR="00B43B37" w:rsidRPr="00DC46B0" w:rsidRDefault="00B43B37" w:rsidP="00B43B37">
      <w:pPr>
        <w:rPr>
          <w:szCs w:val="24"/>
        </w:rPr>
      </w:pPr>
      <w:r w:rsidRPr="00DC46B0">
        <w:rPr>
          <w:szCs w:val="24"/>
        </w:rPr>
        <w:t>Выбор терапии требует анализа межлекарственных взаимодействий и возможного потенцирования эффектов различных препаратов (кардиологических и гематологических). Для профилактики, диагностики и лечения кардиальной патологии у гематологического пациента необходимо своевременно и адекватно мониторировать функцию сердечно-сосудистой системы и вести пациента во взаимодействии гематолога и кардиолога.</w:t>
      </w:r>
    </w:p>
    <w:p w:rsidR="00B43B37" w:rsidRPr="0067126D" w:rsidRDefault="00B43B37" w:rsidP="00B43B37">
      <w:pPr>
        <w:rPr>
          <w:szCs w:val="24"/>
        </w:rPr>
      </w:pPr>
    </w:p>
    <w:p w:rsidR="000414F6" w:rsidRPr="000944EE" w:rsidRDefault="00CB71DA" w:rsidP="00B104EF">
      <w:pPr>
        <w:pStyle w:val="CustomContentNormal"/>
      </w:pPr>
      <w:bookmarkStart w:id="95" w:name="_Toc67302925"/>
      <w:r w:rsidRPr="000944EE">
        <w:t>Критерии оценки качества медицинской помощи</w:t>
      </w:r>
      <w:bookmarkEnd w:id="70"/>
      <w:bookmarkEnd w:id="71"/>
      <w:bookmarkEnd w:id="95"/>
    </w:p>
    <w:p w:rsidR="0025228A" w:rsidRPr="000944EE" w:rsidRDefault="0025228A" w:rsidP="00094ED6">
      <w:pPr>
        <w:pStyle w:val="afffb"/>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
        <w:gridCol w:w="5225"/>
        <w:gridCol w:w="11"/>
        <w:gridCol w:w="1783"/>
        <w:gridCol w:w="9"/>
        <w:gridCol w:w="1886"/>
      </w:tblGrid>
      <w:tr w:rsidR="00275A41" w:rsidRPr="000944EE" w:rsidTr="00F512A6">
        <w:trPr>
          <w:divId w:val="129131041"/>
          <w:tblHeader/>
        </w:trPr>
        <w:tc>
          <w:tcPr>
            <w:tcW w:w="232" w:type="pct"/>
            <w:tcBorders>
              <w:top w:val="single" w:sz="6" w:space="0" w:color="000000"/>
              <w:left w:val="single" w:sz="6" w:space="0" w:color="000000"/>
              <w:bottom w:val="single" w:sz="6" w:space="0" w:color="000000"/>
              <w:right w:val="single" w:sz="6" w:space="0" w:color="000000"/>
            </w:tcBorders>
            <w:vAlign w:val="center"/>
            <w:hideMark/>
          </w:tcPr>
          <w:p w:rsidR="00275A41" w:rsidRPr="000944EE" w:rsidRDefault="00B104EF" w:rsidP="00B104EF">
            <w:pPr>
              <w:pStyle w:val="afd"/>
              <w:spacing w:beforeAutospacing="0" w:afterAutospacing="0" w:line="240" w:lineRule="auto"/>
              <w:ind w:firstLine="0"/>
              <w:jc w:val="center"/>
            </w:pPr>
            <w:r w:rsidRPr="000944EE">
              <w:rPr>
                <w:rStyle w:val="affb"/>
              </w:rPr>
              <w:t>№</w:t>
            </w:r>
          </w:p>
          <w:p w:rsidR="00275A41" w:rsidRPr="000944EE" w:rsidRDefault="00275A41" w:rsidP="00B104EF">
            <w:pPr>
              <w:pStyle w:val="afd"/>
              <w:spacing w:beforeAutospacing="0" w:afterAutospacing="0" w:line="240" w:lineRule="auto"/>
              <w:ind w:firstLine="0"/>
              <w:jc w:val="cente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rsidR="00275A41" w:rsidRPr="000944EE" w:rsidRDefault="00CB71DA" w:rsidP="00B104EF">
            <w:pPr>
              <w:pStyle w:val="afd"/>
              <w:spacing w:beforeAutospacing="0" w:afterAutospacing="0" w:line="240" w:lineRule="auto"/>
              <w:ind w:firstLine="0"/>
              <w:jc w:val="center"/>
            </w:pPr>
            <w:r w:rsidRPr="000944EE">
              <w:rPr>
                <w:rStyle w:val="affb"/>
              </w:rPr>
              <w:t>Критерии качества</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Pr="000944EE" w:rsidRDefault="004F413D" w:rsidP="004F413D">
            <w:pPr>
              <w:pStyle w:val="afd"/>
              <w:spacing w:beforeAutospacing="0" w:afterAutospacing="0" w:line="240" w:lineRule="auto"/>
              <w:ind w:firstLine="0"/>
              <w:jc w:val="center"/>
            </w:pPr>
            <w:r w:rsidRPr="000944EE">
              <w:rPr>
                <w:rStyle w:val="affb"/>
              </w:rPr>
              <w:t xml:space="preserve">Уровень убедительности рекомендаций </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Pr="000944EE" w:rsidRDefault="004F413D" w:rsidP="00B104EF">
            <w:pPr>
              <w:pStyle w:val="afd"/>
              <w:spacing w:beforeAutospacing="0" w:afterAutospacing="0" w:line="240" w:lineRule="auto"/>
              <w:ind w:firstLine="0"/>
              <w:jc w:val="center"/>
            </w:pPr>
            <w:r w:rsidRPr="000944EE">
              <w:rPr>
                <w:rStyle w:val="affb"/>
              </w:rPr>
              <w:t>Уровень достоверности доказательств</w:t>
            </w:r>
          </w:p>
        </w:tc>
      </w:tr>
      <w:tr w:rsidR="00275A41" w:rsidRPr="000944EE" w:rsidTr="00F512A6">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275A41" w:rsidRPr="000944EE" w:rsidRDefault="00275A41" w:rsidP="00B104EF">
            <w:pPr>
              <w:pStyle w:val="afd"/>
              <w:spacing w:beforeAutospacing="0" w:afterAutospacing="0" w:line="240" w:lineRule="auto"/>
              <w:ind w:left="720" w:firstLine="0"/>
            </w:pPr>
          </w:p>
        </w:tc>
        <w:tc>
          <w:tcPr>
            <w:tcW w:w="2800" w:type="pct"/>
            <w:gridSpan w:val="2"/>
            <w:tcBorders>
              <w:top w:val="single" w:sz="6" w:space="0" w:color="000000"/>
              <w:left w:val="single" w:sz="6" w:space="0" w:color="000000"/>
              <w:bottom w:val="single" w:sz="6" w:space="0" w:color="000000"/>
              <w:right w:val="single" w:sz="6" w:space="0" w:color="000000"/>
            </w:tcBorders>
            <w:hideMark/>
          </w:tcPr>
          <w:p w:rsidR="00275A41" w:rsidRPr="000944EE" w:rsidRDefault="00275A41" w:rsidP="00B104EF">
            <w:pPr>
              <w:pStyle w:val="afd"/>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rsidR="00275A41" w:rsidRPr="000944EE" w:rsidRDefault="00275A41" w:rsidP="00B104EF">
            <w:pPr>
              <w:pStyle w:val="afd"/>
              <w:spacing w:beforeAutospacing="0" w:afterAutospacing="0" w:line="240" w:lineRule="auto"/>
              <w:ind w:firstLine="0"/>
              <w:jc w:val="center"/>
            </w:pPr>
          </w:p>
        </w:tc>
        <w:tc>
          <w:tcPr>
            <w:tcW w:w="1009" w:type="pct"/>
            <w:tcBorders>
              <w:top w:val="single" w:sz="6" w:space="0" w:color="000000"/>
              <w:left w:val="single" w:sz="6" w:space="0" w:color="000000"/>
              <w:bottom w:val="single" w:sz="6" w:space="0" w:color="000000"/>
              <w:right w:val="single" w:sz="6" w:space="0" w:color="000000"/>
            </w:tcBorders>
            <w:hideMark/>
          </w:tcPr>
          <w:p w:rsidR="00275A41" w:rsidRPr="000944EE" w:rsidRDefault="00275A41" w:rsidP="00B104EF">
            <w:pPr>
              <w:pStyle w:val="afd"/>
              <w:spacing w:beforeAutospacing="0" w:afterAutospacing="0" w:line="240" w:lineRule="auto"/>
              <w:ind w:firstLine="0"/>
              <w:jc w:val="center"/>
            </w:pPr>
          </w:p>
        </w:tc>
      </w:tr>
      <w:tr w:rsidR="00FB5F9C" w:rsidRPr="000944EE" w:rsidTr="00F512A6">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B5F9C" w:rsidRPr="000944EE" w:rsidRDefault="00FB5F9C" w:rsidP="004F39BB">
            <w:pPr>
              <w:pStyle w:val="afd"/>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F9594B" w:rsidRDefault="00FB5F9C">
            <w:pPr>
              <w:pStyle w:val="afd"/>
              <w:ind w:firstLine="0"/>
              <w:rPr>
                <w:rFonts w:eastAsiaTheme="minorEastAsia"/>
              </w:rPr>
            </w:pPr>
            <w:r w:rsidRPr="000944EE">
              <w:t>Выполнен общий (клинический) анализ крови: лейкоциты, эритроциты, гемоглобин, гематокрит, тромбоциты, тромбокрит,</w:t>
            </w:r>
            <w:r w:rsidR="001A6D3E">
              <w:t xml:space="preserve"> </w:t>
            </w:r>
            <w:r w:rsidRPr="000944EE">
              <w:t xml:space="preserve">нейтрофилы палочкоядерные, нейтрофилы сегментоядерные, эозинофилы, базофилы, лимфоциты, моноциты, скорость оседания эритроцитов при проведении системной терапии </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С</w:t>
            </w:r>
          </w:p>
        </w:tc>
      </w:tr>
      <w:tr w:rsidR="00FB5F9C" w:rsidRPr="000944EE" w:rsidTr="00F512A6">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B5F9C" w:rsidRPr="000944EE" w:rsidRDefault="00FB5F9C" w:rsidP="004F39BB">
            <w:pPr>
              <w:pStyle w:val="afd"/>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F9594B" w:rsidRDefault="00FB5F9C">
            <w:pPr>
              <w:pStyle w:val="afd"/>
              <w:ind w:firstLine="0"/>
              <w:rPr>
                <w:rFonts w:eastAsiaTheme="minorEastAsia"/>
              </w:rPr>
            </w:pPr>
            <w:r w:rsidRPr="000944EE">
              <w:t>Выполнено патолого-анатомическое исследование биопсийного</w:t>
            </w:r>
            <w:r w:rsidR="00C579D5">
              <w:t xml:space="preserve"> (операционного)</w:t>
            </w:r>
            <w:r w:rsidRPr="000944EE">
              <w:t xml:space="preserve"> материала кожи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С</w:t>
            </w:r>
          </w:p>
        </w:tc>
      </w:tr>
      <w:tr w:rsidR="00FB5F9C" w:rsidRPr="000944EE" w:rsidTr="00F512A6">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B5F9C" w:rsidRPr="000944EE" w:rsidRDefault="00FB5F9C" w:rsidP="004F39BB">
            <w:pPr>
              <w:pStyle w:val="afd"/>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F9594B" w:rsidRDefault="00FB5F9C">
            <w:pPr>
              <w:pStyle w:val="afd"/>
              <w:ind w:firstLine="0"/>
              <w:rPr>
                <w:rFonts w:eastAsiaTheme="minorEastAsia"/>
              </w:rPr>
            </w:pPr>
            <w:r w:rsidRPr="000944EE">
              <w:t xml:space="preserve">Проведена системная терапия метотрексатом и/или интерфероном и/или противоопухолевыми препаратами </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C</w:t>
            </w:r>
          </w:p>
        </w:tc>
      </w:tr>
      <w:tr w:rsidR="00FB5F9C" w:rsidRPr="00F95275" w:rsidTr="00F512A6">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B5F9C" w:rsidRPr="000944EE" w:rsidRDefault="00FB5F9C" w:rsidP="004F39BB">
            <w:pPr>
              <w:pStyle w:val="afd"/>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F9594B" w:rsidRDefault="00FB5F9C">
            <w:pPr>
              <w:pStyle w:val="afd"/>
              <w:ind w:firstLine="0"/>
            </w:pPr>
            <w:r w:rsidRPr="000944EE">
              <w:t>Проведена при зуде терапия антигистаминными средствами системного действия</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FB5F9C" w:rsidRPr="000944EE" w:rsidRDefault="00FB5F9C" w:rsidP="002B1F70">
            <w:pPr>
              <w:pStyle w:val="afd"/>
              <w:ind w:firstLine="0"/>
              <w:jc w:val="center"/>
              <w:rPr>
                <w:rFonts w:eastAsiaTheme="minorEastAsia"/>
              </w:rPr>
            </w:pPr>
            <w:r w:rsidRPr="000944EE">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FB5F9C" w:rsidRDefault="00FB5F9C" w:rsidP="002B1F70">
            <w:pPr>
              <w:pStyle w:val="afd"/>
              <w:ind w:firstLine="0"/>
              <w:jc w:val="center"/>
              <w:rPr>
                <w:rFonts w:eastAsiaTheme="minorEastAsia"/>
              </w:rPr>
            </w:pPr>
            <w:r w:rsidRPr="000944EE">
              <w:t>C</w:t>
            </w:r>
          </w:p>
        </w:tc>
      </w:tr>
    </w:tbl>
    <w:p w:rsidR="00AF3168" w:rsidRDefault="00AF3168" w:rsidP="005627B3">
      <w:pPr>
        <w:ind w:firstLine="0"/>
        <w:rPr>
          <w:b/>
          <w:sz w:val="28"/>
          <w:szCs w:val="28"/>
        </w:rPr>
      </w:pPr>
      <w:bookmarkStart w:id="96" w:name="__RefHeading___doc_bible"/>
      <w:r>
        <w:rPr>
          <w:b/>
          <w:sz w:val="28"/>
          <w:szCs w:val="28"/>
        </w:rPr>
        <w:br w:type="page"/>
      </w:r>
    </w:p>
    <w:p w:rsidR="000414F6" w:rsidRDefault="00CB71DA" w:rsidP="00172112">
      <w:pPr>
        <w:pStyle w:val="CustomContentNormal"/>
      </w:pPr>
      <w:bookmarkStart w:id="97" w:name="_Toc34301096"/>
      <w:bookmarkStart w:id="98" w:name="_Toc67302926"/>
      <w:bookmarkStart w:id="99" w:name="_Hlk36851607"/>
      <w:r>
        <w:lastRenderedPageBreak/>
        <w:t>Список литературы</w:t>
      </w:r>
      <w:bookmarkEnd w:id="96"/>
      <w:bookmarkEnd w:id="97"/>
      <w:bookmarkEnd w:id="98"/>
    </w:p>
    <w:p w:rsidR="0025228A" w:rsidRDefault="0025228A" w:rsidP="0025228A">
      <w:pPr>
        <w:pStyle w:val="aff4"/>
      </w:pPr>
    </w:p>
    <w:p w:rsidR="003524A5" w:rsidRPr="003524A5" w:rsidRDefault="003B2C26" w:rsidP="003524A5">
      <w:pPr>
        <w:widowControl w:val="0"/>
        <w:autoSpaceDE w:val="0"/>
        <w:autoSpaceDN w:val="0"/>
        <w:adjustRightInd w:val="0"/>
        <w:ind w:left="640" w:hanging="640"/>
        <w:rPr>
          <w:noProof/>
        </w:rPr>
      </w:pPr>
      <w:r>
        <w:fldChar w:fldCharType="begin" w:fldLock="1"/>
      </w:r>
      <w:r w:rsidRPr="00B43B37">
        <w:rPr>
          <w:lang w:val="en-US"/>
        </w:rPr>
        <w:instrText xml:space="preserve">ADDIN Mendeley Bibliography CSL_BIBLIOGRAPHY </w:instrText>
      </w:r>
      <w:r>
        <w:fldChar w:fldCharType="separate"/>
      </w:r>
      <w:r w:rsidR="003524A5" w:rsidRPr="003524A5">
        <w:rPr>
          <w:noProof/>
        </w:rPr>
        <w:t>1.</w:t>
      </w:r>
      <w:r w:rsidR="003524A5" w:rsidRPr="003524A5">
        <w:rPr>
          <w:noProof/>
        </w:rPr>
        <w:tab/>
        <w:t>Dummer R. et al. Sezary syndrome T-cell clones display T-helper 2 cytokines and express the accessory factor-1 (interferon-γ receptor β-chain) // Blood. American Society of Hematology, 1996. Vol. 88, № 4. P. 1383–1389.</w:t>
      </w:r>
    </w:p>
    <w:p w:rsidR="003524A5" w:rsidRPr="003524A5" w:rsidRDefault="003524A5" w:rsidP="003524A5">
      <w:pPr>
        <w:widowControl w:val="0"/>
        <w:autoSpaceDE w:val="0"/>
        <w:autoSpaceDN w:val="0"/>
        <w:adjustRightInd w:val="0"/>
        <w:ind w:left="640" w:hanging="640"/>
        <w:rPr>
          <w:noProof/>
        </w:rPr>
      </w:pPr>
      <w:r w:rsidRPr="003524A5">
        <w:rPr>
          <w:noProof/>
        </w:rPr>
        <w:t>2.</w:t>
      </w:r>
      <w:r w:rsidRPr="003524A5">
        <w:rPr>
          <w:noProof/>
        </w:rPr>
        <w:tab/>
        <w:t>Campbell J.J. et al. Sézary syndrome and mycosis fungoides arise from distinct T-cell subsets: A biologic rationale for their distinct clinical behaviors // Blood. Blood, 2010. Vol. 116, № 5. P. 767–771.</w:t>
      </w:r>
    </w:p>
    <w:p w:rsidR="003524A5" w:rsidRPr="003524A5" w:rsidRDefault="003524A5" w:rsidP="003524A5">
      <w:pPr>
        <w:widowControl w:val="0"/>
        <w:autoSpaceDE w:val="0"/>
        <w:autoSpaceDN w:val="0"/>
        <w:adjustRightInd w:val="0"/>
        <w:ind w:left="640" w:hanging="640"/>
        <w:rPr>
          <w:noProof/>
        </w:rPr>
      </w:pPr>
      <w:r w:rsidRPr="003524A5">
        <w:rPr>
          <w:noProof/>
        </w:rPr>
        <w:t>3.</w:t>
      </w:r>
      <w:r w:rsidRPr="003524A5">
        <w:rPr>
          <w:noProof/>
        </w:rPr>
        <w:tab/>
        <w:t>Da Silva Almeida A.C. et al. The mutational landscape of cutaneous T cell lymphoma and Sézary syndrome // Nat. Genet. Nature Publishing Group, 2015. Vol. 47, № 12. P. 1465–1470.</w:t>
      </w:r>
    </w:p>
    <w:p w:rsidR="003524A5" w:rsidRPr="003524A5" w:rsidRDefault="003524A5" w:rsidP="003524A5">
      <w:pPr>
        <w:widowControl w:val="0"/>
        <w:autoSpaceDE w:val="0"/>
        <w:autoSpaceDN w:val="0"/>
        <w:adjustRightInd w:val="0"/>
        <w:ind w:left="640" w:hanging="640"/>
        <w:rPr>
          <w:noProof/>
        </w:rPr>
      </w:pPr>
      <w:r w:rsidRPr="003524A5">
        <w:rPr>
          <w:noProof/>
        </w:rPr>
        <w:t>4.</w:t>
      </w:r>
      <w:r w:rsidRPr="003524A5">
        <w:rPr>
          <w:noProof/>
        </w:rPr>
        <w:tab/>
        <w:t>Wang L. et al. Genomic profiling of Sézary syndrome identifies alterations of key T cell signaling and differentiation genes // Nat. Genet. Nature Publishing Group, 2015. Vol. 47, № 12. P. 1426–1434.</w:t>
      </w:r>
    </w:p>
    <w:p w:rsidR="003524A5" w:rsidRPr="003524A5" w:rsidRDefault="003524A5" w:rsidP="003524A5">
      <w:pPr>
        <w:widowControl w:val="0"/>
        <w:autoSpaceDE w:val="0"/>
        <w:autoSpaceDN w:val="0"/>
        <w:adjustRightInd w:val="0"/>
        <w:ind w:left="640" w:hanging="640"/>
        <w:rPr>
          <w:noProof/>
        </w:rPr>
      </w:pPr>
      <w:r w:rsidRPr="003524A5">
        <w:rPr>
          <w:noProof/>
        </w:rPr>
        <w:t>5.</w:t>
      </w:r>
      <w:r w:rsidRPr="003524A5">
        <w:rPr>
          <w:noProof/>
        </w:rPr>
        <w:tab/>
        <w:t>Ungewickell A. et al. Genomic analysis of mycosis fungoides and Sézary syndrome identifies recurrent alterations in TNFR2 // Nat. Genet. Nature Publishing Group, 2015. Vol. 47, № 9. P. 1056–1060.</w:t>
      </w:r>
    </w:p>
    <w:p w:rsidR="003524A5" w:rsidRPr="003524A5" w:rsidRDefault="003524A5" w:rsidP="003524A5">
      <w:pPr>
        <w:widowControl w:val="0"/>
        <w:autoSpaceDE w:val="0"/>
        <w:autoSpaceDN w:val="0"/>
        <w:adjustRightInd w:val="0"/>
        <w:ind w:left="640" w:hanging="640"/>
        <w:rPr>
          <w:noProof/>
        </w:rPr>
      </w:pPr>
      <w:r w:rsidRPr="003524A5">
        <w:rPr>
          <w:noProof/>
        </w:rPr>
        <w:t>6.</w:t>
      </w:r>
      <w:r w:rsidRPr="003524A5">
        <w:rPr>
          <w:noProof/>
        </w:rPr>
        <w:tab/>
        <w:t>Berger C.L. et al. Cutaneous T-cell lymphoma: Malignant proliferation of T-regulatory cells // Blood. Blood, 2005. Vol. 105, № 4. P. 1640–1647.</w:t>
      </w:r>
    </w:p>
    <w:p w:rsidR="003524A5" w:rsidRPr="003524A5" w:rsidRDefault="003524A5" w:rsidP="003524A5">
      <w:pPr>
        <w:widowControl w:val="0"/>
        <w:autoSpaceDE w:val="0"/>
        <w:autoSpaceDN w:val="0"/>
        <w:adjustRightInd w:val="0"/>
        <w:ind w:left="640" w:hanging="640"/>
        <w:rPr>
          <w:noProof/>
        </w:rPr>
      </w:pPr>
      <w:r w:rsidRPr="003524A5">
        <w:rPr>
          <w:noProof/>
        </w:rPr>
        <w:t>7.</w:t>
      </w:r>
      <w:r w:rsidRPr="003524A5">
        <w:rPr>
          <w:noProof/>
        </w:rPr>
        <w:tab/>
        <w:t>Spicknall K.E. Sézary syndrome-clinical and histopathologic features, differential diagnosis, and treatment // Semin. Cutan. Med. Surg. Frontline Medical Communications, 2018. Vol. 37, № 1. P. 18–23.</w:t>
      </w:r>
    </w:p>
    <w:p w:rsidR="003524A5" w:rsidRPr="003524A5" w:rsidRDefault="003524A5" w:rsidP="003524A5">
      <w:pPr>
        <w:widowControl w:val="0"/>
        <w:autoSpaceDE w:val="0"/>
        <w:autoSpaceDN w:val="0"/>
        <w:adjustRightInd w:val="0"/>
        <w:ind w:left="640" w:hanging="640"/>
        <w:rPr>
          <w:noProof/>
        </w:rPr>
      </w:pPr>
      <w:r w:rsidRPr="003524A5">
        <w:rPr>
          <w:noProof/>
        </w:rPr>
        <w:t>8.</w:t>
      </w:r>
      <w:r w:rsidRPr="003524A5">
        <w:rPr>
          <w:noProof/>
        </w:rPr>
        <w:tab/>
        <w:t>Olsen E.A. et al. Sézary syndrome: Immunopathogenesis, literature review of therapeutic options, and recommendations for therapy by the United States Cutaneous Lymphoma Consortium (USCLC) // Journal of the American Academy of Dermatology. J Am Acad Dermatol, 2011. Vol. 64, № 2. P. 352–404.</w:t>
      </w:r>
    </w:p>
    <w:p w:rsidR="003524A5" w:rsidRPr="003524A5" w:rsidRDefault="003524A5" w:rsidP="003524A5">
      <w:pPr>
        <w:widowControl w:val="0"/>
        <w:autoSpaceDE w:val="0"/>
        <w:autoSpaceDN w:val="0"/>
        <w:adjustRightInd w:val="0"/>
        <w:ind w:left="640" w:hanging="640"/>
        <w:rPr>
          <w:noProof/>
        </w:rPr>
      </w:pPr>
      <w:r w:rsidRPr="003524A5">
        <w:rPr>
          <w:noProof/>
        </w:rPr>
        <w:t>9.</w:t>
      </w:r>
      <w:r w:rsidRPr="003524A5">
        <w:rPr>
          <w:noProof/>
        </w:rPr>
        <w:tab/>
        <w:t>Willemze R. et al. WHO-EORTC classification for cutaneous lymphomas // Blood. Blood, 2005. Vol. 105, № 10. P. 3768–3785.</w:t>
      </w:r>
    </w:p>
    <w:p w:rsidR="003524A5" w:rsidRPr="003524A5" w:rsidRDefault="003524A5" w:rsidP="003524A5">
      <w:pPr>
        <w:widowControl w:val="0"/>
        <w:autoSpaceDE w:val="0"/>
        <w:autoSpaceDN w:val="0"/>
        <w:adjustRightInd w:val="0"/>
        <w:ind w:left="640" w:hanging="640"/>
        <w:rPr>
          <w:noProof/>
        </w:rPr>
      </w:pPr>
      <w:r w:rsidRPr="003524A5">
        <w:rPr>
          <w:noProof/>
        </w:rPr>
        <w:t>10.</w:t>
      </w:r>
      <w:r w:rsidRPr="003524A5">
        <w:rPr>
          <w:noProof/>
        </w:rPr>
        <w:tab/>
        <w:t>Kubica A.W. et al. Sézary syndrome: A study of 176 patients at Mayo Clinic // J. Am. Acad. Dermatol. J Am Acad Dermatol, 2012. Vol. 67, № 6. P. 1189–1199.</w:t>
      </w:r>
    </w:p>
    <w:p w:rsidR="003524A5" w:rsidRPr="003524A5" w:rsidRDefault="003524A5" w:rsidP="003524A5">
      <w:pPr>
        <w:widowControl w:val="0"/>
        <w:autoSpaceDE w:val="0"/>
        <w:autoSpaceDN w:val="0"/>
        <w:adjustRightInd w:val="0"/>
        <w:ind w:left="640" w:hanging="640"/>
        <w:rPr>
          <w:noProof/>
        </w:rPr>
      </w:pPr>
      <w:r w:rsidRPr="003524A5">
        <w:rPr>
          <w:noProof/>
        </w:rPr>
        <w:t>11.</w:t>
      </w:r>
      <w:r w:rsidRPr="003524A5">
        <w:rPr>
          <w:noProof/>
        </w:rPr>
        <w:tab/>
        <w:t>Morice W.G. et al. A Comparison of Morphologic Features, Flow Cytometry, TCR-V β Analysis, and TCR-PCR in Qualitative and Quantitative Assessment of Peripheral Blood Involvement by Sézary Syndrome // Am. J. Clin. Pathol. Oxford University Press (OUP), 2006. Vol. 125, № 3. P. 364–374.</w:t>
      </w:r>
    </w:p>
    <w:p w:rsidR="003524A5" w:rsidRPr="003524A5" w:rsidRDefault="003524A5" w:rsidP="003524A5">
      <w:pPr>
        <w:widowControl w:val="0"/>
        <w:autoSpaceDE w:val="0"/>
        <w:autoSpaceDN w:val="0"/>
        <w:adjustRightInd w:val="0"/>
        <w:ind w:left="640" w:hanging="640"/>
        <w:rPr>
          <w:noProof/>
        </w:rPr>
      </w:pPr>
      <w:r w:rsidRPr="003524A5">
        <w:rPr>
          <w:noProof/>
        </w:rPr>
        <w:t>12.</w:t>
      </w:r>
      <w:r w:rsidRPr="003524A5">
        <w:rPr>
          <w:noProof/>
        </w:rPr>
        <w:tab/>
        <w:t xml:space="preserve">Feng B. et al. Flow cytometric detection of peripheral blood involvement by mycosis </w:t>
      </w:r>
      <w:r w:rsidRPr="003524A5">
        <w:rPr>
          <w:noProof/>
        </w:rPr>
        <w:lastRenderedPageBreak/>
        <w:t>fungoides and Sézary syndrome using T-cell receptor VΒ chain antibodies and its application in blood staging // Mod. Pathol. Mod Pathol, 2010. Vol. 23, № 2. P. 284–295.</w:t>
      </w:r>
    </w:p>
    <w:p w:rsidR="003524A5" w:rsidRPr="003524A5" w:rsidRDefault="003524A5" w:rsidP="003524A5">
      <w:pPr>
        <w:widowControl w:val="0"/>
        <w:autoSpaceDE w:val="0"/>
        <w:autoSpaceDN w:val="0"/>
        <w:adjustRightInd w:val="0"/>
        <w:ind w:left="640" w:hanging="640"/>
        <w:rPr>
          <w:noProof/>
        </w:rPr>
      </w:pPr>
      <w:r w:rsidRPr="003524A5">
        <w:rPr>
          <w:noProof/>
        </w:rPr>
        <w:t>13.</w:t>
      </w:r>
      <w:r w:rsidRPr="003524A5">
        <w:rPr>
          <w:noProof/>
        </w:rPr>
        <w:tab/>
        <w:t>Olsen E. et al. Revisions to the staging and classification of mycosis fungoides and Sézary syndrome: A proposal of the International Society for Cutaneous Lymphomas (ISCL) and the cutaneous lymphoma task force of the European Organization of Research and Treatment of Cancer (EORTC) // Blood. Blood, 2007. Vol. 110, № 6. P. 1713–1722.</w:t>
      </w:r>
    </w:p>
    <w:p w:rsidR="003524A5" w:rsidRPr="003524A5" w:rsidRDefault="003524A5" w:rsidP="003524A5">
      <w:pPr>
        <w:widowControl w:val="0"/>
        <w:autoSpaceDE w:val="0"/>
        <w:autoSpaceDN w:val="0"/>
        <w:adjustRightInd w:val="0"/>
        <w:ind w:left="640" w:hanging="640"/>
        <w:rPr>
          <w:noProof/>
        </w:rPr>
      </w:pPr>
      <w:r w:rsidRPr="003524A5">
        <w:rPr>
          <w:noProof/>
        </w:rPr>
        <w:t>14.</w:t>
      </w:r>
      <w:r w:rsidRPr="003524A5">
        <w:rPr>
          <w:noProof/>
        </w:rPr>
        <w:tab/>
        <w:t>Виноградова Ю.Е., Цыба Н.Н., Гилязитдинова Е.А. Опыт лечения грибовидного микоза и синдрома Сезари в зависимости от стадий заболевания. Результаты собственных исследований и обзор литературы // Клиническая онкогематология. 2009. Vol. 2, № 4. P. 326–333.</w:t>
      </w:r>
    </w:p>
    <w:p w:rsidR="003524A5" w:rsidRPr="003524A5" w:rsidRDefault="003524A5" w:rsidP="003524A5">
      <w:pPr>
        <w:widowControl w:val="0"/>
        <w:autoSpaceDE w:val="0"/>
        <w:autoSpaceDN w:val="0"/>
        <w:adjustRightInd w:val="0"/>
        <w:ind w:left="640" w:hanging="640"/>
        <w:rPr>
          <w:noProof/>
        </w:rPr>
      </w:pPr>
      <w:r w:rsidRPr="003524A5">
        <w:rPr>
          <w:noProof/>
        </w:rPr>
        <w:t>15.</w:t>
      </w:r>
      <w:r w:rsidRPr="003524A5">
        <w:rPr>
          <w:noProof/>
        </w:rPr>
        <w:tab/>
        <w:t>Hristov A.C., Tejasvi T., Wilcox R.A. Mycosis fungoides and Sézary syndrome: 2019 update on diagnosis, risk-stratification, and management // Am. J. Hematol. Wiley-Liss Inc., 2019. Vol. 94, № 9. P. 1027–1041.</w:t>
      </w:r>
    </w:p>
    <w:p w:rsidR="003524A5" w:rsidRPr="003524A5" w:rsidRDefault="003524A5" w:rsidP="003524A5">
      <w:pPr>
        <w:widowControl w:val="0"/>
        <w:autoSpaceDE w:val="0"/>
        <w:autoSpaceDN w:val="0"/>
        <w:adjustRightInd w:val="0"/>
        <w:ind w:left="640" w:hanging="640"/>
        <w:rPr>
          <w:noProof/>
        </w:rPr>
      </w:pPr>
      <w:r w:rsidRPr="003524A5">
        <w:rPr>
          <w:noProof/>
        </w:rPr>
        <w:t>16.</w:t>
      </w:r>
      <w:r w:rsidRPr="003524A5">
        <w:rPr>
          <w:noProof/>
        </w:rPr>
        <w:tab/>
        <w:t>Карамова А.Э. et al. Т-клеточные лимфомы кожи: дифференциальная диагностика эритродермических состояний // Вестник дерматологии и венерологии. 2019. Vol. 95, № 5. P. 24–32.</w:t>
      </w:r>
    </w:p>
    <w:p w:rsidR="003524A5" w:rsidRPr="003524A5" w:rsidRDefault="003524A5" w:rsidP="003524A5">
      <w:pPr>
        <w:widowControl w:val="0"/>
        <w:autoSpaceDE w:val="0"/>
        <w:autoSpaceDN w:val="0"/>
        <w:adjustRightInd w:val="0"/>
        <w:ind w:left="640" w:hanging="640"/>
        <w:rPr>
          <w:noProof/>
        </w:rPr>
      </w:pPr>
      <w:r w:rsidRPr="003524A5">
        <w:rPr>
          <w:noProof/>
        </w:rPr>
        <w:t>17.</w:t>
      </w:r>
      <w:r w:rsidRPr="003524A5">
        <w:rPr>
          <w:noProof/>
        </w:rPr>
        <w:tab/>
        <w:t>Klemke C.D. et al. Histopathological and immunophenotypical criteria for the diagnosis of Sézary syndrome in differentiation from other erythrodermic skin diseases: A European Organisation for Research and Treatment of Cancer (EORTC) Cutaneous Lymphoma Task Force Study of 97 cases // Br. J. Dermatol. Blackwell Publishing Ltd, 2015. Vol. 173, № 1. P. 93–105.</w:t>
      </w:r>
    </w:p>
    <w:p w:rsidR="003524A5" w:rsidRPr="003524A5" w:rsidRDefault="003524A5" w:rsidP="003524A5">
      <w:pPr>
        <w:widowControl w:val="0"/>
        <w:autoSpaceDE w:val="0"/>
        <w:autoSpaceDN w:val="0"/>
        <w:adjustRightInd w:val="0"/>
        <w:ind w:left="640" w:hanging="640"/>
        <w:rPr>
          <w:noProof/>
        </w:rPr>
      </w:pPr>
      <w:r w:rsidRPr="003524A5">
        <w:rPr>
          <w:noProof/>
        </w:rPr>
        <w:t>18.</w:t>
      </w:r>
      <w:r w:rsidRPr="003524A5">
        <w:rPr>
          <w:noProof/>
        </w:rPr>
        <w:tab/>
        <w:t>Ponti R. et al. T-cell receptor γ gene rearrangement by multiplex polymerase chain reaction/heteroduplex analysis in patients with cutaneous T-cell lymphoma (mycosis fungoides/Sézary syndrome) and benign inflammatory disease: Correlation with clinical, histological and i // Br. J. Dermatol. Br J Dermatol, 2005. Vol. 153, № 3. P. 565–573.</w:t>
      </w:r>
    </w:p>
    <w:p w:rsidR="003524A5" w:rsidRPr="003524A5" w:rsidRDefault="003524A5" w:rsidP="003524A5">
      <w:pPr>
        <w:widowControl w:val="0"/>
        <w:autoSpaceDE w:val="0"/>
        <w:autoSpaceDN w:val="0"/>
        <w:adjustRightInd w:val="0"/>
        <w:ind w:left="640" w:hanging="640"/>
        <w:rPr>
          <w:noProof/>
        </w:rPr>
      </w:pPr>
      <w:r w:rsidRPr="003524A5">
        <w:rPr>
          <w:noProof/>
        </w:rPr>
        <w:t>19.</w:t>
      </w:r>
      <w:r w:rsidRPr="003524A5">
        <w:rPr>
          <w:noProof/>
        </w:rPr>
        <w:tab/>
        <w:t>Kirsch I.R. et al. TCR sequencing facilitates diagnosis and identifies mature T cells as the cell of origin in CTCL // Sci. Transl. Med. American Association for the Advancement of Science, 2015. Vol. 7, № 308.</w:t>
      </w:r>
    </w:p>
    <w:p w:rsidR="003524A5" w:rsidRPr="003524A5" w:rsidRDefault="003524A5" w:rsidP="003524A5">
      <w:pPr>
        <w:widowControl w:val="0"/>
        <w:autoSpaceDE w:val="0"/>
        <w:autoSpaceDN w:val="0"/>
        <w:adjustRightInd w:val="0"/>
        <w:ind w:left="640" w:hanging="640"/>
        <w:rPr>
          <w:noProof/>
        </w:rPr>
      </w:pPr>
      <w:r w:rsidRPr="003524A5">
        <w:rPr>
          <w:noProof/>
        </w:rPr>
        <w:t>20.</w:t>
      </w:r>
      <w:r w:rsidRPr="003524A5">
        <w:rPr>
          <w:noProof/>
        </w:rPr>
        <w:tab/>
        <w:t>Vonderheid E.C. On the diagnosis of erythrodermic cutaneous T-cell lymphoma // Journal of Cutaneous Pathology. J Cutan Pathol, 2006. Vol. 33, № SUPPL. 1. P. 27–42.</w:t>
      </w:r>
    </w:p>
    <w:p w:rsidR="003524A5" w:rsidRPr="003524A5" w:rsidRDefault="003524A5" w:rsidP="003524A5">
      <w:pPr>
        <w:widowControl w:val="0"/>
        <w:autoSpaceDE w:val="0"/>
        <w:autoSpaceDN w:val="0"/>
        <w:adjustRightInd w:val="0"/>
        <w:ind w:left="640" w:hanging="640"/>
        <w:rPr>
          <w:noProof/>
        </w:rPr>
      </w:pPr>
      <w:r w:rsidRPr="003524A5">
        <w:rPr>
          <w:noProof/>
        </w:rPr>
        <w:t>21.</w:t>
      </w:r>
      <w:r w:rsidRPr="003524A5">
        <w:rPr>
          <w:noProof/>
        </w:rPr>
        <w:tab/>
        <w:t>Лезвинская Е.М., Вавилов А.М. Лимфопролиферативные опухоли кожи: руководство для врачей. М.: Практическая медицина, 2010. 366 p.</w:t>
      </w:r>
    </w:p>
    <w:p w:rsidR="003524A5" w:rsidRPr="003524A5" w:rsidRDefault="003524A5" w:rsidP="003524A5">
      <w:pPr>
        <w:widowControl w:val="0"/>
        <w:autoSpaceDE w:val="0"/>
        <w:autoSpaceDN w:val="0"/>
        <w:adjustRightInd w:val="0"/>
        <w:ind w:left="640" w:hanging="640"/>
        <w:rPr>
          <w:noProof/>
        </w:rPr>
      </w:pPr>
      <w:r w:rsidRPr="003524A5">
        <w:rPr>
          <w:noProof/>
        </w:rPr>
        <w:t>22.</w:t>
      </w:r>
      <w:r w:rsidRPr="003524A5">
        <w:rPr>
          <w:noProof/>
        </w:rPr>
        <w:tab/>
        <w:t>Mann B.S. et al. FDA Approval Summary: Vorinostat for Treatment of Advanced Primary Cutaneous T‐Cell Lymphoma // Oncologist. Wiley, 2007. Vol. 12, № 10. P. 1247–1252.</w:t>
      </w:r>
    </w:p>
    <w:p w:rsidR="003524A5" w:rsidRPr="003524A5" w:rsidRDefault="003524A5" w:rsidP="003524A5">
      <w:pPr>
        <w:widowControl w:val="0"/>
        <w:autoSpaceDE w:val="0"/>
        <w:autoSpaceDN w:val="0"/>
        <w:adjustRightInd w:val="0"/>
        <w:ind w:left="640" w:hanging="640"/>
        <w:rPr>
          <w:noProof/>
        </w:rPr>
      </w:pPr>
      <w:r w:rsidRPr="003524A5">
        <w:rPr>
          <w:noProof/>
        </w:rPr>
        <w:t>23.</w:t>
      </w:r>
      <w:r w:rsidRPr="003524A5">
        <w:rPr>
          <w:noProof/>
        </w:rPr>
        <w:tab/>
        <w:t xml:space="preserve">Wallace C.A., Sherry D.D. A practical approach to avoidance of methotrexate toxicity // </w:t>
      </w:r>
      <w:r w:rsidRPr="003524A5">
        <w:rPr>
          <w:noProof/>
        </w:rPr>
        <w:lastRenderedPageBreak/>
        <w:t>Journal of Rheumatology. 1995. Vol. 22, № 6. P. 1009–1012.</w:t>
      </w:r>
    </w:p>
    <w:p w:rsidR="003524A5" w:rsidRPr="003524A5" w:rsidRDefault="003524A5" w:rsidP="003524A5">
      <w:pPr>
        <w:widowControl w:val="0"/>
        <w:autoSpaceDE w:val="0"/>
        <w:autoSpaceDN w:val="0"/>
        <w:adjustRightInd w:val="0"/>
        <w:ind w:left="640" w:hanging="640"/>
        <w:rPr>
          <w:noProof/>
        </w:rPr>
      </w:pPr>
      <w:r w:rsidRPr="003524A5">
        <w:rPr>
          <w:noProof/>
        </w:rPr>
        <w:t>24.</w:t>
      </w:r>
      <w:r w:rsidRPr="003524A5">
        <w:rPr>
          <w:noProof/>
        </w:rPr>
        <w:tab/>
        <w:t>Wood G.S., Wu J. Methotrexate and Pralatrexate // Dermatologic Clinics. W.B. Saunders, 2015. Vol. 33, № 4. P. 747–755.</w:t>
      </w:r>
    </w:p>
    <w:p w:rsidR="003524A5" w:rsidRPr="003524A5" w:rsidRDefault="003524A5" w:rsidP="003524A5">
      <w:pPr>
        <w:widowControl w:val="0"/>
        <w:autoSpaceDE w:val="0"/>
        <w:autoSpaceDN w:val="0"/>
        <w:adjustRightInd w:val="0"/>
        <w:ind w:left="640" w:hanging="640"/>
        <w:rPr>
          <w:noProof/>
        </w:rPr>
      </w:pPr>
      <w:r w:rsidRPr="003524A5">
        <w:rPr>
          <w:noProof/>
        </w:rPr>
        <w:t>25.</w:t>
      </w:r>
      <w:r w:rsidRPr="003524A5">
        <w:rPr>
          <w:noProof/>
        </w:rPr>
        <w:tab/>
        <w:t>M Busger op Vollenbroek F.T. et al. Dermatological guidelines for monitoring methotrexate treatment reduce drug-survival compared to rheumatological guidelines. 2018.</w:t>
      </w:r>
    </w:p>
    <w:p w:rsidR="003524A5" w:rsidRPr="003524A5" w:rsidRDefault="003524A5" w:rsidP="003524A5">
      <w:pPr>
        <w:widowControl w:val="0"/>
        <w:autoSpaceDE w:val="0"/>
        <w:autoSpaceDN w:val="0"/>
        <w:adjustRightInd w:val="0"/>
        <w:ind w:left="640" w:hanging="640"/>
        <w:rPr>
          <w:noProof/>
        </w:rPr>
      </w:pPr>
      <w:r w:rsidRPr="003524A5">
        <w:rPr>
          <w:noProof/>
        </w:rPr>
        <w:t>26.</w:t>
      </w:r>
      <w:r w:rsidRPr="003524A5">
        <w:rPr>
          <w:noProof/>
        </w:rPr>
        <w:tab/>
        <w:t>Ahmadzadeh A. et al. Acute versus chronic methotrexate poisoning; A cross-sectional study // BMC Pharmacol. Toxicol. BioMed Central Ltd., 2019. Vol. 20, № 1.</w:t>
      </w:r>
    </w:p>
    <w:p w:rsidR="003524A5" w:rsidRPr="003524A5" w:rsidRDefault="003524A5" w:rsidP="003524A5">
      <w:pPr>
        <w:widowControl w:val="0"/>
        <w:autoSpaceDE w:val="0"/>
        <w:autoSpaceDN w:val="0"/>
        <w:adjustRightInd w:val="0"/>
        <w:ind w:left="640" w:hanging="640"/>
        <w:rPr>
          <w:noProof/>
        </w:rPr>
      </w:pPr>
      <w:r w:rsidRPr="003524A5">
        <w:rPr>
          <w:noProof/>
        </w:rPr>
        <w:t>27.</w:t>
      </w:r>
      <w:r w:rsidRPr="003524A5">
        <w:rPr>
          <w:noProof/>
        </w:rPr>
        <w:tab/>
        <w:t>Olsen E.A. Interferon in the treatment of cutaneous T-cell lymphoma // Dermatologic Therapy. Dermatol Ther, 2003. Vol. 16, № 4. P. 311–321.</w:t>
      </w:r>
    </w:p>
    <w:p w:rsidR="003524A5" w:rsidRPr="003524A5" w:rsidRDefault="003524A5" w:rsidP="003524A5">
      <w:pPr>
        <w:widowControl w:val="0"/>
        <w:autoSpaceDE w:val="0"/>
        <w:autoSpaceDN w:val="0"/>
        <w:adjustRightInd w:val="0"/>
        <w:ind w:left="640" w:hanging="640"/>
        <w:rPr>
          <w:noProof/>
        </w:rPr>
      </w:pPr>
      <w:r w:rsidRPr="003524A5">
        <w:rPr>
          <w:noProof/>
        </w:rPr>
        <w:t>28.</w:t>
      </w:r>
      <w:r w:rsidRPr="003524A5">
        <w:rPr>
          <w:noProof/>
        </w:rPr>
        <w:tab/>
        <w:t>Kim Y.H. et al. Phase II investigator-initiated study of brentuximab vedotin in mycosis fungoides and Sézary syndrome with variable CD30 expression level: A multi-institution collaborative project // J. Clin. Oncol. American Society of Clinical Oncology, 2015. Vol. 33, № 32. P. 3750–3758.</w:t>
      </w:r>
    </w:p>
    <w:p w:rsidR="003524A5" w:rsidRPr="003524A5" w:rsidRDefault="003524A5" w:rsidP="003524A5">
      <w:pPr>
        <w:widowControl w:val="0"/>
        <w:autoSpaceDE w:val="0"/>
        <w:autoSpaceDN w:val="0"/>
        <w:adjustRightInd w:val="0"/>
        <w:ind w:left="640" w:hanging="640"/>
        <w:rPr>
          <w:noProof/>
        </w:rPr>
      </w:pPr>
      <w:r w:rsidRPr="003524A5">
        <w:rPr>
          <w:noProof/>
        </w:rPr>
        <w:t>29.</w:t>
      </w:r>
      <w:r w:rsidRPr="003524A5">
        <w:rPr>
          <w:noProof/>
        </w:rPr>
        <w:tab/>
        <w:t>Talpur R. et al. Long-term outcomes of 1,263 patients with mycosis fungoides and sézary syndrome from 1982 to 2009 // Clin. Cancer Res. Clin Cancer Res, 2012. Vol. 18, № 18. P. 5051–5060.</w:t>
      </w:r>
    </w:p>
    <w:p w:rsidR="003524A5" w:rsidRPr="003524A5" w:rsidRDefault="003524A5" w:rsidP="003524A5">
      <w:pPr>
        <w:widowControl w:val="0"/>
        <w:autoSpaceDE w:val="0"/>
        <w:autoSpaceDN w:val="0"/>
        <w:adjustRightInd w:val="0"/>
        <w:ind w:left="640" w:hanging="640"/>
        <w:rPr>
          <w:noProof/>
        </w:rPr>
      </w:pPr>
      <w:r w:rsidRPr="003524A5">
        <w:rPr>
          <w:noProof/>
        </w:rPr>
        <w:t>30.</w:t>
      </w:r>
      <w:r w:rsidRPr="003524A5">
        <w:rPr>
          <w:noProof/>
        </w:rPr>
        <w:tab/>
        <w:t>Gobbi P.G., Broglia C., Carnevale Maffe G. Lymphomatous superficial lymph nodes: limitations of physical examination for accurate staging and response assessment // Haematologica. 2002. Vol. 87, № 11. P. 1151–1156.</w:t>
      </w:r>
    </w:p>
    <w:p w:rsidR="003524A5" w:rsidRPr="003524A5" w:rsidRDefault="003524A5" w:rsidP="003524A5">
      <w:pPr>
        <w:widowControl w:val="0"/>
        <w:autoSpaceDE w:val="0"/>
        <w:autoSpaceDN w:val="0"/>
        <w:adjustRightInd w:val="0"/>
        <w:ind w:left="640" w:hanging="640"/>
        <w:rPr>
          <w:noProof/>
        </w:rPr>
      </w:pPr>
      <w:r w:rsidRPr="003524A5">
        <w:rPr>
          <w:noProof/>
        </w:rPr>
        <w:t>31.</w:t>
      </w:r>
      <w:r w:rsidRPr="003524A5">
        <w:rPr>
          <w:noProof/>
        </w:rPr>
        <w:tab/>
        <w:t>Tsai E.Y. et al. Staging accuracy in mycosis fungoides and sézary syndrome using integrated positron emission tomography and computed tomography // Arch. Dermatol. Arch Dermatol, 2006. Vol. 142, № 5. P. 577–584.</w:t>
      </w:r>
    </w:p>
    <w:p w:rsidR="003524A5" w:rsidRPr="003524A5" w:rsidRDefault="003524A5" w:rsidP="003524A5">
      <w:pPr>
        <w:widowControl w:val="0"/>
        <w:autoSpaceDE w:val="0"/>
        <w:autoSpaceDN w:val="0"/>
        <w:adjustRightInd w:val="0"/>
        <w:ind w:left="640" w:hanging="640"/>
        <w:rPr>
          <w:noProof/>
        </w:rPr>
      </w:pPr>
      <w:r w:rsidRPr="003524A5">
        <w:rPr>
          <w:noProof/>
        </w:rPr>
        <w:t>32.</w:t>
      </w:r>
      <w:r w:rsidRPr="003524A5">
        <w:rPr>
          <w:noProof/>
        </w:rPr>
        <w:tab/>
        <w:t>Toro J.R. et al. Prognostic factors and evaluation of mycosis fungoides and Sezary syndrome // J. Am. Acad. Dermatol. Mosby Inc., 1997. Vol. 37, № 1. P. 58–67.</w:t>
      </w:r>
    </w:p>
    <w:p w:rsidR="003524A5" w:rsidRPr="003524A5" w:rsidRDefault="003524A5" w:rsidP="003524A5">
      <w:pPr>
        <w:widowControl w:val="0"/>
        <w:autoSpaceDE w:val="0"/>
        <w:autoSpaceDN w:val="0"/>
        <w:adjustRightInd w:val="0"/>
        <w:ind w:left="640" w:hanging="640"/>
        <w:rPr>
          <w:noProof/>
        </w:rPr>
      </w:pPr>
      <w:r w:rsidRPr="003524A5">
        <w:rPr>
          <w:noProof/>
        </w:rPr>
        <w:t>33.</w:t>
      </w:r>
      <w:r w:rsidRPr="003524A5">
        <w:rPr>
          <w:noProof/>
        </w:rPr>
        <w:tab/>
        <w:t>Sentis H.J., Willemze R., Scheffer E. Histopathologic studies in Sézary syndrome and erythrodermic mycosis fungoides: A comparison with benign forms of erythroderma // J. Am. Acad. Dermatol. J Am Acad Dermatol, 1986. Vol. 15, № 6. P. 1217–1226.</w:t>
      </w:r>
    </w:p>
    <w:p w:rsidR="003524A5" w:rsidRPr="003524A5" w:rsidRDefault="003524A5" w:rsidP="003524A5">
      <w:pPr>
        <w:widowControl w:val="0"/>
        <w:autoSpaceDE w:val="0"/>
        <w:autoSpaceDN w:val="0"/>
        <w:adjustRightInd w:val="0"/>
        <w:ind w:left="640" w:hanging="640"/>
        <w:rPr>
          <w:noProof/>
        </w:rPr>
      </w:pPr>
      <w:r w:rsidRPr="003524A5">
        <w:rPr>
          <w:noProof/>
        </w:rPr>
        <w:t>34.</w:t>
      </w:r>
      <w:r w:rsidRPr="003524A5">
        <w:rPr>
          <w:noProof/>
        </w:rPr>
        <w:tab/>
        <w:t>Trotter M.J. et al. Cutaneous histopathology of Sézary syndrome: A study of 41 cases with a proven circulating T-cell clone // J. Cutan. Pathol. Blackwell Publishing Ltd, 1997. Vol. 24, № 5. P. 286–291.</w:t>
      </w:r>
    </w:p>
    <w:p w:rsidR="003524A5" w:rsidRPr="003524A5" w:rsidRDefault="003524A5" w:rsidP="003524A5">
      <w:pPr>
        <w:widowControl w:val="0"/>
        <w:autoSpaceDE w:val="0"/>
        <w:autoSpaceDN w:val="0"/>
        <w:adjustRightInd w:val="0"/>
        <w:ind w:left="640" w:hanging="640"/>
        <w:rPr>
          <w:noProof/>
        </w:rPr>
      </w:pPr>
      <w:r w:rsidRPr="003524A5">
        <w:rPr>
          <w:noProof/>
        </w:rPr>
        <w:t>35.</w:t>
      </w:r>
      <w:r w:rsidRPr="003524A5">
        <w:rPr>
          <w:noProof/>
        </w:rPr>
        <w:tab/>
        <w:t>Diwan A.H. et al. Primary Sézary Syndrome Commonly Shows Low-Grade Cytologic Atypia and an Absence of Epidermotropism // Am. J. Clin. Pathol. Oxford University Press (OUP), 2005. Vol. 123, № 4. P. 510–515.</w:t>
      </w:r>
    </w:p>
    <w:p w:rsidR="003524A5" w:rsidRPr="003524A5" w:rsidRDefault="003524A5" w:rsidP="003524A5">
      <w:pPr>
        <w:widowControl w:val="0"/>
        <w:autoSpaceDE w:val="0"/>
        <w:autoSpaceDN w:val="0"/>
        <w:adjustRightInd w:val="0"/>
        <w:ind w:left="640" w:hanging="640"/>
        <w:rPr>
          <w:noProof/>
        </w:rPr>
      </w:pPr>
      <w:r w:rsidRPr="003524A5">
        <w:rPr>
          <w:noProof/>
        </w:rPr>
        <w:t>36.</w:t>
      </w:r>
      <w:r w:rsidRPr="003524A5">
        <w:rPr>
          <w:noProof/>
        </w:rPr>
        <w:tab/>
        <w:t xml:space="preserve">Trautinger F. et al. European Organisation for Research and Treatment of Cancer consensus recommendations for the treatment of mycosis fungoides/Sézary syndrome – Update 2017 </w:t>
      </w:r>
      <w:r w:rsidRPr="003524A5">
        <w:rPr>
          <w:noProof/>
        </w:rPr>
        <w:lastRenderedPageBreak/>
        <w:t>// European Journal of Cancer. Elsevier Ltd, 2017. Vol. 77. P. 57–74.</w:t>
      </w:r>
    </w:p>
    <w:p w:rsidR="003524A5" w:rsidRPr="003524A5" w:rsidRDefault="003524A5" w:rsidP="003524A5">
      <w:pPr>
        <w:widowControl w:val="0"/>
        <w:autoSpaceDE w:val="0"/>
        <w:autoSpaceDN w:val="0"/>
        <w:adjustRightInd w:val="0"/>
        <w:ind w:left="640" w:hanging="640"/>
        <w:rPr>
          <w:noProof/>
        </w:rPr>
      </w:pPr>
      <w:r w:rsidRPr="003524A5">
        <w:rPr>
          <w:noProof/>
        </w:rPr>
        <w:t>37.</w:t>
      </w:r>
      <w:r w:rsidRPr="003524A5">
        <w:rPr>
          <w:noProof/>
        </w:rPr>
        <w:tab/>
        <w:t>Виноградова Ю.Е. Применение интерферона-α при Т-клеточных лимфомах кожи // Гематология и трансфузиология. 2012. Vol. 57, № 3. P. 99–100.</w:t>
      </w:r>
    </w:p>
    <w:p w:rsidR="003524A5" w:rsidRPr="003524A5" w:rsidRDefault="003524A5" w:rsidP="003524A5">
      <w:pPr>
        <w:widowControl w:val="0"/>
        <w:autoSpaceDE w:val="0"/>
        <w:autoSpaceDN w:val="0"/>
        <w:adjustRightInd w:val="0"/>
        <w:ind w:left="640" w:hanging="640"/>
        <w:rPr>
          <w:noProof/>
        </w:rPr>
      </w:pPr>
      <w:r w:rsidRPr="003524A5">
        <w:rPr>
          <w:noProof/>
        </w:rPr>
        <w:t>38.</w:t>
      </w:r>
      <w:r w:rsidRPr="003524A5">
        <w:rPr>
          <w:noProof/>
        </w:rPr>
        <w:tab/>
        <w:t>Zackheim H.S., Epstein E.H. Low-dose methotrexate for the Sézary syndrome // J. Am. Acad. Dermatol. J Am Acad Dermatol, 1989. Vol. 21, № 4. P. 757–762.</w:t>
      </w:r>
    </w:p>
    <w:p w:rsidR="003524A5" w:rsidRPr="003524A5" w:rsidRDefault="003524A5" w:rsidP="003524A5">
      <w:pPr>
        <w:widowControl w:val="0"/>
        <w:autoSpaceDE w:val="0"/>
        <w:autoSpaceDN w:val="0"/>
        <w:adjustRightInd w:val="0"/>
        <w:ind w:left="640" w:hanging="640"/>
        <w:rPr>
          <w:noProof/>
        </w:rPr>
      </w:pPr>
      <w:r w:rsidRPr="003524A5">
        <w:rPr>
          <w:noProof/>
        </w:rPr>
        <w:t>39.</w:t>
      </w:r>
      <w:r w:rsidRPr="003524A5">
        <w:rPr>
          <w:noProof/>
        </w:rPr>
        <w:tab/>
        <w:t>Roenigk H.H. et al. Photochemotherapy alone or combined with interferon alpha-2a in the treatment of cutaneous T-cell lymphoma // J. Invest. Dermatol. J Invest Dermatol, 1990. Vol. 95, № 6 SUPPL.</w:t>
      </w:r>
    </w:p>
    <w:p w:rsidR="003524A5" w:rsidRPr="003524A5" w:rsidRDefault="003524A5" w:rsidP="003524A5">
      <w:pPr>
        <w:widowControl w:val="0"/>
        <w:autoSpaceDE w:val="0"/>
        <w:autoSpaceDN w:val="0"/>
        <w:adjustRightInd w:val="0"/>
        <w:ind w:left="640" w:hanging="640"/>
        <w:rPr>
          <w:noProof/>
        </w:rPr>
      </w:pPr>
      <w:r w:rsidRPr="003524A5">
        <w:rPr>
          <w:noProof/>
        </w:rPr>
        <w:t>40.</w:t>
      </w:r>
      <w:r w:rsidRPr="003524A5">
        <w:rPr>
          <w:noProof/>
        </w:rPr>
        <w:tab/>
        <w:t>Kuzel T.M. et al. Interferon alfa-2a combined with phototherapy in the treatment of cutaneous T-cell lymphoma // J. Natl. Cancer Inst. J Natl Cancer Inst, 1990. Vol. 82, № 3. P. 203–207.</w:t>
      </w:r>
    </w:p>
    <w:p w:rsidR="003524A5" w:rsidRPr="003524A5" w:rsidRDefault="003524A5" w:rsidP="003524A5">
      <w:pPr>
        <w:widowControl w:val="0"/>
        <w:autoSpaceDE w:val="0"/>
        <w:autoSpaceDN w:val="0"/>
        <w:adjustRightInd w:val="0"/>
        <w:ind w:left="640" w:hanging="640"/>
        <w:rPr>
          <w:noProof/>
        </w:rPr>
      </w:pPr>
      <w:r w:rsidRPr="003524A5">
        <w:rPr>
          <w:noProof/>
        </w:rPr>
        <w:t>41.</w:t>
      </w:r>
      <w:r w:rsidRPr="003524A5">
        <w:rPr>
          <w:noProof/>
        </w:rPr>
        <w:tab/>
        <w:t>Avilés A. et al. Interferon and low dose methotrexate improve outcome in refractory mycosis fungoides/Sézary syndrome // Cancer Biother. Radiopharm. Cancer Biother Radiopharm, 2007. Vol. 22, № 6. P. 836–840.</w:t>
      </w:r>
    </w:p>
    <w:p w:rsidR="003524A5" w:rsidRPr="003524A5" w:rsidRDefault="003524A5" w:rsidP="003524A5">
      <w:pPr>
        <w:widowControl w:val="0"/>
        <w:autoSpaceDE w:val="0"/>
        <w:autoSpaceDN w:val="0"/>
        <w:adjustRightInd w:val="0"/>
        <w:ind w:left="640" w:hanging="640"/>
        <w:rPr>
          <w:noProof/>
        </w:rPr>
      </w:pPr>
      <w:r w:rsidRPr="003524A5">
        <w:rPr>
          <w:noProof/>
        </w:rPr>
        <w:t>42.</w:t>
      </w:r>
      <w:r w:rsidRPr="003524A5">
        <w:rPr>
          <w:noProof/>
        </w:rPr>
        <w:tab/>
        <w:t>Чернова Н.Г., Коломейцев О.А. Современные возможности оптимизации лечения грибовидного микоза и синдрома Сезари // Клиническая онкогематология. 2018. Vol. 11, № 1. P. 34–41.</w:t>
      </w:r>
    </w:p>
    <w:p w:rsidR="003524A5" w:rsidRPr="003524A5" w:rsidRDefault="003524A5" w:rsidP="003524A5">
      <w:pPr>
        <w:widowControl w:val="0"/>
        <w:autoSpaceDE w:val="0"/>
        <w:autoSpaceDN w:val="0"/>
        <w:adjustRightInd w:val="0"/>
        <w:ind w:left="640" w:hanging="640"/>
        <w:rPr>
          <w:noProof/>
        </w:rPr>
      </w:pPr>
      <w:r w:rsidRPr="003524A5">
        <w:rPr>
          <w:noProof/>
        </w:rPr>
        <w:t>43.</w:t>
      </w:r>
      <w:r w:rsidRPr="003524A5">
        <w:rPr>
          <w:noProof/>
        </w:rPr>
        <w:tab/>
        <w:t>Photiou L. et al. Systemic Treatment Options for Advanced-Stage Mycosis Fungoides and Sézary Syndrome // Current Oncology Reports. Current Medicine Group LLC 1, 2018. Vol. 20, № 4.</w:t>
      </w:r>
    </w:p>
    <w:p w:rsidR="003524A5" w:rsidRPr="003524A5" w:rsidRDefault="003524A5" w:rsidP="003524A5">
      <w:pPr>
        <w:widowControl w:val="0"/>
        <w:autoSpaceDE w:val="0"/>
        <w:autoSpaceDN w:val="0"/>
        <w:adjustRightInd w:val="0"/>
        <w:ind w:left="640" w:hanging="640"/>
        <w:rPr>
          <w:noProof/>
        </w:rPr>
      </w:pPr>
      <w:r w:rsidRPr="003524A5">
        <w:rPr>
          <w:noProof/>
        </w:rPr>
        <w:t>44.</w:t>
      </w:r>
      <w:r w:rsidRPr="003524A5">
        <w:rPr>
          <w:noProof/>
        </w:rPr>
        <w:tab/>
        <w:t>Shiratori S. et al. Allogeneic hematopoietic stem cell transplantation following reduced-intensity conditioning for mycosis fungoides and Sezary syndrome // Hematol. Oncol. John Wiley and Sons Ltd, 2016. Vol. 34, № 1. P. 9–16.</w:t>
      </w:r>
    </w:p>
    <w:p w:rsidR="003524A5" w:rsidRPr="003524A5" w:rsidRDefault="003524A5" w:rsidP="003524A5">
      <w:pPr>
        <w:widowControl w:val="0"/>
        <w:autoSpaceDE w:val="0"/>
        <w:autoSpaceDN w:val="0"/>
        <w:adjustRightInd w:val="0"/>
        <w:ind w:left="640" w:hanging="640"/>
        <w:rPr>
          <w:noProof/>
        </w:rPr>
      </w:pPr>
      <w:r w:rsidRPr="003524A5">
        <w:rPr>
          <w:noProof/>
        </w:rPr>
        <w:t>45.</w:t>
      </w:r>
      <w:r w:rsidRPr="003524A5">
        <w:rPr>
          <w:noProof/>
        </w:rPr>
        <w:tab/>
        <w:t>Wu P.A. et al. A Meta-analysis of Patients Receiving Allogeneic or Autologous Hematopoietic Stem Cell Transplant in Mycosis Fungoides and Sézary Syndrome // Biol. Blood Marrow Transplant. Biol Blood Marrow Transplant, 2009. Vol. 15, № 8. P. 982–990.</w:t>
      </w:r>
    </w:p>
    <w:p w:rsidR="003524A5" w:rsidRPr="003524A5" w:rsidRDefault="003524A5" w:rsidP="003524A5">
      <w:pPr>
        <w:widowControl w:val="0"/>
        <w:autoSpaceDE w:val="0"/>
        <w:autoSpaceDN w:val="0"/>
        <w:adjustRightInd w:val="0"/>
        <w:ind w:left="640" w:hanging="640"/>
        <w:rPr>
          <w:noProof/>
        </w:rPr>
      </w:pPr>
      <w:r w:rsidRPr="003524A5">
        <w:rPr>
          <w:noProof/>
        </w:rPr>
        <w:t>46.</w:t>
      </w:r>
      <w:r w:rsidRPr="003524A5">
        <w:rPr>
          <w:noProof/>
        </w:rPr>
        <w:tab/>
        <w:t>Virmani P. et al. Hematopoietic Stem Cell Transplant for Mycosis Fungoides and Sézary Syndrome // Dermatologic Clinics. W.B. Saunders, 2015. Vol. 33, № 4. P. 807–818.</w:t>
      </w:r>
    </w:p>
    <w:p w:rsidR="003524A5" w:rsidRPr="003524A5" w:rsidRDefault="003524A5" w:rsidP="003524A5">
      <w:pPr>
        <w:widowControl w:val="0"/>
        <w:autoSpaceDE w:val="0"/>
        <w:autoSpaceDN w:val="0"/>
        <w:adjustRightInd w:val="0"/>
        <w:ind w:left="640" w:hanging="640"/>
        <w:rPr>
          <w:noProof/>
        </w:rPr>
      </w:pPr>
      <w:r w:rsidRPr="003524A5">
        <w:rPr>
          <w:noProof/>
        </w:rPr>
        <w:t>47.</w:t>
      </w:r>
      <w:r w:rsidRPr="003524A5">
        <w:rPr>
          <w:noProof/>
        </w:rPr>
        <w:tab/>
        <w:t>Lechowicz M.J. et al. Allogeneic hematopoietic cell transplantation for mycosis fungoides and Sezary syndrome // Bone Marrow Transplant. Nature Publishing Group, 2014. Vol. 49, № 11. P. 1360–1365.</w:t>
      </w:r>
    </w:p>
    <w:p w:rsidR="003524A5" w:rsidRPr="003524A5" w:rsidRDefault="003524A5" w:rsidP="003524A5">
      <w:pPr>
        <w:widowControl w:val="0"/>
        <w:autoSpaceDE w:val="0"/>
        <w:autoSpaceDN w:val="0"/>
        <w:adjustRightInd w:val="0"/>
        <w:ind w:left="640" w:hanging="640"/>
        <w:rPr>
          <w:noProof/>
        </w:rPr>
      </w:pPr>
      <w:r w:rsidRPr="003524A5">
        <w:rPr>
          <w:noProof/>
        </w:rPr>
        <w:t>48.</w:t>
      </w:r>
      <w:r w:rsidRPr="003524A5">
        <w:rPr>
          <w:noProof/>
        </w:rPr>
        <w:tab/>
        <w:t>Serrano L. et al. Pruritus in Cutaneous T-Cell Lymphoma and Its Management // Dermatologic Clinics. W.B. Saunders, 2018. Vol. 36, № 3. P. 245–258.</w:t>
      </w:r>
    </w:p>
    <w:p w:rsidR="003524A5" w:rsidRPr="003524A5" w:rsidRDefault="003524A5" w:rsidP="003524A5">
      <w:pPr>
        <w:widowControl w:val="0"/>
        <w:autoSpaceDE w:val="0"/>
        <w:autoSpaceDN w:val="0"/>
        <w:adjustRightInd w:val="0"/>
        <w:ind w:left="640" w:hanging="640"/>
        <w:rPr>
          <w:noProof/>
        </w:rPr>
      </w:pPr>
      <w:r w:rsidRPr="003524A5">
        <w:rPr>
          <w:noProof/>
        </w:rPr>
        <w:t>49.</w:t>
      </w:r>
      <w:r w:rsidRPr="003524A5">
        <w:rPr>
          <w:noProof/>
        </w:rPr>
        <w:tab/>
        <w:t>Weisshaar E. et al. European S2k Guideline on Chronic Pruritus // Acta Derm. Venereol. NLM (Medline), 2019. Vol. 99, № 5. P. 469–506.</w:t>
      </w:r>
    </w:p>
    <w:p w:rsidR="003524A5" w:rsidRPr="003524A5" w:rsidRDefault="003524A5" w:rsidP="003524A5">
      <w:pPr>
        <w:widowControl w:val="0"/>
        <w:autoSpaceDE w:val="0"/>
        <w:autoSpaceDN w:val="0"/>
        <w:adjustRightInd w:val="0"/>
        <w:ind w:left="640" w:hanging="640"/>
        <w:rPr>
          <w:noProof/>
        </w:rPr>
      </w:pPr>
      <w:r w:rsidRPr="003524A5">
        <w:rPr>
          <w:noProof/>
        </w:rPr>
        <w:lastRenderedPageBreak/>
        <w:t>50.</w:t>
      </w:r>
      <w:r w:rsidRPr="003524A5">
        <w:rPr>
          <w:noProof/>
        </w:rPr>
        <w:tab/>
        <w:t>Левченко О.К. Опыт оказания противоболевой помощи в гематологическом стационаре // Российский журнал боли. 2019. Vol. 17, № 1. P. 47–50.</w:t>
      </w:r>
    </w:p>
    <w:p w:rsidR="003524A5" w:rsidRPr="003524A5" w:rsidRDefault="003524A5" w:rsidP="003524A5">
      <w:pPr>
        <w:widowControl w:val="0"/>
        <w:autoSpaceDE w:val="0"/>
        <w:autoSpaceDN w:val="0"/>
        <w:adjustRightInd w:val="0"/>
        <w:ind w:left="640" w:hanging="640"/>
        <w:rPr>
          <w:noProof/>
        </w:rPr>
      </w:pPr>
      <w:r w:rsidRPr="003524A5">
        <w:rPr>
          <w:noProof/>
        </w:rPr>
        <w:t>51.</w:t>
      </w:r>
      <w:r w:rsidRPr="003524A5">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rsidR="003524A5" w:rsidRPr="003524A5" w:rsidRDefault="003524A5" w:rsidP="003524A5">
      <w:pPr>
        <w:widowControl w:val="0"/>
        <w:autoSpaceDE w:val="0"/>
        <w:autoSpaceDN w:val="0"/>
        <w:adjustRightInd w:val="0"/>
        <w:ind w:left="640" w:hanging="640"/>
        <w:rPr>
          <w:noProof/>
        </w:rPr>
      </w:pPr>
      <w:r w:rsidRPr="003524A5">
        <w:rPr>
          <w:noProof/>
        </w:rPr>
        <w:t>52.</w:t>
      </w:r>
      <w:r w:rsidRPr="003524A5">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rsidR="003524A5" w:rsidRPr="003524A5" w:rsidRDefault="003524A5" w:rsidP="003524A5">
      <w:pPr>
        <w:widowControl w:val="0"/>
        <w:autoSpaceDE w:val="0"/>
        <w:autoSpaceDN w:val="0"/>
        <w:adjustRightInd w:val="0"/>
        <w:ind w:left="640" w:hanging="640"/>
        <w:rPr>
          <w:noProof/>
        </w:rPr>
      </w:pPr>
      <w:r w:rsidRPr="003524A5">
        <w:rPr>
          <w:noProof/>
        </w:rPr>
        <w:t>53.</w:t>
      </w:r>
      <w:r w:rsidRPr="003524A5">
        <w:rPr>
          <w:noProof/>
        </w:rPr>
        <w:tab/>
        <w:t>Paul K.L. Rehabilitation and exercise considerations in hematologic malignancies. // Am. J. Phys. Med. Rehabil. 2011. Vol. 90, № 5 Suppl 1. P. S88-94.</w:t>
      </w:r>
    </w:p>
    <w:p w:rsidR="003524A5" w:rsidRPr="003524A5" w:rsidRDefault="003524A5" w:rsidP="003524A5">
      <w:pPr>
        <w:widowControl w:val="0"/>
        <w:autoSpaceDE w:val="0"/>
        <w:autoSpaceDN w:val="0"/>
        <w:adjustRightInd w:val="0"/>
        <w:ind w:left="640" w:hanging="640"/>
        <w:rPr>
          <w:noProof/>
        </w:rPr>
      </w:pPr>
      <w:r w:rsidRPr="003524A5">
        <w:rPr>
          <w:noProof/>
        </w:rPr>
        <w:t>54.</w:t>
      </w:r>
      <w:r w:rsidRPr="003524A5">
        <w:rPr>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rsidR="003524A5" w:rsidRPr="003524A5" w:rsidRDefault="003524A5" w:rsidP="003524A5">
      <w:pPr>
        <w:widowControl w:val="0"/>
        <w:autoSpaceDE w:val="0"/>
        <w:autoSpaceDN w:val="0"/>
        <w:adjustRightInd w:val="0"/>
        <w:ind w:left="640" w:hanging="640"/>
        <w:rPr>
          <w:noProof/>
        </w:rPr>
      </w:pPr>
      <w:r w:rsidRPr="003524A5">
        <w:rPr>
          <w:noProof/>
        </w:rPr>
        <w:t>55.</w:t>
      </w:r>
      <w:r w:rsidRPr="003524A5">
        <w:rPr>
          <w:noProof/>
        </w:rPr>
        <w:tab/>
        <w:t>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2017. Vol. 12, № 3. P. 31–40.</w:t>
      </w:r>
    </w:p>
    <w:p w:rsidR="003524A5" w:rsidRPr="003524A5" w:rsidRDefault="003524A5" w:rsidP="003524A5">
      <w:pPr>
        <w:widowControl w:val="0"/>
        <w:autoSpaceDE w:val="0"/>
        <w:autoSpaceDN w:val="0"/>
        <w:adjustRightInd w:val="0"/>
        <w:ind w:left="640" w:hanging="640"/>
        <w:rPr>
          <w:noProof/>
        </w:rPr>
      </w:pPr>
      <w:r w:rsidRPr="003524A5">
        <w:rPr>
          <w:noProof/>
        </w:rPr>
        <w:t>56.</w:t>
      </w:r>
      <w:r w:rsidRPr="003524A5">
        <w:rPr>
          <w:noProof/>
        </w:rPr>
        <w:tab/>
        <w:t>Клясова Г.А. et al. 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rsidR="003524A5" w:rsidRPr="003524A5" w:rsidRDefault="003524A5" w:rsidP="003524A5">
      <w:pPr>
        <w:widowControl w:val="0"/>
        <w:autoSpaceDE w:val="0"/>
        <w:autoSpaceDN w:val="0"/>
        <w:adjustRightInd w:val="0"/>
        <w:ind w:left="640" w:hanging="640"/>
        <w:rPr>
          <w:noProof/>
        </w:rPr>
      </w:pPr>
      <w:r w:rsidRPr="003524A5">
        <w:rPr>
          <w:noProof/>
        </w:rPr>
        <w:t>57.</w:t>
      </w:r>
      <w:r w:rsidRPr="003524A5">
        <w:rPr>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rsidR="003524A5" w:rsidRPr="003524A5" w:rsidRDefault="003524A5" w:rsidP="003524A5">
      <w:pPr>
        <w:widowControl w:val="0"/>
        <w:autoSpaceDE w:val="0"/>
        <w:autoSpaceDN w:val="0"/>
        <w:adjustRightInd w:val="0"/>
        <w:ind w:left="640" w:hanging="640"/>
        <w:rPr>
          <w:noProof/>
        </w:rPr>
      </w:pPr>
      <w:r w:rsidRPr="003524A5">
        <w:rPr>
          <w:noProof/>
        </w:rPr>
        <w:t>58.</w:t>
      </w:r>
      <w:r w:rsidRPr="003524A5">
        <w:rPr>
          <w:noProof/>
        </w:rPr>
        <w:tab/>
        <w:t>Maertens J. et al. European guidelines for antifungal management in leukemia and hematopoietic stem cell transplant recipients: Summary of the ECIL 32009 update // Bone Marrow Transplant. Nature Publishing Group, 2011. Vol. 46, № 5. P. 709–718.</w:t>
      </w:r>
    </w:p>
    <w:p w:rsidR="003524A5" w:rsidRPr="003524A5" w:rsidRDefault="003524A5" w:rsidP="003524A5">
      <w:pPr>
        <w:widowControl w:val="0"/>
        <w:autoSpaceDE w:val="0"/>
        <w:autoSpaceDN w:val="0"/>
        <w:adjustRightInd w:val="0"/>
        <w:ind w:left="640" w:hanging="640"/>
        <w:rPr>
          <w:noProof/>
        </w:rPr>
      </w:pPr>
      <w:r w:rsidRPr="003524A5">
        <w:rPr>
          <w:noProof/>
        </w:rPr>
        <w:t>59.</w:t>
      </w:r>
      <w:r w:rsidRPr="003524A5">
        <w:rPr>
          <w:noProof/>
        </w:rPr>
        <w:tab/>
        <w:t>Kollef M.H. et al. Ceftolozane–tazobactam versus meropenem for treatment of nosocomial pneumonia (ASPECT-NP): a randomised, controlled, double-blind, phase 3, non-inferiority trial // Lancet Infect. Dis. Lancet Publishing Group, 2019. Vol. 19, № 12. P. 1299–1311.</w:t>
      </w:r>
    </w:p>
    <w:p w:rsidR="003524A5" w:rsidRPr="003524A5" w:rsidRDefault="003524A5" w:rsidP="003524A5">
      <w:pPr>
        <w:widowControl w:val="0"/>
        <w:autoSpaceDE w:val="0"/>
        <w:autoSpaceDN w:val="0"/>
        <w:adjustRightInd w:val="0"/>
        <w:ind w:left="640" w:hanging="640"/>
        <w:rPr>
          <w:noProof/>
        </w:rPr>
      </w:pPr>
      <w:r w:rsidRPr="003524A5">
        <w:rPr>
          <w:noProof/>
        </w:rPr>
        <w:t>60.</w:t>
      </w:r>
      <w:r w:rsidRPr="003524A5">
        <w:rPr>
          <w:noProof/>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rsidR="003524A5" w:rsidRPr="003524A5" w:rsidRDefault="003524A5" w:rsidP="003524A5">
      <w:pPr>
        <w:widowControl w:val="0"/>
        <w:autoSpaceDE w:val="0"/>
        <w:autoSpaceDN w:val="0"/>
        <w:adjustRightInd w:val="0"/>
        <w:ind w:left="640" w:hanging="640"/>
        <w:rPr>
          <w:noProof/>
        </w:rPr>
      </w:pPr>
      <w:r w:rsidRPr="003524A5">
        <w:rPr>
          <w:noProof/>
        </w:rPr>
        <w:t>61.</w:t>
      </w:r>
      <w:r w:rsidRPr="003524A5">
        <w:rPr>
          <w:noProof/>
        </w:rPr>
        <w:tab/>
        <w:t xml:space="preserve">Debast S.B. et al. European society of clinical microbiology and infectious diseases: Update of the treatment guidance document for Clostridium difficile infection // Clin. Microbiol. </w:t>
      </w:r>
      <w:r w:rsidRPr="003524A5">
        <w:rPr>
          <w:noProof/>
        </w:rPr>
        <w:lastRenderedPageBreak/>
        <w:t>Infect. Blackwell Publishing Ltd, 2014. Vol. 20, № S2. P. 1–26.</w:t>
      </w:r>
    </w:p>
    <w:p w:rsidR="003524A5" w:rsidRPr="003524A5" w:rsidRDefault="003524A5" w:rsidP="003524A5">
      <w:pPr>
        <w:widowControl w:val="0"/>
        <w:autoSpaceDE w:val="0"/>
        <w:autoSpaceDN w:val="0"/>
        <w:adjustRightInd w:val="0"/>
        <w:ind w:left="640" w:hanging="640"/>
        <w:rPr>
          <w:noProof/>
        </w:rPr>
      </w:pPr>
      <w:r w:rsidRPr="003524A5">
        <w:rPr>
          <w:noProof/>
        </w:rPr>
        <w:t>62.</w:t>
      </w:r>
      <w:r w:rsidRPr="003524A5">
        <w:rPr>
          <w:noProof/>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rsidR="003524A5" w:rsidRPr="003524A5" w:rsidRDefault="003524A5" w:rsidP="003524A5">
      <w:pPr>
        <w:widowControl w:val="0"/>
        <w:autoSpaceDE w:val="0"/>
        <w:autoSpaceDN w:val="0"/>
        <w:adjustRightInd w:val="0"/>
        <w:ind w:left="640" w:hanging="640"/>
        <w:rPr>
          <w:noProof/>
        </w:rPr>
      </w:pPr>
      <w:r w:rsidRPr="003524A5">
        <w:rPr>
          <w:noProof/>
        </w:rPr>
        <w:t>63.</w:t>
      </w:r>
      <w:r w:rsidRPr="003524A5">
        <w:rPr>
          <w:noProof/>
        </w:rPr>
        <w:tab/>
        <w:t>Ljungman P. et al. Management of CMV, HHV-6, HHV-7 and Kaposi-sarcoma herpesvirus (HHV-8) infections in patients with hematological malignancies and after SCT // Bone Marrow Transplant. Bone Marrow Transplant, 2008. Vol. 42, № 4. P. 227–240.</w:t>
      </w:r>
    </w:p>
    <w:p w:rsidR="003524A5" w:rsidRPr="003524A5" w:rsidRDefault="003524A5" w:rsidP="003524A5">
      <w:pPr>
        <w:widowControl w:val="0"/>
        <w:autoSpaceDE w:val="0"/>
        <w:autoSpaceDN w:val="0"/>
        <w:adjustRightInd w:val="0"/>
        <w:ind w:left="640" w:hanging="640"/>
        <w:rPr>
          <w:noProof/>
        </w:rPr>
      </w:pPr>
      <w:r w:rsidRPr="003524A5">
        <w:rPr>
          <w:noProof/>
        </w:rPr>
        <w:t>64.</w:t>
      </w:r>
      <w:r w:rsidRPr="003524A5">
        <w:rPr>
          <w:noProof/>
        </w:rPr>
        <w:tab/>
        <w:t>Arendrup M.C. et al. ESCMID and ECMM joint clinical guidelines for the diagnosis and management of rare invasive yeast infections // Clin. Microbiol. Infect. Blackwell Publishing Ltd, 2014. Vol. 20, № S3. P. 76–98.</w:t>
      </w:r>
    </w:p>
    <w:p w:rsidR="003524A5" w:rsidRPr="003524A5" w:rsidRDefault="003524A5" w:rsidP="003524A5">
      <w:pPr>
        <w:widowControl w:val="0"/>
        <w:autoSpaceDE w:val="0"/>
        <w:autoSpaceDN w:val="0"/>
        <w:adjustRightInd w:val="0"/>
        <w:ind w:left="640" w:hanging="640"/>
        <w:rPr>
          <w:noProof/>
        </w:rPr>
      </w:pPr>
      <w:r w:rsidRPr="003524A5">
        <w:rPr>
          <w:noProof/>
        </w:rPr>
        <w:t>65.</w:t>
      </w:r>
      <w:r w:rsidRPr="003524A5">
        <w:rPr>
          <w:noProof/>
        </w:rPr>
        <w:tab/>
        <w:t>Tissot F. et al. ECIL-6 guidelines for the treatment of invasive candidiasis, aspergillosis and mucormycosis in leukemia and hematopoietic stem cell transplant patients // Haematologica. Ferrata Storti Foundation, 2017. Vol. 102, № 3. P. 433–444.</w:t>
      </w:r>
    </w:p>
    <w:p w:rsidR="003524A5" w:rsidRPr="003524A5" w:rsidRDefault="003524A5" w:rsidP="003524A5">
      <w:pPr>
        <w:widowControl w:val="0"/>
        <w:autoSpaceDE w:val="0"/>
        <w:autoSpaceDN w:val="0"/>
        <w:adjustRightInd w:val="0"/>
        <w:ind w:left="640" w:hanging="640"/>
        <w:rPr>
          <w:noProof/>
        </w:rPr>
      </w:pPr>
      <w:r w:rsidRPr="003524A5">
        <w:rPr>
          <w:noProof/>
        </w:rPr>
        <w:t>66.</w:t>
      </w:r>
      <w:r w:rsidRPr="003524A5">
        <w:rPr>
          <w:noProof/>
        </w:rPr>
        <w:tab/>
        <w:t>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2018. Vol. 20, № 2. P. 126–130.</w:t>
      </w:r>
    </w:p>
    <w:p w:rsidR="003524A5" w:rsidRPr="003524A5" w:rsidRDefault="003524A5" w:rsidP="003524A5">
      <w:pPr>
        <w:widowControl w:val="0"/>
        <w:autoSpaceDE w:val="0"/>
        <w:autoSpaceDN w:val="0"/>
        <w:adjustRightInd w:val="0"/>
        <w:ind w:left="640" w:hanging="640"/>
        <w:rPr>
          <w:noProof/>
        </w:rPr>
      </w:pPr>
      <w:r w:rsidRPr="003524A5">
        <w:rPr>
          <w:noProof/>
        </w:rPr>
        <w:t>67.</w:t>
      </w:r>
      <w:r w:rsidRPr="003524A5">
        <w:rPr>
          <w:noProof/>
        </w:rPr>
        <w:tab/>
        <w:t>Ullmann A.J. et al. Diagnosis and management of Aspergillus diseases: executive summary of the 2017 ESCMID-ECMM-ERS guideline // Clin. Microbiol. Infect. Elsevier B.V., 2018. Vol. 24. P. e1–e38.</w:t>
      </w:r>
    </w:p>
    <w:p w:rsidR="003524A5" w:rsidRPr="003524A5" w:rsidRDefault="003524A5" w:rsidP="003524A5">
      <w:pPr>
        <w:widowControl w:val="0"/>
        <w:autoSpaceDE w:val="0"/>
        <w:autoSpaceDN w:val="0"/>
        <w:adjustRightInd w:val="0"/>
        <w:ind w:left="640" w:hanging="640"/>
        <w:rPr>
          <w:noProof/>
        </w:rPr>
      </w:pPr>
      <w:r w:rsidRPr="003524A5">
        <w:rPr>
          <w:noProof/>
        </w:rPr>
        <w:t>68.</w:t>
      </w:r>
      <w:r w:rsidRPr="003524A5">
        <w:rPr>
          <w:noProof/>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rsidR="003524A5" w:rsidRPr="003524A5" w:rsidRDefault="003524A5" w:rsidP="003524A5">
      <w:pPr>
        <w:widowControl w:val="0"/>
        <w:autoSpaceDE w:val="0"/>
        <w:autoSpaceDN w:val="0"/>
        <w:adjustRightInd w:val="0"/>
        <w:ind w:left="640" w:hanging="640"/>
        <w:rPr>
          <w:noProof/>
        </w:rPr>
      </w:pPr>
      <w:r w:rsidRPr="003524A5">
        <w:rPr>
          <w:noProof/>
        </w:rPr>
        <w:t>69.</w:t>
      </w:r>
      <w:r w:rsidRPr="003524A5">
        <w:rPr>
          <w:noProof/>
        </w:rPr>
        <w:tab/>
        <w:t>Tortorano A.M. et al. ESCMID and ECMM joint guidelines on diagnosis and management of hyalohyphomycosis: Fusarium spp., Scedosporium spp. and others // Clin. Microbiol. Infect. Blackwell Publishing Ltd, 2014. Vol. 20, № S3. P. 27–46.</w:t>
      </w:r>
    </w:p>
    <w:p w:rsidR="003524A5" w:rsidRPr="003524A5" w:rsidRDefault="003524A5" w:rsidP="003524A5">
      <w:pPr>
        <w:widowControl w:val="0"/>
        <w:autoSpaceDE w:val="0"/>
        <w:autoSpaceDN w:val="0"/>
        <w:adjustRightInd w:val="0"/>
        <w:ind w:left="640" w:hanging="640"/>
        <w:rPr>
          <w:noProof/>
        </w:rPr>
      </w:pPr>
      <w:r w:rsidRPr="003524A5">
        <w:rPr>
          <w:noProof/>
        </w:rPr>
        <w:t>70.</w:t>
      </w:r>
      <w:r w:rsidRPr="003524A5">
        <w:rPr>
          <w:noProof/>
        </w:rPr>
        <w:tab/>
        <w:t>Maschmeyer G. et al. ECIL guidelines for treatment of Pneumocystis jirovecii pneumonia in non-HIV-infected haematology patients // J. Antimicrob. Chemother. J Antimicrob Chemother, 2016. Vol. 71, № 9. P. 2405–2413.</w:t>
      </w:r>
    </w:p>
    <w:p w:rsidR="003524A5" w:rsidRPr="003524A5" w:rsidRDefault="003524A5" w:rsidP="003524A5">
      <w:pPr>
        <w:widowControl w:val="0"/>
        <w:autoSpaceDE w:val="0"/>
        <w:autoSpaceDN w:val="0"/>
        <w:adjustRightInd w:val="0"/>
        <w:ind w:left="640" w:hanging="640"/>
        <w:rPr>
          <w:noProof/>
        </w:rPr>
      </w:pPr>
      <w:r w:rsidRPr="003524A5">
        <w:rPr>
          <w:noProof/>
        </w:rPr>
        <w:t>71.</w:t>
      </w:r>
      <w:r w:rsidRPr="003524A5">
        <w:rPr>
          <w:noProof/>
        </w:rPr>
        <w:tab/>
        <w:t>Maertens J. et al. ECIL guidelines for preventing Pneumocystis jirovecii pneumonia in patients with haematological malignancies and stem cell transplant recipients // Journal of Antimicrobial Chemotherapy. Oxford University Press, 2016. Vol. 71, № 9. P. 1–8.</w:t>
      </w:r>
    </w:p>
    <w:p w:rsidR="003524A5" w:rsidRPr="003524A5" w:rsidRDefault="003524A5" w:rsidP="003524A5">
      <w:pPr>
        <w:widowControl w:val="0"/>
        <w:autoSpaceDE w:val="0"/>
        <w:autoSpaceDN w:val="0"/>
        <w:adjustRightInd w:val="0"/>
        <w:ind w:left="640" w:hanging="640"/>
        <w:rPr>
          <w:noProof/>
        </w:rPr>
      </w:pPr>
      <w:r w:rsidRPr="003524A5">
        <w:rPr>
          <w:noProof/>
        </w:rPr>
        <w:t>72.</w:t>
      </w:r>
      <w:r w:rsidRPr="003524A5">
        <w:rPr>
          <w:noProof/>
        </w:rPr>
        <w:tab/>
        <w:t xml:space="preserve">Annibali O. et al. Incidence of venous thromboembolism and use of anticoagulation in hematological malignancies: Critical review of the literature // Critical Reviews in </w:t>
      </w:r>
      <w:r w:rsidRPr="003524A5">
        <w:rPr>
          <w:noProof/>
        </w:rPr>
        <w:lastRenderedPageBreak/>
        <w:t>Oncology/Hematology. Elsevier Ireland Ltd, 2018. Vol. 124. P. 41–50.</w:t>
      </w:r>
    </w:p>
    <w:p w:rsidR="003524A5" w:rsidRPr="003524A5" w:rsidRDefault="003524A5" w:rsidP="003524A5">
      <w:pPr>
        <w:widowControl w:val="0"/>
        <w:autoSpaceDE w:val="0"/>
        <w:autoSpaceDN w:val="0"/>
        <w:adjustRightInd w:val="0"/>
        <w:ind w:left="640" w:hanging="640"/>
        <w:rPr>
          <w:noProof/>
        </w:rPr>
      </w:pPr>
      <w:r w:rsidRPr="003524A5">
        <w:rPr>
          <w:noProof/>
        </w:rPr>
        <w:t>73.</w:t>
      </w:r>
      <w:r w:rsidRPr="003524A5">
        <w:rPr>
          <w:noProof/>
        </w:rPr>
        <w:tab/>
        <w:t>Falanga A., Marchetti M., Russo L. Venous thromboembolism in the hematologic malignancies // Current Opinion in Oncology. Curr Opin Oncol, 2012. Vol. 24, № 6. P. 702–710.</w:t>
      </w:r>
    </w:p>
    <w:p w:rsidR="003524A5" w:rsidRPr="003524A5" w:rsidRDefault="003524A5" w:rsidP="003524A5">
      <w:pPr>
        <w:widowControl w:val="0"/>
        <w:autoSpaceDE w:val="0"/>
        <w:autoSpaceDN w:val="0"/>
        <w:adjustRightInd w:val="0"/>
        <w:ind w:left="640" w:hanging="640"/>
        <w:rPr>
          <w:noProof/>
        </w:rPr>
      </w:pPr>
      <w:r w:rsidRPr="003524A5">
        <w:rPr>
          <w:noProof/>
        </w:rPr>
        <w:t>74.</w:t>
      </w:r>
      <w:r w:rsidRPr="003524A5">
        <w:rPr>
          <w:noProof/>
        </w:rPr>
        <w:tab/>
        <w:t>Воробьев А.И. et al. Гиперкоагуляционный синдром: классификация, патогенез, диагностика, терапия // Гематология и трансфузиология. 2016. Vol. 61, № 3. P. 116–122.</w:t>
      </w:r>
    </w:p>
    <w:p w:rsidR="003524A5" w:rsidRPr="003524A5" w:rsidRDefault="003524A5" w:rsidP="003524A5">
      <w:pPr>
        <w:widowControl w:val="0"/>
        <w:autoSpaceDE w:val="0"/>
        <w:autoSpaceDN w:val="0"/>
        <w:adjustRightInd w:val="0"/>
        <w:ind w:left="640" w:hanging="640"/>
        <w:rPr>
          <w:noProof/>
        </w:rPr>
      </w:pPr>
      <w:r w:rsidRPr="003524A5">
        <w:rPr>
          <w:noProof/>
        </w:rPr>
        <w:t>75.</w:t>
      </w:r>
      <w:r w:rsidRPr="003524A5">
        <w:rPr>
          <w:noProof/>
        </w:rPr>
        <w:tab/>
        <w:t>Пантелеев М.А. et al. Практическая коагулология. 2010. 192 p.</w:t>
      </w:r>
    </w:p>
    <w:p w:rsidR="003524A5" w:rsidRPr="003524A5" w:rsidRDefault="003524A5" w:rsidP="003524A5">
      <w:pPr>
        <w:widowControl w:val="0"/>
        <w:autoSpaceDE w:val="0"/>
        <w:autoSpaceDN w:val="0"/>
        <w:adjustRightInd w:val="0"/>
        <w:ind w:left="640" w:hanging="640"/>
        <w:rPr>
          <w:noProof/>
        </w:rPr>
      </w:pPr>
      <w:r w:rsidRPr="003524A5">
        <w:rPr>
          <w:noProof/>
        </w:rPr>
        <w:t>76.</w:t>
      </w:r>
      <w:r w:rsidRPr="003524A5">
        <w:rPr>
          <w:noProof/>
        </w:rPr>
        <w:tab/>
        <w:t>Greenberg C.S. The role of D-dimer testing in clinical hematology and oncology // Clin. Adv. Hematol. Oncol. 2017. Vol. 15, № 8. P. 580–583.</w:t>
      </w:r>
    </w:p>
    <w:p w:rsidR="003524A5" w:rsidRPr="003524A5" w:rsidRDefault="003524A5" w:rsidP="003524A5">
      <w:pPr>
        <w:widowControl w:val="0"/>
        <w:autoSpaceDE w:val="0"/>
        <w:autoSpaceDN w:val="0"/>
        <w:adjustRightInd w:val="0"/>
        <w:ind w:left="640" w:hanging="640"/>
        <w:rPr>
          <w:noProof/>
        </w:rPr>
      </w:pPr>
      <w:r w:rsidRPr="003524A5">
        <w:rPr>
          <w:noProof/>
        </w:rPr>
        <w:t>77.</w:t>
      </w:r>
      <w:r w:rsidRPr="003524A5">
        <w:rPr>
          <w:noProof/>
        </w:rPr>
        <w:tab/>
        <w:t>Weitz I.C. et al. Chemotherapy-induced activation of hemostasis: effect of a low molecular weight heparin (dalteparin sodium) on plasma markers of hemostatic activation // Thromb. Haemost. 2002. Vol. 88, № 2. P. 213–220.</w:t>
      </w:r>
    </w:p>
    <w:p w:rsidR="003524A5" w:rsidRPr="003524A5" w:rsidRDefault="003524A5" w:rsidP="003524A5">
      <w:pPr>
        <w:widowControl w:val="0"/>
        <w:autoSpaceDE w:val="0"/>
        <w:autoSpaceDN w:val="0"/>
        <w:adjustRightInd w:val="0"/>
        <w:ind w:left="640" w:hanging="640"/>
        <w:rPr>
          <w:noProof/>
        </w:rPr>
      </w:pPr>
      <w:r w:rsidRPr="003524A5">
        <w:rPr>
          <w:noProof/>
        </w:rPr>
        <w:t>78.</w:t>
      </w:r>
      <w:r w:rsidRPr="003524A5">
        <w:rPr>
          <w:noProof/>
        </w:rPr>
        <w:tab/>
        <w:t>Sharifi M. et al. New oral anticoagulants in the treatment of heparin- Induced thrombocytopenia // Thromb. Res. Elsevier Ltd, 2015. Vol. 135, № 4. P. 607–609.</w:t>
      </w:r>
    </w:p>
    <w:p w:rsidR="003524A5" w:rsidRPr="003524A5" w:rsidRDefault="003524A5" w:rsidP="003524A5">
      <w:pPr>
        <w:widowControl w:val="0"/>
        <w:autoSpaceDE w:val="0"/>
        <w:autoSpaceDN w:val="0"/>
        <w:adjustRightInd w:val="0"/>
        <w:ind w:left="640" w:hanging="640"/>
        <w:rPr>
          <w:noProof/>
        </w:rPr>
      </w:pPr>
      <w:r w:rsidRPr="003524A5">
        <w:rPr>
          <w:noProof/>
        </w:rPr>
        <w:t>79.</w:t>
      </w:r>
      <w:r w:rsidRPr="003524A5">
        <w:rPr>
          <w:noProof/>
        </w:rPr>
        <w:tab/>
        <w:t>Гендлин Г.Е. et al. Современный взгляд на кардиотоксичность химиотерапии онкологических заболеваний, включающей антрациклиновые антибиотики. // Российский кардиологический журнал. 2017. Vol. 143, № 3. P. 145–154.</w:t>
      </w:r>
    </w:p>
    <w:p w:rsidR="003524A5" w:rsidRPr="003524A5" w:rsidRDefault="003524A5" w:rsidP="003524A5">
      <w:pPr>
        <w:widowControl w:val="0"/>
        <w:autoSpaceDE w:val="0"/>
        <w:autoSpaceDN w:val="0"/>
        <w:adjustRightInd w:val="0"/>
        <w:ind w:left="640" w:hanging="640"/>
        <w:rPr>
          <w:noProof/>
        </w:rPr>
      </w:pPr>
      <w:r w:rsidRPr="003524A5">
        <w:rPr>
          <w:noProof/>
        </w:rPr>
        <w:t>80.</w:t>
      </w:r>
      <w:r w:rsidRPr="003524A5">
        <w:rPr>
          <w:noProof/>
        </w:rPr>
        <w:tab/>
        <w:t>Васюк Ю.А. et al. Возможности современных эхокардиографических технологий в ранней диагностике кардиотоксического действия химиотерапевтических препаратов антрациклинового ряда у онкологических больных. // Кардиология. 2017. Vol. 57, № S4. P. 31–17.</w:t>
      </w:r>
    </w:p>
    <w:p w:rsidR="003524A5" w:rsidRPr="003524A5" w:rsidRDefault="003524A5" w:rsidP="003524A5">
      <w:pPr>
        <w:widowControl w:val="0"/>
        <w:autoSpaceDE w:val="0"/>
        <w:autoSpaceDN w:val="0"/>
        <w:adjustRightInd w:val="0"/>
        <w:ind w:left="640" w:hanging="640"/>
        <w:rPr>
          <w:noProof/>
        </w:rPr>
      </w:pPr>
      <w:r w:rsidRPr="003524A5">
        <w:rPr>
          <w:noProof/>
        </w:rPr>
        <w:t>81.</w:t>
      </w:r>
      <w:r w:rsidRPr="003524A5">
        <w:rPr>
          <w:noProof/>
        </w:rPr>
        <w:tab/>
        <w:t>Zamorano J.L. et al. 2016 ESC Position Paper on cancer treatments and cardiovascular toxicity developed under the auspices of the ESC Committee for Practice Guidelines // European Heart Journal. Oxford University Press, 2016. Vol. 37, № 36. P. 2768–2801.</w:t>
      </w:r>
    </w:p>
    <w:p w:rsidR="003524A5" w:rsidRPr="003524A5" w:rsidRDefault="003524A5" w:rsidP="003524A5">
      <w:pPr>
        <w:widowControl w:val="0"/>
        <w:autoSpaceDE w:val="0"/>
        <w:autoSpaceDN w:val="0"/>
        <w:adjustRightInd w:val="0"/>
        <w:ind w:left="640" w:hanging="640"/>
        <w:rPr>
          <w:noProof/>
        </w:rPr>
      </w:pPr>
      <w:r w:rsidRPr="003524A5">
        <w:rPr>
          <w:noProof/>
        </w:rPr>
        <w:t>82.</w:t>
      </w:r>
      <w:r w:rsidRPr="003524A5">
        <w:rPr>
          <w:noProof/>
        </w:rPr>
        <w:tab/>
        <w:t>Larsen C.M., Mulvagh S.L. Cardio-oncology: What you need to know now for clinical practice and echocardiography // Echo Research and Practice. BioScientifica Ltd., 2017. Vol. 4, № 1. P. R33–R41.</w:t>
      </w:r>
    </w:p>
    <w:p w:rsidR="003524A5" w:rsidRPr="003524A5" w:rsidRDefault="003524A5" w:rsidP="003524A5">
      <w:pPr>
        <w:widowControl w:val="0"/>
        <w:autoSpaceDE w:val="0"/>
        <w:autoSpaceDN w:val="0"/>
        <w:adjustRightInd w:val="0"/>
        <w:ind w:left="640" w:hanging="640"/>
        <w:rPr>
          <w:noProof/>
        </w:rPr>
      </w:pPr>
      <w:r w:rsidRPr="003524A5">
        <w:rPr>
          <w:noProof/>
        </w:rPr>
        <w:t>83.</w:t>
      </w:r>
      <w:r w:rsidRPr="003524A5">
        <w:rPr>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rsidR="003524A5" w:rsidRPr="003524A5" w:rsidRDefault="003524A5" w:rsidP="003524A5">
      <w:pPr>
        <w:widowControl w:val="0"/>
        <w:autoSpaceDE w:val="0"/>
        <w:autoSpaceDN w:val="0"/>
        <w:adjustRightInd w:val="0"/>
        <w:ind w:left="640" w:hanging="640"/>
        <w:rPr>
          <w:noProof/>
        </w:rPr>
      </w:pPr>
      <w:r w:rsidRPr="003524A5">
        <w:rPr>
          <w:noProof/>
        </w:rPr>
        <w:t>84.</w:t>
      </w:r>
      <w:r w:rsidRPr="003524A5">
        <w:rPr>
          <w:noProof/>
        </w:rPr>
        <w:tab/>
        <w:t>Wang J. et al. Diagnostic utility of bilateral bone marrow examination: Significance of morphologic and ancillary technique study in malignancy // Cancer. Cancer, 2002. Vol. 94, № 5. P. 1522–1531.</w:t>
      </w:r>
    </w:p>
    <w:p w:rsidR="003524A5" w:rsidRPr="003524A5" w:rsidRDefault="003524A5" w:rsidP="003524A5">
      <w:pPr>
        <w:widowControl w:val="0"/>
        <w:autoSpaceDE w:val="0"/>
        <w:autoSpaceDN w:val="0"/>
        <w:adjustRightInd w:val="0"/>
        <w:ind w:left="640" w:hanging="640"/>
        <w:rPr>
          <w:noProof/>
        </w:rPr>
      </w:pPr>
      <w:r w:rsidRPr="003524A5">
        <w:rPr>
          <w:noProof/>
        </w:rPr>
        <w:t>85.</w:t>
      </w:r>
      <w:r w:rsidRPr="003524A5">
        <w:rPr>
          <w:noProof/>
        </w:rPr>
        <w:tab/>
        <w:t xml:space="preserve">Протоколы трансплантации аллогенных гепомоэтических стволовых клеток. Под </w:t>
      </w:r>
      <w:r w:rsidRPr="003524A5">
        <w:rPr>
          <w:noProof/>
        </w:rPr>
        <w:lastRenderedPageBreak/>
        <w:t>ред. В.Г. Савченко. М.: Практика, 2020. 320 p.</w:t>
      </w:r>
    </w:p>
    <w:p w:rsidR="003524A5" w:rsidRPr="003524A5" w:rsidRDefault="003524A5" w:rsidP="003524A5">
      <w:pPr>
        <w:widowControl w:val="0"/>
        <w:autoSpaceDE w:val="0"/>
        <w:autoSpaceDN w:val="0"/>
        <w:adjustRightInd w:val="0"/>
        <w:ind w:left="640" w:hanging="640"/>
        <w:rPr>
          <w:noProof/>
        </w:rPr>
      </w:pPr>
      <w:r w:rsidRPr="003524A5">
        <w:rPr>
          <w:noProof/>
        </w:rPr>
        <w:t>86.</w:t>
      </w:r>
      <w:r w:rsidRPr="003524A5">
        <w:rPr>
          <w:noProof/>
        </w:rPr>
        <w:tab/>
        <w:t>Gratwohl A. The EBMT risk score // Bone Marrow Transplantation. Nature Publishing Group, 2012. Vol. 47, № 6. P. 749–756.</w:t>
      </w:r>
    </w:p>
    <w:p w:rsidR="003524A5" w:rsidRPr="003524A5" w:rsidRDefault="003524A5" w:rsidP="003524A5">
      <w:pPr>
        <w:widowControl w:val="0"/>
        <w:autoSpaceDE w:val="0"/>
        <w:autoSpaceDN w:val="0"/>
        <w:adjustRightInd w:val="0"/>
        <w:ind w:left="640" w:hanging="640"/>
        <w:rPr>
          <w:noProof/>
        </w:rPr>
      </w:pPr>
      <w:r w:rsidRPr="003524A5">
        <w:rPr>
          <w:noProof/>
        </w:rPr>
        <w:t>87.</w:t>
      </w:r>
      <w:r w:rsidRPr="003524A5">
        <w:rPr>
          <w:noProof/>
        </w:rPr>
        <w:tab/>
        <w:t>Sorror M.L. et al. Hematopoietic cell transplantation (HCT)-specific comorbidity index: a new tool for risk assessment before allogeneic HCT. // Blood. The American Society of Hematology, 2005. Vol. 106, № 8. P. 2912–2919.</w:t>
      </w:r>
    </w:p>
    <w:p w:rsidR="003524A5" w:rsidRPr="003524A5" w:rsidRDefault="003524A5" w:rsidP="003524A5">
      <w:pPr>
        <w:widowControl w:val="0"/>
        <w:autoSpaceDE w:val="0"/>
        <w:autoSpaceDN w:val="0"/>
        <w:adjustRightInd w:val="0"/>
        <w:ind w:left="640" w:hanging="640"/>
        <w:rPr>
          <w:noProof/>
        </w:rPr>
      </w:pPr>
      <w:r w:rsidRPr="003524A5">
        <w:rPr>
          <w:noProof/>
        </w:rPr>
        <w:t>88.</w:t>
      </w:r>
      <w:r w:rsidRPr="003524A5">
        <w:rPr>
          <w:noProof/>
        </w:rPr>
        <w:tab/>
        <w:t>Sorror M.L. et al. Prospective Validation of the Predictive Power of the Hematopoietic Cell Transplantation Comorbidity Index: A Center for International Blood and Marrow Transplant Research Study // Biol. Blood Marrow Transplant. Elsevier Inc., 2015. Vol. 21, № 8. P. 1479–1487.</w:t>
      </w:r>
    </w:p>
    <w:p w:rsidR="00AF3168" w:rsidRDefault="003B2C26" w:rsidP="003524A5">
      <w:pPr>
        <w:widowControl w:val="0"/>
        <w:autoSpaceDE w:val="0"/>
        <w:autoSpaceDN w:val="0"/>
        <w:adjustRightInd w:val="0"/>
        <w:ind w:left="640" w:hanging="640"/>
      </w:pPr>
      <w:r>
        <w:fldChar w:fldCharType="end"/>
      </w:r>
    </w:p>
    <w:p w:rsidR="000B7FCB" w:rsidRDefault="00CB71DA">
      <w:pPr>
        <w:pStyle w:val="afff2"/>
      </w:pPr>
      <w:r>
        <w:br w:type="page"/>
      </w:r>
      <w:bookmarkStart w:id="100" w:name="__RefHeading___doc_a1"/>
      <w:bookmarkStart w:id="101" w:name="_Toc34301097"/>
      <w:bookmarkStart w:id="102" w:name="_Toc67302927"/>
      <w:bookmarkEnd w:id="99"/>
      <w:r>
        <w:lastRenderedPageBreak/>
        <w:t>Приложение А1. Состав рабочей группы</w:t>
      </w:r>
      <w:bookmarkEnd w:id="100"/>
      <w:r w:rsidR="005627B3">
        <w:t xml:space="preserve"> по разработке и пересмотру клинических рекомендаций</w:t>
      </w:r>
      <w:bookmarkEnd w:id="101"/>
      <w:bookmarkEnd w:id="102"/>
    </w:p>
    <w:p w:rsidR="000944EE" w:rsidRDefault="000944EE" w:rsidP="004F39BB">
      <w:pPr>
        <w:numPr>
          <w:ilvl w:val="0"/>
          <w:numId w:val="14"/>
        </w:numPr>
        <w:spacing w:before="100" w:beforeAutospacing="1" w:after="100" w:afterAutospacing="1"/>
        <w:ind w:left="709" w:hanging="709"/>
        <w:rPr>
          <w:rFonts w:eastAsia="Times New Roman"/>
        </w:rPr>
      </w:pPr>
      <w:r w:rsidRPr="00035C8D">
        <w:rPr>
          <w:rFonts w:eastAsia="Times New Roman"/>
        </w:rPr>
        <w:t xml:space="preserve">Кубанов Алексей Алексеевич – член-корреспондент РАН, доктор медицинских наук, профессор, Президент Российского общества дерматовенерологов и косметологов. </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Поддубная Ирина Владимировна – академик РАН, заслуженны</w:t>
      </w:r>
      <w:r>
        <w:rPr>
          <w:rFonts w:eastAsia="Times New Roman"/>
        </w:rPr>
        <w:t>й деятель образования РФ, доктор медицинских наук, профессор</w:t>
      </w:r>
      <w:r w:rsidRPr="00FE5A71">
        <w:rPr>
          <w:rFonts w:eastAsia="Times New Roman"/>
        </w:rPr>
        <w:t>, председатель Российского общества онкогематологов.</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Белоусова Ирена Эдуардовна – доктор медицинских наук, член Российского общества дерматовенерологов и косметологов.</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Самцов Алексей Викторович – доктор медицинских наук, профессор, Заслуженный деятель науки РФ, Заслуженный врач РФ, член Российского общества дерматовенерологов и косметологов.</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Знаменская Людмила Федоровна – доктор медицинских наук, член Российского общества дерматовенерологов и косметологов.</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Чикин Вадим Викторович – доктор медицинских наук,  член Российского общества дерматовенерологов и косметологов</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Карамова</w:t>
      </w:r>
      <w:r w:rsidR="001A6D3E">
        <w:rPr>
          <w:rFonts w:eastAsia="Times New Roman"/>
        </w:rPr>
        <w:t xml:space="preserve"> </w:t>
      </w:r>
      <w:r w:rsidRPr="00FE5A71">
        <w:rPr>
          <w:rFonts w:eastAsia="Times New Roman"/>
        </w:rPr>
        <w:t>Арфеня Эдуардовна – кандидат медицинских наук, член Российского общества дерматовенерологов и косметологов. </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Кузьмин Алексей Александрович, главный врач КОГКБУЗ «Центр онкологии и медицинской радиологии», г. Киров</w:t>
      </w:r>
      <w:r>
        <w:rPr>
          <w:rFonts w:eastAsia="Times New Roman"/>
        </w:rPr>
        <w:t>.</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Г</w:t>
      </w:r>
      <w:r>
        <w:rPr>
          <w:rFonts w:eastAsia="Times New Roman"/>
        </w:rPr>
        <w:t>оренкова Лилия Гамилевна – кандидат медицинских наук</w:t>
      </w:r>
      <w:r w:rsidRPr="00FE5A71">
        <w:rPr>
          <w:rFonts w:eastAsia="Times New Roman"/>
        </w:rPr>
        <w:t>, член Национального гематологического общества</w:t>
      </w:r>
      <w:r>
        <w:rPr>
          <w:rFonts w:eastAsia="Times New Roman"/>
        </w:rPr>
        <w:t>.</w:t>
      </w:r>
    </w:p>
    <w:p w:rsidR="000944EE" w:rsidRDefault="000944EE" w:rsidP="004F39BB">
      <w:pPr>
        <w:numPr>
          <w:ilvl w:val="0"/>
          <w:numId w:val="14"/>
        </w:numPr>
        <w:spacing w:before="100" w:beforeAutospacing="1" w:after="100" w:afterAutospacing="1"/>
        <w:ind w:left="709" w:hanging="709"/>
        <w:rPr>
          <w:rFonts w:eastAsia="Times New Roman"/>
        </w:rPr>
      </w:pPr>
      <w:r w:rsidRPr="00FE5A71">
        <w:rPr>
          <w:rFonts w:eastAsia="Times New Roman"/>
        </w:rPr>
        <w:t xml:space="preserve">Кравченко Сергей Кириллович – </w:t>
      </w:r>
      <w:r>
        <w:rPr>
          <w:rFonts w:eastAsia="Times New Roman"/>
        </w:rPr>
        <w:t>кандидат медицинских наук</w:t>
      </w:r>
      <w:r w:rsidRPr="00FE5A71">
        <w:rPr>
          <w:rFonts w:eastAsia="Times New Roman"/>
        </w:rPr>
        <w:t>, член Национального гематологического общества</w:t>
      </w:r>
    </w:p>
    <w:p w:rsidR="000944EE" w:rsidRDefault="000944EE" w:rsidP="004F39BB">
      <w:pPr>
        <w:numPr>
          <w:ilvl w:val="0"/>
          <w:numId w:val="14"/>
        </w:numPr>
        <w:ind w:left="709" w:hanging="709"/>
        <w:rPr>
          <w:rFonts w:eastAsia="Times New Roman"/>
        </w:rPr>
      </w:pPr>
      <w:r w:rsidRPr="00FE5A71">
        <w:rPr>
          <w:rFonts w:eastAsia="Times New Roman"/>
        </w:rPr>
        <w:t>Стефанов Дмитрий Николаевич –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r>
        <w:rPr>
          <w:rFonts w:eastAsia="Times New Roman"/>
        </w:rPr>
        <w:t>.</w:t>
      </w:r>
    </w:p>
    <w:p w:rsidR="005600FF" w:rsidRPr="00B64E8C" w:rsidRDefault="005600FF" w:rsidP="005600FF">
      <w:pPr>
        <w:ind w:left="357" w:firstLine="0"/>
        <w:rPr>
          <w:b/>
          <w:bCs/>
          <w:szCs w:val="24"/>
        </w:rPr>
      </w:pPr>
      <w:r w:rsidRPr="00B64E8C">
        <w:rPr>
          <w:b/>
          <w:bCs/>
          <w:szCs w:val="24"/>
        </w:rPr>
        <w:t xml:space="preserve">Блок по </w:t>
      </w:r>
      <w:r w:rsidRPr="00B64E8C">
        <w:rPr>
          <w:b/>
          <w:bCs/>
          <w:color w:val="222222"/>
          <w:szCs w:val="24"/>
          <w:shd w:val="clear" w:color="auto" w:fill="FFFFFF"/>
        </w:rPr>
        <w:t>трансплантации аллогенных гемопоэтических стволовых клеток</w:t>
      </w:r>
    </w:p>
    <w:p w:rsidR="005600FF" w:rsidRPr="005600FF" w:rsidRDefault="005600FF" w:rsidP="004F39BB">
      <w:pPr>
        <w:numPr>
          <w:ilvl w:val="0"/>
          <w:numId w:val="14"/>
        </w:numPr>
        <w:ind w:left="709" w:hanging="709"/>
        <w:rPr>
          <w:rFonts w:eastAsia="Times New Roman"/>
        </w:rPr>
      </w:pPr>
      <w:r w:rsidRPr="005600FF">
        <w:rPr>
          <w:rFonts w:eastAsia="Times New Roman"/>
        </w:rPr>
        <w:t xml:space="preserve">Савченко Валерий Григорьевич, д.м.н., профессор, академик РАН, главный внештатный специалист гематолог Министерства здравоохранения РФ, Генеральный директор ФГБУ «НМИЦ гематологии» Минздрава России, </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Дроков Михаил Юрьевич, к.м.н., руководитель сектора по изучению иммунных воздействий и осложнений после ТКМ ФГБУ «НМИЦ гематологии»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lastRenderedPageBreak/>
        <w:t>Васильева Вера Алексеевна, к.м.н., заведующая отделением иммунохимиотерапии с дневным стационаром для больных после ТКМ ФГБУ «НМИЦ гематологии»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Власова Юлия Юрьевна, к.м.н., 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Гапонова Татьяна Владимировна, к.м.н., главный внештатный специалист-трансфузиолог Министерства здравоохранения РФ, заместитель Генерального директора ФГБУ «НМИЦ гематологии» Минздрава России, зав. отделом процессинга клеток крови и криоконсервирования</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Грицаев Сергей Васильевич, д.м.н., руководитель Республиканского центра ТКМ ФГБУ РосНИИГТ ФМБА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 xml:space="preserve">Зарицкий Андрей Юрьевич, д.м.н., директор института гематологии, ФГБУ НМИЦ им В.А. Алмазова, </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Зюзгин Илья Сергеевич, заведующий отделением гематологии и трансплантации костного мозга ФГБУ «НМИЦ онкологии им. Н.Н. Петрова»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Капорская Татьяна Семеновна, к.м.н., зав. отделением гематологии с блоком трансплантации костного мозга ГБУЗ «Иркутская ордена «Знак Почета» областная клиническая больница»</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Климко Николай Николаевич, д.м.н, профессор, заведующий кафедрой клинической микологии, аллергологии и иммунологии СЗГМУ им.И.И. Мечникова</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Клясова Галина Александровна, д.м.н., профессор, зав. лабораторией клинической бактериологии, микологии и антибиотической терапии ФГБУ «НМИЦ гематологии»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Константинова Татьяна Семеновна, к.м.н., 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Кузьмина Лариса Анатольевна, зав. отделением интенсивной высокодозной химиотерапии и трансплантации костного мозга с круглосуточным стационаром ФГБУ «НМИЦ гематологии»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 xml:space="preserve">Кулагин Александр Дмитриевич, д.м.н., и. о. директора НИИ детской онкологии, гематологии и трансплантологии ФГБОУ ВО «Первый Санкт-Петербургский </w:t>
      </w:r>
      <w:r w:rsidRPr="005600FF">
        <w:rPr>
          <w:rFonts w:eastAsia="Times New Roman"/>
        </w:rPr>
        <w:lastRenderedPageBreak/>
        <w:t>государственный медицинский университет имени академика И.П. Павлова» Министерства здравоохранения Российской Федерации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Минаева Наталья Викторовна, зам. директора по лечебной работе ФГБУН КНИИ ГПК ФМБА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Михайлова Наталья Борисовна, к.м.н., руководитель отдела клинической онкологии НИИ детской онкологии, гематологии и трансплантологии им. Р.М. Горбачевой Минздрава России, доцент кафедры гематологии, трансфузиологии, трансплантологии с курсом детской онкологии ФПО им. Б.В. Афанасьева Первого Санкт-Петербургского государственного медицинского университета им. И.П. Павлова, г. Санкт-Петербург</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Моисеев Иван Сергеевич, д.м.н., 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Морозова Елена Владиславовна, к.м.н., руководитель отдела гематологии, онкологии и трансплантации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Моторин Дмитрий Васильевич, к.м.н., врач-гематолог отделения онкогематологии  №2,  старший научный сотрудник ФГБУ «НМИЦ им. В.А. Алмазова»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Паровичникова Елена Николаевна, д.м.н., заведующая отделом химиотерапии гемобластозов, депрессий кроветворения и ТКМ ФГБУ «НМИЦ гематологии»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Петрова Галина Дмитриевна, к.м.н., 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Попова Марина Олеговна, к.м.н., доцент кафедры гематологии, трансфузиологии и трансплантологии ФПО ПСПбГМУ им. И.П. Павлова</w:t>
      </w:r>
    </w:p>
    <w:p w:rsidR="005600FF" w:rsidRPr="005600FF" w:rsidRDefault="005600FF" w:rsidP="004F39BB">
      <w:pPr>
        <w:numPr>
          <w:ilvl w:val="0"/>
          <w:numId w:val="14"/>
        </w:numPr>
        <w:spacing w:before="100" w:beforeAutospacing="1" w:after="100" w:afterAutospacing="1"/>
        <w:ind w:left="709" w:hanging="709"/>
        <w:rPr>
          <w:rFonts w:eastAsia="Times New Roman"/>
        </w:rPr>
      </w:pPr>
      <w:r w:rsidRPr="005600FF">
        <w:rPr>
          <w:rFonts w:eastAsia="Times New Roman"/>
        </w:rPr>
        <w:t>Эстрина Мария Аркадьевна, к.м.н., 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rsidR="005600FF" w:rsidRPr="00FE5A71" w:rsidRDefault="005600FF" w:rsidP="004F39BB">
      <w:pPr>
        <w:numPr>
          <w:ilvl w:val="0"/>
          <w:numId w:val="14"/>
        </w:numPr>
        <w:spacing w:before="100" w:beforeAutospacing="1" w:after="100" w:afterAutospacing="1"/>
        <w:ind w:left="709" w:hanging="709"/>
        <w:rPr>
          <w:rFonts w:eastAsia="Times New Roman"/>
        </w:rPr>
      </w:pPr>
    </w:p>
    <w:p w:rsidR="00AF3168" w:rsidRDefault="00FB5F9C" w:rsidP="00FB5F9C">
      <w:r w:rsidRPr="0031061D">
        <w:rPr>
          <w:b/>
        </w:rPr>
        <w:t>Конфликт интересов:</w:t>
      </w:r>
      <w:r w:rsidR="0081323F" w:rsidRPr="00095341">
        <w:rPr>
          <w:b/>
        </w:rPr>
        <w:t xml:space="preserve"> </w:t>
      </w:r>
      <w:r w:rsidRPr="0014471F">
        <w:rPr>
          <w:szCs w:val="24"/>
        </w:rPr>
        <w:t>Авторы заявляют об отсутствии конфликта интересов.</w:t>
      </w:r>
    </w:p>
    <w:p w:rsidR="00B104EF" w:rsidRDefault="00B104EF" w:rsidP="00AF3168"/>
    <w:p w:rsidR="00B104EF" w:rsidRDefault="00B104EF" w:rsidP="00AF3168"/>
    <w:p w:rsidR="0025228A" w:rsidRDefault="0025228A" w:rsidP="00AF3168"/>
    <w:p w:rsidR="000414F6" w:rsidRDefault="00CB71DA" w:rsidP="00C4630C">
      <w:pPr>
        <w:pStyle w:val="afff2"/>
      </w:pPr>
      <w:r>
        <w:br w:type="page"/>
      </w:r>
      <w:bookmarkStart w:id="103" w:name="__RefHeading___doc_a2"/>
      <w:bookmarkStart w:id="104" w:name="_Toc34301098"/>
      <w:bookmarkStart w:id="105" w:name="_Toc67302928"/>
      <w:r>
        <w:lastRenderedPageBreak/>
        <w:t>Приложение А2. Методология разработки клинических рекомендаций</w:t>
      </w:r>
      <w:bookmarkEnd w:id="103"/>
      <w:bookmarkEnd w:id="104"/>
      <w:bookmarkEnd w:id="105"/>
    </w:p>
    <w:p w:rsidR="00275A41" w:rsidRDefault="00CB71DA" w:rsidP="00F756F0">
      <w:pPr>
        <w:pStyle w:val="aff8"/>
        <w:divId w:val="1333020968"/>
      </w:pPr>
      <w:r>
        <w:rPr>
          <w:rStyle w:val="affb"/>
          <w:u w:val="single"/>
        </w:rPr>
        <w:t>Целевая аудитория данных клинических рекомендаций:</w:t>
      </w:r>
    </w:p>
    <w:p w:rsidR="00FB5F9C" w:rsidRDefault="00FB5F9C" w:rsidP="00FB5F9C">
      <w:pPr>
        <w:pStyle w:val="aff8"/>
        <w:divId w:val="1333020968"/>
      </w:pPr>
      <w:r>
        <w:t>1.Врачи-специалисты: дерматовенерологи, гематологи, онкологи.</w:t>
      </w:r>
    </w:p>
    <w:p w:rsidR="00B104EF" w:rsidRDefault="00FB5F9C" w:rsidP="00FB5F9C">
      <w:pPr>
        <w:pStyle w:val="aff8"/>
        <w:divId w:val="1333020968"/>
      </w:pPr>
      <w:r>
        <w:t>2.Преподаватели медицинских образовательных учреждений по специальности «Дерматовенерология»</w:t>
      </w:r>
      <w:r w:rsidR="001F4CCF">
        <w:t>, «Гематология», «Онкология»</w:t>
      </w:r>
    </w:p>
    <w:p w:rsidR="00A91645" w:rsidRPr="007C14EE" w:rsidRDefault="00A91645" w:rsidP="00A91645">
      <w:pPr>
        <w:divId w:val="1333020968"/>
      </w:pPr>
      <w:bookmarkStart w:id="106" w:name="_Ref515967586"/>
      <w:r w:rsidRPr="007C14EE">
        <w:rPr>
          <w:b/>
        </w:rPr>
        <w:t xml:space="preserve">Таблица </w:t>
      </w:r>
      <w:r w:rsidR="0036257D" w:rsidRPr="007C14EE">
        <w:rPr>
          <w:b/>
        </w:rPr>
        <w:fldChar w:fldCharType="begin"/>
      </w:r>
      <w:r w:rsidRPr="007C14EE">
        <w:rPr>
          <w:b/>
        </w:rPr>
        <w:instrText xml:space="preserve"> SEQ Таблица \* ARABIC </w:instrText>
      </w:r>
      <w:r w:rsidR="0036257D" w:rsidRPr="007C14EE">
        <w:rPr>
          <w:b/>
        </w:rPr>
        <w:fldChar w:fldCharType="separate"/>
      </w:r>
      <w:r>
        <w:rPr>
          <w:b/>
          <w:noProof/>
        </w:rPr>
        <w:t>1</w:t>
      </w:r>
      <w:r w:rsidR="0036257D" w:rsidRPr="007C14EE">
        <w:rPr>
          <w:b/>
        </w:rPr>
        <w:fldChar w:fldCharType="end"/>
      </w:r>
      <w:bookmarkEnd w:id="106"/>
      <w:r w:rsidRPr="007C14EE">
        <w:rPr>
          <w:b/>
        </w:rPr>
        <w:t>.</w:t>
      </w:r>
      <w:r w:rsidR="002F591F" w:rsidRPr="00095341">
        <w:rPr>
          <w:b/>
        </w:rPr>
        <w:t xml:space="preserve"> </w:t>
      </w:r>
      <w:r>
        <w:t>Шкала оценки уровней достоверности доказательств (</w:t>
      </w:r>
      <w:r w:rsidRPr="00544207">
        <w:t>УДД</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8"/>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8"/>
        <w:divId w:val="1333020968"/>
        <w:rPr>
          <w:rStyle w:val="affb"/>
        </w:rPr>
      </w:pPr>
    </w:p>
    <w:p w:rsidR="005C7877" w:rsidRDefault="00A91645" w:rsidP="005C7877">
      <w:pPr>
        <w:divId w:val="1333020968"/>
      </w:pPr>
      <w:bookmarkStart w:id="107" w:name="_Ref515967623"/>
      <w:r w:rsidRPr="007C14EE">
        <w:rPr>
          <w:b/>
        </w:rPr>
        <w:t xml:space="preserve">Таблица </w:t>
      </w:r>
      <w:r w:rsidR="0036257D" w:rsidRPr="007C14EE">
        <w:rPr>
          <w:b/>
        </w:rPr>
        <w:fldChar w:fldCharType="begin"/>
      </w:r>
      <w:r w:rsidRPr="007C14EE">
        <w:rPr>
          <w:b/>
        </w:rPr>
        <w:instrText xml:space="preserve"> SEQ Таблица \* ARABIC </w:instrText>
      </w:r>
      <w:r w:rsidR="0036257D" w:rsidRPr="007C14EE">
        <w:rPr>
          <w:b/>
        </w:rPr>
        <w:fldChar w:fldCharType="separate"/>
      </w:r>
      <w:r>
        <w:rPr>
          <w:b/>
          <w:noProof/>
        </w:rPr>
        <w:t>2</w:t>
      </w:r>
      <w:r w:rsidR="0036257D" w:rsidRPr="007C14EE">
        <w:rPr>
          <w:b/>
        </w:rPr>
        <w:fldChar w:fldCharType="end"/>
      </w:r>
      <w:bookmarkEnd w:id="107"/>
      <w:r w:rsidRPr="007C14EE">
        <w:rPr>
          <w:b/>
        </w:rPr>
        <w:t>.</w:t>
      </w:r>
      <w:r w:rsidR="002F591F" w:rsidRPr="00095341">
        <w:rPr>
          <w:b/>
        </w:rPr>
        <w:t xml:space="preserve"> </w:t>
      </w:r>
      <w:r w:rsidR="005C7877">
        <w:t>Шкала оценки уровней достоверности доказательств (</w:t>
      </w:r>
      <w:r w:rsidR="005C7877" w:rsidRPr="003311A4">
        <w:t>УДД</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1"/>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9C0364" w:rsidP="00F95275">
            <w:pPr>
              <w:spacing w:line="240" w:lineRule="auto"/>
              <w:ind w:firstLine="0"/>
              <w:jc w:val="center"/>
              <w:rPr>
                <w:b/>
                <w:color w:val="000000"/>
                <w:szCs w:val="24"/>
              </w:rPr>
            </w:pPr>
            <w:r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8"/>
        <w:divId w:val="1333020968"/>
        <w:rPr>
          <w:rStyle w:val="affb"/>
        </w:rPr>
      </w:pPr>
    </w:p>
    <w:p w:rsidR="009C0364" w:rsidRDefault="009C0364" w:rsidP="009C0364">
      <w:pPr>
        <w:divId w:val="1333020968"/>
      </w:pPr>
      <w:bookmarkStart w:id="108" w:name="_Ref515967732"/>
      <w:r w:rsidRPr="00B15720">
        <w:rPr>
          <w:b/>
        </w:rPr>
        <w:t xml:space="preserve">Таблица </w:t>
      </w:r>
      <w:bookmarkEnd w:id="108"/>
      <w:r>
        <w:rPr>
          <w:b/>
        </w:rPr>
        <w:t>3</w:t>
      </w:r>
      <w:r w:rsidRPr="00B15720">
        <w:rPr>
          <w:b/>
        </w:rPr>
        <w:t>.</w:t>
      </w:r>
      <w:r w:rsidR="002F591F" w:rsidRPr="00095341">
        <w:rPr>
          <w:b/>
        </w:rPr>
        <w:t xml:space="preserve"> </w:t>
      </w:r>
      <w:r>
        <w:t>Шкала оценки уровней убедительности рекомендаций(</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5"/>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lastRenderedPageBreak/>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8"/>
        <w:divId w:val="1333020968"/>
        <w:rPr>
          <w:rStyle w:val="affb"/>
        </w:rPr>
      </w:pPr>
    </w:p>
    <w:p w:rsidR="00275A41" w:rsidRDefault="00CB71DA" w:rsidP="00F756F0">
      <w:pPr>
        <w:pStyle w:val="aff8"/>
        <w:divId w:val="1333020968"/>
        <w:rPr>
          <w:rFonts w:eastAsia="Times New Roman"/>
        </w:rPr>
      </w:pPr>
      <w:r>
        <w:rPr>
          <w:rStyle w:val="affb"/>
        </w:rPr>
        <w:t>Порядок обновления клинических рекомендаций.</w:t>
      </w:r>
    </w:p>
    <w:p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 xml:space="preserve">года,а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rsidR="00AC0B35" w:rsidRDefault="00CB71DA">
      <w:pPr>
        <w:pStyle w:val="afff2"/>
      </w:pPr>
      <w:r>
        <w:br w:type="page"/>
      </w:r>
      <w:bookmarkStart w:id="109" w:name="__RefHeading___doc_a3"/>
      <w:bookmarkStart w:id="110" w:name="_Toc34301099"/>
      <w:bookmarkStart w:id="111" w:name="_Toc67302929"/>
      <w:r w:rsidRPr="005219AF">
        <w:lastRenderedPageBreak/>
        <w:t xml:space="preserve">Приложение А3. </w:t>
      </w:r>
      <w:bookmarkEnd w:id="109"/>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110"/>
      <w:bookmarkEnd w:id="111"/>
    </w:p>
    <w:p w:rsidR="005600FF" w:rsidRPr="004E7ECA" w:rsidRDefault="005600FF" w:rsidP="005600FF">
      <w:pPr>
        <w:pStyle w:val="2"/>
        <w:spacing w:before="0"/>
      </w:pPr>
      <w:bookmarkStart w:id="112" w:name="_Toc67238439"/>
      <w:bookmarkStart w:id="113" w:name="_Toc67302930"/>
      <w:r>
        <w:t>Приложение А3.1</w:t>
      </w:r>
      <w:bookmarkStart w:id="114" w:name="_Toc64477555"/>
      <w:r>
        <w:t xml:space="preserve"> </w:t>
      </w:r>
      <w:r w:rsidRPr="002C6FFD">
        <w:rPr>
          <w:rFonts w:eastAsia="Arial Unicode MS"/>
        </w:rPr>
        <w:t>Протоколы выполнения аспирационного и биопсийного исследования костного мозга</w:t>
      </w:r>
      <w:bookmarkEnd w:id="112"/>
      <w:bookmarkEnd w:id="113"/>
      <w:bookmarkEnd w:id="114"/>
    </w:p>
    <w:p w:rsidR="005600FF" w:rsidRPr="002C6FFD" w:rsidRDefault="005600FF" w:rsidP="005600FF">
      <w:pPr>
        <w:pStyle w:val="Normal11"/>
        <w:spacing w:before="0" w:line="360" w:lineRule="auto"/>
        <w:ind w:left="0" w:firstLine="699"/>
        <w:jc w:val="both"/>
        <w:rPr>
          <w:spacing w:val="0"/>
        </w:rPr>
      </w:pPr>
      <w:r w:rsidRPr="002C6FFD">
        <w:rPr>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rsidR="005600FF" w:rsidRPr="002C6FFD" w:rsidRDefault="005600FF" w:rsidP="005600FF">
      <w:pPr>
        <w:ind w:firstLine="699"/>
        <w:rPr>
          <w:szCs w:val="24"/>
        </w:rPr>
      </w:pPr>
      <w:r w:rsidRPr="002C6FFD">
        <w:rPr>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rsidR="005600FF" w:rsidRPr="002C6FFD" w:rsidRDefault="005600FF" w:rsidP="005600FF">
      <w:pPr>
        <w:ind w:firstLine="699"/>
        <w:rPr>
          <w:szCs w:val="24"/>
        </w:rPr>
      </w:pPr>
      <w:r w:rsidRPr="002C6FFD">
        <w:rPr>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2C6FFD">
        <w:rPr>
          <w:color w:val="212121"/>
          <w:szCs w:val="24"/>
        </w:rPr>
        <w:t xml:space="preserve">Трепанобиопсия костного мозга </w:t>
      </w:r>
      <w:r w:rsidRPr="002C6FFD">
        <w:rPr>
          <w:szCs w:val="24"/>
        </w:rPr>
        <w:t xml:space="preserve">выполняется одноразовой или многоразовой стерелизуемой иглой Jamshidi или иглой сходной с ней конструкции. </w:t>
      </w:r>
    </w:p>
    <w:p w:rsidR="005600FF" w:rsidRDefault="005600FF" w:rsidP="005600FF">
      <w:pPr>
        <w:ind w:firstLine="699"/>
        <w:rPr>
          <w:szCs w:val="24"/>
        </w:rPr>
      </w:pPr>
      <w:r w:rsidRPr="002C6FFD">
        <w:rPr>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rsidR="005600FF" w:rsidRPr="002C6FFD" w:rsidRDefault="005600FF" w:rsidP="005600FF">
      <w:pPr>
        <w:ind w:firstLine="699"/>
        <w:rPr>
          <w:szCs w:val="24"/>
        </w:rPr>
      </w:pPr>
    </w:p>
    <w:p w:rsidR="005600FF" w:rsidRPr="00F30696" w:rsidRDefault="005600FF" w:rsidP="005600FF">
      <w:pPr>
        <w:rPr>
          <w:b/>
          <w:i/>
          <w:iCs/>
          <w:u w:val="single"/>
          <w:shd w:val="clear" w:color="auto" w:fill="FFFFFF"/>
        </w:rPr>
      </w:pPr>
      <w:r w:rsidRPr="00F30696">
        <w:rPr>
          <w:i/>
          <w:iCs/>
          <w:u w:val="single"/>
          <w:shd w:val="clear" w:color="auto" w:fill="FFFFFF"/>
        </w:rPr>
        <w:lastRenderedPageBreak/>
        <w:t xml:space="preserve">Показания к выполнению пункционного (аспирационного) исследования костного мозга </w:t>
      </w:r>
      <w:r w:rsidRPr="00F30696">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F30696">
        <w:rPr>
          <w:b/>
          <w:i/>
          <w:iCs/>
          <w:u w:val="single"/>
          <w:shd w:val="clear" w:color="auto" w:fill="FFFFFF"/>
        </w:rPr>
        <w:fldChar w:fldCharType="separate"/>
      </w:r>
      <w:r w:rsidR="003524A5" w:rsidRPr="003524A5">
        <w:rPr>
          <w:iCs/>
          <w:noProof/>
          <w:shd w:val="clear" w:color="auto" w:fill="FFFFFF"/>
        </w:rPr>
        <w:t>[83]</w:t>
      </w:r>
      <w:r w:rsidRPr="00F30696">
        <w:rPr>
          <w:b/>
          <w:i/>
          <w:iCs/>
          <w:u w:val="single"/>
          <w:shd w:val="clear" w:color="auto" w:fill="FFFFFF"/>
        </w:rPr>
        <w:fldChar w:fldCharType="end"/>
      </w:r>
      <w:r w:rsidRPr="00F30696">
        <w:rPr>
          <w:i/>
          <w:iCs/>
          <w:u w:val="single"/>
          <w:shd w:val="clear" w:color="auto" w:fill="FFFFFF"/>
        </w:rPr>
        <w:t xml:space="preserve"> </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гематологических заболеваний: острых и хронических лейкозов</w:t>
      </w:r>
      <w:r w:rsidRPr="002C6FFD">
        <w:rPr>
          <w:rFonts w:cs="Times New Roman"/>
          <w:spacing w:val="0"/>
        </w:rPr>
        <w:t xml:space="preserve">, </w:t>
      </w:r>
      <w:r w:rsidRPr="002C6FFD">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2C6FFD">
        <w:rPr>
          <w:rFonts w:cs="Times New Roman"/>
          <w:spacing w:val="0"/>
          <w:shd w:val="clear" w:color="auto" w:fill="FFFFFF"/>
          <w:vertAlign w:val="subscript"/>
        </w:rPr>
        <w:t>12</w:t>
      </w:r>
      <w:r w:rsidRPr="002C6FFD">
        <w:rPr>
          <w:rFonts w:cs="Times New Roman"/>
          <w:spacing w:val="0"/>
          <w:shd w:val="clear" w:color="auto" w:fill="FFFFFF"/>
        </w:rPr>
        <w:t xml:space="preserve"> или фолиевая кислота).</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2C6FFD">
        <w:rPr>
          <w:rFonts w:cs="Times New Roman"/>
          <w:color w:val="auto"/>
          <w:spacing w:val="0"/>
          <w:shd w:val="clear" w:color="auto" w:fill="FFFFFF"/>
        </w:rPr>
        <w:t>размеров</w:t>
      </w:r>
      <w:r w:rsidRPr="002C6FFD">
        <w:rPr>
          <w:rFonts w:cs="Times New Roman"/>
          <w:spacing w:val="0"/>
          <w:shd w:val="clear" w:color="auto" w:fill="FFFFFF"/>
        </w:rPr>
        <w:t xml:space="preserve"> селезенки и/или лимфоузлов или без их увеличения.</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различных заболеваний системы крови.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восстановления гемопоэза после трансплантации гемопоэтический стволовых клеток (ТГСК).</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2C6FFD">
        <w:rPr>
          <w:rFonts w:cs="Times New Roman"/>
          <w:spacing w:val="0"/>
        </w:rPr>
        <w:t xml:space="preserve">ВИЧ-инфекцией </w:t>
      </w:r>
      <w:r w:rsidRPr="002C6FFD">
        <w:rPr>
          <w:rFonts w:cs="Times New Roman"/>
          <w:spacing w:val="0"/>
          <w:shd w:val="clear" w:color="auto" w:fill="FFFFFF"/>
        </w:rPr>
        <w:t>и СПИДом.</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болезней накопления и других метаболических заболеваний.</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rsidR="005600FF" w:rsidRPr="002C6FFD" w:rsidRDefault="005600FF" w:rsidP="005600FF">
      <w:pPr>
        <w:rPr>
          <w:szCs w:val="24"/>
        </w:rPr>
      </w:pPr>
      <w:r w:rsidRPr="002C6FFD">
        <w:rPr>
          <w:szCs w:val="24"/>
        </w:rPr>
        <w:t>При невозможности получить при пункции костного мозга адекватный диагностический материал («сухой» аспират), после повторной попытки показано выполнение трепанобиопсии костного мозга с приготовление отпечатков трепанобиоптата.</w:t>
      </w:r>
    </w:p>
    <w:p w:rsidR="005600FF" w:rsidRDefault="005600FF" w:rsidP="005600FF">
      <w:pPr>
        <w:pStyle w:val="2"/>
        <w:spacing w:before="0"/>
        <w:rPr>
          <w:rFonts w:eastAsia="Arial Unicode MS"/>
          <w:shd w:val="clear" w:color="auto" w:fill="FFFFFF"/>
        </w:rPr>
      </w:pPr>
    </w:p>
    <w:p w:rsidR="005600FF" w:rsidRPr="00F30696" w:rsidRDefault="005600FF" w:rsidP="005600FF">
      <w:pPr>
        <w:rPr>
          <w:b/>
          <w:i/>
          <w:iCs/>
          <w:u w:val="single"/>
          <w:shd w:val="clear" w:color="auto" w:fill="FFFFFF"/>
        </w:rPr>
      </w:pPr>
      <w:r w:rsidRPr="00F30696">
        <w:rPr>
          <w:i/>
          <w:iCs/>
          <w:u w:val="single"/>
          <w:shd w:val="clear" w:color="auto" w:fill="FFFFFF"/>
        </w:rPr>
        <w:t xml:space="preserve">Показания к выполнению биопсийного исследования костного мозга (трепанобиопсии) </w:t>
      </w:r>
      <w:r w:rsidRPr="00F30696">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F30696">
        <w:rPr>
          <w:b/>
          <w:i/>
          <w:iCs/>
          <w:u w:val="single"/>
          <w:shd w:val="clear" w:color="auto" w:fill="FFFFFF"/>
        </w:rPr>
        <w:fldChar w:fldCharType="separate"/>
      </w:r>
      <w:r w:rsidR="003524A5" w:rsidRPr="003524A5">
        <w:rPr>
          <w:iCs/>
          <w:noProof/>
          <w:shd w:val="clear" w:color="auto" w:fill="FFFFFF"/>
        </w:rPr>
        <w:t>[83]</w:t>
      </w:r>
      <w:r w:rsidRPr="00F30696">
        <w:rPr>
          <w:b/>
          <w:i/>
          <w:iCs/>
          <w:u w:val="single"/>
          <w:shd w:val="clear" w:color="auto" w:fill="FFFFFF"/>
        </w:rPr>
        <w:fldChar w:fldCharType="end"/>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lastRenderedPageBreak/>
        <w:t xml:space="preserve">Диагностика и </w:t>
      </w:r>
      <w:r w:rsidRPr="002C6FFD">
        <w:rPr>
          <w:rFonts w:cs="Times New Roman"/>
          <w:spacing w:val="0"/>
        </w:rPr>
        <w:t>определение распространенности (стадии) при первичной диагностике и/или при рецидиве заболевания</w:t>
      </w:r>
      <w:r w:rsidRPr="002C6FFD">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2C6FFD">
        <w:rPr>
          <w:rFonts w:cs="Times New Roman"/>
          <w:spacing w:val="0"/>
        </w:rPr>
        <w:t xml:space="preserve">истинная полицитемия, эссенциальная тромбоцитемия, первичный миелофиброз, системный мастоцитоз;  </w:t>
      </w:r>
      <w:r w:rsidRPr="002C6FFD">
        <w:rPr>
          <w:rFonts w:cs="Times New Roman"/>
          <w:spacing w:val="0"/>
          <w:shd w:val="clear" w:color="auto" w:fill="FFFFFF"/>
        </w:rPr>
        <w:t>множественная миелома и прочие плазмоклеточноые неоплазии).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 оценка эффективности лечения апластической анемии,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rsidR="005600FF" w:rsidRPr="002C6FFD" w:rsidRDefault="005600FF" w:rsidP="004F39BB">
      <w:pPr>
        <w:pStyle w:val="bullet"/>
        <w:numPr>
          <w:ilvl w:val="0"/>
          <w:numId w:val="59"/>
        </w:numPr>
        <w:spacing w:line="360" w:lineRule="auto"/>
        <w:jc w:val="both"/>
        <w:rPr>
          <w:rFonts w:cs="Times New Roman"/>
          <w:spacing w:val="0"/>
        </w:rPr>
      </w:pPr>
      <w:r w:rsidRPr="002C6FFD">
        <w:rPr>
          <w:rFonts w:cs="Times New Roman"/>
          <w:spacing w:val="0"/>
        </w:rPr>
        <w:t>Диагностика, определение распространенности (стадии),</w:t>
      </w:r>
      <w:r w:rsidRPr="002C6FFD">
        <w:rPr>
          <w:rFonts w:cs="Times New Roman"/>
          <w:spacing w:val="0"/>
          <w:shd w:val="clear" w:color="auto" w:fill="FFFFFF"/>
        </w:rPr>
        <w:t xml:space="preserve"> оценка метастатического поражения</w:t>
      </w:r>
      <w:r w:rsidRPr="002C6FFD">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или оценки прогрессирования заболеваний системы крови.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rPr>
        <w:t>Обследование больных с предполагаемым первичным амилоидозом и заболеваниями костной ткани.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rsidR="005600FF" w:rsidRDefault="005600FF" w:rsidP="005600FF">
      <w:pPr>
        <w:pStyle w:val="2"/>
        <w:spacing w:before="0"/>
        <w:rPr>
          <w:rFonts w:eastAsia="Arial Unicode MS"/>
        </w:rPr>
      </w:pPr>
    </w:p>
    <w:p w:rsidR="005600FF" w:rsidRPr="00F30696" w:rsidRDefault="005600FF" w:rsidP="005600FF">
      <w:pPr>
        <w:rPr>
          <w:b/>
          <w:i/>
          <w:iCs/>
          <w:u w:val="single"/>
          <w:shd w:val="clear" w:color="auto" w:fill="FFFFFF"/>
        </w:rPr>
      </w:pPr>
      <w:r w:rsidRPr="00F30696">
        <w:rPr>
          <w:i/>
          <w:iCs/>
          <w:u w:val="single"/>
          <w:shd w:val="clear" w:color="auto" w:fill="FFFFFF"/>
        </w:rPr>
        <w:t xml:space="preserve">Противопоказания для выполнения биопсийного исследования костного мозга </w:t>
      </w:r>
      <w:r w:rsidRPr="00F30696">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F30696">
        <w:rPr>
          <w:b/>
          <w:i/>
          <w:iCs/>
          <w:u w:val="single"/>
          <w:shd w:val="clear" w:color="auto" w:fill="FFFFFF"/>
        </w:rPr>
        <w:fldChar w:fldCharType="separate"/>
      </w:r>
      <w:r w:rsidR="003524A5" w:rsidRPr="003524A5">
        <w:rPr>
          <w:iCs/>
          <w:noProof/>
          <w:shd w:val="clear" w:color="auto" w:fill="FFFFFF"/>
        </w:rPr>
        <w:t>[83]</w:t>
      </w:r>
      <w:r w:rsidRPr="00F30696">
        <w:rPr>
          <w:b/>
          <w:i/>
          <w:iCs/>
          <w:u w:val="single"/>
          <w:shd w:val="clear" w:color="auto" w:fill="FFFFFF"/>
        </w:rPr>
        <w:fldChar w:fldCharType="end"/>
      </w:r>
    </w:p>
    <w:p w:rsidR="005600FF" w:rsidRPr="002C6FFD" w:rsidRDefault="005600FF" w:rsidP="005600FF">
      <w:pPr>
        <w:pStyle w:val="Normal11"/>
        <w:spacing w:before="0" w:line="360" w:lineRule="auto"/>
        <w:ind w:firstLine="699"/>
        <w:jc w:val="both"/>
        <w:rPr>
          <w:spacing w:val="0"/>
        </w:rPr>
      </w:pPr>
      <w:r w:rsidRPr="002C6FFD">
        <w:rPr>
          <w:spacing w:val="0"/>
        </w:rPr>
        <w:lastRenderedPageBreak/>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rsidR="005600FF" w:rsidRPr="002C6FFD" w:rsidRDefault="005600FF" w:rsidP="004F39BB">
      <w:pPr>
        <w:pStyle w:val="bullet"/>
        <w:numPr>
          <w:ilvl w:val="0"/>
          <w:numId w:val="59"/>
        </w:numPr>
        <w:spacing w:line="360" w:lineRule="auto"/>
        <w:jc w:val="both"/>
        <w:rPr>
          <w:rFonts w:cs="Times New Roman"/>
          <w:spacing w:val="0"/>
        </w:rPr>
      </w:pPr>
      <w:r w:rsidRPr="002C6FFD">
        <w:rPr>
          <w:rFonts w:cs="Times New Roman"/>
          <w:spacing w:val="0"/>
        </w:rPr>
        <w:t>Раневая поверхность кожи и подлежащих тканей с признаками воспаления в месте проведения процедуры.</w:t>
      </w:r>
    </w:p>
    <w:p w:rsidR="005600FF" w:rsidRPr="002C6FFD" w:rsidRDefault="005600FF" w:rsidP="004F39BB">
      <w:pPr>
        <w:pStyle w:val="bullet"/>
        <w:numPr>
          <w:ilvl w:val="0"/>
          <w:numId w:val="59"/>
        </w:numPr>
        <w:spacing w:line="360" w:lineRule="auto"/>
        <w:jc w:val="both"/>
        <w:rPr>
          <w:rFonts w:cs="Times New Roman"/>
          <w:spacing w:val="0"/>
        </w:rPr>
      </w:pPr>
      <w:r w:rsidRPr="002C6FFD">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 xml:space="preserve">Наличие признаков резорбции кости </w:t>
      </w:r>
      <w:r w:rsidRPr="002C6FFD">
        <w:rPr>
          <w:rFonts w:cs="Times New Roman"/>
          <w:spacing w:val="0"/>
        </w:rPr>
        <w:t>в месте проведения процедуры</w:t>
      </w:r>
      <w:r w:rsidRPr="002C6FFD">
        <w:rPr>
          <w:rFonts w:cs="Times New Roman"/>
          <w:spacing w:val="0"/>
          <w:shd w:val="clear" w:color="auto" w:fill="FFFFFF"/>
        </w:rPr>
        <w:t>.</w:t>
      </w:r>
    </w:p>
    <w:p w:rsidR="005600FF" w:rsidRPr="002C6FFD" w:rsidRDefault="005600FF" w:rsidP="005600FF">
      <w:pPr>
        <w:pStyle w:val="bullet"/>
        <w:spacing w:line="360" w:lineRule="auto"/>
        <w:ind w:firstLine="709"/>
        <w:jc w:val="both"/>
        <w:rPr>
          <w:rFonts w:cs="Times New Roman"/>
          <w:spacing w:val="0"/>
          <w:shd w:val="clear" w:color="auto" w:fill="FFFFFF"/>
        </w:rPr>
      </w:pPr>
      <w:r w:rsidRPr="002C6FFD">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rsidR="005600FF" w:rsidRDefault="005600FF" w:rsidP="005600FF">
      <w:pPr>
        <w:pStyle w:val="2"/>
        <w:spacing w:before="0"/>
        <w:rPr>
          <w:rFonts w:eastAsia="Arial Unicode MS"/>
        </w:rPr>
      </w:pPr>
    </w:p>
    <w:p w:rsidR="005600FF" w:rsidRPr="00F30696" w:rsidRDefault="005600FF" w:rsidP="005600FF">
      <w:pPr>
        <w:rPr>
          <w:b/>
          <w:i/>
          <w:iCs/>
          <w:u w:val="single"/>
          <w:shd w:val="clear" w:color="auto" w:fill="FFFFFF"/>
        </w:rPr>
      </w:pPr>
      <w:r w:rsidRPr="00F30696">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F30696">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F30696">
        <w:rPr>
          <w:b/>
          <w:i/>
          <w:iCs/>
          <w:u w:val="single"/>
          <w:shd w:val="clear" w:color="auto" w:fill="FFFFFF"/>
        </w:rPr>
        <w:fldChar w:fldCharType="separate"/>
      </w:r>
      <w:r w:rsidR="003524A5" w:rsidRPr="003524A5">
        <w:rPr>
          <w:iCs/>
          <w:noProof/>
          <w:shd w:val="clear" w:color="auto" w:fill="FFFFFF"/>
        </w:rPr>
        <w:t>[83]</w:t>
      </w:r>
      <w:r w:rsidRPr="00F30696">
        <w:rPr>
          <w:b/>
          <w:i/>
          <w:iCs/>
          <w:u w:val="single"/>
          <w:shd w:val="clear" w:color="auto" w:fill="FFFFFF"/>
        </w:rPr>
        <w:fldChar w:fldCharType="end"/>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Плохое качество инструментария.</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Остеопороз.</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Фиброз стромы.</w:t>
      </w:r>
    </w:p>
    <w:p w:rsidR="005600FF" w:rsidRDefault="005600FF" w:rsidP="005600FF">
      <w:pPr>
        <w:pStyle w:val="2"/>
        <w:spacing w:before="0"/>
        <w:rPr>
          <w:rFonts w:eastAsia="Arial Unicode MS"/>
        </w:rPr>
      </w:pPr>
    </w:p>
    <w:p w:rsidR="005600FF" w:rsidRPr="00F30696" w:rsidRDefault="005600FF" w:rsidP="005600FF">
      <w:pPr>
        <w:rPr>
          <w:b/>
          <w:i/>
          <w:iCs/>
          <w:u w:val="single"/>
          <w:shd w:val="clear" w:color="auto" w:fill="FFFFFF"/>
        </w:rPr>
      </w:pPr>
      <w:r w:rsidRPr="00F30696">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F30696">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F30696">
        <w:rPr>
          <w:b/>
          <w:i/>
          <w:iCs/>
          <w:u w:val="single"/>
          <w:shd w:val="clear" w:color="auto" w:fill="FFFFFF"/>
        </w:rPr>
        <w:fldChar w:fldCharType="separate"/>
      </w:r>
      <w:r w:rsidR="003524A5" w:rsidRPr="003524A5">
        <w:rPr>
          <w:iCs/>
          <w:noProof/>
          <w:shd w:val="clear" w:color="auto" w:fill="FFFFFF"/>
        </w:rPr>
        <w:t>[83]</w:t>
      </w:r>
      <w:r w:rsidRPr="00F30696">
        <w:rPr>
          <w:b/>
          <w:i/>
          <w:iCs/>
          <w:u w:val="single"/>
          <w:shd w:val="clear" w:color="auto" w:fill="FFFFFF"/>
        </w:rPr>
        <w:fldChar w:fldCharType="end"/>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Инфекция, особенно в условиях иммунодефицита и нейтропении.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Длительный болевой синдром и дискомфорт в месте биопсии.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Переломы кости.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Поломка инструмента.</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Сквозное ранение органов средостения при выполнение стернальной пункции.</w:t>
      </w:r>
    </w:p>
    <w:p w:rsidR="005600FF" w:rsidRPr="002C6FFD" w:rsidRDefault="005600FF" w:rsidP="004F39BB">
      <w:pPr>
        <w:pStyle w:val="bullet"/>
        <w:numPr>
          <w:ilvl w:val="0"/>
          <w:numId w:val="59"/>
        </w:numPr>
        <w:spacing w:line="360" w:lineRule="auto"/>
        <w:jc w:val="both"/>
        <w:rPr>
          <w:rFonts w:cs="Times New Roman"/>
          <w:spacing w:val="0"/>
          <w:shd w:val="clear" w:color="auto" w:fill="FFFFFF"/>
        </w:rPr>
      </w:pPr>
      <w:r w:rsidRPr="002C6FFD">
        <w:rPr>
          <w:rFonts w:cs="Times New Roman"/>
          <w:spacing w:val="0"/>
          <w:shd w:val="clear" w:color="auto" w:fill="FFFFFF"/>
        </w:rPr>
        <w:t>Анафилактические реакции (на анестетики).</w:t>
      </w:r>
    </w:p>
    <w:p w:rsidR="005600FF" w:rsidRPr="002C6FFD" w:rsidRDefault="005600FF" w:rsidP="005600FF">
      <w:pPr>
        <w:ind w:firstLine="708"/>
        <w:rPr>
          <w:szCs w:val="24"/>
        </w:rPr>
      </w:pPr>
    </w:p>
    <w:p w:rsidR="005600FF" w:rsidRPr="002C6FFD" w:rsidRDefault="005600FF" w:rsidP="005600FF">
      <w:pPr>
        <w:ind w:firstLine="708"/>
        <w:rPr>
          <w:szCs w:val="24"/>
        </w:rPr>
      </w:pPr>
      <w:r w:rsidRPr="002C6FFD">
        <w:rPr>
          <w:szCs w:val="24"/>
        </w:rPr>
        <w:lastRenderedPageBreak/>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rsidR="005600FF" w:rsidRPr="002C6FFD" w:rsidRDefault="005600FF" w:rsidP="005600FF">
      <w:pPr>
        <w:ind w:firstLine="708"/>
        <w:rPr>
          <w:color w:val="1A1718"/>
          <w:szCs w:val="24"/>
        </w:rPr>
      </w:pPr>
      <w:r w:rsidRPr="002C6FFD">
        <w:rPr>
          <w:color w:val="212121"/>
          <w:szCs w:val="24"/>
        </w:rPr>
        <w:t xml:space="preserve">Ряд осложнений может быть обусловлен некоторыми анатомическими особенностями больного. </w:t>
      </w:r>
      <w:r w:rsidRPr="002C6FFD">
        <w:rPr>
          <w:szCs w:val="24"/>
        </w:rPr>
        <w:t>Так у больных с ожирением выше вероятность развития осложнений, т</w:t>
      </w:r>
      <w:r w:rsidRPr="002C6FFD">
        <w:rPr>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2C6FFD">
        <w:rPr>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2C6FFD">
        <w:rPr>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rsidR="005600FF" w:rsidRPr="002C6FFD" w:rsidRDefault="005600FF" w:rsidP="005600FF">
      <w:pPr>
        <w:ind w:firstLine="708"/>
        <w:rPr>
          <w:color w:val="000000"/>
          <w:szCs w:val="24"/>
        </w:rPr>
      </w:pPr>
      <w:r w:rsidRPr="002C6FFD">
        <w:rPr>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гематологом. </w:t>
      </w:r>
    </w:p>
    <w:p w:rsidR="005600FF" w:rsidRDefault="005600FF" w:rsidP="005600FF">
      <w:pPr>
        <w:pStyle w:val="2"/>
        <w:spacing w:before="0"/>
        <w:rPr>
          <w:rFonts w:eastAsia="Arial Unicode MS"/>
        </w:rPr>
      </w:pPr>
    </w:p>
    <w:p w:rsidR="005600FF" w:rsidRPr="00F30696" w:rsidRDefault="005600FF" w:rsidP="005600FF">
      <w:pPr>
        <w:rPr>
          <w:b/>
          <w:i/>
          <w:iCs/>
          <w:u w:val="single"/>
          <w:shd w:val="clear" w:color="auto" w:fill="FFFFFF"/>
        </w:rPr>
      </w:pPr>
      <w:r w:rsidRPr="00F30696">
        <w:rPr>
          <w:i/>
          <w:iCs/>
          <w:u w:val="single"/>
          <w:shd w:val="clear" w:color="auto" w:fill="FFFFFF"/>
        </w:rPr>
        <w:t>Односторонняя и двусторонняя биопсия подвздошной кости</w:t>
      </w:r>
    </w:p>
    <w:p w:rsidR="005600FF" w:rsidRPr="002C6FFD" w:rsidRDefault="005600FF" w:rsidP="005600FF">
      <w:pPr>
        <w:pStyle w:val="Normal11"/>
        <w:spacing w:before="0" w:line="360" w:lineRule="auto"/>
        <w:ind w:left="0" w:firstLine="699"/>
        <w:jc w:val="both"/>
        <w:rPr>
          <w:spacing w:val="0"/>
        </w:rPr>
      </w:pPr>
      <w:r w:rsidRPr="002C6FFD">
        <w:rPr>
          <w:spacing w:val="0"/>
        </w:rPr>
        <w:t>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w:t>
      </w:r>
      <w:r>
        <w:rPr>
          <w:spacing w:val="0"/>
        </w:rPr>
        <w:t xml:space="preserve"> </w:t>
      </w:r>
      <w:r>
        <w:rPr>
          <w:spacing w:val="0"/>
        </w:rPr>
        <w:fldChar w:fldCharType="begin" w:fldLock="1"/>
      </w:r>
      <w:r w:rsidR="003524A5">
        <w:rPr>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[84]","plainTextFormattedCitation":"[84]","previouslyFormattedCitation":"[91]"},"properties":{"noteIndex":0},"schema":"https://github.com/citation-style-language/schema/raw/master/csl-citation.json"}</w:instrText>
      </w:r>
      <w:r>
        <w:rPr>
          <w:spacing w:val="0"/>
        </w:rPr>
        <w:fldChar w:fldCharType="separate"/>
      </w:r>
      <w:r w:rsidR="003524A5" w:rsidRPr="003524A5">
        <w:rPr>
          <w:noProof/>
          <w:spacing w:val="0"/>
        </w:rPr>
        <w:t>[84]</w:t>
      </w:r>
      <w:r>
        <w:rPr>
          <w:spacing w:val="0"/>
        </w:rPr>
        <w:fldChar w:fldCharType="end"/>
      </w:r>
      <w:r w:rsidRPr="002C6FFD">
        <w:rPr>
          <w:spacing w:val="0"/>
        </w:rPr>
        <w:t xml:space="preserve">. </w:t>
      </w:r>
    </w:p>
    <w:p w:rsidR="005600FF" w:rsidRPr="002C6FFD" w:rsidRDefault="005600FF" w:rsidP="005600FF">
      <w:pPr>
        <w:pStyle w:val="Normal11"/>
        <w:spacing w:before="0" w:line="360" w:lineRule="auto"/>
        <w:ind w:left="0" w:firstLine="699"/>
        <w:jc w:val="both"/>
        <w:rPr>
          <w:spacing w:val="0"/>
        </w:rPr>
      </w:pPr>
      <w:r w:rsidRPr="002C6FFD">
        <w:rPr>
          <w:spacing w:val="0"/>
        </w:rPr>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rsidR="005600FF" w:rsidRPr="002C6FFD" w:rsidRDefault="005600FF" w:rsidP="005600FF">
      <w:pPr>
        <w:ind w:firstLine="699"/>
        <w:rPr>
          <w:szCs w:val="24"/>
        </w:rPr>
      </w:pPr>
      <w:r w:rsidRPr="002C6FFD">
        <w:rPr>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rsidR="005600FF" w:rsidRDefault="005600FF" w:rsidP="005600FF">
      <w:pPr>
        <w:pStyle w:val="2"/>
        <w:spacing w:before="0"/>
        <w:rPr>
          <w:rFonts w:eastAsia="Arial Unicode MS"/>
        </w:rPr>
      </w:pPr>
    </w:p>
    <w:p w:rsidR="005600FF" w:rsidRPr="008E213C" w:rsidRDefault="005600FF" w:rsidP="005600FF">
      <w:pPr>
        <w:rPr>
          <w:b/>
          <w:i/>
          <w:iCs/>
          <w:u w:val="single"/>
          <w:shd w:val="clear" w:color="auto" w:fill="FFFFFF"/>
        </w:rPr>
      </w:pPr>
      <w:r w:rsidRPr="008E213C">
        <w:rPr>
          <w:i/>
          <w:iCs/>
          <w:u w:val="single"/>
          <w:shd w:val="clear" w:color="auto" w:fill="FFFFFF"/>
        </w:rPr>
        <w:t>Необходимая документация</w:t>
      </w:r>
    </w:p>
    <w:p w:rsidR="005600FF" w:rsidRPr="002C6FFD" w:rsidRDefault="005600FF" w:rsidP="005600FF">
      <w:pPr>
        <w:pStyle w:val="Normal11"/>
        <w:spacing w:before="0" w:line="360" w:lineRule="auto"/>
        <w:ind w:firstLine="699"/>
        <w:jc w:val="both"/>
        <w:rPr>
          <w:color w:val="212121"/>
          <w:spacing w:val="0"/>
        </w:rPr>
      </w:pPr>
      <w:r w:rsidRPr="002C6FFD">
        <w:rPr>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2C6FFD">
        <w:rPr>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2C6FFD">
        <w:rPr>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2C6FFD">
        <w:rPr>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2C6FFD">
        <w:rPr>
          <w:spacing w:val="0"/>
        </w:rPr>
        <w:t xml:space="preserve">локуса </w:t>
      </w:r>
      <w:r w:rsidRPr="002C6FFD">
        <w:rPr>
          <w:color w:val="212121"/>
          <w:spacing w:val="0"/>
        </w:rPr>
        <w:t>биопсийного исследования и возникших осложнений процедуры.</w:t>
      </w:r>
    </w:p>
    <w:p w:rsidR="005600FF" w:rsidRDefault="005600FF" w:rsidP="005600FF">
      <w:pPr>
        <w:pStyle w:val="2"/>
        <w:spacing w:before="0"/>
        <w:rPr>
          <w:rFonts w:eastAsia="Arial Unicode MS"/>
        </w:rPr>
      </w:pPr>
    </w:p>
    <w:p w:rsidR="005600FF" w:rsidRPr="008E213C" w:rsidRDefault="005600FF" w:rsidP="005600FF">
      <w:pPr>
        <w:rPr>
          <w:b/>
          <w:i/>
          <w:iCs/>
          <w:u w:val="single"/>
          <w:shd w:val="clear" w:color="auto" w:fill="FFFFFF"/>
        </w:rPr>
      </w:pPr>
      <w:r w:rsidRPr="008E213C">
        <w:rPr>
          <w:i/>
          <w:iCs/>
          <w:u w:val="single"/>
          <w:shd w:val="clear" w:color="auto" w:fill="FFFFFF"/>
        </w:rPr>
        <w:t xml:space="preserve">Техника выполнения пункции (аспирации) костного мозга из грудины (стернальной пункции) </w:t>
      </w:r>
      <w:r w:rsidRPr="008E213C">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8E213C">
        <w:rPr>
          <w:b/>
          <w:i/>
          <w:iCs/>
          <w:u w:val="single"/>
          <w:shd w:val="clear" w:color="auto" w:fill="FFFFFF"/>
        </w:rPr>
        <w:fldChar w:fldCharType="separate"/>
      </w:r>
      <w:r w:rsidR="003524A5" w:rsidRPr="003524A5">
        <w:rPr>
          <w:iCs/>
          <w:noProof/>
          <w:shd w:val="clear" w:color="auto" w:fill="FFFFFF"/>
        </w:rPr>
        <w:t>[83]</w:t>
      </w:r>
      <w:r w:rsidRPr="008E213C">
        <w:rPr>
          <w:b/>
          <w:i/>
          <w:iCs/>
          <w:u w:val="single"/>
          <w:shd w:val="clear" w:color="auto" w:fill="FFFFFF"/>
        </w:rPr>
        <w:fldChar w:fldCharType="end"/>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spacing w:val="0"/>
        </w:rPr>
      </w:pPr>
      <w:r w:rsidRPr="002C6FFD">
        <w:rPr>
          <w:spacing w:val="0"/>
          <w:shd w:val="clear" w:color="auto" w:fill="FFFFFF"/>
        </w:rPr>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spacing w:val="0"/>
        </w:rPr>
      </w:pPr>
      <w:r w:rsidRPr="002C6FFD">
        <w:rPr>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spacing w:val="0"/>
        </w:rPr>
      </w:pPr>
      <w:r w:rsidRPr="002C6FFD">
        <w:rPr>
          <w:spacing w:val="0"/>
        </w:rPr>
        <w:t xml:space="preserve">Аспирация костного мозга может выполняться из </w:t>
      </w:r>
      <w:r w:rsidRPr="002C6FFD">
        <w:rPr>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2C6FFD">
        <w:rPr>
          <w:spacing w:val="0"/>
        </w:rPr>
        <w:t>по методу Аринкина</w:t>
      </w:r>
      <w:r w:rsidRPr="002C6FFD">
        <w:rPr>
          <w:spacing w:val="0"/>
          <w:shd w:val="clear" w:color="auto" w:fill="FFFFFF"/>
        </w:rPr>
        <w:t>), или из гребня подвздошной кости</w:t>
      </w:r>
      <w:r w:rsidRPr="002C6FFD">
        <w:rPr>
          <w:spacing w:val="0"/>
        </w:rPr>
        <w:t xml:space="preserve">.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12121"/>
          <w:spacing w:val="0"/>
        </w:rPr>
      </w:pPr>
      <w:r w:rsidRPr="002C6FFD">
        <w:rPr>
          <w:spacing w:val="0"/>
        </w:rPr>
        <w:t>При выполнении стернальной пункции (по методу Аринкина) больного укладывают на манипуляционный стол на спину.</w:t>
      </w:r>
      <w:r w:rsidRPr="002C6FFD">
        <w:rPr>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spacing w:val="0"/>
        </w:rPr>
      </w:pPr>
      <w:r w:rsidRPr="002C6FFD">
        <w:rPr>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2C6FFD">
        <w:rPr>
          <w:color w:val="212121"/>
          <w:spacing w:val="0"/>
          <w:shd w:val="clear" w:color="auto" w:fill="FFFFFF"/>
        </w:rPr>
        <w:t xml:space="preserve">2,0% раствором лидокаина или 0,25—0,5% </w:t>
      </w:r>
      <w:r w:rsidRPr="002C6FFD">
        <w:rPr>
          <w:color w:val="212121"/>
          <w:spacing w:val="0"/>
          <w:shd w:val="clear" w:color="auto" w:fill="FFFFFF"/>
        </w:rPr>
        <w:lastRenderedPageBreak/>
        <w:t>раствором новокаина</w:t>
      </w:r>
      <w:r w:rsidRPr="002C6FFD">
        <w:rPr>
          <w:spacing w:val="0"/>
        </w:rPr>
        <w:t xml:space="preserve"> (анестетик выбирается с учетом аллергологического анамнеза) 1,0—2,0 мл. Использование 10% лидокаина недопустимо для местной анестезии в виду возможности некротизирования тканей.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spacing w:val="0"/>
        </w:rPr>
        <w:t xml:space="preserve">Пункция костного мозга выполняется иглой Кассирского или иглой сходной с ней конструкции.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spacing w:val="0"/>
        </w:rPr>
        <w:t xml:space="preserve">Ограничитель </w:t>
      </w:r>
      <w:r w:rsidRPr="002C6FFD">
        <w:rPr>
          <w:color w:val="222222"/>
          <w:spacing w:val="0"/>
        </w:rPr>
        <w:t xml:space="preserve">устанавливается с учетом </w:t>
      </w:r>
      <w:r w:rsidRPr="002C6FFD">
        <w:rPr>
          <w:spacing w:val="0"/>
        </w:rPr>
        <w:t xml:space="preserve">возраста, выраженности подкожно-жировой клетчатки пациента из расчета, </w:t>
      </w:r>
      <w:r w:rsidRPr="002C6FFD">
        <w:rPr>
          <w:color w:val="222222"/>
          <w:spacing w:val="0"/>
        </w:rPr>
        <w:t>чтобы игла, пройдя мягкие ткани, продвинулась на 5 мм</w:t>
      </w:r>
      <w:r w:rsidRPr="002C6FFD">
        <w:rPr>
          <w:spacing w:val="0"/>
        </w:rPr>
        <w:t xml:space="preserve">. </w:t>
      </w:r>
      <w:r w:rsidRPr="002C6FFD">
        <w:rPr>
          <w:color w:val="222222"/>
          <w:spacing w:val="0"/>
        </w:rPr>
        <w:t xml:space="preserve">При этом конец иглы, проколов наружную пластинку грудины, окажется в полости грудины.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2C6FFD">
        <w:rPr>
          <w:color w:val="222222"/>
          <w:spacing w:val="0"/>
        </w:rPr>
        <w:t>Это момент ощущается врачом как «провал».</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spacing w:val="0"/>
          <w:shd w:val="clear" w:color="auto" w:fill="FFFFFF"/>
        </w:rPr>
        <w:t xml:space="preserve">Игла должна быть неподвижно фиксирована в грудине.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color w:val="222222"/>
          <w:spacing w:val="0"/>
        </w:rPr>
        <w:t xml:space="preserve">После извлечения мандрена к игле присоединяют шприц и производят аспирацию костного мозга. </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color w:val="222222"/>
          <w:spacing w:val="0"/>
        </w:rPr>
        <w:t>Из полученного пунктата готовят мазки и направляют материал на различные исследования.</w:t>
      </w:r>
    </w:p>
    <w:p w:rsidR="005600FF"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color w:val="222222"/>
          <w:spacing w:val="0"/>
        </w:rPr>
        <w:t>Первые 0,5 мл костномозговой взвеси используют для приготовления мазков, которые направляются на:</w:t>
      </w:r>
    </w:p>
    <w:p w:rsidR="005600FF" w:rsidRPr="002C6FFD" w:rsidRDefault="005600FF" w:rsidP="004F39BB">
      <w:pPr>
        <w:pStyle w:val="Number1"/>
        <w:numPr>
          <w:ilvl w:val="1"/>
          <w:numId w:val="60"/>
        </w:numPr>
        <w:overflowPunct/>
        <w:autoSpaceDE/>
        <w:autoSpaceDN/>
        <w:adjustRightInd/>
        <w:spacing w:before="0" w:line="360" w:lineRule="auto"/>
        <w:jc w:val="both"/>
        <w:textAlignment w:val="auto"/>
        <w:rPr>
          <w:color w:val="222222"/>
          <w:spacing w:val="0"/>
        </w:rPr>
      </w:pPr>
      <w:r w:rsidRPr="002C6FFD">
        <w:rPr>
          <w:spacing w:val="0"/>
        </w:rPr>
        <w:t>цитологическое исследование;</w:t>
      </w:r>
    </w:p>
    <w:p w:rsidR="005600FF" w:rsidRDefault="005600FF" w:rsidP="004F39BB">
      <w:pPr>
        <w:pStyle w:val="Number1"/>
        <w:numPr>
          <w:ilvl w:val="1"/>
          <w:numId w:val="60"/>
        </w:numPr>
        <w:overflowPunct/>
        <w:autoSpaceDE/>
        <w:autoSpaceDN/>
        <w:adjustRightInd/>
        <w:spacing w:before="0" w:line="360" w:lineRule="auto"/>
        <w:jc w:val="both"/>
        <w:textAlignment w:val="auto"/>
        <w:rPr>
          <w:color w:val="222222"/>
          <w:spacing w:val="0"/>
        </w:rPr>
      </w:pPr>
      <w:r w:rsidRPr="002C6FFD">
        <w:rPr>
          <w:spacing w:val="0"/>
        </w:rPr>
        <w:t>цитохимическое исследование.</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color w:val="222222"/>
          <w:spacing w:val="0"/>
        </w:rPr>
      </w:pPr>
      <w:r w:rsidRPr="002C6FFD">
        <w:rPr>
          <w:spacing w:val="0"/>
        </w:rPr>
        <w:t>При необходимости остальную костномозговую взвесь помещают</w:t>
      </w:r>
      <w:r>
        <w:rPr>
          <w:spacing w:val="0"/>
        </w:rPr>
        <w:t>:</w:t>
      </w:r>
      <w:r w:rsidRPr="002C6FFD">
        <w:rPr>
          <w:spacing w:val="0"/>
        </w:rPr>
        <w:t xml:space="preserve"> </w:t>
      </w:r>
    </w:p>
    <w:p w:rsidR="005600FF" w:rsidRPr="002C6FFD" w:rsidRDefault="005600FF" w:rsidP="004F39BB">
      <w:pPr>
        <w:pStyle w:val="Number1"/>
        <w:numPr>
          <w:ilvl w:val="1"/>
          <w:numId w:val="60"/>
        </w:numPr>
        <w:overflowPunct/>
        <w:autoSpaceDE/>
        <w:autoSpaceDN/>
        <w:adjustRightInd/>
        <w:spacing w:before="0" w:line="360" w:lineRule="auto"/>
        <w:jc w:val="both"/>
        <w:textAlignment w:val="auto"/>
        <w:rPr>
          <w:color w:val="222222"/>
          <w:spacing w:val="0"/>
        </w:rPr>
      </w:pPr>
      <w:r w:rsidRPr="002C6FFD">
        <w:rPr>
          <w:spacing w:val="0"/>
        </w:rPr>
        <w:t>в пробирки с консервантом ЭДТА для проведения исследований:</w:t>
      </w:r>
    </w:p>
    <w:p w:rsidR="005600FF" w:rsidRPr="002C6FFD" w:rsidRDefault="005600FF" w:rsidP="004F39BB">
      <w:pPr>
        <w:pStyle w:val="Number1"/>
        <w:numPr>
          <w:ilvl w:val="2"/>
          <w:numId w:val="60"/>
        </w:numPr>
        <w:overflowPunct/>
        <w:autoSpaceDE/>
        <w:autoSpaceDN/>
        <w:adjustRightInd/>
        <w:spacing w:before="0" w:line="360" w:lineRule="auto"/>
        <w:jc w:val="both"/>
        <w:textAlignment w:val="auto"/>
        <w:rPr>
          <w:color w:val="222222"/>
          <w:spacing w:val="0"/>
        </w:rPr>
      </w:pPr>
      <w:r w:rsidRPr="002C6FFD">
        <w:rPr>
          <w:spacing w:val="0"/>
        </w:rPr>
        <w:t>иммунофенотипическое исследование;</w:t>
      </w:r>
    </w:p>
    <w:p w:rsidR="005600FF" w:rsidRDefault="005600FF" w:rsidP="004F39BB">
      <w:pPr>
        <w:pStyle w:val="Number1"/>
        <w:numPr>
          <w:ilvl w:val="2"/>
          <w:numId w:val="60"/>
        </w:numPr>
        <w:overflowPunct/>
        <w:autoSpaceDE/>
        <w:autoSpaceDN/>
        <w:adjustRightInd/>
        <w:spacing w:before="0" w:line="360" w:lineRule="auto"/>
        <w:jc w:val="both"/>
        <w:textAlignment w:val="auto"/>
        <w:rPr>
          <w:color w:val="222222"/>
          <w:spacing w:val="0"/>
        </w:rPr>
      </w:pPr>
      <w:r w:rsidRPr="002C6FFD">
        <w:rPr>
          <w:spacing w:val="0"/>
        </w:rPr>
        <w:t>молекулярное исследование (методом ПЦР).</w:t>
      </w:r>
    </w:p>
    <w:p w:rsidR="005600FF" w:rsidRPr="002C6FFD" w:rsidRDefault="005600FF" w:rsidP="004F39BB">
      <w:pPr>
        <w:pStyle w:val="Number1"/>
        <w:numPr>
          <w:ilvl w:val="1"/>
          <w:numId w:val="60"/>
        </w:numPr>
        <w:overflowPunct/>
        <w:autoSpaceDE/>
        <w:autoSpaceDN/>
        <w:adjustRightInd/>
        <w:spacing w:before="0" w:line="360" w:lineRule="auto"/>
        <w:jc w:val="both"/>
        <w:textAlignment w:val="auto"/>
        <w:rPr>
          <w:color w:val="222222"/>
          <w:spacing w:val="0"/>
        </w:rPr>
      </w:pPr>
      <w:r w:rsidRPr="002C6FFD">
        <w:rPr>
          <w:spacing w:val="0"/>
        </w:rPr>
        <w:t>в пробирки с литиевой солью гепарина для цитогенетического (кариологического) исследования.</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spacing w:val="0"/>
        </w:rPr>
      </w:pPr>
      <w:r w:rsidRPr="002C6FFD">
        <w:rPr>
          <w:spacing w:val="0"/>
        </w:rPr>
        <w:t>После окончания процедуры аспирации иглу извлекают из грудины и на место пункции накладывают асептическую повязку.</w:t>
      </w:r>
    </w:p>
    <w:p w:rsidR="005600FF" w:rsidRPr="002C6FFD" w:rsidRDefault="005600FF" w:rsidP="004F39BB">
      <w:pPr>
        <w:pStyle w:val="Number1"/>
        <w:numPr>
          <w:ilvl w:val="0"/>
          <w:numId w:val="60"/>
        </w:numPr>
        <w:overflowPunct/>
        <w:autoSpaceDE/>
        <w:autoSpaceDN/>
        <w:adjustRightInd/>
        <w:spacing w:before="0" w:line="360" w:lineRule="auto"/>
        <w:jc w:val="both"/>
        <w:textAlignment w:val="auto"/>
        <w:rPr>
          <w:spacing w:val="0"/>
        </w:rPr>
      </w:pPr>
      <w:r w:rsidRPr="002C6FFD">
        <w:rPr>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rsidR="005600FF" w:rsidRDefault="005600FF" w:rsidP="005600FF">
      <w:pPr>
        <w:pStyle w:val="2"/>
        <w:spacing w:before="0"/>
        <w:rPr>
          <w:rFonts w:eastAsia="Arial Unicode MS"/>
        </w:rPr>
      </w:pPr>
    </w:p>
    <w:p w:rsidR="005600FF" w:rsidRPr="008E213C" w:rsidRDefault="005600FF" w:rsidP="005600FF">
      <w:pPr>
        <w:rPr>
          <w:b/>
          <w:i/>
          <w:iCs/>
          <w:u w:val="single"/>
          <w:shd w:val="clear" w:color="auto" w:fill="FFFFFF"/>
        </w:rPr>
      </w:pPr>
      <w:r w:rsidRPr="008E213C">
        <w:rPr>
          <w:i/>
          <w:iCs/>
          <w:u w:val="single"/>
          <w:shd w:val="clear" w:color="auto" w:fill="FFFFFF"/>
        </w:rPr>
        <w:t xml:space="preserve">Техника выполнения процедуры трепанобиопсии костного мозга </w:t>
      </w:r>
      <w:r w:rsidRPr="008E213C">
        <w:rPr>
          <w:b/>
          <w:i/>
          <w:iCs/>
          <w:u w:val="single"/>
          <w:shd w:val="clear" w:color="auto" w:fill="FFFFFF"/>
        </w:rPr>
        <w:fldChar w:fldCharType="begin" w:fldLock="1"/>
      </w:r>
      <w:r w:rsidR="003524A5">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[83]","plainTextFormattedCitation":"[83]","previouslyFormattedCitation":"[90]"},"properties":{"noteIndex":0},"schema":"https://github.com/citation-style-language/schema/raw/master/csl-citation.json"}</w:instrText>
      </w:r>
      <w:r w:rsidRPr="008E213C">
        <w:rPr>
          <w:b/>
          <w:i/>
          <w:iCs/>
          <w:u w:val="single"/>
          <w:shd w:val="clear" w:color="auto" w:fill="FFFFFF"/>
        </w:rPr>
        <w:fldChar w:fldCharType="separate"/>
      </w:r>
      <w:r w:rsidR="003524A5" w:rsidRPr="003524A5">
        <w:rPr>
          <w:iCs/>
          <w:noProof/>
          <w:shd w:val="clear" w:color="auto" w:fill="FFFFFF"/>
        </w:rPr>
        <w:t>[83]</w:t>
      </w:r>
      <w:r w:rsidRPr="008E213C">
        <w:rPr>
          <w:b/>
          <w:i/>
          <w:iCs/>
          <w:u w:val="single"/>
          <w:shd w:val="clear" w:color="auto" w:fill="FFFFFF"/>
        </w:rPr>
        <w:fldChar w:fldCharType="end"/>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(антикоагулянты и антиагреганты),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color w:val="212121"/>
          <w:spacing w:val="0"/>
        </w:rPr>
        <w:t xml:space="preserve">Трепанобиопсия костного мозга </w:t>
      </w:r>
      <w:r w:rsidRPr="002C6FFD">
        <w:rPr>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rsidR="005600FF"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Пациента располагают в одном из положений: </w:t>
      </w:r>
    </w:p>
    <w:p w:rsidR="005600FF" w:rsidRDefault="005600FF" w:rsidP="004F39BB">
      <w:pPr>
        <w:pStyle w:val="Number1"/>
        <w:numPr>
          <w:ilvl w:val="1"/>
          <w:numId w:val="61"/>
        </w:numPr>
        <w:overflowPunct/>
        <w:autoSpaceDE/>
        <w:autoSpaceDN/>
        <w:adjustRightInd/>
        <w:spacing w:before="0" w:line="360" w:lineRule="auto"/>
        <w:jc w:val="both"/>
        <w:textAlignment w:val="auto"/>
        <w:rPr>
          <w:spacing w:val="0"/>
        </w:rPr>
      </w:pPr>
      <w:r w:rsidRPr="002C6FFD">
        <w:rPr>
          <w:spacing w:val="0"/>
        </w:rPr>
        <w:t xml:space="preserve">лежа на животе; </w:t>
      </w:r>
    </w:p>
    <w:p w:rsidR="005600FF" w:rsidRDefault="005600FF" w:rsidP="004F39BB">
      <w:pPr>
        <w:pStyle w:val="Number1"/>
        <w:numPr>
          <w:ilvl w:val="1"/>
          <w:numId w:val="61"/>
        </w:numPr>
        <w:overflowPunct/>
        <w:autoSpaceDE/>
        <w:autoSpaceDN/>
        <w:adjustRightInd/>
        <w:spacing w:before="0" w:line="360" w:lineRule="auto"/>
        <w:jc w:val="both"/>
        <w:textAlignment w:val="auto"/>
        <w:rPr>
          <w:spacing w:val="0"/>
        </w:rPr>
      </w:pPr>
      <w:r w:rsidRPr="002C6FFD">
        <w:rPr>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rsidR="005600FF" w:rsidRDefault="005600FF" w:rsidP="004F39BB">
      <w:pPr>
        <w:pStyle w:val="Number1"/>
        <w:numPr>
          <w:ilvl w:val="1"/>
          <w:numId w:val="61"/>
        </w:numPr>
        <w:overflowPunct/>
        <w:autoSpaceDE/>
        <w:autoSpaceDN/>
        <w:adjustRightInd/>
        <w:spacing w:before="0" w:line="360" w:lineRule="auto"/>
        <w:jc w:val="both"/>
        <w:textAlignment w:val="auto"/>
        <w:rPr>
          <w:spacing w:val="0"/>
        </w:rPr>
      </w:pPr>
      <w:r w:rsidRPr="002C6FFD">
        <w:rPr>
          <w:spacing w:val="0"/>
        </w:rPr>
        <w:t>лежа на боку, ноги согнуты в коленях и приведены к груди, спина несколько согнута</w:t>
      </w:r>
      <w:r>
        <w:rPr>
          <w:spacing w:val="0"/>
        </w:rPr>
        <w:t>;</w:t>
      </w:r>
    </w:p>
    <w:p w:rsidR="005600FF" w:rsidRPr="002C6FFD" w:rsidRDefault="005600FF" w:rsidP="004F39BB">
      <w:pPr>
        <w:pStyle w:val="Number1"/>
        <w:numPr>
          <w:ilvl w:val="1"/>
          <w:numId w:val="61"/>
        </w:numPr>
        <w:overflowPunct/>
        <w:autoSpaceDE/>
        <w:autoSpaceDN/>
        <w:adjustRightInd/>
        <w:spacing w:before="0" w:line="360" w:lineRule="auto"/>
        <w:jc w:val="both"/>
        <w:textAlignment w:val="auto"/>
        <w:rPr>
          <w:spacing w:val="0"/>
        </w:rPr>
      </w:pPr>
      <w:r w:rsidRPr="002C6FFD">
        <w:rPr>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Чаще всего при выполнении трепанобиопсии пациент находится в сознании. </w:t>
      </w:r>
      <w:r w:rsidRPr="002C6FFD">
        <w:rPr>
          <w:spacing w:val="0"/>
          <w:shd w:val="clear" w:color="auto" w:fill="FFFFFF"/>
        </w:rPr>
        <w:t xml:space="preserve">При невозможности выполнения местной анестезии пункция может быть выполнена под </w:t>
      </w:r>
      <w:r w:rsidRPr="002C6FFD">
        <w:rPr>
          <w:spacing w:val="0"/>
          <w:shd w:val="clear" w:color="auto" w:fill="FFFFFF"/>
        </w:rPr>
        <w:lastRenderedPageBreak/>
        <w:t xml:space="preserve">общей анестезией. </w:t>
      </w:r>
      <w:r w:rsidRPr="002C6FFD">
        <w:rPr>
          <w:spacing w:val="0"/>
        </w:rPr>
        <w:t xml:space="preserve">В педиатрической практике манипуляцию проводят под наркозом.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Обработка кожи растворами антисептиков, как для оперативного вмешательства.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Обезболивание кожи («лимонная корочка») и далее послойная анестезия тканей вплоть до надкостницы и поднадкостнично — </w:t>
      </w:r>
      <w:r w:rsidRPr="002C6FFD">
        <w:rPr>
          <w:spacing w:val="0"/>
          <w:shd w:val="clear" w:color="auto" w:fill="FFFFFF"/>
        </w:rPr>
        <w:t>2% раствор лидокаина или 0,25—0,5% раствор новокаина</w:t>
      </w:r>
      <w:r w:rsidRPr="002C6FFD">
        <w:rPr>
          <w:spacing w:val="0"/>
        </w:rPr>
        <w:t xml:space="preserve"> (выбранным с учетом аллергологического анамнеза) 4,0—6,0 мл. Использование 10% лидокаина недопустимо для местной анестезии в виду возможности некротизирования тканей.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Анестезия наступает не ранее через 1 мин после инфильтрации надкостницы раствором анестетика.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2C6FFD">
        <w:rPr>
          <w:color w:val="auto"/>
          <w:spacing w:val="0"/>
        </w:rPr>
        <w:sym w:font="Symbol" w:char="F0B0"/>
      </w:r>
      <w:r w:rsidRPr="002C6FFD">
        <w:rPr>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w:t>
      </w:r>
      <w:r w:rsidRPr="002C6FFD">
        <w:rPr>
          <w:spacing w:val="0"/>
        </w:rPr>
        <w:lastRenderedPageBreak/>
        <w:t xml:space="preserve">верхней ости подвздошной кости)  выталкивается в обратном направлении от острия к рукоятке, то есть через отверстие рукоятки инструмента.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 xml:space="preserve">Пациент должен провести под наблюдением медицинского персонала 2—3 часа после процедуры. </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spacing w:val="0"/>
        </w:rPr>
      </w:pPr>
      <w:r w:rsidRPr="002C6FFD">
        <w:rPr>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rsidR="005600FF" w:rsidRPr="002C6FFD" w:rsidRDefault="005600FF" w:rsidP="004F39BB">
      <w:pPr>
        <w:pStyle w:val="Number1"/>
        <w:numPr>
          <w:ilvl w:val="0"/>
          <w:numId w:val="61"/>
        </w:numPr>
        <w:overflowPunct/>
        <w:autoSpaceDE/>
        <w:autoSpaceDN/>
        <w:adjustRightInd/>
        <w:spacing w:before="0" w:line="360" w:lineRule="auto"/>
        <w:jc w:val="both"/>
        <w:textAlignment w:val="auto"/>
        <w:rPr>
          <w:color w:val="auto"/>
          <w:spacing w:val="0"/>
        </w:rPr>
      </w:pPr>
      <w:r w:rsidRPr="002C6FFD">
        <w:rPr>
          <w:spacing w:val="0"/>
        </w:rPr>
        <w:t>На следующий день после выполнения манипуляции медицинскому персоналу необходимо проконтролировать состояние пациента (</w:t>
      </w:r>
      <w:r w:rsidRPr="002C6FFD">
        <w:rPr>
          <w:color w:val="auto"/>
          <w:spacing w:val="0"/>
        </w:rPr>
        <w:t xml:space="preserve">при выполнении манипуляции в амбулаторных условиях - возможно по телефону). </w:t>
      </w:r>
    </w:p>
    <w:p w:rsidR="005600FF" w:rsidRDefault="005600FF" w:rsidP="005600FF">
      <w:pPr>
        <w:rPr>
          <w:szCs w:val="24"/>
        </w:rPr>
      </w:pPr>
    </w:p>
    <w:p w:rsidR="005600FF" w:rsidRPr="00DC72FF" w:rsidRDefault="005600FF" w:rsidP="005600FF">
      <w:pPr>
        <w:pStyle w:val="2"/>
      </w:pPr>
      <w:bookmarkStart w:id="115" w:name="_Toc67238440"/>
      <w:bookmarkStart w:id="116" w:name="_Toc67302931"/>
      <w:r w:rsidRPr="00DC72FF">
        <w:lastRenderedPageBreak/>
        <w:t>Приложение А3.2 Проведение трансплантации аллогенных гемопоэтических стволовых клеток</w:t>
      </w:r>
      <w:bookmarkEnd w:id="115"/>
      <w:bookmarkEnd w:id="116"/>
    </w:p>
    <w:p w:rsidR="005600FF" w:rsidRPr="00C07B2E" w:rsidRDefault="005600FF" w:rsidP="005600FF">
      <w:pPr>
        <w:rPr>
          <w:rFonts w:eastAsia="SimSun"/>
        </w:rPr>
      </w:pPr>
    </w:p>
    <w:p w:rsidR="005600FF" w:rsidRPr="00EE51B1" w:rsidRDefault="005600FF" w:rsidP="005600FF">
      <w:pPr>
        <w:rPr>
          <w:rFonts w:eastAsia="SimSun"/>
          <w:b/>
        </w:rPr>
      </w:pPr>
      <w:bookmarkStart w:id="117" w:name="_Toc44401103"/>
      <w:r w:rsidRPr="00EE51B1">
        <w:rPr>
          <w:rFonts w:eastAsia="SimSun"/>
          <w:b/>
        </w:rPr>
        <w:t>1. Отбор пациентов для трансплантации аллогенных гемопоэтических стволовых клеток</w:t>
      </w:r>
      <w:bookmarkEnd w:id="117"/>
    </w:p>
    <w:p w:rsidR="005600FF" w:rsidRPr="00EE51B1" w:rsidRDefault="005600FF" w:rsidP="005600FF">
      <w:pPr>
        <w:rPr>
          <w:rFonts w:eastAsia="SimSun"/>
          <w:i/>
          <w:u w:val="single"/>
        </w:rPr>
      </w:pPr>
      <w:bookmarkStart w:id="118" w:name="_Toc44401106"/>
      <w:r w:rsidRPr="00EE51B1">
        <w:rPr>
          <w:rFonts w:eastAsia="SimSun"/>
          <w:i/>
          <w:u w:val="single"/>
        </w:rPr>
        <w:t>Показания для проведения алло-ТГСК</w:t>
      </w:r>
      <w:bookmarkEnd w:id="118"/>
      <w:r w:rsidRPr="00EE51B1">
        <w:rPr>
          <w:rFonts w:eastAsia="SimSun"/>
          <w:i/>
          <w:u w:val="single"/>
        </w:rPr>
        <w:t xml:space="preserve"> </w:t>
      </w:r>
      <w:r w:rsidRPr="00EE51B1">
        <w:rPr>
          <w:rFonts w:eastAsia="SimSun"/>
          <w:u w:val="single"/>
        </w:rPr>
        <w:fldChar w:fldCharType="begin" w:fldLock="1"/>
      </w:r>
      <w:r w:rsidR="003524A5">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u w:val="single"/>
        </w:rPr>
        <w:fldChar w:fldCharType="separate"/>
      </w:r>
      <w:r w:rsidR="003524A5" w:rsidRPr="003524A5">
        <w:rPr>
          <w:rFonts w:eastAsia="SimSun"/>
          <w:noProof/>
        </w:rPr>
        <w:t>[85]</w:t>
      </w:r>
      <w:r w:rsidRPr="00EE51B1">
        <w:rPr>
          <w:rFonts w:eastAsia="SimSun"/>
          <w:u w:val="single"/>
        </w:rPr>
        <w:fldChar w:fldCharType="end"/>
      </w:r>
      <w:r w:rsidRPr="00EE51B1">
        <w:rPr>
          <w:rFonts w:eastAsia="SimSun"/>
          <w:i/>
          <w:u w:val="single"/>
        </w:rPr>
        <w:t>:</w:t>
      </w:r>
    </w:p>
    <w:p w:rsidR="005600FF" w:rsidRPr="00C07B2E" w:rsidRDefault="005600FF" w:rsidP="005600FF">
      <w:pPr>
        <w:rPr>
          <w:rFonts w:eastAsia="SimSun"/>
        </w:rPr>
      </w:pPr>
      <w:r w:rsidRPr="00C07B2E">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злокачественные и другие новообразования лимфоидной, кроветворной и родственной им тканей;</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болезни крови, кроветворных органов и отдельные нарушения, вовлекающие иммунный механизм;</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врожденные иммунодефицитные синдромы;</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злокачественные новообразования мезотелиальной и мягких тканей (рабдомиосаркома);</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злокачественные новообразования костей и суставных хрящей (саркома Юинга, хондросаркома, фибросаркома);</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нейроэпителиальные новообразования (нейробластома, ретинобластома);</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демиелинизирующие болезни центральной нервной системы (рассеянный склероз);</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герминогенные новообразования;</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сложные и смешанные стромальные новообразования (нефробластома);</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глиомы (примитивная нейроэктодермальная опухоль);</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lastRenderedPageBreak/>
        <w:t>злокачественные новообразования печени и внутрипеченочных желчных протоков (гепатобластома);</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болезни кожи и подкожной клетчатки (склеродермия);</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системные поражения соединительной ткани (системная красная волчанка);</w:t>
      </w:r>
    </w:p>
    <w:p w:rsidR="005600FF" w:rsidRPr="00C07B2E" w:rsidRDefault="005600FF" w:rsidP="004F39BB">
      <w:pPr>
        <w:numPr>
          <w:ilvl w:val="0"/>
          <w:numId w:val="64"/>
        </w:numPr>
        <w:overflowPunct w:val="0"/>
        <w:autoSpaceDE w:val="0"/>
        <w:autoSpaceDN w:val="0"/>
        <w:adjustRightInd w:val="0"/>
        <w:textAlignment w:val="baseline"/>
        <w:rPr>
          <w:rFonts w:eastAsia="SimSun"/>
        </w:rPr>
      </w:pPr>
      <w:r w:rsidRPr="00C07B2E">
        <w:rPr>
          <w:rFonts w:eastAsia="SimSun"/>
        </w:rPr>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rsidR="005600FF" w:rsidRDefault="005600FF" w:rsidP="005600FF">
      <w:pPr>
        <w:rPr>
          <w:rFonts w:eastAsia="SimSun"/>
        </w:rPr>
      </w:pPr>
      <w:bookmarkStart w:id="119" w:name="_Toc44401107"/>
    </w:p>
    <w:p w:rsidR="005600FF" w:rsidRPr="00EE51B1" w:rsidRDefault="005600FF" w:rsidP="005600FF">
      <w:pPr>
        <w:rPr>
          <w:rFonts w:eastAsia="SimSun"/>
          <w:i/>
          <w:u w:val="single"/>
        </w:rPr>
      </w:pPr>
      <w:r w:rsidRPr="00EE51B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119"/>
      <w:r>
        <w:rPr>
          <w:rFonts w:eastAsia="SimSun"/>
          <w:i/>
          <w:u w:val="single"/>
        </w:rPr>
        <w:t xml:space="preserve"> </w:t>
      </w:r>
      <w:r w:rsidRPr="00EE51B1">
        <w:rPr>
          <w:rFonts w:eastAsia="SimSun"/>
          <w:u w:val="single"/>
        </w:rPr>
        <w:fldChar w:fldCharType="begin" w:fldLock="1"/>
      </w:r>
      <w:r w:rsidR="003524A5">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u w:val="single"/>
        </w:rPr>
        <w:fldChar w:fldCharType="separate"/>
      </w:r>
      <w:r w:rsidR="003524A5" w:rsidRPr="003524A5">
        <w:rPr>
          <w:rFonts w:eastAsia="SimSun"/>
          <w:noProof/>
        </w:rPr>
        <w:t>[85]</w:t>
      </w:r>
      <w:r w:rsidRPr="00EE51B1">
        <w:rPr>
          <w:rFonts w:eastAsia="SimSun"/>
          <w:u w:val="single"/>
        </w:rPr>
        <w:fldChar w:fldCharType="end"/>
      </w:r>
      <w:r>
        <w:rPr>
          <w:rFonts w:eastAsia="SimSun"/>
          <w:i/>
          <w:u w:val="single"/>
        </w:rPr>
        <w:t>:</w:t>
      </w:r>
      <w:r w:rsidRPr="00EE51B1">
        <w:rPr>
          <w:rFonts w:eastAsia="SimSun"/>
          <w:i/>
          <w:u w:val="single"/>
        </w:rPr>
        <w:t xml:space="preserve"> </w:t>
      </w:r>
    </w:p>
    <w:p w:rsidR="005600FF" w:rsidRPr="00C07B2E" w:rsidRDefault="005600FF" w:rsidP="004F39BB">
      <w:pPr>
        <w:numPr>
          <w:ilvl w:val="0"/>
          <w:numId w:val="65"/>
        </w:numPr>
        <w:overflowPunct w:val="0"/>
        <w:autoSpaceDE w:val="0"/>
        <w:autoSpaceDN w:val="0"/>
        <w:adjustRightInd w:val="0"/>
        <w:textAlignment w:val="baseline"/>
        <w:rPr>
          <w:rFonts w:eastAsia="SimSun"/>
        </w:rPr>
      </w:pPr>
      <w:r w:rsidRPr="00C07B2E">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rsidR="005600FF" w:rsidRPr="00DC72FF" w:rsidRDefault="005600FF" w:rsidP="004F39BB">
      <w:pPr>
        <w:numPr>
          <w:ilvl w:val="0"/>
          <w:numId w:val="65"/>
        </w:numPr>
        <w:overflowPunct w:val="0"/>
        <w:autoSpaceDE w:val="0"/>
        <w:autoSpaceDN w:val="0"/>
        <w:adjustRightInd w:val="0"/>
        <w:textAlignment w:val="baseline"/>
        <w:rPr>
          <w:rFonts w:eastAsia="SimSun"/>
        </w:rPr>
      </w:pPr>
      <w:r w:rsidRPr="00DC72FF">
        <w:rPr>
          <w:rFonts w:eastAsia="SimSun"/>
        </w:rPr>
        <w:t xml:space="preserve">Оценка рисков проведения алло-ТГСК по шкалам </w:t>
      </w:r>
      <w:r w:rsidRPr="00DC72FF">
        <w:rPr>
          <w:rFonts w:eastAsia="SimSun"/>
          <w:lang w:val="en-US"/>
        </w:rPr>
        <w:t>EBMT</w:t>
      </w:r>
      <w:r w:rsidRPr="00DC72FF">
        <w:rPr>
          <w:rFonts w:eastAsia="SimSun"/>
        </w:rPr>
        <w:t xml:space="preserve"> и </w:t>
      </w:r>
      <w:r w:rsidRPr="00DC72FF">
        <w:rPr>
          <w:rFonts w:eastAsia="SimSun"/>
          <w:lang w:val="en-US"/>
        </w:rPr>
        <w:t>HCT</w:t>
      </w:r>
      <w:r w:rsidRPr="00DC72FF">
        <w:rPr>
          <w:rFonts w:eastAsia="SimSun"/>
        </w:rPr>
        <w:t>-</w:t>
      </w:r>
      <w:r w:rsidRPr="00DC72FF">
        <w:rPr>
          <w:rFonts w:eastAsia="SimSun"/>
          <w:lang w:val="en-US"/>
        </w:rPr>
        <w:t>CI</w:t>
      </w:r>
      <w:r w:rsidRPr="00DC72FF">
        <w:rPr>
          <w:rFonts w:eastAsia="SimSun"/>
        </w:rPr>
        <w:t xml:space="preserve"> (приложения Г</w:t>
      </w:r>
      <w:r w:rsidR="003524A5">
        <w:rPr>
          <w:rFonts w:eastAsia="SimSun"/>
        </w:rPr>
        <w:t>2</w:t>
      </w:r>
      <w:r w:rsidRPr="00DC72FF">
        <w:rPr>
          <w:rFonts w:eastAsia="SimSun"/>
        </w:rPr>
        <w:t>, Г</w:t>
      </w:r>
      <w:r w:rsidR="003524A5">
        <w:rPr>
          <w:rFonts w:eastAsia="SimSun"/>
        </w:rPr>
        <w:t>3</w:t>
      </w:r>
      <w:r w:rsidRPr="00DC72FF">
        <w:rPr>
          <w:rFonts w:eastAsia="SimSun"/>
        </w:rPr>
        <w:t>).</w:t>
      </w:r>
    </w:p>
    <w:p w:rsidR="005600FF" w:rsidRDefault="005600FF" w:rsidP="004F39BB">
      <w:pPr>
        <w:numPr>
          <w:ilvl w:val="0"/>
          <w:numId w:val="65"/>
        </w:numPr>
        <w:overflowPunct w:val="0"/>
        <w:autoSpaceDE w:val="0"/>
        <w:autoSpaceDN w:val="0"/>
        <w:adjustRightInd w:val="0"/>
        <w:textAlignment w:val="baseline"/>
        <w:rPr>
          <w:rFonts w:eastAsia="SimSun"/>
        </w:rPr>
      </w:pPr>
      <w:r w:rsidRPr="00EE51B1">
        <w:rPr>
          <w:rFonts w:eastAsia="SimSun"/>
        </w:rPr>
        <w:t xml:space="preserve">Оценка статуса кандидата в реципиенты согласно определению индекса Карновского и </w:t>
      </w:r>
      <w:r w:rsidRPr="00C07B2E">
        <w:rPr>
          <w:rFonts w:eastAsia="SimSun"/>
          <w:lang w:val="en-US"/>
        </w:rPr>
        <w:t>ECOG</w:t>
      </w:r>
      <w:r w:rsidRPr="00EE51B1">
        <w:rPr>
          <w:rFonts w:eastAsia="SimSun"/>
        </w:rPr>
        <w:t xml:space="preserve"> </w:t>
      </w:r>
    </w:p>
    <w:p w:rsidR="005600FF" w:rsidRPr="00EE51B1" w:rsidRDefault="005600FF" w:rsidP="004F39BB">
      <w:pPr>
        <w:numPr>
          <w:ilvl w:val="0"/>
          <w:numId w:val="65"/>
        </w:numPr>
        <w:overflowPunct w:val="0"/>
        <w:autoSpaceDE w:val="0"/>
        <w:autoSpaceDN w:val="0"/>
        <w:adjustRightInd w:val="0"/>
        <w:textAlignment w:val="baseline"/>
        <w:rPr>
          <w:rFonts w:eastAsia="SimSun"/>
        </w:rPr>
      </w:pPr>
      <w:r w:rsidRPr="00EE51B1">
        <w:rPr>
          <w:rFonts w:eastAsia="SimSun"/>
        </w:rPr>
        <w:t xml:space="preserve">Оценка психологического статуса, отсутствие обострения психических заболеваний. </w:t>
      </w:r>
    </w:p>
    <w:p w:rsidR="005600FF" w:rsidRPr="00EE51B1" w:rsidRDefault="005600FF" w:rsidP="004F39BB">
      <w:pPr>
        <w:numPr>
          <w:ilvl w:val="0"/>
          <w:numId w:val="65"/>
        </w:numPr>
        <w:overflowPunct w:val="0"/>
        <w:autoSpaceDE w:val="0"/>
        <w:autoSpaceDN w:val="0"/>
        <w:adjustRightInd w:val="0"/>
        <w:textAlignment w:val="baseline"/>
        <w:rPr>
          <w:rFonts w:eastAsia="SimSun"/>
        </w:rPr>
      </w:pPr>
      <w:r w:rsidRPr="00EE51B1">
        <w:rPr>
          <w:rFonts w:eastAsia="SimSun"/>
        </w:rPr>
        <w:t>Оценка функционального состояния почек: концентрация креатинина сыворотки &lt;</w:t>
      </w:r>
      <w:r w:rsidRPr="00C07B2E">
        <w:rPr>
          <w:rFonts w:eastAsia="SimSun"/>
          <w:lang w:val="en-US"/>
        </w:rPr>
        <w:t> </w:t>
      </w:r>
      <w:r w:rsidRPr="00EE51B1">
        <w:rPr>
          <w:rFonts w:eastAsia="SimSun"/>
        </w:rPr>
        <w:t>177 мкмоль/л (&lt;</w:t>
      </w:r>
      <w:r w:rsidRPr="00C07B2E">
        <w:rPr>
          <w:rFonts w:eastAsia="SimSun"/>
        </w:rPr>
        <w:t> </w:t>
      </w:r>
      <w:r w:rsidRPr="00EE51B1">
        <w:rPr>
          <w:rFonts w:eastAsia="SimSun"/>
        </w:rPr>
        <w:t>2 мг/дл) или клиренс креатинина &gt;</w:t>
      </w:r>
      <w:r w:rsidRPr="00C07B2E">
        <w:rPr>
          <w:rFonts w:eastAsia="SimSun"/>
          <w:lang w:val="en-US"/>
        </w:rPr>
        <w:t> </w:t>
      </w:r>
      <w:r w:rsidRPr="00EE51B1">
        <w:rPr>
          <w:rFonts w:eastAsia="SimSun"/>
        </w:rPr>
        <w:t>50 мл/мин/1,73 м</w:t>
      </w:r>
      <w:r w:rsidRPr="00EE51B1">
        <w:rPr>
          <w:rFonts w:eastAsia="SimSun"/>
          <w:vertAlign w:val="superscript"/>
        </w:rPr>
        <w:t>2</w:t>
      </w:r>
      <w:r w:rsidRPr="00EE51B1">
        <w:rPr>
          <w:rFonts w:eastAsia="SimSun"/>
        </w:rPr>
        <w:t>.</w:t>
      </w:r>
    </w:p>
    <w:p w:rsidR="005600FF" w:rsidRPr="00C07B2E" w:rsidRDefault="005600FF" w:rsidP="004F39BB">
      <w:pPr>
        <w:numPr>
          <w:ilvl w:val="0"/>
          <w:numId w:val="65"/>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сердечной деятельности: фракция выброса левого желудочка &gt; 35% по </w:t>
      </w:r>
      <w:r w:rsidRPr="00C07B2E">
        <w:rPr>
          <w:rFonts w:eastAsia="SimSun"/>
          <w:lang w:val="en-US"/>
        </w:rPr>
        <w:t>Simpson</w:t>
      </w:r>
      <w:r w:rsidRPr="00C07B2E">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C07B2E">
        <w:rPr>
          <w:rFonts w:eastAsia="SimSun"/>
          <w:lang w:val="en-US"/>
        </w:rPr>
        <w:t>IV</w:t>
      </w:r>
      <w:r w:rsidRPr="00C07B2E">
        <w:rPr>
          <w:rFonts w:eastAsia="SimSun"/>
        </w:rPr>
        <w:t>–</w:t>
      </w:r>
      <w:r w:rsidRPr="00C07B2E">
        <w:rPr>
          <w:rFonts w:eastAsia="SimSun"/>
          <w:lang w:val="en-US"/>
        </w:rPr>
        <w:t>V</w:t>
      </w:r>
      <w:r w:rsidRPr="00C07B2E">
        <w:rPr>
          <w:rFonts w:eastAsia="SimSun"/>
        </w:rPr>
        <w:t xml:space="preserve"> градаций по </w:t>
      </w:r>
      <w:r w:rsidRPr="00C07B2E">
        <w:rPr>
          <w:rFonts w:eastAsia="SimSun"/>
          <w:lang w:val="en-US"/>
        </w:rPr>
        <w:t>Lawn</w:t>
      </w:r>
      <w:r w:rsidRPr="00C07B2E">
        <w:rPr>
          <w:rFonts w:eastAsia="SimSun"/>
        </w:rPr>
        <w:t>—</w:t>
      </w:r>
      <w:r w:rsidRPr="00C07B2E">
        <w:rPr>
          <w:rFonts w:eastAsia="SimSun"/>
          <w:lang w:val="en-US"/>
        </w:rPr>
        <w:t>Wolf</w:t>
      </w:r>
      <w:r w:rsidRPr="00C07B2E">
        <w:rPr>
          <w:rFonts w:eastAsia="SimSun"/>
        </w:rPr>
        <w:t xml:space="preserve">). </w:t>
      </w:r>
    </w:p>
    <w:p w:rsidR="005600FF" w:rsidRPr="00C07B2E" w:rsidRDefault="005600FF" w:rsidP="004F39BB">
      <w:pPr>
        <w:numPr>
          <w:ilvl w:val="0"/>
          <w:numId w:val="65"/>
        </w:numPr>
        <w:overflowPunct w:val="0"/>
        <w:autoSpaceDE w:val="0"/>
        <w:autoSpaceDN w:val="0"/>
        <w:adjustRightInd w:val="0"/>
        <w:textAlignment w:val="baseline"/>
        <w:rPr>
          <w:rFonts w:eastAsia="SimSun"/>
        </w:rPr>
      </w:pPr>
      <w:r w:rsidRPr="00C07B2E">
        <w:rPr>
          <w:rFonts w:eastAsia="SimSun"/>
        </w:rPr>
        <w:t>Оценка функционального состояния легких: ОФВ1 ≥ 80%; по возможности определяют скорректированную диффузионную способность легких (DLCO), которая должна быть &gt; 35% должного.</w:t>
      </w:r>
    </w:p>
    <w:p w:rsidR="005600FF" w:rsidRPr="00C07B2E" w:rsidRDefault="005600FF" w:rsidP="004F39BB">
      <w:pPr>
        <w:numPr>
          <w:ilvl w:val="0"/>
          <w:numId w:val="65"/>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печени: </w:t>
      </w:r>
    </w:p>
    <w:p w:rsidR="005600FF" w:rsidRPr="00C07B2E" w:rsidRDefault="005600FF" w:rsidP="004F39BB">
      <w:pPr>
        <w:numPr>
          <w:ilvl w:val="1"/>
          <w:numId w:val="65"/>
        </w:numPr>
        <w:overflowPunct w:val="0"/>
        <w:autoSpaceDE w:val="0"/>
        <w:autoSpaceDN w:val="0"/>
        <w:adjustRightInd w:val="0"/>
        <w:textAlignment w:val="baseline"/>
      </w:pPr>
      <w:r w:rsidRPr="00C07B2E">
        <w:t>концентрация общего билирубина ≤ 22 мкмоль/л (за исключением доказанного синдрома Жильбера);</w:t>
      </w:r>
    </w:p>
    <w:p w:rsidR="005600FF" w:rsidRPr="00EE51B1" w:rsidRDefault="005600FF" w:rsidP="004F39BB">
      <w:pPr>
        <w:numPr>
          <w:ilvl w:val="1"/>
          <w:numId w:val="65"/>
        </w:numPr>
        <w:overflowPunct w:val="0"/>
        <w:autoSpaceDE w:val="0"/>
        <w:autoSpaceDN w:val="0"/>
        <w:adjustRightInd w:val="0"/>
        <w:textAlignment w:val="baseline"/>
      </w:pPr>
      <w:r w:rsidRPr="00C07B2E">
        <w:t>концентрация общего билирубина ≤ 30 мкмоль/л (за исключением доказанного синдрома Жильбера)</w:t>
      </w:r>
      <w:r w:rsidRPr="00EE51B1">
        <w:t>.</w:t>
      </w:r>
    </w:p>
    <w:p w:rsidR="005600FF" w:rsidRDefault="005600FF" w:rsidP="005600FF">
      <w:pPr>
        <w:rPr>
          <w:rFonts w:eastAsia="SimSun"/>
        </w:rPr>
      </w:pPr>
      <w:bookmarkStart w:id="120" w:name="_Toc44401108"/>
    </w:p>
    <w:p w:rsidR="005600FF" w:rsidRPr="00EE51B1" w:rsidRDefault="005600FF" w:rsidP="005600FF">
      <w:pPr>
        <w:rPr>
          <w:rFonts w:eastAsia="SimSun"/>
          <w:i/>
          <w:u w:val="single"/>
        </w:rPr>
      </w:pPr>
      <w:r w:rsidRPr="00EE51B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120"/>
      <w:r w:rsidRPr="00EE51B1">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sidRPr="00EE51B1">
        <w:rPr>
          <w:rFonts w:eastAsia="SimSun"/>
          <w:i/>
          <w:u w:val="single"/>
        </w:rPr>
        <w:t>:</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 xml:space="preserve">Иммунодепрессивное состояние: нейтропения, лимфопения с концентрацией </w:t>
      </w:r>
      <w:r w:rsidRPr="00C07B2E">
        <w:rPr>
          <w:rFonts w:eastAsia="SimSun"/>
          <w:lang w:val="en-US"/>
        </w:rPr>
        <w:t>CD</w:t>
      </w:r>
      <w:r w:rsidRPr="00C07B2E">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Перенесенные заболевания в том числе (</w:t>
      </w:r>
      <w:r w:rsidRPr="00C07B2E">
        <w:rPr>
          <w:rFonts w:eastAsia="SimSun"/>
          <w:lang w:val="en-US"/>
        </w:rPr>
        <w:t>COVID</w:t>
      </w:r>
      <w:r w:rsidRPr="00C07B2E">
        <w:rPr>
          <w:rFonts w:eastAsia="SimSun"/>
        </w:rPr>
        <w:t>-19, туберкулез, вирусные гепатиты)</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Наличие донорспецифичных анти-</w:t>
      </w:r>
      <w:r w:rsidRPr="00C07B2E">
        <w:rPr>
          <w:rFonts w:eastAsia="SimSun"/>
          <w:lang w:val="en-US"/>
        </w:rPr>
        <w:t>HLA</w:t>
      </w:r>
      <w:r w:rsidRPr="00C07B2E">
        <w:rPr>
          <w:rFonts w:eastAsia="SimSun"/>
        </w:rPr>
        <w:t xml:space="preserve">-антител у реципиента при неродственной частично совместимой или гаплоидентичной ТГСК </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Тромботические, геморрагические события на этапе предшествующей терапии и причины при их верификации</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 xml:space="preserve">Трансфузионный анамнез, наличие данных за рефрактерность к трансфузиям компонентов донорской крови. </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Наличие врожденных или приобретенных пороков</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Наличие протезов, имплантатов и биоматериалов.</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Наличие хронических заболеваний и их стадия.</w:t>
      </w:r>
    </w:p>
    <w:p w:rsidR="005600FF" w:rsidRPr="00470D3D" w:rsidRDefault="005600FF" w:rsidP="004F39BB">
      <w:pPr>
        <w:numPr>
          <w:ilvl w:val="0"/>
          <w:numId w:val="66"/>
        </w:numPr>
        <w:overflowPunct w:val="0"/>
        <w:autoSpaceDE w:val="0"/>
        <w:autoSpaceDN w:val="0"/>
        <w:adjustRightInd w:val="0"/>
        <w:textAlignment w:val="baseline"/>
        <w:rPr>
          <w:rFonts w:eastAsia="SimSun"/>
        </w:rPr>
      </w:pPr>
      <w:r w:rsidRPr="00470D3D">
        <w:rPr>
          <w:rFonts w:eastAsia="SimSun"/>
        </w:rPr>
        <w:t>Информация о лечении зубов в течение последних 6 мес</w:t>
      </w:r>
      <w:r>
        <w:rPr>
          <w:rFonts w:eastAsia="SimSun"/>
        </w:rPr>
        <w:t>,</w:t>
      </w:r>
      <w:r w:rsidRPr="00470D3D">
        <w:rPr>
          <w:rFonts w:eastAsia="SimSun"/>
        </w:rPr>
        <w:t>, при отсутствии информации</w:t>
      </w:r>
      <w:r w:rsidRPr="00C07B2E">
        <w:rPr>
          <w:rFonts w:eastAsia="SimSun"/>
        </w:rPr>
        <w:t> </w:t>
      </w:r>
      <w:r w:rsidRPr="00470D3D">
        <w:rPr>
          <w:rFonts w:eastAsia="SimSun"/>
        </w:rPr>
        <w:t>— обязательно осмотр стоматолога.</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Консультация гинеколога для женщин с целью выявления риска дисфункциональных маточных кровотечений/перименопаузального статуса.</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Эпилептическая активность подтвержденная результатами ЭЭГ</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w:t>
      </w:r>
    </w:p>
    <w:p w:rsidR="005600FF" w:rsidRPr="00C07B2E" w:rsidRDefault="005600FF" w:rsidP="004F39BB">
      <w:pPr>
        <w:numPr>
          <w:ilvl w:val="0"/>
          <w:numId w:val="66"/>
        </w:numPr>
        <w:overflowPunct w:val="0"/>
        <w:autoSpaceDE w:val="0"/>
        <w:autoSpaceDN w:val="0"/>
        <w:adjustRightInd w:val="0"/>
        <w:textAlignment w:val="baseline"/>
        <w:rPr>
          <w:rFonts w:eastAsia="SimSun"/>
        </w:rPr>
      </w:pPr>
      <w:bookmarkStart w:id="121" w:name="_Toc44401109"/>
      <w:r w:rsidRPr="00C07B2E">
        <w:rPr>
          <w:rFonts w:eastAsia="SimSun"/>
        </w:rPr>
        <w:t>Критерии, при наличии которых выполнение алло-ТГСК противопоказано</w:t>
      </w:r>
      <w:bookmarkEnd w:id="121"/>
      <w:r w:rsidRPr="00C07B2E">
        <w:rPr>
          <w:rFonts w:eastAsia="SimSun"/>
        </w:rPr>
        <w:t xml:space="preserve"> </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Беременность</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lastRenderedPageBreak/>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rPr>
        <w:t>Наличие любой неконтролируемой инфекции.</w:t>
      </w:r>
    </w:p>
    <w:p w:rsidR="005600FF" w:rsidRPr="00C07B2E" w:rsidRDefault="005600FF" w:rsidP="004F39BB">
      <w:pPr>
        <w:numPr>
          <w:ilvl w:val="0"/>
          <w:numId w:val="66"/>
        </w:numPr>
        <w:overflowPunct w:val="0"/>
        <w:autoSpaceDE w:val="0"/>
        <w:autoSpaceDN w:val="0"/>
        <w:adjustRightInd w:val="0"/>
        <w:textAlignment w:val="baseline"/>
        <w:rPr>
          <w:rFonts w:eastAsia="SimSun"/>
        </w:rPr>
      </w:pPr>
      <w:r w:rsidRPr="00C07B2E">
        <w:rPr>
          <w:rFonts w:eastAsia="SimSun"/>
          <w:u w:val="single"/>
        </w:rPr>
        <w:t>Другие</w:t>
      </w:r>
      <w:r w:rsidRPr="00C07B2E">
        <w:rPr>
          <w:rFonts w:eastAsia="SimSun"/>
        </w:rPr>
        <w:t xml:space="preserve"> онкологические заболевания различных стадий и локализаций вне ремиссии.</w:t>
      </w:r>
    </w:p>
    <w:p w:rsidR="005600FF" w:rsidRDefault="005600FF" w:rsidP="005600FF">
      <w:pPr>
        <w:rPr>
          <w:rFonts w:eastAsia="SimSun"/>
        </w:rPr>
      </w:pPr>
      <w:bookmarkStart w:id="122" w:name="_Toc44401110"/>
    </w:p>
    <w:p w:rsidR="005600FF" w:rsidRPr="00470D3D" w:rsidRDefault="005600FF" w:rsidP="005600FF">
      <w:pPr>
        <w:rPr>
          <w:rFonts w:eastAsia="SimSun"/>
          <w:i/>
          <w:u w:val="single"/>
        </w:rPr>
      </w:pPr>
      <w:bookmarkStart w:id="123" w:name="_Toc44401124"/>
      <w:r w:rsidRPr="00470D3D">
        <w:rPr>
          <w:rFonts w:eastAsia="SimSun"/>
          <w:i/>
          <w:u w:val="single"/>
        </w:rPr>
        <w:t>Список лабораторных и инструментальных исследований для обследования кандидатов на алло-ТГСК</w:t>
      </w:r>
      <w:bookmarkEnd w:id="123"/>
      <w:r w:rsidRPr="00470D3D">
        <w:rPr>
          <w:rFonts w:eastAsia="SimSun"/>
          <w:i/>
          <w:u w:val="single"/>
        </w:rPr>
        <w:t xml:space="preserve"> </w:t>
      </w:r>
      <w:r w:rsidRPr="00470D3D">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470D3D">
        <w:rPr>
          <w:rFonts w:eastAsia="SimSun"/>
          <w:i/>
          <w:u w:val="single"/>
        </w:rPr>
        <w:fldChar w:fldCharType="separate"/>
      </w:r>
      <w:r w:rsidR="003524A5" w:rsidRPr="003524A5">
        <w:rPr>
          <w:rFonts w:eastAsia="SimSun"/>
          <w:noProof/>
        </w:rPr>
        <w:t>[85]</w:t>
      </w:r>
      <w:r w:rsidRPr="00470D3D">
        <w:rPr>
          <w:rFonts w:eastAsia="SimSun"/>
          <w:i/>
          <w:u w:val="single"/>
        </w:rPr>
        <w:fldChar w:fldCharType="end"/>
      </w:r>
      <w:r>
        <w:rPr>
          <w:rFonts w:eastAsia="SimSun"/>
          <w:i/>
          <w:u w:val="single"/>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Общеклинический анализ крови с лейкоцитарной формулой</w:t>
      </w:r>
      <w:r w:rsidRPr="00667474">
        <w:rPr>
          <w:rStyle w:val="af5"/>
        </w:rPr>
        <w:footnoteReference w:id="2"/>
      </w:r>
      <w:r w:rsidRPr="00470D3D">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Биохимический анализ крови (общий белок, альбумин, глобулин, общий холестерин, мочевая кислота, креатинин, мочевина, билирубин и его фракции, АЛТ, АСТ, щелочная фосфатаза, ГГТП, ЛДГ, ферритин)</w:t>
      </w:r>
      <w:r w:rsidRPr="00667474">
        <w:rPr>
          <w:rStyle w:val="af5"/>
        </w:rPr>
        <w:footnoteReference w:id="3"/>
      </w:r>
      <w:r w:rsidRPr="00470D3D">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Коагулограмма (АЧТВ, фибриноген, ПТИ по Квику, МНО)</w:t>
      </w:r>
      <w:r w:rsidRPr="00667474">
        <w:rPr>
          <w:rStyle w:val="af5"/>
        </w:rPr>
        <w:footnoteReference w:id="4"/>
      </w:r>
      <w:r w:rsidRPr="00470D3D">
        <w:rPr>
          <w:rFonts w:eastAsia="SimSun"/>
        </w:rPr>
        <w:t>.</w:t>
      </w:r>
    </w:p>
    <w:p w:rsidR="005600FF" w:rsidRPr="00C07B2E" w:rsidRDefault="005600FF" w:rsidP="004F39BB">
      <w:pPr>
        <w:numPr>
          <w:ilvl w:val="0"/>
          <w:numId w:val="72"/>
        </w:numPr>
        <w:overflowPunct w:val="0"/>
        <w:autoSpaceDE w:val="0"/>
        <w:autoSpaceDN w:val="0"/>
        <w:adjustRightInd w:val="0"/>
        <w:textAlignment w:val="baseline"/>
        <w:rPr>
          <w:rFonts w:eastAsia="SimSun"/>
        </w:rPr>
      </w:pPr>
      <w:r w:rsidRPr="00C07B2E">
        <w:rPr>
          <w:rFonts w:eastAsia="SimSun"/>
        </w:rPr>
        <w:t>Глюкоза венозной крови натощак</w:t>
      </w:r>
      <w:r w:rsidRPr="00667474">
        <w:rPr>
          <w:rStyle w:val="af5"/>
        </w:rPr>
        <w:footnoteReference w:id="5"/>
      </w:r>
      <w:r w:rsidRPr="00C07B2E">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 xml:space="preserve">Серологические исследования гемотрансмиссивных инфекций (антитела к ВИЧ, </w:t>
      </w:r>
      <w:r w:rsidRPr="00C07B2E">
        <w:rPr>
          <w:rFonts w:eastAsia="SimSun"/>
        </w:rPr>
        <w:t>HB</w:t>
      </w:r>
      <w:r w:rsidRPr="00C07B2E">
        <w:rPr>
          <w:rFonts w:eastAsia="SimSun"/>
          <w:lang w:val="en-US"/>
        </w:rPr>
        <w:t>sAg</w:t>
      </w:r>
      <w:r w:rsidRPr="00470D3D">
        <w:rPr>
          <w:rFonts w:eastAsia="SimSun"/>
        </w:rPr>
        <w:t xml:space="preserve"> качественно, антитела к </w:t>
      </w:r>
      <w:r w:rsidRPr="00C07B2E">
        <w:rPr>
          <w:rFonts w:eastAsia="SimSun"/>
        </w:rPr>
        <w:t>HB</w:t>
      </w:r>
      <w:r w:rsidRPr="00C07B2E">
        <w:rPr>
          <w:rFonts w:eastAsia="SimSun"/>
          <w:lang w:val="en-US"/>
        </w:rPr>
        <w:t>sAg</w:t>
      </w:r>
      <w:r w:rsidRPr="00470D3D">
        <w:rPr>
          <w:rFonts w:eastAsia="SimSun"/>
        </w:rPr>
        <w:t xml:space="preserve"> качественно и количественно, анти-НВсо</w:t>
      </w:r>
      <w:r w:rsidRPr="00C07B2E">
        <w:rPr>
          <w:rFonts w:eastAsia="SimSun"/>
        </w:rPr>
        <w:t>r</w:t>
      </w:r>
      <w:r w:rsidRPr="00470D3D">
        <w:rPr>
          <w:rFonts w:eastAsia="SimSun"/>
        </w:rPr>
        <w:t xml:space="preserve"> качественно, </w:t>
      </w:r>
      <w:r w:rsidRPr="00C07B2E">
        <w:rPr>
          <w:rFonts w:eastAsia="SimSun"/>
          <w:lang w:val="en-US"/>
        </w:rPr>
        <w:t>HBeAg</w:t>
      </w:r>
      <w:r w:rsidRPr="00470D3D">
        <w:rPr>
          <w:rFonts w:eastAsia="SimSun"/>
        </w:rPr>
        <w:t xml:space="preserve"> качественно, анти-</w:t>
      </w:r>
      <w:r w:rsidRPr="00C07B2E">
        <w:rPr>
          <w:rFonts w:eastAsia="SimSun"/>
          <w:lang w:val="en-US"/>
        </w:rPr>
        <w:t>HBeAg</w:t>
      </w:r>
      <w:r w:rsidRPr="00470D3D">
        <w:rPr>
          <w:rFonts w:eastAsia="SimSun"/>
        </w:rPr>
        <w:t>, на сифилис)</w:t>
      </w:r>
      <w:r w:rsidRPr="00667474">
        <w:rPr>
          <w:rStyle w:val="af5"/>
        </w:rPr>
        <w:footnoteReference w:id="6"/>
      </w:r>
      <w:r w:rsidRPr="00470D3D">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Серологические исследования герпесвирусов (</w:t>
      </w:r>
      <w:r w:rsidRPr="00C07B2E">
        <w:rPr>
          <w:rFonts w:eastAsia="SimSun"/>
          <w:lang w:val="en-US"/>
        </w:rPr>
        <w:t>IgG</w:t>
      </w:r>
      <w:r w:rsidRPr="00470D3D">
        <w:rPr>
          <w:rFonts w:eastAsia="SimSun"/>
        </w:rPr>
        <w:t xml:space="preserve"> и </w:t>
      </w:r>
      <w:r w:rsidRPr="00C07B2E">
        <w:rPr>
          <w:rFonts w:eastAsia="SimSun"/>
          <w:lang w:val="en-US"/>
        </w:rPr>
        <w:t>IgM</w:t>
      </w:r>
      <w:r w:rsidRPr="00470D3D">
        <w:rPr>
          <w:rFonts w:eastAsia="SimSun"/>
        </w:rPr>
        <w:t xml:space="preserve"> к </w:t>
      </w:r>
      <w:r w:rsidRPr="00C07B2E">
        <w:rPr>
          <w:rFonts w:eastAsia="SimSun"/>
          <w:lang w:val="en-US"/>
        </w:rPr>
        <w:t>CMV</w:t>
      </w:r>
      <w:r w:rsidRPr="00470D3D">
        <w:rPr>
          <w:rFonts w:eastAsia="SimSun"/>
        </w:rPr>
        <w:t>, вирусу Эпштейна—Барр, герпесу простого герпеса и герпеса 6 типа) и токсоплазме (при возможности)</w:t>
      </w:r>
      <w:r w:rsidRPr="00667474">
        <w:rPr>
          <w:rStyle w:val="af5"/>
        </w:rPr>
        <w:footnoteReference w:id="7"/>
      </w:r>
      <w:r w:rsidRPr="00470D3D">
        <w:rPr>
          <w:rFonts w:eastAsia="SimSun"/>
        </w:rPr>
        <w:t xml:space="preserve">. </w:t>
      </w:r>
    </w:p>
    <w:p w:rsidR="005600FF" w:rsidRPr="00C07B2E"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 xml:space="preserve">Определение ДНК вируса гепатита В и РНК вируса гепатита С с помощью </w:t>
      </w:r>
      <w:r w:rsidRPr="00C07B2E">
        <w:rPr>
          <w:rFonts w:eastAsia="SimSun"/>
        </w:rPr>
        <w:t>ПЦР (качественно, в случае выявления — количественно)</w:t>
      </w:r>
      <w:r w:rsidRPr="00667474">
        <w:rPr>
          <w:rStyle w:val="af5"/>
        </w:rPr>
        <w:footnoteReference w:id="8"/>
      </w:r>
      <w:r w:rsidRPr="00C07B2E">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lastRenderedPageBreak/>
        <w:t>Исследования по определению статуса основного заболевания</w:t>
      </w:r>
      <w:r w:rsidRPr="00667474">
        <w:rPr>
          <w:rStyle w:val="af5"/>
        </w:rPr>
        <w:footnoteReference w:id="9"/>
      </w:r>
      <w:r w:rsidRPr="00470D3D">
        <w:rPr>
          <w:rFonts w:eastAsia="SimSun"/>
        </w:rPr>
        <w:t>. Для пациентов с острыми лейкозами обязательна люмбальная пункция с интратекальным введением химиопрепаратов.</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КТ органов грудной клетки (с записью на электронный носитель)</w:t>
      </w:r>
      <w:r w:rsidRPr="00667474">
        <w:rPr>
          <w:rStyle w:val="af5"/>
        </w:rPr>
        <w:footnoteReference w:id="10"/>
      </w:r>
      <w:r w:rsidRPr="00470D3D">
        <w:rPr>
          <w:rFonts w:eastAsia="SimSun"/>
        </w:rPr>
        <w:t xml:space="preserve">.КТ других областей при необходимости </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ПЭТ-КТ (при необходимости – в соответствии с клиническими рекомендациями (протоколами лечения) )</w:t>
      </w:r>
      <w:r w:rsidRPr="00667474">
        <w:rPr>
          <w:rStyle w:val="af5"/>
        </w:rPr>
        <w:footnoteReference w:id="11"/>
      </w:r>
      <w:r w:rsidRPr="00470D3D">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МРТ головного мозга при наличии показаний (с записью на электронный носитель)</w:t>
      </w:r>
      <w:r w:rsidRPr="00667474">
        <w:rPr>
          <w:rStyle w:val="af5"/>
        </w:rPr>
        <w:footnoteReference w:id="12"/>
      </w:r>
      <w:r w:rsidRPr="00470D3D">
        <w:rPr>
          <w:rFonts w:eastAsia="SimSun"/>
        </w:rPr>
        <w:t xml:space="preserve">. </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Рентген или КТ пазух носа.</w:t>
      </w:r>
    </w:p>
    <w:p w:rsidR="005600FF" w:rsidRPr="00C07B2E" w:rsidRDefault="005600FF" w:rsidP="004F39BB">
      <w:pPr>
        <w:numPr>
          <w:ilvl w:val="0"/>
          <w:numId w:val="72"/>
        </w:numPr>
        <w:overflowPunct w:val="0"/>
        <w:autoSpaceDE w:val="0"/>
        <w:autoSpaceDN w:val="0"/>
        <w:adjustRightInd w:val="0"/>
        <w:textAlignment w:val="baseline"/>
        <w:rPr>
          <w:rFonts w:eastAsia="SimSun"/>
        </w:rPr>
      </w:pPr>
      <w:r w:rsidRPr="00C07B2E">
        <w:rPr>
          <w:rFonts w:eastAsia="SimSun"/>
        </w:rPr>
        <w:t>УЗИ печени, селезенки, почек</w:t>
      </w:r>
      <w:r w:rsidRPr="00667474">
        <w:rPr>
          <w:rStyle w:val="af5"/>
        </w:rPr>
        <w:footnoteReference w:id="13"/>
      </w:r>
      <w:r w:rsidRPr="00C07B2E">
        <w:rPr>
          <w:rFonts w:eastAsia="SimSun"/>
        </w:rPr>
        <w:t xml:space="preserve">. </w:t>
      </w:r>
    </w:p>
    <w:p w:rsidR="005600FF" w:rsidRPr="00C07B2E" w:rsidRDefault="005600FF" w:rsidP="004F39BB">
      <w:pPr>
        <w:numPr>
          <w:ilvl w:val="0"/>
          <w:numId w:val="72"/>
        </w:numPr>
        <w:overflowPunct w:val="0"/>
        <w:autoSpaceDE w:val="0"/>
        <w:autoSpaceDN w:val="0"/>
        <w:adjustRightInd w:val="0"/>
        <w:textAlignment w:val="baseline"/>
        <w:rPr>
          <w:rFonts w:eastAsia="SimSun"/>
        </w:rPr>
      </w:pPr>
      <w:r w:rsidRPr="00C07B2E">
        <w:rPr>
          <w:rFonts w:eastAsia="SimSun"/>
        </w:rPr>
        <w:t>ЭКГ</w:t>
      </w:r>
      <w:r w:rsidRPr="00667474">
        <w:rPr>
          <w:rStyle w:val="af5"/>
        </w:rPr>
        <w:footnoteReference w:id="14"/>
      </w:r>
      <w:r w:rsidRPr="00C07B2E">
        <w:rPr>
          <w:rFonts w:eastAsia="SimSun"/>
        </w:rPr>
        <w:t>.</w:t>
      </w:r>
    </w:p>
    <w:p w:rsidR="005600FF" w:rsidRPr="00C07B2E" w:rsidRDefault="005600FF" w:rsidP="004F39BB">
      <w:pPr>
        <w:numPr>
          <w:ilvl w:val="0"/>
          <w:numId w:val="72"/>
        </w:numPr>
        <w:overflowPunct w:val="0"/>
        <w:autoSpaceDE w:val="0"/>
        <w:autoSpaceDN w:val="0"/>
        <w:adjustRightInd w:val="0"/>
        <w:textAlignment w:val="baseline"/>
        <w:rPr>
          <w:rFonts w:eastAsia="SimSun"/>
        </w:rPr>
      </w:pPr>
      <w:r>
        <w:rPr>
          <w:rFonts w:eastAsia="SimSun"/>
        </w:rPr>
        <w:t>Т</w:t>
      </w:r>
      <w:r w:rsidRPr="00C07B2E">
        <w:rPr>
          <w:rFonts w:eastAsia="SimSun"/>
        </w:rPr>
        <w:t>рансторакальная ЭхоКГ</w:t>
      </w:r>
      <w:r w:rsidRPr="00667474">
        <w:rPr>
          <w:rStyle w:val="af5"/>
        </w:rPr>
        <w:footnoteReference w:id="15"/>
      </w:r>
      <w:r w:rsidRPr="00C07B2E">
        <w:rPr>
          <w:rFonts w:eastAsia="SimSun"/>
        </w:rPr>
        <w:t>.</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Исследование функции внешнего дыхания с оценкой ОФВ1 и/или скорректированной диффузионной способности легких (</w:t>
      </w:r>
      <w:r w:rsidRPr="00C07B2E">
        <w:rPr>
          <w:rFonts w:eastAsia="SimSun"/>
        </w:rPr>
        <w:t>DLCO</w:t>
      </w:r>
      <w:r w:rsidRPr="00470D3D">
        <w:rPr>
          <w:rFonts w:eastAsia="SimSun"/>
        </w:rPr>
        <w:t>) (при возможности)</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ФГДС при наличии в анамнезе язвенных поражений желудка или ДПК</w:t>
      </w:r>
    </w:p>
    <w:p w:rsidR="005600FF" w:rsidRPr="00C07B2E" w:rsidRDefault="005600FF" w:rsidP="004F39BB">
      <w:pPr>
        <w:numPr>
          <w:ilvl w:val="0"/>
          <w:numId w:val="72"/>
        </w:numPr>
        <w:overflowPunct w:val="0"/>
        <w:autoSpaceDE w:val="0"/>
        <w:autoSpaceDN w:val="0"/>
        <w:adjustRightInd w:val="0"/>
        <w:textAlignment w:val="baseline"/>
        <w:rPr>
          <w:rFonts w:eastAsia="SimSun"/>
        </w:rPr>
      </w:pPr>
      <w:r w:rsidRPr="00C07B2E">
        <w:rPr>
          <w:rFonts w:eastAsia="SimSun"/>
        </w:rPr>
        <w:t>ЭЭГ при необходимости</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rPr>
          <w:rFonts w:eastAsia="SimSun"/>
        </w:rPr>
        <w:t>Осмотр специалистов: стоматолог (обязательно), гинеколог (обязательно для женщин), оториноларинголог (по показаниям)</w:t>
      </w:r>
      <w:r w:rsidRPr="00667474">
        <w:rPr>
          <w:rStyle w:val="af5"/>
        </w:rPr>
        <w:footnoteReference w:id="16"/>
      </w:r>
      <w:r w:rsidRPr="00470D3D">
        <w:rPr>
          <w:rFonts w:eastAsia="SimSun"/>
        </w:rPr>
        <w:t xml:space="preserve">. </w:t>
      </w:r>
    </w:p>
    <w:p w:rsidR="005600FF" w:rsidRPr="00470D3D" w:rsidRDefault="005600FF" w:rsidP="004F39BB">
      <w:pPr>
        <w:numPr>
          <w:ilvl w:val="0"/>
          <w:numId w:val="72"/>
        </w:numPr>
        <w:overflowPunct w:val="0"/>
        <w:autoSpaceDE w:val="0"/>
        <w:autoSpaceDN w:val="0"/>
        <w:adjustRightInd w:val="0"/>
        <w:textAlignment w:val="baseline"/>
        <w:rPr>
          <w:rFonts w:eastAsia="SimSun"/>
        </w:rPr>
      </w:pPr>
      <w:r w:rsidRPr="00470D3D">
        <w:t>Определение н</w:t>
      </w:r>
      <w:r w:rsidRPr="00470D3D">
        <w:rPr>
          <w:rFonts w:eastAsia="SimSun"/>
        </w:rPr>
        <w:t>аличия донорспецифичных анти-</w:t>
      </w:r>
      <w:r w:rsidRPr="00C07B2E">
        <w:rPr>
          <w:rFonts w:eastAsia="SimSun"/>
        </w:rPr>
        <w:t>HLA</w:t>
      </w:r>
      <w:r w:rsidRPr="00470D3D">
        <w:rPr>
          <w:rFonts w:eastAsia="SimSun"/>
        </w:rPr>
        <w:t>-антител при неродственной частично совместимой или гаплоидентичной ТГСК (при возможности)</w:t>
      </w:r>
    </w:p>
    <w:p w:rsidR="005600FF" w:rsidRDefault="005600FF" w:rsidP="005600FF">
      <w:pPr>
        <w:rPr>
          <w:rFonts w:eastAsia="SimSun"/>
          <w:i/>
          <w:u w:val="single"/>
        </w:rPr>
      </w:pPr>
    </w:p>
    <w:p w:rsidR="005600FF" w:rsidRPr="00EE51B1" w:rsidRDefault="005600FF" w:rsidP="005600FF">
      <w:pPr>
        <w:rPr>
          <w:rFonts w:eastAsia="SimSun"/>
          <w:i/>
          <w:u w:val="single"/>
        </w:rPr>
      </w:pPr>
      <w:r w:rsidRPr="00EE51B1">
        <w:rPr>
          <w:rFonts w:eastAsia="SimSun"/>
          <w:i/>
          <w:u w:val="single"/>
        </w:rPr>
        <w:t>Алгоритм принятия решения о выполнении алло-ТГСК</w:t>
      </w:r>
      <w:bookmarkEnd w:id="122"/>
      <w:r w:rsidRPr="00EE51B1">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sidRPr="00EE51B1">
        <w:rPr>
          <w:rFonts w:eastAsia="SimSun"/>
          <w:i/>
          <w:u w:val="single"/>
        </w:rPr>
        <w:t xml:space="preserve">: </w:t>
      </w:r>
    </w:p>
    <w:p w:rsidR="005600FF" w:rsidRPr="00C07B2E" w:rsidRDefault="005600FF" w:rsidP="005600FF">
      <w:pPr>
        <w:rPr>
          <w:rFonts w:eastAsia="SimSun"/>
        </w:rPr>
      </w:pPr>
      <w:r w:rsidRPr="00C07B2E">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rsidR="005600FF" w:rsidRPr="00C07B2E" w:rsidRDefault="005600FF" w:rsidP="005600FF">
      <w:pPr>
        <w:rPr>
          <w:rFonts w:eastAsia="SimSun"/>
        </w:rPr>
      </w:pPr>
      <w:r w:rsidRPr="00C07B2E">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rsidR="005600FF" w:rsidRDefault="005600FF" w:rsidP="005600FF">
      <w:pPr>
        <w:rPr>
          <w:rFonts w:eastAsia="SimSun"/>
        </w:rPr>
      </w:pPr>
      <w:bookmarkStart w:id="124" w:name="_Toc44401111"/>
    </w:p>
    <w:p w:rsidR="005600FF" w:rsidRPr="00EE51B1" w:rsidRDefault="005600FF" w:rsidP="005600FF">
      <w:pPr>
        <w:rPr>
          <w:rFonts w:eastAsia="SimSun"/>
          <w:i/>
          <w:u w:val="single"/>
        </w:rPr>
      </w:pPr>
      <w:r w:rsidRPr="00EE51B1">
        <w:rPr>
          <w:rFonts w:eastAsia="SimSun"/>
          <w:i/>
          <w:u w:val="single"/>
        </w:rPr>
        <w:t>Этапы принятия решений о проведении алло-ТГСК</w:t>
      </w:r>
      <w:bookmarkEnd w:id="124"/>
      <w:r w:rsidRPr="00EE51B1">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sidRPr="00EE51B1">
        <w:rPr>
          <w:rFonts w:eastAsia="SimSun"/>
          <w:i/>
          <w:u w:val="single"/>
        </w:rPr>
        <w:t xml:space="preserve">: </w:t>
      </w:r>
    </w:p>
    <w:p w:rsidR="005600FF" w:rsidRPr="00C07B2E" w:rsidRDefault="005600FF" w:rsidP="005600FF">
      <w:pPr>
        <w:rPr>
          <w:rFonts w:eastAsia="SimSun"/>
        </w:rPr>
      </w:pPr>
      <w:r w:rsidRPr="00C07B2E">
        <w:rPr>
          <w:rFonts w:eastAsia="SimSun"/>
        </w:rPr>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C07B2E">
        <w:rPr>
          <w:rFonts w:eastAsia="SimSun"/>
          <w:vertAlign w:val="superscript"/>
        </w:rPr>
        <w:t>1</w:t>
      </w:r>
      <w:r w:rsidRPr="00C07B2E">
        <w:rPr>
          <w:rFonts w:eastAsia="SimSun"/>
        </w:rPr>
        <w:t xml:space="preserve">. 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rsidR="005600FF" w:rsidRPr="00C07B2E" w:rsidRDefault="005600FF" w:rsidP="005600FF">
      <w:pPr>
        <w:rPr>
          <w:rFonts w:eastAsia="SimSun"/>
        </w:rPr>
      </w:pPr>
      <w:r w:rsidRPr="00C07B2E">
        <w:rPr>
          <w:rFonts w:eastAsia="SimSun"/>
        </w:rPr>
        <w:t>Этап 2</w:t>
      </w:r>
      <w:r w:rsidRPr="00C07B2E">
        <w:rPr>
          <w:rFonts w:eastAsia="SimSun"/>
          <w:i/>
        </w:rPr>
        <w:t xml:space="preserve"> — </w:t>
      </w:r>
      <w:r w:rsidRPr="00C07B2E">
        <w:rPr>
          <w:rFonts w:eastAsia="SimSun"/>
        </w:rPr>
        <w:t>получение информации о наличии потенциальных доноров (родственных и неродственных).</w:t>
      </w:r>
    </w:p>
    <w:p w:rsidR="005600FF" w:rsidRPr="00C07B2E" w:rsidRDefault="005600FF" w:rsidP="005600FF">
      <w:pPr>
        <w:rPr>
          <w:rFonts w:eastAsia="SimSun"/>
        </w:rPr>
      </w:pPr>
      <w:r w:rsidRPr="00C07B2E">
        <w:rPr>
          <w:rFonts w:eastAsia="SimSun"/>
        </w:rPr>
        <w:t>Этап 3 — поиск донора (родственного или неродственного) завершен, согласована дата донации.</w:t>
      </w:r>
    </w:p>
    <w:p w:rsidR="005600FF" w:rsidRDefault="005600FF" w:rsidP="005600FF">
      <w:pPr>
        <w:rPr>
          <w:rFonts w:eastAsia="SimSun"/>
        </w:rPr>
      </w:pPr>
      <w:r w:rsidRPr="00C07B2E">
        <w:rPr>
          <w:rFonts w:eastAsia="SimSun"/>
        </w:rPr>
        <w:t xml:space="preserve">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w:t>
      </w:r>
      <w:r w:rsidRPr="00C07B2E">
        <w:rPr>
          <w:rFonts w:eastAsia="SimSun"/>
        </w:rPr>
        <w:lastRenderedPageBreak/>
        <w:t>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rsidR="005600FF" w:rsidRDefault="005600FF" w:rsidP="005600FF">
      <w:pPr>
        <w:rPr>
          <w:rFonts w:eastAsia="SimSun"/>
        </w:rPr>
      </w:pPr>
      <w:bookmarkStart w:id="125" w:name="_Toc44401112"/>
    </w:p>
    <w:p w:rsidR="005600FF" w:rsidRPr="00EE51B1" w:rsidRDefault="005600FF" w:rsidP="005600FF">
      <w:pPr>
        <w:rPr>
          <w:rFonts w:eastAsia="SimSun"/>
          <w:b/>
        </w:rPr>
      </w:pPr>
      <w:r w:rsidRPr="00EE51B1">
        <w:rPr>
          <w:rFonts w:eastAsia="SimSun"/>
          <w:b/>
        </w:rPr>
        <w:t>2. Отбор доноров аллогенных ГСК</w:t>
      </w:r>
      <w:bookmarkEnd w:id="125"/>
      <w:r w:rsidRPr="00EE51B1">
        <w:rPr>
          <w:rFonts w:eastAsia="SimSun"/>
          <w:b/>
        </w:rPr>
        <w:t xml:space="preserve"> </w:t>
      </w:r>
    </w:p>
    <w:p w:rsidR="005600FF" w:rsidRPr="00EE51B1" w:rsidRDefault="005600FF" w:rsidP="005600FF">
      <w:pPr>
        <w:rPr>
          <w:rFonts w:eastAsia="SimSun"/>
          <w:i/>
          <w:u w:val="single"/>
        </w:rPr>
      </w:pPr>
      <w:bookmarkStart w:id="126" w:name="_Toc44401114"/>
      <w:r w:rsidRPr="00EE51B1">
        <w:rPr>
          <w:rFonts w:eastAsia="SimSun"/>
          <w:i/>
          <w:u w:val="single"/>
        </w:rPr>
        <w:t>Основные критерии по отбору доноров аллогенных ГСК</w:t>
      </w:r>
      <w:bookmarkEnd w:id="126"/>
      <w:r>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Pr>
          <w:rFonts w:eastAsia="SimSun"/>
          <w:i/>
          <w:u w:val="single"/>
        </w:rPr>
        <w:t>:</w:t>
      </w:r>
      <w:r w:rsidRPr="00EE51B1">
        <w:rPr>
          <w:rFonts w:eastAsia="SimSun"/>
          <w:i/>
          <w:u w:val="single"/>
        </w:rPr>
        <w:t xml:space="preserve"> </w:t>
      </w:r>
    </w:p>
    <w:p w:rsidR="005600FF" w:rsidRPr="00C07B2E" w:rsidRDefault="005600FF" w:rsidP="004F39BB">
      <w:pPr>
        <w:numPr>
          <w:ilvl w:val="0"/>
          <w:numId w:val="67"/>
        </w:numPr>
        <w:overflowPunct w:val="0"/>
        <w:autoSpaceDE w:val="0"/>
        <w:autoSpaceDN w:val="0"/>
        <w:adjustRightInd w:val="0"/>
        <w:textAlignment w:val="baseline"/>
        <w:rPr>
          <w:rFonts w:eastAsia="SimSun"/>
        </w:rPr>
      </w:pPr>
      <w:r w:rsidRPr="00C07B2E">
        <w:rPr>
          <w:rFonts w:eastAsia="SimSun"/>
        </w:rPr>
        <w:t xml:space="preserve">Оценка статуса кандидата в доноры согласно определению индекса Карновского и </w:t>
      </w:r>
      <w:r w:rsidRPr="00C07B2E">
        <w:rPr>
          <w:rFonts w:eastAsia="SimSun"/>
          <w:lang w:val="en-US"/>
        </w:rPr>
        <w:t>ECOG</w:t>
      </w:r>
      <w:r w:rsidRPr="00C07B2E">
        <w:rPr>
          <w:rFonts w:eastAsia="SimSun"/>
        </w:rPr>
        <w:t>-ВОЗ.</w:t>
      </w:r>
    </w:p>
    <w:p w:rsidR="005600FF" w:rsidRPr="00C07B2E" w:rsidRDefault="005600FF" w:rsidP="004F39BB">
      <w:pPr>
        <w:numPr>
          <w:ilvl w:val="0"/>
          <w:numId w:val="67"/>
        </w:numPr>
        <w:overflowPunct w:val="0"/>
        <w:autoSpaceDE w:val="0"/>
        <w:autoSpaceDN w:val="0"/>
        <w:adjustRightInd w:val="0"/>
        <w:textAlignment w:val="baseline"/>
        <w:rPr>
          <w:rFonts w:eastAsia="SimSun"/>
        </w:rPr>
      </w:pPr>
      <w:r w:rsidRPr="00EE51B1">
        <w:rPr>
          <w:rFonts w:eastAsia="SimSun"/>
        </w:rPr>
        <w:t xml:space="preserve">Стандартный возраст кандидата в доноры 18–75 лет. В отдельных случаях в качестве доноров могут выступать несовершеннолетние сиблинги. </w:t>
      </w:r>
      <w:r w:rsidRPr="00C07B2E">
        <w:rPr>
          <w:rFonts w:eastAsia="SimSun"/>
        </w:rPr>
        <w:t>Решение о допуске на донацию в данном случае принимается родителями в соответствии с действующим законадательством РФ.</w:t>
      </w:r>
    </w:p>
    <w:p w:rsidR="005600FF" w:rsidRPr="00C07B2E" w:rsidRDefault="005600FF" w:rsidP="004F39BB">
      <w:pPr>
        <w:numPr>
          <w:ilvl w:val="0"/>
          <w:numId w:val="67"/>
        </w:numPr>
        <w:overflowPunct w:val="0"/>
        <w:autoSpaceDE w:val="0"/>
        <w:autoSpaceDN w:val="0"/>
        <w:adjustRightInd w:val="0"/>
        <w:textAlignment w:val="baseline"/>
        <w:rPr>
          <w:rFonts w:eastAsia="SimSun"/>
        </w:rPr>
      </w:pPr>
      <w:r w:rsidRPr="00C07B2E">
        <w:rPr>
          <w:rFonts w:eastAsia="SimSun"/>
        </w:rPr>
        <w:t xml:space="preserve">Адекватное психологическое состояние (юридическая дееспособность). </w:t>
      </w:r>
    </w:p>
    <w:p w:rsidR="005600FF" w:rsidRPr="00C07B2E" w:rsidRDefault="005600FF" w:rsidP="004F39BB">
      <w:pPr>
        <w:numPr>
          <w:ilvl w:val="0"/>
          <w:numId w:val="67"/>
        </w:numPr>
        <w:overflowPunct w:val="0"/>
        <w:autoSpaceDE w:val="0"/>
        <w:autoSpaceDN w:val="0"/>
        <w:adjustRightInd w:val="0"/>
        <w:textAlignment w:val="baseline"/>
        <w:rPr>
          <w:rFonts w:eastAsia="SimSun"/>
        </w:rPr>
      </w:pPr>
      <w:r w:rsidRPr="00C07B2E">
        <w:rPr>
          <w:rFonts w:eastAsia="SimSun"/>
        </w:rPr>
        <w:t xml:space="preserve">Наличие </w:t>
      </w:r>
      <w:r w:rsidRPr="00C07B2E">
        <w:rPr>
          <w:rFonts w:eastAsia="SimSun"/>
          <w:lang w:val="en-US"/>
        </w:rPr>
        <w:t>HLA</w:t>
      </w:r>
      <w:r w:rsidRPr="00C07B2E">
        <w:rPr>
          <w:rFonts w:eastAsia="SimSun"/>
        </w:rPr>
        <w:t xml:space="preserve">-типирования: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 в котором проводится алло-ТГСК. </w:t>
      </w:r>
    </w:p>
    <w:p w:rsidR="005600FF" w:rsidRPr="00C07B2E" w:rsidRDefault="005600FF" w:rsidP="004F39BB">
      <w:pPr>
        <w:numPr>
          <w:ilvl w:val="0"/>
          <w:numId w:val="67"/>
        </w:numPr>
        <w:overflowPunct w:val="0"/>
        <w:autoSpaceDE w:val="0"/>
        <w:autoSpaceDN w:val="0"/>
        <w:adjustRightInd w:val="0"/>
        <w:textAlignment w:val="baseline"/>
        <w:rPr>
          <w:rFonts w:eastAsia="SimSun"/>
        </w:rPr>
      </w:pPr>
      <w:r w:rsidRPr="00C07B2E">
        <w:rPr>
          <w:rFonts w:eastAsia="SimSun"/>
        </w:rPr>
        <w:t>Оценка статуса по гемотрансмиссивным инфекциям (ВИЧ, вирусные гепатиты с дополнительными маркерами и ПЦР, сифилис) и герпес-вирусам (</w:t>
      </w:r>
      <w:r w:rsidRPr="00C07B2E">
        <w:rPr>
          <w:rFonts w:eastAsia="SimSun"/>
          <w:lang w:val="en-US"/>
        </w:rPr>
        <w:t>IgG</w:t>
      </w:r>
      <w:r w:rsidRPr="00C07B2E">
        <w:rPr>
          <w:rFonts w:eastAsia="SimSun"/>
        </w:rPr>
        <w:t xml:space="preserve"> и </w:t>
      </w:r>
      <w:r w:rsidRPr="00C07B2E">
        <w:rPr>
          <w:rFonts w:eastAsia="SimSun"/>
          <w:lang w:val="en-US"/>
        </w:rPr>
        <w:t>IgM</w:t>
      </w:r>
      <w:r w:rsidRPr="00C07B2E">
        <w:rPr>
          <w:rFonts w:eastAsia="SimSun"/>
        </w:rPr>
        <w:t xml:space="preserve"> к </w:t>
      </w:r>
      <w:r w:rsidRPr="00C07B2E">
        <w:rPr>
          <w:rFonts w:eastAsia="SimSun"/>
          <w:lang w:val="en-US"/>
        </w:rPr>
        <w:t>CMV</w:t>
      </w:r>
      <w:r w:rsidRPr="00C07B2E">
        <w:rPr>
          <w:rFonts w:eastAsia="SimSun"/>
        </w:rPr>
        <w:t xml:space="preserve">, вирусу Эпштейна—Барр). </w:t>
      </w:r>
    </w:p>
    <w:p w:rsidR="005600FF" w:rsidRPr="00C07B2E" w:rsidRDefault="005600FF" w:rsidP="004F39BB">
      <w:pPr>
        <w:numPr>
          <w:ilvl w:val="0"/>
          <w:numId w:val="67"/>
        </w:numPr>
        <w:overflowPunct w:val="0"/>
        <w:autoSpaceDE w:val="0"/>
        <w:autoSpaceDN w:val="0"/>
        <w:adjustRightInd w:val="0"/>
        <w:textAlignment w:val="baseline"/>
        <w:rPr>
          <w:rFonts w:eastAsia="SimSun"/>
        </w:rPr>
      </w:pPr>
      <w:r w:rsidRPr="00C07B2E">
        <w:rPr>
          <w:rFonts w:eastAsia="SimSun"/>
        </w:rPr>
        <w:t>Наличие результатов обследования.</w:t>
      </w:r>
    </w:p>
    <w:p w:rsidR="005600FF" w:rsidRDefault="005600FF" w:rsidP="005600FF">
      <w:pPr>
        <w:rPr>
          <w:rFonts w:eastAsia="SimSun"/>
        </w:rPr>
      </w:pPr>
      <w:bookmarkStart w:id="127" w:name="_Toc44401115"/>
    </w:p>
    <w:p w:rsidR="005600FF" w:rsidRPr="00EE51B1" w:rsidRDefault="005600FF" w:rsidP="005600FF">
      <w:pPr>
        <w:rPr>
          <w:rFonts w:eastAsia="SimSun"/>
          <w:i/>
          <w:u w:val="single"/>
        </w:rPr>
      </w:pPr>
      <w:r w:rsidRPr="00EE51B1">
        <w:rPr>
          <w:rFonts w:eastAsia="SimSun"/>
          <w:i/>
          <w:u w:val="single"/>
        </w:rPr>
        <w:t>Дополнительные критерии по отбору доноров аллогенных ГСК</w:t>
      </w:r>
      <w:bookmarkEnd w:id="127"/>
      <w:r w:rsidRPr="00EE51B1">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Pr>
          <w:rFonts w:eastAsia="SimSun"/>
          <w:i/>
          <w:u w:val="single"/>
        </w:rPr>
        <w:t>:</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Информация об инфекционном статусе. Перенесенных заболеваниях в том числе (</w:t>
      </w:r>
      <w:r w:rsidRPr="00C07B2E">
        <w:rPr>
          <w:rFonts w:eastAsia="SimSun"/>
          <w:lang w:val="en-US"/>
        </w:rPr>
        <w:t>COVID</w:t>
      </w:r>
      <w:r w:rsidRPr="00C07B2E">
        <w:rPr>
          <w:rFonts w:eastAsia="SimSun"/>
        </w:rPr>
        <w:t>-19, туберкулезе, вирусных гепатитах)</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Информация о структурных и врожденных аномалиях, наличии протезированного биоматериала.</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Поездки в страны Юго-Восточной Азии, Африки, Центральной и Южной Америки.</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Информация о наличии хронических заболеваний и их стадии.</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Информация о лечении зубов, переливании компонентов крови, татуировках в течение как минимум 6 мес до донации.</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Количество беременностей и родов в анамнезе.</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lastRenderedPageBreak/>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(на основаниий ИМТ и/или концентрации альбумина в сыворотке крови). </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Оперативные вмешательства в анамнезе</w:t>
      </w:r>
    </w:p>
    <w:p w:rsidR="005600FF" w:rsidRPr="00C07B2E" w:rsidRDefault="005600FF" w:rsidP="004F39BB">
      <w:pPr>
        <w:numPr>
          <w:ilvl w:val="0"/>
          <w:numId w:val="68"/>
        </w:numPr>
        <w:overflowPunct w:val="0"/>
        <w:autoSpaceDE w:val="0"/>
        <w:autoSpaceDN w:val="0"/>
        <w:adjustRightInd w:val="0"/>
        <w:textAlignment w:val="baseline"/>
        <w:rPr>
          <w:rFonts w:eastAsia="SimSun"/>
        </w:rPr>
      </w:pPr>
      <w:r w:rsidRPr="00C07B2E">
        <w:rPr>
          <w:rFonts w:eastAsia="SimSun"/>
        </w:rPr>
        <w:t>Предполагаемая трудная интубация трахеи (для доноров костного мозга)</w:t>
      </w:r>
    </w:p>
    <w:p w:rsidR="005600FF" w:rsidRDefault="005600FF" w:rsidP="005600FF">
      <w:pPr>
        <w:rPr>
          <w:rFonts w:eastAsia="SimSun"/>
        </w:rPr>
      </w:pPr>
      <w:bookmarkStart w:id="128" w:name="_Toc44401116"/>
    </w:p>
    <w:p w:rsidR="005600FF" w:rsidRPr="00470D3D" w:rsidRDefault="005600FF" w:rsidP="005600FF">
      <w:pPr>
        <w:rPr>
          <w:rFonts w:eastAsia="SimSun"/>
          <w:i/>
          <w:u w:val="single"/>
        </w:rPr>
      </w:pPr>
      <w:r w:rsidRPr="00470D3D">
        <w:rPr>
          <w:rFonts w:eastAsia="SimSun"/>
          <w:i/>
          <w:u w:val="single"/>
        </w:rPr>
        <w:t>Противопоказания для донорства</w:t>
      </w:r>
      <w:bookmarkEnd w:id="128"/>
      <w:r>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p>
    <w:p w:rsidR="005600FF" w:rsidRPr="00C07B2E" w:rsidRDefault="005600FF" w:rsidP="005600FF">
      <w:pPr>
        <w:rPr>
          <w:rFonts w:eastAsia="SimSun"/>
        </w:rPr>
      </w:pPr>
      <w:r w:rsidRPr="00C07B2E">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rsidR="005600FF" w:rsidRPr="00C07B2E" w:rsidRDefault="005600FF" w:rsidP="005600FF">
      <w:pPr>
        <w:rPr>
          <w:rFonts w:eastAsia="SimSun"/>
        </w:rPr>
      </w:pPr>
    </w:p>
    <w:p w:rsidR="005600FF" w:rsidRPr="00470D3D" w:rsidRDefault="005600FF" w:rsidP="005600FF">
      <w:pPr>
        <w:rPr>
          <w:bCs/>
          <w:i/>
          <w:u w:val="single"/>
        </w:rPr>
      </w:pPr>
      <w:bookmarkStart w:id="129" w:name="_Toc44401117"/>
      <w:r w:rsidRPr="00470D3D">
        <w:rPr>
          <w:bCs/>
          <w:i/>
          <w:u w:val="single"/>
        </w:rPr>
        <w:t>Абсолютные медицинские  противопоказания</w:t>
      </w:r>
      <w:r>
        <w:rPr>
          <w:bCs/>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sidRPr="00470D3D">
        <w:rPr>
          <w:bCs/>
          <w:i/>
          <w:u w:val="single"/>
        </w:rPr>
        <w:t>:</w:t>
      </w:r>
      <w:bookmarkEnd w:id="129"/>
      <w:r w:rsidRPr="00470D3D">
        <w:rPr>
          <w:bCs/>
          <w:i/>
          <w:u w:val="single"/>
        </w:rPr>
        <w:t xml:space="preserve"> </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инфекционные заболевания в стадии обострения;</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наличие в крови маркеров вируса иммунодефицита человека;</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болезнь Крейтцфельдта-Якоба в анамнезе;</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злокачественные новообразования;</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кахексия;</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терапия иммуносупрессивными лекарственными препаратами или иными лекарственными препаратами, которые могут повлиять на способность к 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психические расстройства и расстройства поведения в состоянии обострения и (или) представляющие опасность для больного и окружающих;</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lastRenderedPageBreak/>
        <w:t>психические расстройства и расстройства поведения, вызванные употреблением психоактивных веществ;</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беременность;</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грудное вскармливание</w:t>
      </w:r>
      <w:r w:rsidRPr="00C07B2E">
        <w:rPr>
          <w:bCs/>
          <w:lang w:val="en-US"/>
        </w:rPr>
        <w:t>;</w:t>
      </w:r>
    </w:p>
    <w:p w:rsidR="005600FF" w:rsidRPr="00C07B2E" w:rsidRDefault="005600FF" w:rsidP="004F39BB">
      <w:pPr>
        <w:numPr>
          <w:ilvl w:val="0"/>
          <w:numId w:val="69"/>
        </w:numPr>
        <w:overflowPunct w:val="0"/>
        <w:autoSpaceDE w:val="0"/>
        <w:autoSpaceDN w:val="0"/>
        <w:adjustRightInd w:val="0"/>
        <w:textAlignment w:val="baseline"/>
        <w:rPr>
          <w:bCs/>
        </w:rPr>
      </w:pPr>
      <w:r w:rsidRPr="00C07B2E">
        <w:rPr>
          <w:bCs/>
        </w:rPr>
        <w:t>отсутствие подписанного донором информированного согласия на забор ГСК или костного мозга</w:t>
      </w:r>
    </w:p>
    <w:p w:rsidR="005600FF" w:rsidRPr="00C07B2E" w:rsidRDefault="005600FF" w:rsidP="005600FF">
      <w:pPr>
        <w:rPr>
          <w:rFonts w:eastAsia="SimSun"/>
        </w:rPr>
      </w:pPr>
    </w:p>
    <w:p w:rsidR="005600FF" w:rsidRPr="00470D3D" w:rsidRDefault="005600FF" w:rsidP="005600FF">
      <w:pPr>
        <w:rPr>
          <w:rFonts w:eastAsia="SimSun"/>
          <w:i/>
          <w:u w:val="single"/>
        </w:rPr>
      </w:pPr>
      <w:bookmarkStart w:id="130" w:name="_Toc44401118"/>
      <w:r w:rsidRPr="00470D3D">
        <w:rPr>
          <w:rFonts w:eastAsia="SimSun"/>
          <w:i/>
          <w:u w:val="single"/>
        </w:rPr>
        <w:t>Относительные медицинские противопоказания</w:t>
      </w:r>
      <w:r>
        <w:rPr>
          <w:rFonts w:eastAsia="SimSun"/>
          <w:i/>
          <w:u w:val="single"/>
        </w:rPr>
        <w:t xml:space="preserve"> </w:t>
      </w:r>
      <w:r w:rsidRPr="00EE51B1">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EE51B1">
        <w:rPr>
          <w:rFonts w:eastAsia="SimSun"/>
          <w:i/>
          <w:u w:val="single"/>
        </w:rPr>
        <w:fldChar w:fldCharType="separate"/>
      </w:r>
      <w:r w:rsidR="003524A5" w:rsidRPr="003524A5">
        <w:rPr>
          <w:rFonts w:eastAsia="SimSun"/>
          <w:noProof/>
        </w:rPr>
        <w:t>[85]</w:t>
      </w:r>
      <w:r w:rsidRPr="00EE51B1">
        <w:rPr>
          <w:rFonts w:eastAsia="SimSun"/>
          <w:i/>
          <w:u w:val="single"/>
        </w:rPr>
        <w:fldChar w:fldCharType="end"/>
      </w:r>
      <w:r w:rsidRPr="00470D3D">
        <w:rPr>
          <w:rFonts w:eastAsia="SimSun"/>
          <w:i/>
          <w:u w:val="single"/>
        </w:rPr>
        <w:t>:</w:t>
      </w:r>
      <w:bookmarkEnd w:id="130"/>
    </w:p>
    <w:p w:rsidR="005600FF" w:rsidRPr="00C07B2E" w:rsidRDefault="005600FF" w:rsidP="004F39BB">
      <w:pPr>
        <w:numPr>
          <w:ilvl w:val="0"/>
          <w:numId w:val="70"/>
        </w:numPr>
        <w:overflowPunct w:val="0"/>
        <w:autoSpaceDE w:val="0"/>
        <w:autoSpaceDN w:val="0"/>
        <w:adjustRightInd w:val="0"/>
        <w:textAlignment w:val="baseline"/>
        <w:rPr>
          <w:rFonts w:eastAsia="SimSun"/>
        </w:rPr>
      </w:pPr>
      <w:r w:rsidRPr="00C07B2E">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rsidR="005600FF" w:rsidRPr="00C07B2E" w:rsidRDefault="005600FF" w:rsidP="004F39BB">
      <w:pPr>
        <w:numPr>
          <w:ilvl w:val="0"/>
          <w:numId w:val="70"/>
        </w:numPr>
        <w:overflowPunct w:val="0"/>
        <w:autoSpaceDE w:val="0"/>
        <w:autoSpaceDN w:val="0"/>
        <w:adjustRightInd w:val="0"/>
        <w:textAlignment w:val="baseline"/>
        <w:rPr>
          <w:rFonts w:eastAsia="SimSun"/>
        </w:rPr>
      </w:pPr>
      <w:r w:rsidRPr="00C07B2E">
        <w:rPr>
          <w:rFonts w:eastAsia="SimSun"/>
        </w:rPr>
        <w:t>доброкачественные новообразования;</w:t>
      </w:r>
    </w:p>
    <w:p w:rsidR="005600FF" w:rsidRPr="00C07B2E" w:rsidRDefault="005600FF" w:rsidP="004F39BB">
      <w:pPr>
        <w:numPr>
          <w:ilvl w:val="0"/>
          <w:numId w:val="70"/>
        </w:numPr>
        <w:overflowPunct w:val="0"/>
        <w:autoSpaceDE w:val="0"/>
        <w:autoSpaceDN w:val="0"/>
        <w:adjustRightInd w:val="0"/>
        <w:textAlignment w:val="baseline"/>
        <w:rPr>
          <w:rFonts w:eastAsia="SimSun"/>
        </w:rPr>
      </w:pPr>
      <w:r w:rsidRPr="00C07B2E">
        <w:rPr>
          <w:rFonts w:eastAsia="SimSun"/>
        </w:rPr>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rsidR="005600FF" w:rsidRPr="00C07B2E" w:rsidRDefault="005600FF" w:rsidP="004F39BB">
      <w:pPr>
        <w:numPr>
          <w:ilvl w:val="0"/>
          <w:numId w:val="70"/>
        </w:numPr>
        <w:overflowPunct w:val="0"/>
        <w:autoSpaceDE w:val="0"/>
        <w:autoSpaceDN w:val="0"/>
        <w:adjustRightInd w:val="0"/>
        <w:textAlignment w:val="baseline"/>
        <w:rPr>
          <w:rFonts w:eastAsia="SimSun"/>
        </w:rPr>
      </w:pPr>
      <w:r w:rsidRPr="00C07B2E">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rsidR="005600FF" w:rsidRPr="00C07B2E" w:rsidRDefault="005600FF" w:rsidP="005600FF">
      <w:pPr>
        <w:rPr>
          <w:rFonts w:eastAsia="SimSun"/>
        </w:rPr>
      </w:pPr>
    </w:p>
    <w:p w:rsidR="005600FF" w:rsidRPr="00470D3D" w:rsidRDefault="005600FF" w:rsidP="005600FF">
      <w:pPr>
        <w:rPr>
          <w:rFonts w:eastAsia="SimSun"/>
          <w:i/>
          <w:u w:val="single"/>
        </w:rPr>
      </w:pPr>
      <w:bookmarkStart w:id="131" w:name="_Toc44401119"/>
      <w:r w:rsidRPr="00470D3D">
        <w:rPr>
          <w:rFonts w:eastAsia="SimSun"/>
          <w:i/>
          <w:u w:val="single"/>
        </w:rPr>
        <w:t>Особые случаи:</w:t>
      </w:r>
      <w:bookmarkEnd w:id="131"/>
    </w:p>
    <w:p w:rsidR="005600FF" w:rsidRPr="00C07B2E" w:rsidRDefault="005600FF" w:rsidP="005600FF">
      <w:pPr>
        <w:rPr>
          <w:rFonts w:eastAsia="SimSun"/>
        </w:rPr>
      </w:pPr>
      <w:r w:rsidRPr="00C07B2E">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rsidR="005600FF" w:rsidRPr="00C07B2E" w:rsidRDefault="005600FF" w:rsidP="004F39BB">
      <w:pPr>
        <w:numPr>
          <w:ilvl w:val="0"/>
          <w:numId w:val="71"/>
        </w:numPr>
        <w:overflowPunct w:val="0"/>
        <w:autoSpaceDE w:val="0"/>
        <w:autoSpaceDN w:val="0"/>
        <w:adjustRightInd w:val="0"/>
        <w:textAlignment w:val="baseline"/>
        <w:rPr>
          <w:rFonts w:eastAsia="SimSun"/>
        </w:rPr>
      </w:pPr>
      <w:r w:rsidRPr="00C07B2E">
        <w:rPr>
          <w:rFonts w:eastAsia="SimSun"/>
        </w:rPr>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rsidR="005600FF" w:rsidRPr="00C07B2E" w:rsidRDefault="005600FF" w:rsidP="004F39BB">
      <w:pPr>
        <w:numPr>
          <w:ilvl w:val="0"/>
          <w:numId w:val="71"/>
        </w:numPr>
        <w:overflowPunct w:val="0"/>
        <w:autoSpaceDE w:val="0"/>
        <w:autoSpaceDN w:val="0"/>
        <w:adjustRightInd w:val="0"/>
        <w:textAlignment w:val="baseline"/>
        <w:rPr>
          <w:rFonts w:eastAsia="SimSun"/>
        </w:rPr>
      </w:pPr>
      <w:r w:rsidRPr="00C07B2E">
        <w:rPr>
          <w:rFonts w:eastAsia="SimSun"/>
        </w:rPr>
        <w:t xml:space="preserve">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w:t>
      </w:r>
      <w:r w:rsidRPr="00C07B2E">
        <w:rPr>
          <w:rFonts w:eastAsia="SimSun"/>
        </w:rPr>
        <w:lastRenderedPageBreak/>
        <w:t>которого выявлены маркеры вирусов гепатитов (за исключением перенесенного гепатита A в анамнезе), сифилиса.</w:t>
      </w:r>
    </w:p>
    <w:p w:rsidR="005600FF" w:rsidRPr="00470D3D" w:rsidRDefault="005600FF" w:rsidP="005600FF">
      <w:pPr>
        <w:rPr>
          <w:rFonts w:eastAsia="SimSun"/>
        </w:rPr>
      </w:pPr>
    </w:p>
    <w:p w:rsidR="005600FF" w:rsidRPr="00470D3D" w:rsidRDefault="005600FF" w:rsidP="005600FF">
      <w:pPr>
        <w:rPr>
          <w:rFonts w:eastAsia="SimSun"/>
          <w:i/>
          <w:u w:val="single"/>
        </w:rPr>
      </w:pPr>
      <w:bookmarkStart w:id="132" w:name="_Toc44401125"/>
      <w:r w:rsidRPr="00470D3D">
        <w:rPr>
          <w:rFonts w:eastAsia="SimSun"/>
          <w:i/>
          <w:u w:val="single"/>
        </w:rPr>
        <w:t>Список лабораторных и инструментальных исследований для обследования кандидатов в доноры</w:t>
      </w:r>
      <w:bookmarkEnd w:id="132"/>
      <w:r w:rsidRPr="00470D3D">
        <w:rPr>
          <w:rFonts w:eastAsia="SimSun"/>
          <w:i/>
          <w:u w:val="single"/>
        </w:rPr>
        <w:t xml:space="preserve"> </w:t>
      </w:r>
      <w:r w:rsidRPr="00470D3D">
        <w:rPr>
          <w:rFonts w:eastAsia="SimSun"/>
          <w:i/>
          <w:u w:val="single"/>
        </w:rPr>
        <w:fldChar w:fldCharType="begin" w:fldLock="1"/>
      </w:r>
      <w:r w:rsidR="003524A5">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[85]","plainTextFormattedCitation":"[85]","previouslyFormattedCitation":"[92]"},"properties":{"noteIndex":0},"schema":"https://github.com/citation-style-language/schema/raw/master/csl-citation.json"}</w:instrText>
      </w:r>
      <w:r w:rsidRPr="00470D3D">
        <w:rPr>
          <w:rFonts w:eastAsia="SimSun"/>
          <w:i/>
          <w:u w:val="single"/>
        </w:rPr>
        <w:fldChar w:fldCharType="separate"/>
      </w:r>
      <w:r w:rsidR="003524A5" w:rsidRPr="003524A5">
        <w:rPr>
          <w:rFonts w:eastAsia="SimSun"/>
          <w:noProof/>
        </w:rPr>
        <w:t>[85]</w:t>
      </w:r>
      <w:r w:rsidRPr="00470D3D">
        <w:rPr>
          <w:rFonts w:eastAsia="SimSun"/>
          <w:i/>
          <w:u w:val="single"/>
        </w:rPr>
        <w:fldChar w:fldCharType="end"/>
      </w:r>
      <w:r>
        <w:rPr>
          <w:rFonts w:eastAsia="SimSun"/>
          <w:i/>
          <w:u w:val="single"/>
        </w:rPr>
        <w:t>:</w:t>
      </w:r>
    </w:p>
    <w:p w:rsidR="005600FF" w:rsidRPr="00C07B2E" w:rsidRDefault="005600FF" w:rsidP="005600FF">
      <w:pPr>
        <w:rPr>
          <w:rFonts w:eastAsia="SimSun"/>
        </w:rPr>
      </w:pPr>
      <w:r w:rsidRPr="00C07B2E">
        <w:rPr>
          <w:rFonts w:eastAsia="SimSun"/>
        </w:rPr>
        <w:t>Общеклинический анализ крови (включая подсчет тромбоцитов)</w:t>
      </w:r>
    </w:p>
    <w:p w:rsidR="005600FF" w:rsidRPr="00C07B2E" w:rsidRDefault="005600FF" w:rsidP="005600FF">
      <w:pPr>
        <w:rPr>
          <w:rFonts w:eastAsia="SimSun"/>
        </w:rPr>
      </w:pPr>
      <w:r w:rsidRPr="00C07B2E">
        <w:rPr>
          <w:rFonts w:eastAsia="SimSun"/>
        </w:rPr>
        <w:t>Биохимический анализ крови (общий белок, альбумин, глобулин, общий холестерин, мочевая кислота, креатинин, мочевина, билирубин и его фракции, АЛТ, АСТ, ЩФ, ГГТП, ЛДГ, сывороточное железо).</w:t>
      </w:r>
    </w:p>
    <w:p w:rsidR="005600FF" w:rsidRPr="00C07B2E" w:rsidRDefault="005600FF" w:rsidP="005600FF">
      <w:pPr>
        <w:rPr>
          <w:rFonts w:eastAsia="SimSun"/>
        </w:rPr>
      </w:pPr>
      <w:r w:rsidRPr="00C07B2E">
        <w:rPr>
          <w:rFonts w:eastAsia="SimSun"/>
        </w:rPr>
        <w:t>Коагулограмма (АЧТВ, фибриноген, ПТИ по Квику, МНО).</w:t>
      </w:r>
    </w:p>
    <w:p w:rsidR="005600FF" w:rsidRPr="00C07B2E" w:rsidRDefault="005600FF" w:rsidP="005600FF">
      <w:pPr>
        <w:rPr>
          <w:rFonts w:eastAsia="SimSun"/>
        </w:rPr>
      </w:pPr>
      <w:r w:rsidRPr="00C07B2E">
        <w:rPr>
          <w:rFonts w:eastAsia="SimSun"/>
        </w:rPr>
        <w:t>Глюкоза венозной крови натощак.</w:t>
      </w:r>
    </w:p>
    <w:p w:rsidR="005600FF" w:rsidRPr="00C07B2E" w:rsidRDefault="005600FF" w:rsidP="005600FF">
      <w:pPr>
        <w:rPr>
          <w:rFonts w:eastAsia="SimSun"/>
        </w:rPr>
      </w:pPr>
      <w:r w:rsidRPr="00C07B2E">
        <w:rPr>
          <w:rFonts w:eastAsia="SimSun"/>
        </w:rPr>
        <w:t>Общий анализ мочи.</w:t>
      </w:r>
    </w:p>
    <w:p w:rsidR="005600FF" w:rsidRPr="00C07B2E" w:rsidRDefault="005600FF" w:rsidP="005600FF">
      <w:pPr>
        <w:rPr>
          <w:rFonts w:eastAsia="SimSun"/>
        </w:rPr>
      </w:pPr>
      <w:r w:rsidRPr="00C07B2E">
        <w:rPr>
          <w:rFonts w:eastAsia="SimSun"/>
        </w:rPr>
        <w:t>Серологические исследования гемотрансмиссивных инфекций (антитела к ВИЧ, HB</w:t>
      </w:r>
      <w:r w:rsidRPr="00C07B2E">
        <w:rPr>
          <w:rFonts w:eastAsia="SimSun"/>
          <w:lang w:val="en-US"/>
        </w:rPr>
        <w:t>sAg</w:t>
      </w:r>
      <w:r w:rsidRPr="00C07B2E">
        <w:rPr>
          <w:rFonts w:eastAsia="SimSun"/>
        </w:rPr>
        <w:t xml:space="preserve"> качественно, антитела к HB</w:t>
      </w:r>
      <w:r w:rsidRPr="00C07B2E">
        <w:rPr>
          <w:rFonts w:eastAsia="SimSun"/>
          <w:lang w:val="en-US"/>
        </w:rPr>
        <w:t>sAg</w:t>
      </w:r>
      <w:r w:rsidRPr="00C07B2E">
        <w:rPr>
          <w:rFonts w:eastAsia="SimSun"/>
        </w:rPr>
        <w:t xml:space="preserve"> качественно и количественно, анти-НВсоr качественно, </w:t>
      </w:r>
      <w:r w:rsidRPr="00C07B2E">
        <w:rPr>
          <w:rFonts w:eastAsia="SimSun"/>
          <w:lang w:val="en-US"/>
        </w:rPr>
        <w:t>HBeAg</w:t>
      </w:r>
      <w:r w:rsidRPr="00C07B2E">
        <w:rPr>
          <w:rFonts w:eastAsia="SimSun"/>
        </w:rPr>
        <w:t xml:space="preserve"> качественно, анти-</w:t>
      </w:r>
      <w:r w:rsidRPr="00C07B2E">
        <w:rPr>
          <w:rFonts w:eastAsia="SimSun"/>
          <w:lang w:val="en-US"/>
        </w:rPr>
        <w:t>HBeAg</w:t>
      </w:r>
      <w:r w:rsidRPr="00C07B2E">
        <w:rPr>
          <w:rFonts w:eastAsia="SimSun"/>
        </w:rPr>
        <w:t>, на сифилис).</w:t>
      </w:r>
    </w:p>
    <w:p w:rsidR="005600FF" w:rsidRPr="00C07B2E" w:rsidRDefault="005600FF" w:rsidP="005600FF">
      <w:pPr>
        <w:rPr>
          <w:rFonts w:eastAsia="SimSun"/>
        </w:rPr>
      </w:pPr>
      <w:r w:rsidRPr="00C07B2E">
        <w:rPr>
          <w:rFonts w:eastAsia="SimSun"/>
        </w:rPr>
        <w:t>Серологические исследования герпесвирусных инфекций (</w:t>
      </w:r>
      <w:r w:rsidRPr="00C07B2E">
        <w:rPr>
          <w:rFonts w:eastAsia="SimSun"/>
          <w:lang w:val="en-US"/>
        </w:rPr>
        <w:t>CMV</w:t>
      </w:r>
      <w:r w:rsidRPr="00C07B2E">
        <w:rPr>
          <w:rFonts w:eastAsia="SimSun"/>
        </w:rPr>
        <w:t>, Эпштейна—Барр, вирус герпеса человека 1 и 6-го типа).</w:t>
      </w:r>
    </w:p>
    <w:p w:rsidR="005600FF" w:rsidRPr="00C07B2E" w:rsidRDefault="005600FF" w:rsidP="005600FF">
      <w:pPr>
        <w:rPr>
          <w:rFonts w:eastAsia="SimSun"/>
        </w:rPr>
      </w:pPr>
      <w:r w:rsidRPr="00C07B2E">
        <w:rPr>
          <w:rFonts w:eastAsia="SimSun"/>
        </w:rPr>
        <w:t>Определение ДНК вируса гепатита В и РНК вируса гепатита С с помощью ПЦР.</w:t>
      </w:r>
    </w:p>
    <w:p w:rsidR="005600FF" w:rsidRPr="00C07B2E" w:rsidRDefault="005600FF" w:rsidP="005600FF">
      <w:pPr>
        <w:rPr>
          <w:rFonts w:eastAsia="SimSun"/>
        </w:rPr>
      </w:pPr>
      <w:r w:rsidRPr="00C07B2E">
        <w:rPr>
          <w:rFonts w:eastAsia="SimSun"/>
        </w:rPr>
        <w:t>ЭКГ, по показаниям — трансторакальная ЭхоКГ, холтеровский мониторинг ЭКГ и др.Рентгенография органов грудной клетки, по показаниям — КТ органов грудной клетки и др.</w:t>
      </w:r>
    </w:p>
    <w:p w:rsidR="005600FF" w:rsidRPr="00C07B2E" w:rsidRDefault="005600FF" w:rsidP="005600FF">
      <w:pPr>
        <w:rPr>
          <w:rFonts w:eastAsia="SimSun"/>
        </w:rPr>
      </w:pPr>
      <w:r w:rsidRPr="00C07B2E">
        <w:rPr>
          <w:rFonts w:eastAsia="SimSun"/>
        </w:rPr>
        <w:t xml:space="preserve">УЗИ органов брюшной полости (по показаниям). </w:t>
      </w:r>
    </w:p>
    <w:p w:rsidR="005600FF" w:rsidRDefault="005600FF" w:rsidP="005600FF">
      <w:pPr>
        <w:rPr>
          <w:rFonts w:eastAsia="SimSun"/>
        </w:rPr>
      </w:pPr>
      <w:bookmarkStart w:id="133" w:name="_Toc44401126"/>
    </w:p>
    <w:p w:rsidR="005600FF" w:rsidRPr="00470D3D" w:rsidRDefault="005600FF" w:rsidP="005600FF">
      <w:pPr>
        <w:rPr>
          <w:rFonts w:eastAsia="SimSun"/>
          <w:b/>
        </w:rPr>
      </w:pPr>
      <w:r>
        <w:rPr>
          <w:rFonts w:eastAsia="SimSun"/>
          <w:b/>
        </w:rPr>
        <w:t>3</w:t>
      </w:r>
      <w:r w:rsidRPr="00470D3D">
        <w:rPr>
          <w:rFonts w:eastAsia="SimSun"/>
          <w:b/>
        </w:rPr>
        <w:t>. Протокол подготовки к инфузии и  инфузии аллогенных гемопоэтических стволовых клеток</w:t>
      </w:r>
      <w:bookmarkEnd w:id="133"/>
    </w:p>
    <w:p w:rsidR="005600FF" w:rsidRPr="00E87507" w:rsidRDefault="005600FF" w:rsidP="005600FF">
      <w:pPr>
        <w:rPr>
          <w:rFonts w:eastAsia="SimSun"/>
          <w:i/>
          <w:u w:val="single"/>
        </w:rPr>
      </w:pPr>
      <w:bookmarkStart w:id="134" w:name="_Toc44401128"/>
      <w:r w:rsidRPr="00E87507">
        <w:rPr>
          <w:rFonts w:eastAsia="SimSun"/>
          <w:i/>
          <w:u w:val="single"/>
        </w:rPr>
        <w:t>Установка ЦВК</w:t>
      </w:r>
      <w:bookmarkEnd w:id="134"/>
    </w:p>
    <w:p w:rsidR="005600FF" w:rsidRPr="00C07B2E" w:rsidRDefault="005600FF" w:rsidP="005600FF">
      <w:pPr>
        <w:rPr>
          <w:rFonts w:eastAsia="SimSun"/>
        </w:rPr>
      </w:pPr>
      <w:r w:rsidRPr="00C07B2E">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rsidR="005600FF" w:rsidRDefault="005600FF" w:rsidP="005600FF">
      <w:pPr>
        <w:rPr>
          <w:rFonts w:eastAsia="SimSun"/>
        </w:rPr>
      </w:pPr>
      <w:bookmarkStart w:id="135" w:name="_Toc44401129"/>
    </w:p>
    <w:p w:rsidR="005600FF" w:rsidRPr="00E87507" w:rsidRDefault="005600FF" w:rsidP="005600FF">
      <w:pPr>
        <w:rPr>
          <w:rFonts w:eastAsia="SimSun"/>
          <w:i/>
          <w:u w:val="single"/>
        </w:rPr>
      </w:pPr>
      <w:r w:rsidRPr="00E87507">
        <w:rPr>
          <w:rFonts w:eastAsia="SimSun"/>
          <w:i/>
          <w:u w:val="single"/>
        </w:rPr>
        <w:t>Порядок отсчета дней до и после алло-ТГСК</w:t>
      </w:r>
      <w:bookmarkEnd w:id="135"/>
    </w:p>
    <w:p w:rsidR="005600FF" w:rsidRPr="00C07B2E" w:rsidRDefault="005600FF" w:rsidP="005600FF">
      <w:pPr>
        <w:rPr>
          <w:rFonts w:eastAsia="SimSun"/>
        </w:rPr>
      </w:pPr>
      <w:r w:rsidRPr="00C07B2E">
        <w:rPr>
          <w:rFonts w:eastAsia="SimSun"/>
        </w:rPr>
        <w:t xml:space="preserve">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Например: дата алло-ТГСК — 5 января, день «–1» — это 4 января и т. д. В случае если дата следует после алло-ТГСК, то </w:t>
      </w:r>
      <w:r w:rsidRPr="00C07B2E">
        <w:rPr>
          <w:rFonts w:eastAsia="SimSun"/>
        </w:rPr>
        <w:lastRenderedPageBreak/>
        <w:t>перед ней ставится знак «+». Например: дата алло-ТГСК — 7 декабря, день «+1» — это 8 декабря. Счет ведется до конца жизни пациента, или до следующей ТКМ.</w:t>
      </w:r>
    </w:p>
    <w:p w:rsidR="005600FF" w:rsidRDefault="005600FF" w:rsidP="005600FF">
      <w:pPr>
        <w:rPr>
          <w:rFonts w:eastAsia="SimSun"/>
        </w:rPr>
      </w:pPr>
      <w:bookmarkStart w:id="136" w:name="_Toc44401130"/>
    </w:p>
    <w:p w:rsidR="005600FF" w:rsidRPr="00E87507" w:rsidRDefault="005600FF" w:rsidP="005600FF">
      <w:pPr>
        <w:rPr>
          <w:rFonts w:eastAsia="SimSun"/>
          <w:i/>
          <w:u w:val="single"/>
        </w:rPr>
      </w:pPr>
      <w:r w:rsidRPr="00E87507">
        <w:rPr>
          <w:rFonts w:eastAsia="SimSun"/>
          <w:i/>
          <w:u w:val="single"/>
        </w:rPr>
        <w:t>Подготовка к инфузии ГСК</w:t>
      </w:r>
      <w:bookmarkEnd w:id="136"/>
    </w:p>
    <w:p w:rsidR="005600FF" w:rsidRPr="00C07B2E" w:rsidRDefault="005600FF" w:rsidP="005600FF">
      <w:pPr>
        <w:rPr>
          <w:rFonts w:eastAsia="SimSun"/>
        </w:rPr>
      </w:pPr>
      <w:r w:rsidRPr="00C07B2E">
        <w:rPr>
          <w:rFonts w:eastAsia="SimSun"/>
        </w:rPr>
        <w:t>Убедитесь, что выполнены следующие условия:</w:t>
      </w:r>
    </w:p>
    <w:p w:rsidR="005600FF" w:rsidRPr="00C07B2E" w:rsidRDefault="005600FF" w:rsidP="004F39BB">
      <w:pPr>
        <w:numPr>
          <w:ilvl w:val="0"/>
          <w:numId w:val="73"/>
        </w:numPr>
        <w:overflowPunct w:val="0"/>
        <w:autoSpaceDE w:val="0"/>
        <w:autoSpaceDN w:val="0"/>
        <w:adjustRightInd w:val="0"/>
        <w:textAlignment w:val="baseline"/>
        <w:rPr>
          <w:rFonts w:eastAsia="SimSun"/>
        </w:rPr>
      </w:pPr>
      <w:r w:rsidRPr="00C07B2E">
        <w:rPr>
          <w:rFonts w:eastAsia="SimSun"/>
        </w:rPr>
        <w:t xml:space="preserve">Пациент подписал добровольное информированное согласие на трансплантацию. </w:t>
      </w:r>
    </w:p>
    <w:p w:rsidR="005600FF" w:rsidRPr="00C07B2E" w:rsidRDefault="005600FF" w:rsidP="004F39BB">
      <w:pPr>
        <w:numPr>
          <w:ilvl w:val="0"/>
          <w:numId w:val="73"/>
        </w:numPr>
        <w:overflowPunct w:val="0"/>
        <w:autoSpaceDE w:val="0"/>
        <w:autoSpaceDN w:val="0"/>
        <w:adjustRightInd w:val="0"/>
        <w:textAlignment w:val="baseline"/>
        <w:rPr>
          <w:rFonts w:eastAsia="SimSun"/>
        </w:rPr>
      </w:pPr>
      <w:r w:rsidRPr="00C07B2E">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C07B2E">
        <w:rPr>
          <w:rFonts w:eastAsia="SimSun"/>
          <w:shd w:val="clear" w:color="auto" w:fill="FFFFFF"/>
        </w:rPr>
        <w:t>диметилсульфоксида</w:t>
      </w:r>
      <w:r w:rsidRPr="00C07B2E">
        <w:rPr>
          <w:rFonts w:eastAsia="SimSun"/>
        </w:rPr>
        <w:t xml:space="preserve"> не превышает 10%. </w:t>
      </w:r>
    </w:p>
    <w:p w:rsidR="005600FF" w:rsidRPr="00C07B2E" w:rsidRDefault="005600FF" w:rsidP="004F39BB">
      <w:pPr>
        <w:numPr>
          <w:ilvl w:val="0"/>
          <w:numId w:val="73"/>
        </w:numPr>
        <w:overflowPunct w:val="0"/>
        <w:autoSpaceDE w:val="0"/>
        <w:autoSpaceDN w:val="0"/>
        <w:adjustRightInd w:val="0"/>
        <w:textAlignment w:val="baseline"/>
        <w:rPr>
          <w:rFonts w:eastAsia="SimSun"/>
        </w:rPr>
      </w:pPr>
      <w:r w:rsidRPr="00C07B2E">
        <w:rPr>
          <w:rFonts w:eastAsia="SimSun"/>
        </w:rPr>
        <w:t xml:space="preserve">Прошло не менее 36 ч после завершения введения цитостатических препаратов, входящих в режим кондиционирования. </w:t>
      </w:r>
    </w:p>
    <w:p w:rsidR="005600FF" w:rsidRPr="00C07B2E" w:rsidRDefault="005600FF" w:rsidP="004F39BB">
      <w:pPr>
        <w:numPr>
          <w:ilvl w:val="0"/>
          <w:numId w:val="73"/>
        </w:numPr>
        <w:overflowPunct w:val="0"/>
        <w:autoSpaceDE w:val="0"/>
        <w:autoSpaceDN w:val="0"/>
        <w:adjustRightInd w:val="0"/>
        <w:textAlignment w:val="baseline"/>
        <w:rPr>
          <w:rFonts w:eastAsia="SimSun"/>
        </w:rPr>
      </w:pPr>
      <w:r w:rsidRPr="00C07B2E">
        <w:rPr>
          <w:rFonts w:eastAsia="SimSun"/>
        </w:rPr>
        <w:t>При использовании с –1 дня циклоспорина</w:t>
      </w:r>
      <w:r w:rsidRPr="00C07B2E" w:rsidDel="00DA45A3">
        <w:rPr>
          <w:rFonts w:eastAsia="SimSun"/>
        </w:rPr>
        <w:t xml:space="preserve"> </w:t>
      </w:r>
      <w:r w:rsidRPr="00C07B2E">
        <w:rPr>
          <w:rFonts w:eastAsia="SimSun"/>
        </w:rPr>
        <w:t xml:space="preserve">(в режиме профилактики острой РТПХ) пациенту было введено не менее 3 доз препарата до инфузии ГСК. </w:t>
      </w:r>
    </w:p>
    <w:p w:rsidR="005600FF" w:rsidRPr="00C07B2E" w:rsidRDefault="005600FF" w:rsidP="004F39BB">
      <w:pPr>
        <w:numPr>
          <w:ilvl w:val="0"/>
          <w:numId w:val="73"/>
        </w:numPr>
        <w:overflowPunct w:val="0"/>
        <w:autoSpaceDE w:val="0"/>
        <w:autoSpaceDN w:val="0"/>
        <w:adjustRightInd w:val="0"/>
        <w:textAlignment w:val="baseline"/>
        <w:rPr>
          <w:rFonts w:eastAsia="SimSun"/>
        </w:rPr>
      </w:pPr>
      <w:r w:rsidRPr="00C07B2E">
        <w:rPr>
          <w:rFonts w:eastAsia="SimSun"/>
        </w:rPr>
        <w:t>В момент инфузии ГСК введение других препаратов не проводится.</w:t>
      </w:r>
    </w:p>
    <w:p w:rsidR="005600FF" w:rsidRPr="00C07B2E" w:rsidRDefault="005600FF" w:rsidP="004F39BB">
      <w:pPr>
        <w:numPr>
          <w:ilvl w:val="0"/>
          <w:numId w:val="73"/>
        </w:numPr>
        <w:overflowPunct w:val="0"/>
        <w:autoSpaceDE w:val="0"/>
        <w:autoSpaceDN w:val="0"/>
        <w:adjustRightInd w:val="0"/>
        <w:textAlignment w:val="baseline"/>
        <w:rPr>
          <w:rFonts w:eastAsia="SimSun"/>
        </w:rPr>
      </w:pPr>
      <w:r w:rsidRPr="00C07B2E">
        <w:rPr>
          <w:rFonts w:eastAsia="SimSun"/>
        </w:rPr>
        <w:t>В момент введения ГСК запрещено проведение плазмафереза и/или гемодиализа.</w:t>
      </w:r>
    </w:p>
    <w:p w:rsidR="005600FF" w:rsidRPr="00C07B2E" w:rsidRDefault="005600FF" w:rsidP="005600FF">
      <w:pPr>
        <w:rPr>
          <w:rFonts w:eastAsia="SimSun"/>
        </w:rPr>
      </w:pPr>
      <w:r w:rsidRPr="00C07B2E">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rsidR="005600FF" w:rsidRPr="00C07B2E" w:rsidRDefault="005600FF" w:rsidP="005600FF">
      <w:pPr>
        <w:rPr>
          <w:rFonts w:eastAsia="SimSun"/>
        </w:rPr>
      </w:pPr>
      <w:r w:rsidRPr="00C07B2E">
        <w:rPr>
          <w:rFonts w:eastAsia="SimSun"/>
        </w:rPr>
        <w:t xml:space="preserve">За 2–3 ч до алло-ТГСК рекомендуется проводить инфузионную терапию (коллоидными и кристаллоидными растворами в объеме 500-1500 мл) в случае использования криоконсервированных ГСК. </w:t>
      </w:r>
    </w:p>
    <w:p w:rsidR="005600FF" w:rsidRPr="00C07B2E" w:rsidRDefault="005600FF" w:rsidP="005600FF">
      <w:pPr>
        <w:rPr>
          <w:rFonts w:eastAsia="SimSun"/>
        </w:rPr>
      </w:pPr>
      <w:r w:rsidRPr="00C07B2E">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препаратами и/или нестероиднымии противовоспалительными препаратами препаратами и/или метилпреднизолоном (если в предыдущие сутки использовали метилпреднизолон). </w:t>
      </w:r>
    </w:p>
    <w:p w:rsidR="005600FF" w:rsidRPr="00C07B2E" w:rsidRDefault="005600FF" w:rsidP="005600FF">
      <w:pPr>
        <w:rPr>
          <w:rFonts w:eastAsia="SimSun"/>
        </w:rPr>
      </w:pPr>
      <w:r w:rsidRPr="00C07B2E">
        <w:rPr>
          <w:rFonts w:eastAsia="SimSun"/>
        </w:rPr>
        <w:t xml:space="preserve">При любой  несовместимости между донором и реципиентом по системе АВ0 возможно введение метилпреднизолона в дозе 60 мг перед введением ГСК. </w:t>
      </w:r>
    </w:p>
    <w:p w:rsidR="005600FF" w:rsidRPr="00C07B2E" w:rsidRDefault="005600FF" w:rsidP="005600FF">
      <w:pPr>
        <w:rPr>
          <w:rFonts w:eastAsia="SimSun"/>
        </w:rPr>
      </w:pPr>
      <w:r w:rsidRPr="00C07B2E">
        <w:rPr>
          <w:rFonts w:eastAsia="SimSun"/>
        </w:rPr>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rsidR="005600FF" w:rsidRPr="00C07B2E" w:rsidRDefault="005600FF" w:rsidP="005600FF">
      <w:pPr>
        <w:rPr>
          <w:rFonts w:eastAsia="SimSun"/>
        </w:rPr>
      </w:pPr>
    </w:p>
    <w:p w:rsidR="005600FF" w:rsidRPr="00985050" w:rsidRDefault="005600FF" w:rsidP="005600FF">
      <w:pPr>
        <w:rPr>
          <w:rFonts w:eastAsia="SimSun"/>
          <w:i/>
          <w:u w:val="single"/>
        </w:rPr>
      </w:pPr>
      <w:bookmarkStart w:id="137" w:name="_Toc44401131"/>
      <w:r w:rsidRPr="00985050">
        <w:rPr>
          <w:rFonts w:eastAsia="SimSun"/>
          <w:i/>
          <w:u w:val="single"/>
        </w:rPr>
        <w:lastRenderedPageBreak/>
        <w:t>Инфузия ГСК</w:t>
      </w:r>
      <w:bookmarkEnd w:id="137"/>
    </w:p>
    <w:p w:rsidR="005600FF" w:rsidRPr="00C07B2E" w:rsidRDefault="005600FF" w:rsidP="005600FF">
      <w:pPr>
        <w:rPr>
          <w:rFonts w:eastAsia="SimSun"/>
        </w:rPr>
      </w:pPr>
      <w:r w:rsidRPr="00C07B2E">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rsidR="005600FF" w:rsidRPr="00C07B2E" w:rsidRDefault="005600FF" w:rsidP="005600FF">
      <w:pPr>
        <w:rPr>
          <w:rFonts w:eastAsia="SimSun"/>
        </w:rPr>
      </w:pPr>
      <w:r w:rsidRPr="00C07B2E">
        <w:rPr>
          <w:rFonts w:eastAsia="SimSun"/>
        </w:rPr>
        <w:t>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анестезиолога-реаниматолога и/или постоянный мониторинг витальных показателей с помощью прикроватного монитора состояния пациента. Через 2 ч после завершения инфузии выполняют биохимическое исследование крови (оценка сывороточной концентрации К</w:t>
      </w:r>
      <w:r w:rsidRPr="00C07B2E">
        <w:rPr>
          <w:rFonts w:eastAsia="SimSun"/>
          <w:vertAlign w:val="superscript"/>
        </w:rPr>
        <w:t>+</w:t>
      </w:r>
      <w:r w:rsidRPr="00C07B2E">
        <w:rPr>
          <w:rFonts w:eastAsia="SimSun"/>
        </w:rPr>
        <w:t xml:space="preserve">). </w:t>
      </w:r>
    </w:p>
    <w:p w:rsidR="005600FF" w:rsidRDefault="005600FF" w:rsidP="005600FF">
      <w:pPr>
        <w:rPr>
          <w:rFonts w:eastAsia="SimSun"/>
        </w:rPr>
      </w:pPr>
      <w:bookmarkStart w:id="138" w:name="_Toc44401132"/>
    </w:p>
    <w:p w:rsidR="005600FF" w:rsidRPr="00470D3D" w:rsidRDefault="005600FF" w:rsidP="005600FF">
      <w:pPr>
        <w:rPr>
          <w:rFonts w:eastAsia="SimSun"/>
          <w:b/>
        </w:rPr>
      </w:pPr>
      <w:r>
        <w:rPr>
          <w:rFonts w:eastAsia="SimSun"/>
          <w:b/>
        </w:rPr>
        <w:t>5.</w:t>
      </w:r>
      <w:r w:rsidRPr="00470D3D">
        <w:rPr>
          <w:rFonts w:eastAsia="SimSun"/>
          <w:b/>
        </w:rPr>
        <w:t xml:space="preserve"> Протокол внутривенного введения антитимоцитарного глобулина</w:t>
      </w:r>
      <w:bookmarkEnd w:id="138"/>
    </w:p>
    <w:p w:rsidR="005600FF" w:rsidRPr="00985050" w:rsidRDefault="005600FF" w:rsidP="005600FF">
      <w:pPr>
        <w:rPr>
          <w:rFonts w:eastAsia="SimSun"/>
          <w:i/>
          <w:u w:val="single"/>
        </w:rPr>
      </w:pPr>
      <w:bookmarkStart w:id="139" w:name="_Toc44401134"/>
      <w:r w:rsidRPr="00985050">
        <w:rPr>
          <w:rFonts w:eastAsia="SimSun"/>
          <w:i/>
          <w:u w:val="single"/>
        </w:rPr>
        <w:t>Подготовка к введению</w:t>
      </w:r>
      <w:bookmarkEnd w:id="139"/>
      <w:r w:rsidRPr="00985050">
        <w:rPr>
          <w:rFonts w:eastAsia="SimSun"/>
          <w:i/>
          <w:u w:val="single"/>
        </w:rPr>
        <w:t xml:space="preserve"> </w:t>
      </w:r>
    </w:p>
    <w:p w:rsidR="005600FF" w:rsidRPr="00C07B2E" w:rsidRDefault="005600FF" w:rsidP="005600FF">
      <w:pPr>
        <w:rPr>
          <w:rFonts w:eastAsia="SimSun"/>
        </w:rPr>
      </w:pPr>
      <w:r w:rsidRPr="00C07B2E">
        <w:rPr>
          <w:rFonts w:eastAsia="SimSun"/>
        </w:rPr>
        <w:t xml:space="preserve">Убедитесь, что вы информированы обо всех аллергических реакциях пациента. Перед началом введения препарата АТГ настоятельно рекомендуется проведение пробы с этим препаратом. Несмотря на то, что чувствительность и специфичность этого 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rsidR="005600FF" w:rsidRDefault="005600FF" w:rsidP="005600FF">
      <w:pPr>
        <w:rPr>
          <w:rFonts w:eastAsia="SimSun"/>
        </w:rPr>
      </w:pPr>
      <w:bookmarkStart w:id="140" w:name="_Toc44401135"/>
    </w:p>
    <w:p w:rsidR="005600FF" w:rsidRPr="00985050" w:rsidRDefault="005600FF" w:rsidP="005600FF">
      <w:pPr>
        <w:rPr>
          <w:rFonts w:eastAsia="SimSun"/>
          <w:i/>
          <w:u w:val="single"/>
        </w:rPr>
      </w:pPr>
      <w:r w:rsidRPr="00985050">
        <w:rPr>
          <w:rFonts w:eastAsia="SimSun"/>
          <w:i/>
          <w:u w:val="single"/>
        </w:rPr>
        <w:t>Методика проведения пробы</w:t>
      </w:r>
      <w:bookmarkEnd w:id="140"/>
      <w:r w:rsidRPr="00985050">
        <w:rPr>
          <w:rFonts w:eastAsia="SimSun"/>
          <w:i/>
          <w:u w:val="single"/>
        </w:rPr>
        <w:t xml:space="preserve"> </w:t>
      </w:r>
    </w:p>
    <w:p w:rsidR="005600FF" w:rsidRPr="00C07B2E" w:rsidRDefault="005600FF" w:rsidP="005600FF">
      <w:pPr>
        <w:rPr>
          <w:rFonts w:eastAsia="SimSun"/>
        </w:rPr>
      </w:pPr>
      <w:r w:rsidRPr="00C07B2E">
        <w:rPr>
          <w:rFonts w:eastAsia="SimSun"/>
        </w:rPr>
        <w:t xml:space="preserve">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в/к вливаний,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w:t>
      </w:r>
      <w:r w:rsidRPr="00C07B2E">
        <w:rPr>
          <w:rFonts w:eastAsia="SimSun"/>
        </w:rPr>
        <w:lastRenderedPageBreak/>
        <w:t>туберкулиновым или инсулиновым шприцем вводят 0,02 мл препарата, разведенного 0,9% раствором натрия хлорида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rsidR="005600FF" w:rsidRDefault="005600FF" w:rsidP="005600FF">
      <w:pPr>
        <w:rPr>
          <w:rFonts w:eastAsia="SimSun"/>
        </w:rPr>
      </w:pPr>
      <w:bookmarkStart w:id="141" w:name="_Toc44401136"/>
    </w:p>
    <w:p w:rsidR="005600FF" w:rsidRPr="00985050" w:rsidRDefault="005600FF" w:rsidP="005600FF">
      <w:pPr>
        <w:rPr>
          <w:rFonts w:eastAsia="SimSun"/>
          <w:i/>
          <w:u w:val="single"/>
        </w:rPr>
      </w:pPr>
      <w:r w:rsidRPr="00985050">
        <w:rPr>
          <w:rFonts w:eastAsia="SimSun"/>
          <w:i/>
          <w:u w:val="single"/>
        </w:rPr>
        <w:t>Инфузия лошадиного АТГ</w:t>
      </w:r>
      <w:bookmarkEnd w:id="141"/>
      <w:r w:rsidRPr="00985050">
        <w:rPr>
          <w:rFonts w:eastAsia="SimSun"/>
          <w:i/>
          <w:u w:val="single"/>
        </w:rPr>
        <w:t xml:space="preserve"> </w:t>
      </w:r>
    </w:p>
    <w:p w:rsidR="005600FF" w:rsidRPr="00C07B2E" w:rsidRDefault="005600FF" w:rsidP="005600FF">
      <w:pPr>
        <w:rPr>
          <w:rFonts w:eastAsia="SimSun"/>
        </w:rPr>
      </w:pPr>
      <w:r w:rsidRPr="00C07B2E">
        <w:rPr>
          <w:rFonts w:eastAsia="SimSun"/>
        </w:rPr>
        <w:t>С целью снижения вероятности выпадения осадка суточная доза препарата АТГ делится на 2 приблизительно равные дозы. Рекомендуется подбирать дозы, кратные 250 мг (1 ампуле). Например, вес пациента 75 кг. Суточная доза 750 мг: утренняя — 500 мг, вечерняя — 250 мг.</w:t>
      </w:r>
    </w:p>
    <w:p w:rsidR="005600FF" w:rsidRPr="00C07B2E" w:rsidRDefault="005600FF" w:rsidP="005600FF">
      <w:pPr>
        <w:rPr>
          <w:rFonts w:eastAsia="SimSun"/>
        </w:rPr>
      </w:pPr>
      <w:r w:rsidRPr="00C07B2E">
        <w:rPr>
          <w:rFonts w:eastAsia="SimSun"/>
        </w:rPr>
        <w:t>Каждая доза препарата разводится на 0,9% растворе хлорида натрия в объеме 500 мл. Время введения каждой из доз препарата АТГ составляет 6 ч:</w:t>
      </w:r>
    </w:p>
    <w:p w:rsidR="005600FF" w:rsidRPr="00C07B2E" w:rsidRDefault="005600FF" w:rsidP="005600FF">
      <w:pPr>
        <w:rPr>
          <w:rFonts w:eastAsia="SimSun"/>
        </w:rPr>
      </w:pPr>
      <w:r w:rsidRPr="00C07B2E">
        <w:rPr>
          <w:rFonts w:eastAsia="SimSun"/>
        </w:rPr>
        <w:t>Утренняя доза — 10:00–16:00.</w:t>
      </w:r>
    </w:p>
    <w:p w:rsidR="005600FF" w:rsidRPr="00C07B2E" w:rsidRDefault="005600FF" w:rsidP="005600FF">
      <w:pPr>
        <w:rPr>
          <w:rFonts w:eastAsia="SimSun"/>
        </w:rPr>
      </w:pPr>
      <w:r w:rsidRPr="00C07B2E">
        <w:rPr>
          <w:rFonts w:eastAsia="SimSun"/>
        </w:rPr>
        <w:t>Вечерняя доза — 17:00–23:00.</w:t>
      </w:r>
    </w:p>
    <w:p w:rsidR="005600FF" w:rsidRPr="00C07B2E" w:rsidRDefault="005600FF" w:rsidP="005600FF">
      <w:pPr>
        <w:rPr>
          <w:rFonts w:eastAsia="SimSun"/>
        </w:rPr>
      </w:pPr>
      <w:r w:rsidRPr="00C07B2E">
        <w:rPr>
          <w:rFonts w:eastAsia="SimSun"/>
        </w:rPr>
        <w:t>Введение препарата идет параллельно с введением метилпреднизолона в суммарной дозе 3 мг/кг (но не более 250 мг/сут). Началу инфузии препарата АТГ предшествует в/в болюсное введение 30 мг метилпреднизолона с последующей 13-часовой инфузией (с 10:00 по 23:00) оставшейся суточной дозы метилпреднизолона.</w:t>
      </w:r>
    </w:p>
    <w:p w:rsidR="005600FF" w:rsidRPr="00C07B2E" w:rsidRDefault="005600FF" w:rsidP="005600FF">
      <w:pPr>
        <w:rPr>
          <w:rFonts w:eastAsia="SimSun"/>
        </w:rPr>
      </w:pPr>
    </w:p>
    <w:p w:rsidR="005600FF" w:rsidRPr="00985050" w:rsidRDefault="005600FF" w:rsidP="005600FF">
      <w:pPr>
        <w:rPr>
          <w:rFonts w:eastAsia="SimSun"/>
          <w:i/>
          <w:u w:val="single"/>
        </w:rPr>
      </w:pPr>
      <w:bookmarkStart w:id="142" w:name="_Toc44401137"/>
      <w:r w:rsidRPr="00985050">
        <w:rPr>
          <w:rFonts w:eastAsia="SimSun"/>
          <w:i/>
          <w:u w:val="single"/>
        </w:rPr>
        <w:t>Альтернативный способ введения лошадиного АТГ</w:t>
      </w:r>
      <w:bookmarkEnd w:id="142"/>
      <w:r w:rsidRPr="00985050">
        <w:rPr>
          <w:i/>
          <w:u w:val="single"/>
        </w:rPr>
        <w:t xml:space="preserve"> </w:t>
      </w:r>
    </w:p>
    <w:p w:rsidR="005600FF" w:rsidRPr="00C07B2E" w:rsidRDefault="005600FF" w:rsidP="005600FF"/>
    <w:p w:rsidR="005600FF" w:rsidRPr="00C07B2E" w:rsidRDefault="005600FF" w:rsidP="005600FF">
      <w:r w:rsidRPr="00C07B2E">
        <w:t xml:space="preserve">Лошадиный АТГ разводится на 500 мл физиологического раствора.  В случае отрицательной кожной пробы проводится 12- часовая инфузия с премедикацией 1 мг/кг метилпреднизолона в\в капельно перед началом введения и через 6 часов после начала введения. В случае положительной кожной пробы доза солумедрола увеличивается до 2 мг/кг. В случае развития аллергической реакции на фоне введения введение препарата останавливается и вводится 2 мг/кг метилпреднизолона. Инфузия возобновляется с удлинением времени введения до 18 часов после разрешения симптомов аллергии. </w:t>
      </w:r>
    </w:p>
    <w:p w:rsidR="005600FF" w:rsidRPr="00C07B2E" w:rsidRDefault="005600FF" w:rsidP="005600FF">
      <w:pPr>
        <w:rPr>
          <w:rFonts w:eastAsia="SimSun"/>
        </w:rPr>
      </w:pPr>
    </w:p>
    <w:p w:rsidR="005600FF" w:rsidRPr="00985050" w:rsidRDefault="005600FF" w:rsidP="005600FF">
      <w:pPr>
        <w:rPr>
          <w:rFonts w:eastAsia="SimSun"/>
          <w:i/>
          <w:u w:val="single"/>
        </w:rPr>
      </w:pPr>
      <w:bookmarkStart w:id="143" w:name="_Toc44401138"/>
      <w:r w:rsidRPr="00985050">
        <w:rPr>
          <w:rFonts w:eastAsia="SimSun"/>
          <w:i/>
          <w:u w:val="single"/>
        </w:rPr>
        <w:t>Инфузия кроличьего АТГ</w:t>
      </w:r>
      <w:bookmarkEnd w:id="143"/>
    </w:p>
    <w:p w:rsidR="005600FF" w:rsidRPr="00C07B2E" w:rsidRDefault="005600FF" w:rsidP="005600FF">
      <w:r w:rsidRPr="00C07B2E">
        <w:lastRenderedPageBreak/>
        <w:t>Тимоглобулин (кроличий антитимоцитарный глобулин) вводится в течение 2-3 дней до трансплантации в дозе 2.5 мг/кг на введение (суммарная доза 5-7.5 мг/кг). Крайне желательно, чтобы дни введения не совпадали с днями приема бусульфана, например в -2 и -1 дни. Тимоглобулин разводится на 500 мл физиологического раствора.  Кожная проба при использовании Тимоглобулина не проводится. Премедикация перед введением – метилпреднизолон 2 мг/кг в</w:t>
      </w:r>
      <w:r>
        <w:t>/</w:t>
      </w:r>
      <w:r w:rsidRPr="00C07B2E">
        <w:t xml:space="preserve">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rsidR="005600FF" w:rsidRPr="00C07B2E" w:rsidRDefault="005600FF" w:rsidP="005600FF"/>
    <w:p w:rsidR="005600FF" w:rsidRPr="00C07B2E" w:rsidRDefault="005600FF" w:rsidP="005600FF">
      <w:r w:rsidRPr="00C07B2E">
        <w:t xml:space="preserve">Графалон (кроличий антитимоцитарный глобулин) вводится в течение 3 дней до трансплантации в дозе 20 мг/кг на введение (суммарная доза 60 мг/кг). Крайне желательно, чтобы дни введения не совпадали с днями приема бусульфана, например в -3, -2 и -1 дни. Графалон разводится на 500 мл физиологического раствора. Кожная проба не проводится. Премедикация перед введением – метилпреднизолон 2 мг/кг в\в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rsidR="005600FF" w:rsidRDefault="005600FF" w:rsidP="005600FF">
      <w:pPr>
        <w:rPr>
          <w:rFonts w:eastAsia="SimSun"/>
        </w:rPr>
      </w:pPr>
      <w:bookmarkStart w:id="144" w:name="_Toc44401139"/>
    </w:p>
    <w:p w:rsidR="005600FF" w:rsidRPr="00470D3D" w:rsidRDefault="005600FF" w:rsidP="005600FF">
      <w:pPr>
        <w:rPr>
          <w:rFonts w:eastAsia="SimSun"/>
          <w:b/>
        </w:rPr>
      </w:pPr>
      <w:r>
        <w:rPr>
          <w:rFonts w:eastAsia="SimSun"/>
          <w:b/>
        </w:rPr>
        <w:t>5</w:t>
      </w:r>
      <w:r w:rsidRPr="00470D3D">
        <w:rPr>
          <w:rFonts w:eastAsia="SimSun"/>
          <w:b/>
        </w:rPr>
        <w:t>. Протоколы кондиционирования и профилактики РТПХ в зависимости от типа донора</w:t>
      </w:r>
      <w:bookmarkEnd w:id="144"/>
    </w:p>
    <w:p w:rsidR="005600FF" w:rsidRPr="00985050" w:rsidRDefault="005600FF" w:rsidP="005600FF">
      <w:pPr>
        <w:rPr>
          <w:rFonts w:eastAsia="SimSun"/>
          <w:i/>
          <w:u w:val="single"/>
        </w:rPr>
      </w:pPr>
      <w:bookmarkStart w:id="145" w:name="_Toc44401140"/>
      <w:r>
        <w:rPr>
          <w:rFonts w:eastAsia="SimSun"/>
          <w:i/>
          <w:u w:val="single"/>
        </w:rPr>
        <w:t>5.</w:t>
      </w:r>
      <w:r w:rsidRPr="00985050">
        <w:rPr>
          <w:rFonts w:eastAsia="SimSun"/>
          <w:i/>
          <w:u w:val="single"/>
        </w:rPr>
        <w:t xml:space="preserve">1. Родственный </w:t>
      </w:r>
      <w:r w:rsidRPr="00985050">
        <w:rPr>
          <w:rFonts w:eastAsia="SimSun"/>
          <w:i/>
          <w:u w:val="single"/>
          <w:lang w:val="en-US"/>
        </w:rPr>
        <w:t>HLA</w:t>
      </w:r>
      <w:r w:rsidRPr="00985050">
        <w:rPr>
          <w:rFonts w:eastAsia="SimSun"/>
          <w:i/>
          <w:u w:val="single"/>
        </w:rPr>
        <w:t>-идентичный донор</w:t>
      </w:r>
      <w:bookmarkEnd w:id="145"/>
      <w:r w:rsidRPr="00985050">
        <w:rPr>
          <w:rFonts w:eastAsia="SimSun"/>
          <w:i/>
          <w:u w:val="single"/>
        </w:rPr>
        <w:t xml:space="preserve"> </w:t>
      </w:r>
    </w:p>
    <w:p w:rsidR="005600FF" w:rsidRPr="00C07B2E" w:rsidRDefault="005600FF" w:rsidP="005600FF">
      <w:pPr>
        <w:rPr>
          <w:rFonts w:eastAsia="SimSun"/>
        </w:rPr>
      </w:pPr>
      <w:r w:rsidRPr="00C07B2E">
        <w:rPr>
          <w:rFonts w:eastAsia="SimSun"/>
        </w:rPr>
        <w:t xml:space="preserve">Схемы и режимы применения препаратов для кондиционирования и профилактики РТПХ указаны в Таблице </w:t>
      </w:r>
      <w:r>
        <w:rPr>
          <w:rFonts w:eastAsia="SimSun"/>
        </w:rPr>
        <w:t>5</w:t>
      </w:r>
      <w:r w:rsidRPr="00C07B2E">
        <w:rPr>
          <w:rFonts w:eastAsia="SimSun"/>
        </w:rPr>
        <w:t>.1.1</w:t>
      </w:r>
    </w:p>
    <w:p w:rsidR="005600FF" w:rsidRPr="00C07B2E" w:rsidRDefault="005600FF" w:rsidP="005600FF">
      <w:pPr>
        <w:rPr>
          <w:rFonts w:eastAsia="SimSun"/>
        </w:rPr>
        <w:sectPr w:rsidR="005600FF" w:rsidRPr="00C07B2E" w:rsidSect="005600FF">
          <w:pgSz w:w="11907" w:h="16839" w:code="9"/>
          <w:pgMar w:top="1134" w:right="850" w:bottom="1134" w:left="1701" w:header="709" w:footer="567" w:gutter="0"/>
          <w:cols w:space="708"/>
          <w:docGrid w:linePitch="360"/>
        </w:sectPr>
      </w:pPr>
    </w:p>
    <w:p w:rsidR="005600FF" w:rsidRPr="00C07B2E" w:rsidRDefault="005600FF" w:rsidP="005600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.1.1 Схемы и режимы применения препаратов для кондиционирования и профилактики РТПХ со ссылками на </w:t>
      </w:r>
      <w:r>
        <w:rPr>
          <w:rFonts w:eastAsia="SimSun"/>
        </w:rPr>
        <w:t>таблицы с описанием</w:t>
      </w:r>
    </w:p>
    <w:p w:rsidR="005600FF" w:rsidRPr="00C07B2E" w:rsidRDefault="005600FF" w:rsidP="005600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09"/>
        <w:gridCol w:w="1222"/>
        <w:gridCol w:w="1659"/>
        <w:gridCol w:w="1539"/>
        <w:gridCol w:w="1713"/>
        <w:gridCol w:w="1713"/>
        <w:gridCol w:w="1713"/>
        <w:gridCol w:w="1919"/>
      </w:tblGrid>
      <w:tr w:rsidR="005600FF" w:rsidRPr="00C07B2E" w:rsidTr="005600FF">
        <w:trPr>
          <w:cantSplit/>
          <w:trHeight w:val="664"/>
        </w:trPr>
        <w:tc>
          <w:tcPr>
            <w:tcW w:w="1408" w:type="pct"/>
            <w:gridSpan w:val="3"/>
            <w:vMerge w:val="restart"/>
            <w:shd w:val="clear" w:color="auto" w:fill="auto"/>
            <w:vAlign w:val="center"/>
          </w:tcPr>
          <w:p w:rsidR="005600FF" w:rsidRPr="00C07B2E" w:rsidRDefault="005600FF" w:rsidP="005600FF">
            <w:pPr>
              <w:ind w:firstLine="0"/>
              <w:rPr>
                <w:rFonts w:eastAsia="SimSun"/>
              </w:rPr>
            </w:pPr>
            <w:r w:rsidRPr="00C07B2E">
              <w:rPr>
                <w:rFonts w:eastAsia="SimSun"/>
              </w:rPr>
              <w:t>Профилактика РТПХ</w:t>
            </w:r>
          </w:p>
        </w:tc>
        <w:tc>
          <w:tcPr>
            <w:tcW w:w="3592" w:type="pct"/>
            <w:gridSpan w:val="6"/>
            <w:shd w:val="clear" w:color="auto" w:fill="auto"/>
            <w:vAlign w:val="center"/>
          </w:tcPr>
          <w:p w:rsidR="005600FF" w:rsidRPr="00C07B2E" w:rsidRDefault="005600FF" w:rsidP="005600FF">
            <w:pPr>
              <w:ind w:firstLine="0"/>
              <w:rPr>
                <w:rFonts w:eastAsia="SimSun"/>
              </w:rPr>
            </w:pPr>
            <w:r w:rsidRPr="00C07B2E">
              <w:rPr>
                <w:rFonts w:eastAsia="SimSun"/>
              </w:rPr>
              <w:t>Режим кондиционирования</w:t>
            </w:r>
          </w:p>
        </w:tc>
      </w:tr>
      <w:tr w:rsidR="005600FF" w:rsidRPr="00C07B2E" w:rsidTr="005600FF">
        <w:trPr>
          <w:cantSplit/>
          <w:trHeight w:val="676"/>
        </w:trPr>
        <w:tc>
          <w:tcPr>
            <w:tcW w:w="1408" w:type="pct"/>
            <w:gridSpan w:val="3"/>
            <w:vMerge/>
            <w:shd w:val="clear" w:color="auto" w:fill="auto"/>
            <w:vAlign w:val="center"/>
          </w:tcPr>
          <w:p w:rsidR="005600FF" w:rsidRPr="00C07B2E" w:rsidRDefault="005600FF" w:rsidP="005600FF">
            <w:pPr>
              <w:ind w:firstLine="0"/>
              <w:rPr>
                <w:rFonts w:eastAsia="SimSun"/>
              </w:rPr>
            </w:pPr>
          </w:p>
        </w:tc>
        <w:tc>
          <w:tcPr>
            <w:tcW w:w="1120" w:type="pct"/>
            <w:gridSpan w:val="2"/>
            <w:shd w:val="clear" w:color="auto" w:fill="BFBFBF"/>
            <w:vAlign w:val="center"/>
          </w:tcPr>
          <w:p w:rsidR="005600FF" w:rsidRPr="00C07B2E" w:rsidRDefault="005600FF" w:rsidP="005600FF">
            <w:pPr>
              <w:ind w:firstLine="0"/>
              <w:rPr>
                <w:rFonts w:eastAsia="SimSun"/>
              </w:rPr>
            </w:pPr>
            <w:r w:rsidRPr="00C07B2E">
              <w:rPr>
                <w:rFonts w:eastAsia="SimSun"/>
                <w:lang w:val="en-US"/>
              </w:rPr>
              <w:t>Cy</w:t>
            </w:r>
            <w:r w:rsidRPr="00C07B2E">
              <w:rPr>
                <w:rFonts w:eastAsia="SimSun"/>
              </w:rPr>
              <w:t>120</w:t>
            </w:r>
          </w:p>
        </w:tc>
        <w:tc>
          <w:tcPr>
            <w:tcW w:w="600" w:type="pct"/>
            <w:shd w:val="clear" w:color="auto" w:fill="BFBFBF"/>
            <w:vAlign w:val="center"/>
          </w:tcPr>
          <w:p w:rsidR="005600FF" w:rsidRPr="00C07B2E" w:rsidRDefault="005600FF" w:rsidP="005600FF">
            <w:pPr>
              <w:ind w:firstLine="0"/>
              <w:rPr>
                <w:rFonts w:eastAsia="SimSun"/>
              </w:rPr>
            </w:pPr>
            <w:r w:rsidRPr="00C07B2E">
              <w:rPr>
                <w:rFonts w:eastAsia="SimSun"/>
                <w:lang w:val="en-US"/>
              </w:rPr>
              <w:t>Flu</w:t>
            </w:r>
            <w:r w:rsidRPr="00C07B2E">
              <w:rPr>
                <w:rFonts w:eastAsia="SimSun"/>
              </w:rPr>
              <w:t>150</w:t>
            </w:r>
          </w:p>
        </w:tc>
        <w:tc>
          <w:tcPr>
            <w:tcW w:w="1872" w:type="pct"/>
            <w:gridSpan w:val="3"/>
            <w:shd w:val="clear" w:color="auto" w:fill="BFBFBF"/>
            <w:vAlign w:val="center"/>
          </w:tcPr>
          <w:p w:rsidR="005600FF" w:rsidRPr="00C07B2E" w:rsidRDefault="005600FF" w:rsidP="005600FF">
            <w:pPr>
              <w:ind w:firstLine="0"/>
              <w:rPr>
                <w:rFonts w:eastAsia="SimSun"/>
              </w:rPr>
            </w:pPr>
            <w:r w:rsidRPr="00C07B2E">
              <w:rPr>
                <w:rFonts w:eastAsia="SimSun"/>
                <w:lang w:val="en-US"/>
              </w:rPr>
              <w:t>Flu</w:t>
            </w:r>
            <w:r w:rsidRPr="00C07B2E">
              <w:rPr>
                <w:rFonts w:eastAsia="SimSun"/>
              </w:rPr>
              <w:t>180</w:t>
            </w:r>
          </w:p>
        </w:tc>
      </w:tr>
      <w:tr w:rsidR="005600FF" w:rsidRPr="00C07B2E" w:rsidTr="005600FF">
        <w:trPr>
          <w:cantSplit/>
          <w:trHeight w:val="791"/>
        </w:trPr>
        <w:tc>
          <w:tcPr>
            <w:tcW w:w="1408" w:type="pct"/>
            <w:gridSpan w:val="3"/>
            <w:vMerge/>
            <w:shd w:val="clear" w:color="auto" w:fill="auto"/>
            <w:vAlign w:val="center"/>
          </w:tcPr>
          <w:p w:rsidR="005600FF" w:rsidRPr="00C07B2E" w:rsidRDefault="005600FF" w:rsidP="005600FF">
            <w:pPr>
              <w:ind w:firstLine="0"/>
              <w:rPr>
                <w:rFonts w:eastAsia="SimSun"/>
              </w:rPr>
            </w:pPr>
          </w:p>
        </w:tc>
        <w:tc>
          <w:tcPr>
            <w:tcW w:w="581" w:type="pct"/>
            <w:shd w:val="clear" w:color="auto" w:fill="BFBFBF"/>
            <w:vAlign w:val="center"/>
          </w:tcPr>
          <w:p w:rsidR="005600FF" w:rsidRPr="00C07B2E" w:rsidRDefault="005600FF" w:rsidP="005600FF">
            <w:pPr>
              <w:ind w:firstLine="0"/>
              <w:rPr>
                <w:rFonts w:eastAsia="SimSun"/>
              </w:rPr>
            </w:pPr>
            <w:r w:rsidRPr="00C07B2E">
              <w:rPr>
                <w:rFonts w:eastAsia="SimSun"/>
                <w:lang w:val="en-US"/>
              </w:rPr>
              <w:t>Bu</w:t>
            </w:r>
            <w:r w:rsidRPr="00C07B2E">
              <w:rPr>
                <w:rFonts w:eastAsia="SimSun"/>
              </w:rPr>
              <w:t>12</w:t>
            </w:r>
          </w:p>
        </w:tc>
        <w:tc>
          <w:tcPr>
            <w:tcW w:w="539" w:type="pct"/>
            <w:shd w:val="clear" w:color="auto" w:fill="BFBFBF"/>
            <w:vAlign w:val="center"/>
          </w:tcPr>
          <w:p w:rsidR="005600FF" w:rsidRPr="00C07B2E" w:rsidRDefault="005600FF" w:rsidP="005600FF">
            <w:pPr>
              <w:ind w:firstLine="0"/>
              <w:rPr>
                <w:rFonts w:eastAsia="SimSun"/>
              </w:rPr>
            </w:pPr>
            <w:r w:rsidRPr="00C07B2E">
              <w:rPr>
                <w:rFonts w:eastAsia="SimSun"/>
                <w:lang w:val="en-US"/>
              </w:rPr>
              <w:t>TBI</w:t>
            </w:r>
          </w:p>
        </w:tc>
        <w:tc>
          <w:tcPr>
            <w:tcW w:w="600" w:type="pct"/>
            <w:shd w:val="clear" w:color="auto" w:fill="BFBFBF"/>
            <w:vAlign w:val="center"/>
          </w:tcPr>
          <w:p w:rsidR="005600FF" w:rsidRPr="00C07B2E" w:rsidRDefault="005600FF" w:rsidP="005600FF">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rsidR="005600FF" w:rsidRPr="00C07B2E" w:rsidRDefault="005600FF" w:rsidP="005600FF">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rsidR="005600FF" w:rsidRPr="00C07B2E" w:rsidRDefault="005600FF" w:rsidP="005600FF">
            <w:pPr>
              <w:ind w:firstLine="0"/>
              <w:rPr>
                <w:rFonts w:eastAsia="SimSun"/>
              </w:rPr>
            </w:pPr>
            <w:r w:rsidRPr="00C07B2E">
              <w:rPr>
                <w:rFonts w:eastAsia="SimSun"/>
                <w:lang w:val="en-US"/>
              </w:rPr>
              <w:t>Bu</w:t>
            </w:r>
            <w:r w:rsidRPr="00C07B2E">
              <w:rPr>
                <w:rFonts w:eastAsia="SimSun"/>
              </w:rPr>
              <w:t>14</w:t>
            </w:r>
          </w:p>
        </w:tc>
        <w:tc>
          <w:tcPr>
            <w:tcW w:w="672" w:type="pct"/>
            <w:shd w:val="clear" w:color="auto" w:fill="BFBFBF"/>
            <w:vAlign w:val="center"/>
          </w:tcPr>
          <w:p w:rsidR="005600FF" w:rsidRPr="00C07B2E" w:rsidRDefault="005600FF" w:rsidP="005600FF">
            <w:pPr>
              <w:ind w:firstLine="0"/>
              <w:rPr>
                <w:rFonts w:eastAsia="SimSun"/>
              </w:rPr>
            </w:pPr>
            <w:r w:rsidRPr="00C07B2E">
              <w:rPr>
                <w:rFonts w:eastAsia="SimSun"/>
                <w:lang w:val="en-US"/>
              </w:rPr>
              <w:t>Treo</w:t>
            </w:r>
            <w:r w:rsidRPr="00C07B2E">
              <w:rPr>
                <w:rFonts w:eastAsia="SimSun"/>
              </w:rPr>
              <w:t>42</w:t>
            </w:r>
          </w:p>
        </w:tc>
      </w:tr>
      <w:tr w:rsidR="005600FF" w:rsidRPr="00C07B2E" w:rsidTr="005600FF">
        <w:trPr>
          <w:cantSplit/>
          <w:trHeight w:val="1020"/>
        </w:trPr>
        <w:tc>
          <w:tcPr>
            <w:tcW w:w="697" w:type="pct"/>
            <w:shd w:val="clear" w:color="auto" w:fill="BFBFBF"/>
            <w:vAlign w:val="center"/>
          </w:tcPr>
          <w:p w:rsidR="005600FF" w:rsidRPr="00C07B2E" w:rsidRDefault="005600FF" w:rsidP="005600FF">
            <w:pPr>
              <w:ind w:firstLine="0"/>
              <w:rPr>
                <w:rFonts w:eastAsia="SimSun"/>
              </w:rPr>
            </w:pPr>
            <w:r w:rsidRPr="00C07B2E">
              <w:rPr>
                <w:rFonts w:eastAsia="SimSun"/>
              </w:rPr>
              <w:t>-</w:t>
            </w:r>
          </w:p>
        </w:tc>
        <w:tc>
          <w:tcPr>
            <w:tcW w:w="283" w:type="pct"/>
            <w:shd w:val="clear" w:color="auto" w:fill="BFBFBF"/>
            <w:vAlign w:val="center"/>
          </w:tcPr>
          <w:p w:rsidR="005600FF" w:rsidRPr="00C07B2E" w:rsidRDefault="005600FF" w:rsidP="005600FF">
            <w:pPr>
              <w:ind w:firstLine="0"/>
              <w:rPr>
                <w:rFonts w:eastAsia="SimSun"/>
              </w:rPr>
            </w:pPr>
            <w:r w:rsidRPr="00C07B2E">
              <w:rPr>
                <w:rFonts w:eastAsia="SimSun"/>
                <w:lang w:val="en-US"/>
              </w:rPr>
              <w:t>CSA</w:t>
            </w:r>
          </w:p>
        </w:tc>
        <w:tc>
          <w:tcPr>
            <w:tcW w:w="428" w:type="pct"/>
            <w:shd w:val="clear" w:color="auto" w:fill="BFBFBF"/>
            <w:vAlign w:val="center"/>
          </w:tcPr>
          <w:p w:rsidR="005600FF" w:rsidRPr="00C07B2E" w:rsidRDefault="005600FF" w:rsidP="005600FF">
            <w:pPr>
              <w:ind w:firstLine="0"/>
              <w:rPr>
                <w:rFonts w:eastAsia="SimSun"/>
              </w:rPr>
            </w:pPr>
            <w:r w:rsidRPr="00C07B2E">
              <w:rPr>
                <w:rFonts w:eastAsia="SimSun"/>
                <w:lang w:val="en-US"/>
              </w:rPr>
              <w:t>MTX</w:t>
            </w:r>
          </w:p>
        </w:tc>
        <w:tc>
          <w:tcPr>
            <w:tcW w:w="581" w:type="pct"/>
            <w:shd w:val="clear" w:color="auto" w:fill="auto"/>
            <w:vAlign w:val="center"/>
          </w:tcPr>
          <w:p w:rsidR="005600FF" w:rsidRPr="00C07B2E" w:rsidRDefault="005600FF" w:rsidP="005600FF">
            <w:pPr>
              <w:ind w:firstLine="0"/>
              <w:rPr>
                <w:rFonts w:eastAsia="SimSun"/>
              </w:rPr>
            </w:pPr>
            <w:r>
              <w:rPr>
                <w:rFonts w:eastAsia="SimSun"/>
              </w:rPr>
              <w:t>5.</w:t>
            </w:r>
            <w:r w:rsidRPr="00C07B2E">
              <w:rPr>
                <w:rFonts w:eastAsia="SimSun"/>
              </w:rPr>
              <w:t>1.1.1</w:t>
            </w:r>
          </w:p>
        </w:tc>
        <w:tc>
          <w:tcPr>
            <w:tcW w:w="539" w:type="pct"/>
            <w:shd w:val="clear" w:color="auto" w:fill="auto"/>
            <w:vAlign w:val="center"/>
          </w:tcPr>
          <w:p w:rsidR="005600FF" w:rsidRPr="00C07B2E" w:rsidRDefault="005600FF" w:rsidP="005600FF">
            <w:pPr>
              <w:ind w:firstLine="0"/>
              <w:rPr>
                <w:rFonts w:eastAsia="SimSun"/>
              </w:rPr>
            </w:pPr>
            <w:r>
              <w:rPr>
                <w:rFonts w:eastAsia="SimSun"/>
              </w:rPr>
              <w:t>5.</w:t>
            </w:r>
            <w:r w:rsidRPr="00C07B2E">
              <w:rPr>
                <w:rFonts w:eastAsia="SimSun"/>
              </w:rPr>
              <w:t>1.1.2</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72" w:type="pct"/>
            <w:shd w:val="clear" w:color="auto" w:fill="auto"/>
            <w:vAlign w:val="center"/>
          </w:tcPr>
          <w:p w:rsidR="005600FF" w:rsidRPr="00C07B2E" w:rsidRDefault="005600FF" w:rsidP="005600FF">
            <w:pPr>
              <w:ind w:firstLine="0"/>
            </w:pPr>
            <w:r w:rsidRPr="00C07B2E">
              <w:rPr>
                <w:rFonts w:eastAsia="SimSun"/>
              </w:rPr>
              <w:t>-</w:t>
            </w:r>
          </w:p>
        </w:tc>
      </w:tr>
      <w:tr w:rsidR="005600FF" w:rsidRPr="00C07B2E" w:rsidTr="005600FF">
        <w:trPr>
          <w:cantSplit/>
          <w:trHeight w:val="1020"/>
        </w:trPr>
        <w:tc>
          <w:tcPr>
            <w:tcW w:w="697"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w:t>
            </w:r>
          </w:p>
        </w:tc>
        <w:tc>
          <w:tcPr>
            <w:tcW w:w="283"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Tx</w:t>
            </w:r>
          </w:p>
        </w:tc>
        <w:tc>
          <w:tcPr>
            <w:tcW w:w="428"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MMF30</w:t>
            </w:r>
          </w:p>
        </w:tc>
        <w:tc>
          <w:tcPr>
            <w:tcW w:w="581" w:type="pct"/>
            <w:shd w:val="clear" w:color="auto" w:fill="auto"/>
            <w:vAlign w:val="center"/>
          </w:tcPr>
          <w:p w:rsidR="005600FF" w:rsidRPr="00C07B2E" w:rsidRDefault="005600FF" w:rsidP="005600FF">
            <w:pPr>
              <w:ind w:firstLine="0"/>
            </w:pPr>
            <w:r w:rsidRPr="00C07B2E">
              <w:rPr>
                <w:rFonts w:eastAsia="SimSun"/>
              </w:rPr>
              <w:t>-</w:t>
            </w:r>
          </w:p>
        </w:tc>
        <w:tc>
          <w:tcPr>
            <w:tcW w:w="539"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1.1.4</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1.1.11</w:t>
            </w:r>
          </w:p>
        </w:tc>
        <w:tc>
          <w:tcPr>
            <w:tcW w:w="672"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1.1.12</w:t>
            </w:r>
          </w:p>
        </w:tc>
      </w:tr>
      <w:tr w:rsidR="005600FF" w:rsidRPr="00C07B2E" w:rsidTr="005600FF">
        <w:trPr>
          <w:cantSplit/>
          <w:trHeight w:val="1020"/>
        </w:trPr>
        <w:tc>
          <w:tcPr>
            <w:tcW w:w="697" w:type="pct"/>
            <w:vMerge w:val="restar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PT-Cy</w:t>
            </w:r>
          </w:p>
          <w:p w:rsidR="005600FF" w:rsidRPr="00C07B2E" w:rsidRDefault="005600FF" w:rsidP="005600FF">
            <w:pPr>
              <w:ind w:firstLine="0"/>
              <w:rPr>
                <w:rFonts w:eastAsia="SimSun"/>
                <w:lang w:val="en-US"/>
              </w:rPr>
            </w:pPr>
          </w:p>
        </w:tc>
        <w:tc>
          <w:tcPr>
            <w:tcW w:w="283"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w:t>
            </w:r>
          </w:p>
        </w:tc>
        <w:tc>
          <w:tcPr>
            <w:tcW w:w="428"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w:t>
            </w:r>
          </w:p>
        </w:tc>
        <w:tc>
          <w:tcPr>
            <w:tcW w:w="581" w:type="pct"/>
            <w:shd w:val="clear" w:color="auto" w:fill="auto"/>
            <w:vAlign w:val="center"/>
          </w:tcPr>
          <w:p w:rsidR="005600FF" w:rsidRPr="00C07B2E" w:rsidRDefault="005600FF" w:rsidP="005600FF">
            <w:pPr>
              <w:ind w:firstLine="0"/>
            </w:pPr>
            <w:r w:rsidRPr="00C07B2E">
              <w:rPr>
                <w:rFonts w:eastAsia="SimSun"/>
              </w:rPr>
              <w:t>-</w:t>
            </w:r>
          </w:p>
        </w:tc>
        <w:tc>
          <w:tcPr>
            <w:tcW w:w="539"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1.1.5</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1.1.8</w:t>
            </w:r>
          </w:p>
        </w:tc>
        <w:tc>
          <w:tcPr>
            <w:tcW w:w="672" w:type="pct"/>
            <w:shd w:val="clear" w:color="auto" w:fill="auto"/>
            <w:vAlign w:val="center"/>
          </w:tcPr>
          <w:p w:rsidR="005600FF" w:rsidRPr="00C07B2E" w:rsidRDefault="005600FF" w:rsidP="005600FF">
            <w:pPr>
              <w:ind w:firstLine="0"/>
            </w:pPr>
            <w:r w:rsidRPr="00C07B2E">
              <w:rPr>
                <w:rFonts w:eastAsia="SimSun"/>
              </w:rPr>
              <w:t>-</w:t>
            </w:r>
          </w:p>
        </w:tc>
      </w:tr>
      <w:tr w:rsidR="005600FF" w:rsidRPr="00C07B2E" w:rsidTr="005600FF">
        <w:trPr>
          <w:cantSplit/>
          <w:trHeight w:val="1020"/>
        </w:trPr>
        <w:tc>
          <w:tcPr>
            <w:tcW w:w="697" w:type="pct"/>
            <w:vMerge/>
            <w:shd w:val="clear" w:color="auto" w:fill="BFBFBF"/>
            <w:vAlign w:val="center"/>
          </w:tcPr>
          <w:p w:rsidR="005600FF" w:rsidRPr="00C07B2E" w:rsidRDefault="005600FF" w:rsidP="005600FF">
            <w:pPr>
              <w:ind w:firstLine="0"/>
              <w:rPr>
                <w:rFonts w:eastAsia="SimSun"/>
                <w:lang w:val="en-US"/>
              </w:rPr>
            </w:pPr>
          </w:p>
        </w:tc>
        <w:tc>
          <w:tcPr>
            <w:tcW w:w="283" w:type="pct"/>
            <w:vMerge w:val="restart"/>
            <w:shd w:val="clear" w:color="auto" w:fill="BFBFBF"/>
            <w:vAlign w:val="center"/>
          </w:tcPr>
          <w:p w:rsidR="005600FF" w:rsidRPr="00C07B2E" w:rsidRDefault="005600FF" w:rsidP="005600FF">
            <w:pPr>
              <w:ind w:firstLine="0"/>
              <w:rPr>
                <w:rFonts w:eastAsia="SimSun"/>
              </w:rPr>
            </w:pPr>
            <w:r w:rsidRPr="00C07B2E">
              <w:rPr>
                <w:rFonts w:eastAsia="SimSun"/>
                <w:lang w:val="en-US"/>
              </w:rPr>
              <w:t>CSA</w:t>
            </w:r>
          </w:p>
          <w:p w:rsidR="005600FF" w:rsidRPr="00C07B2E" w:rsidRDefault="005600FF" w:rsidP="005600FF">
            <w:pPr>
              <w:ind w:firstLine="0"/>
              <w:rPr>
                <w:rFonts w:eastAsia="SimSun"/>
              </w:rPr>
            </w:pPr>
          </w:p>
        </w:tc>
        <w:tc>
          <w:tcPr>
            <w:tcW w:w="428" w:type="pct"/>
            <w:shd w:val="clear" w:color="auto" w:fill="BFBFBF"/>
            <w:vAlign w:val="center"/>
          </w:tcPr>
          <w:p w:rsidR="005600FF" w:rsidRPr="00C07B2E" w:rsidRDefault="005600FF" w:rsidP="005600FF">
            <w:pPr>
              <w:ind w:firstLine="0"/>
              <w:rPr>
                <w:rFonts w:eastAsia="SimSun"/>
              </w:rPr>
            </w:pPr>
            <w:r w:rsidRPr="00C07B2E">
              <w:rPr>
                <w:rFonts w:eastAsia="SimSun"/>
                <w:lang w:val="en-US"/>
              </w:rPr>
              <w:t>MMF30</w:t>
            </w:r>
          </w:p>
        </w:tc>
        <w:tc>
          <w:tcPr>
            <w:tcW w:w="581" w:type="pct"/>
            <w:shd w:val="clear" w:color="auto" w:fill="auto"/>
            <w:vAlign w:val="center"/>
          </w:tcPr>
          <w:p w:rsidR="005600FF" w:rsidRPr="00C07B2E" w:rsidRDefault="005600FF" w:rsidP="005600FF">
            <w:pPr>
              <w:ind w:firstLine="0"/>
            </w:pPr>
            <w:r w:rsidRPr="00C07B2E">
              <w:rPr>
                <w:rFonts w:eastAsia="SimSun"/>
              </w:rPr>
              <w:t>-</w:t>
            </w:r>
          </w:p>
        </w:tc>
        <w:tc>
          <w:tcPr>
            <w:tcW w:w="539"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1.1.7</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1.1.10</w:t>
            </w:r>
          </w:p>
        </w:tc>
        <w:tc>
          <w:tcPr>
            <w:tcW w:w="672" w:type="pct"/>
            <w:shd w:val="clear" w:color="auto" w:fill="auto"/>
            <w:vAlign w:val="center"/>
          </w:tcPr>
          <w:p w:rsidR="005600FF" w:rsidRPr="00C07B2E" w:rsidRDefault="005600FF" w:rsidP="005600FF">
            <w:pPr>
              <w:ind w:firstLine="0"/>
            </w:pPr>
            <w:r w:rsidRPr="00C07B2E">
              <w:rPr>
                <w:rFonts w:eastAsia="SimSun"/>
              </w:rPr>
              <w:t>-</w:t>
            </w:r>
          </w:p>
        </w:tc>
      </w:tr>
      <w:tr w:rsidR="005600FF" w:rsidRPr="00C07B2E" w:rsidTr="005600FF">
        <w:trPr>
          <w:cantSplit/>
          <w:trHeight w:val="1020"/>
        </w:trPr>
        <w:tc>
          <w:tcPr>
            <w:tcW w:w="697" w:type="pct"/>
            <w:vMerge/>
            <w:shd w:val="clear" w:color="auto" w:fill="BFBFBF"/>
            <w:vAlign w:val="center"/>
          </w:tcPr>
          <w:p w:rsidR="005600FF" w:rsidRPr="00C07B2E" w:rsidRDefault="005600FF" w:rsidP="005600FF">
            <w:pPr>
              <w:ind w:firstLine="0"/>
              <w:rPr>
                <w:rFonts w:eastAsia="SimSun"/>
                <w:lang w:val="en-US"/>
              </w:rPr>
            </w:pPr>
          </w:p>
        </w:tc>
        <w:tc>
          <w:tcPr>
            <w:tcW w:w="283" w:type="pct"/>
            <w:vMerge/>
            <w:shd w:val="clear" w:color="auto" w:fill="BFBFBF"/>
            <w:vAlign w:val="center"/>
          </w:tcPr>
          <w:p w:rsidR="005600FF" w:rsidRPr="00C07B2E" w:rsidRDefault="005600FF" w:rsidP="005600FF">
            <w:pPr>
              <w:ind w:firstLine="0"/>
              <w:rPr>
                <w:rFonts w:eastAsia="SimSun"/>
                <w:lang w:val="en-US"/>
              </w:rPr>
            </w:pPr>
          </w:p>
        </w:tc>
        <w:tc>
          <w:tcPr>
            <w:tcW w:w="428"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MMF45</w:t>
            </w:r>
          </w:p>
        </w:tc>
        <w:tc>
          <w:tcPr>
            <w:tcW w:w="581" w:type="pct"/>
            <w:shd w:val="clear" w:color="auto" w:fill="auto"/>
            <w:vAlign w:val="center"/>
          </w:tcPr>
          <w:p w:rsidR="005600FF" w:rsidRPr="00C07B2E" w:rsidRDefault="005600FF" w:rsidP="005600FF">
            <w:pPr>
              <w:ind w:firstLine="0"/>
            </w:pPr>
            <w:r w:rsidRPr="00C07B2E">
              <w:rPr>
                <w:rFonts w:eastAsia="SimSun"/>
              </w:rPr>
              <w:t>-</w:t>
            </w:r>
          </w:p>
        </w:tc>
        <w:tc>
          <w:tcPr>
            <w:tcW w:w="539"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rPr>
              <w:t>5.</w:t>
            </w:r>
            <w:r w:rsidRPr="00C07B2E">
              <w:rPr>
                <w:rFonts w:eastAsia="SimSun"/>
              </w:rPr>
              <w:t>1.1.</w:t>
            </w:r>
            <w:r w:rsidRPr="00C07B2E">
              <w:rPr>
                <w:rFonts w:eastAsia="SimSun"/>
                <w:lang w:val="en-US"/>
              </w:rPr>
              <w:t>3</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72" w:type="pct"/>
            <w:shd w:val="clear" w:color="auto" w:fill="auto"/>
            <w:vAlign w:val="center"/>
          </w:tcPr>
          <w:p w:rsidR="005600FF" w:rsidRPr="00C07B2E" w:rsidRDefault="005600FF" w:rsidP="005600FF">
            <w:pPr>
              <w:ind w:firstLine="0"/>
            </w:pPr>
            <w:r w:rsidRPr="00C07B2E">
              <w:rPr>
                <w:rFonts w:eastAsia="SimSun"/>
              </w:rPr>
              <w:t>-</w:t>
            </w:r>
          </w:p>
        </w:tc>
      </w:tr>
      <w:tr w:rsidR="005600FF" w:rsidRPr="00C07B2E" w:rsidTr="005600FF">
        <w:trPr>
          <w:cantSplit/>
          <w:trHeight w:val="1020"/>
        </w:trPr>
        <w:tc>
          <w:tcPr>
            <w:tcW w:w="697" w:type="pct"/>
            <w:vMerge/>
            <w:shd w:val="clear" w:color="auto" w:fill="BFBFBF"/>
            <w:vAlign w:val="center"/>
          </w:tcPr>
          <w:p w:rsidR="005600FF" w:rsidRPr="00C07B2E" w:rsidRDefault="005600FF" w:rsidP="005600FF">
            <w:pPr>
              <w:ind w:firstLine="0"/>
              <w:rPr>
                <w:rFonts w:eastAsia="SimSun"/>
                <w:lang w:val="en-US"/>
              </w:rPr>
            </w:pPr>
          </w:p>
        </w:tc>
        <w:tc>
          <w:tcPr>
            <w:tcW w:w="283"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Tx</w:t>
            </w:r>
          </w:p>
        </w:tc>
        <w:tc>
          <w:tcPr>
            <w:tcW w:w="428" w:type="pct"/>
            <w:shd w:val="clear" w:color="auto" w:fill="BFBFBF"/>
            <w:vAlign w:val="center"/>
          </w:tcPr>
          <w:p w:rsidR="005600FF" w:rsidRPr="00C07B2E" w:rsidRDefault="005600FF" w:rsidP="005600FF">
            <w:pPr>
              <w:ind w:firstLine="0"/>
              <w:rPr>
                <w:rFonts w:eastAsia="SimSun"/>
                <w:lang w:val="en-US"/>
              </w:rPr>
            </w:pPr>
            <w:r w:rsidRPr="00C07B2E">
              <w:rPr>
                <w:rFonts w:eastAsia="SimSun"/>
                <w:lang w:val="en-US"/>
              </w:rPr>
              <w:t>MMF30</w:t>
            </w:r>
          </w:p>
        </w:tc>
        <w:tc>
          <w:tcPr>
            <w:tcW w:w="581" w:type="pct"/>
            <w:shd w:val="clear" w:color="auto" w:fill="auto"/>
            <w:vAlign w:val="center"/>
          </w:tcPr>
          <w:p w:rsidR="005600FF" w:rsidRPr="00C07B2E" w:rsidRDefault="005600FF" w:rsidP="005600FF">
            <w:pPr>
              <w:ind w:firstLine="0"/>
            </w:pPr>
            <w:r w:rsidRPr="00C07B2E">
              <w:rPr>
                <w:rFonts w:eastAsia="SimSun"/>
              </w:rPr>
              <w:t>-</w:t>
            </w:r>
          </w:p>
        </w:tc>
        <w:tc>
          <w:tcPr>
            <w:tcW w:w="539"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pPr>
            <w:r w:rsidRPr="00C07B2E">
              <w:rPr>
                <w:rFonts w:eastAsia="SimSun"/>
              </w:rPr>
              <w:t>-</w:t>
            </w:r>
          </w:p>
        </w:tc>
        <w:tc>
          <w:tcPr>
            <w:tcW w:w="600" w:type="pct"/>
            <w:shd w:val="clear" w:color="auto" w:fill="auto"/>
            <w:vAlign w:val="center"/>
          </w:tcPr>
          <w:p w:rsidR="005600FF" w:rsidRPr="00C07B2E" w:rsidRDefault="005600FF" w:rsidP="005600FF">
            <w:pPr>
              <w:ind w:firstLine="0"/>
              <w:rPr>
                <w:rFonts w:eastAsia="SimSun"/>
              </w:rPr>
            </w:pPr>
            <w:r>
              <w:rPr>
                <w:rFonts w:eastAsia="SimSun"/>
                <w:lang w:val="en-US"/>
              </w:rPr>
              <w:t>5.</w:t>
            </w:r>
            <w:r w:rsidRPr="00C07B2E">
              <w:rPr>
                <w:rFonts w:eastAsia="SimSun"/>
                <w:lang w:val="en-US"/>
              </w:rPr>
              <w:t>1.1.6</w:t>
            </w:r>
          </w:p>
        </w:tc>
        <w:tc>
          <w:tcPr>
            <w:tcW w:w="600" w:type="pct"/>
            <w:shd w:val="clear" w:color="auto" w:fill="auto"/>
            <w:vAlign w:val="center"/>
          </w:tcPr>
          <w:p w:rsidR="005600FF" w:rsidRPr="00C07B2E" w:rsidRDefault="005600FF" w:rsidP="005600FF">
            <w:pPr>
              <w:ind w:firstLine="0"/>
              <w:rPr>
                <w:rFonts w:eastAsia="SimSun"/>
                <w:lang w:val="en-US"/>
              </w:rPr>
            </w:pPr>
            <w:r>
              <w:rPr>
                <w:rFonts w:eastAsia="SimSun"/>
                <w:lang w:val="en-US"/>
              </w:rPr>
              <w:t>5.</w:t>
            </w:r>
            <w:r w:rsidRPr="00C07B2E">
              <w:rPr>
                <w:rFonts w:eastAsia="SimSun"/>
                <w:lang w:val="en-US"/>
              </w:rPr>
              <w:t>1.1.9</w:t>
            </w:r>
          </w:p>
        </w:tc>
        <w:tc>
          <w:tcPr>
            <w:tcW w:w="672" w:type="pct"/>
            <w:shd w:val="clear" w:color="auto" w:fill="auto"/>
            <w:vAlign w:val="center"/>
          </w:tcPr>
          <w:p w:rsidR="005600FF" w:rsidRPr="00C07B2E" w:rsidRDefault="005600FF" w:rsidP="005600FF">
            <w:pPr>
              <w:ind w:firstLine="0"/>
            </w:pPr>
            <w:r w:rsidRPr="00C07B2E">
              <w:rPr>
                <w:rFonts w:eastAsia="SimSun"/>
              </w:rPr>
              <w:t>-</w:t>
            </w:r>
          </w:p>
        </w:tc>
      </w:tr>
    </w:tbl>
    <w:p w:rsidR="005600FF" w:rsidRPr="00C07B2E" w:rsidRDefault="005600FF" w:rsidP="005600FF">
      <w:pPr>
        <w:rPr>
          <w:rFonts w:eastAsia="SimSun"/>
        </w:rPr>
        <w:sectPr w:rsidR="005600FF" w:rsidRPr="00C07B2E" w:rsidSect="005600FF">
          <w:type w:val="continuous"/>
          <w:pgSz w:w="16839" w:h="11907" w:orient="landscape" w:code="9"/>
          <w:pgMar w:top="1134" w:right="850" w:bottom="1134" w:left="1701" w:header="709" w:footer="567" w:gutter="0"/>
          <w:cols w:space="708"/>
          <w:docGrid w:linePitch="360"/>
        </w:sectPr>
      </w:pPr>
    </w:p>
    <w:p w:rsidR="005600FF" w:rsidRPr="00C07B2E" w:rsidRDefault="005600FF" w:rsidP="005600FF">
      <w:pPr>
        <w:rPr>
          <w:rFonts w:eastAsia="SimSun"/>
        </w:rPr>
      </w:pPr>
      <w:bookmarkStart w:id="146" w:name="_Toc44401144"/>
      <w:r>
        <w:rPr>
          <w:rFonts w:eastAsia="SimSun"/>
        </w:rPr>
        <w:lastRenderedPageBreak/>
        <w:t>Таблица</w:t>
      </w:r>
      <w:r w:rsidRPr="00C07B2E">
        <w:rPr>
          <w:rFonts w:eastAsia="SimSun"/>
        </w:rPr>
        <w:t xml:space="preserve"> </w:t>
      </w:r>
      <w:r>
        <w:rPr>
          <w:rFonts w:eastAsia="SimSun"/>
        </w:rPr>
        <w:t>5</w:t>
      </w:r>
      <w:r w:rsidRPr="00C07B2E">
        <w:rPr>
          <w:rFonts w:eastAsia="SimSun"/>
        </w:rPr>
        <w:t>.1.1.1 – Bu12+Cy120 / CSA+MTX</w:t>
      </w:r>
      <w:bookmarkEnd w:id="146"/>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5600FF" w:rsidRPr="00C07B2E" w:rsidTr="005600FF">
        <w:trPr>
          <w:cantSplit/>
          <w:trHeight w:val="20"/>
          <w:tblHeader/>
        </w:trPr>
        <w:tc>
          <w:tcPr>
            <w:tcW w:w="709" w:type="dxa"/>
            <w:vAlign w:val="center"/>
          </w:tcPr>
          <w:p w:rsidR="005600FF" w:rsidRPr="00C07B2E" w:rsidRDefault="005600FF" w:rsidP="005600FF">
            <w:pPr>
              <w:ind w:left="57" w:right="57" w:firstLine="0"/>
              <w:rPr>
                <w:rFonts w:eastAsia="SimSun"/>
              </w:rPr>
            </w:pPr>
            <w:bookmarkStart w:id="147" w:name="_Hlk513908710"/>
          </w:p>
        </w:tc>
        <w:tc>
          <w:tcPr>
            <w:tcW w:w="1843" w:type="dxa"/>
            <w:vAlign w:val="center"/>
          </w:tcPr>
          <w:p w:rsidR="005600FF" w:rsidRPr="00C07B2E" w:rsidRDefault="005600FF" w:rsidP="005600FF">
            <w:pPr>
              <w:ind w:left="57" w:right="57" w:firstLine="0"/>
              <w:rPr>
                <w:rFonts w:eastAsia="SimSun"/>
              </w:rPr>
            </w:pPr>
            <w:r w:rsidRPr="00C07B2E">
              <w:rPr>
                <w:rFonts w:eastAsia="SimSun"/>
              </w:rPr>
              <w:t>Препарат</w:t>
            </w:r>
          </w:p>
        </w:tc>
        <w:tc>
          <w:tcPr>
            <w:tcW w:w="1417" w:type="dxa"/>
            <w:vAlign w:val="center"/>
          </w:tcPr>
          <w:p w:rsidR="005600FF" w:rsidRPr="00C07B2E" w:rsidRDefault="005600FF" w:rsidP="005600FF">
            <w:pPr>
              <w:ind w:left="57" w:right="57"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left="57" w:right="57"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left="57" w:right="57"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left="57" w:right="57" w:firstLine="0"/>
              <w:rPr>
                <w:rFonts w:eastAsia="SimSun"/>
              </w:rPr>
            </w:pPr>
            <w:r w:rsidRPr="00C07B2E">
              <w:rPr>
                <w:rFonts w:eastAsia="SimSun"/>
              </w:rPr>
              <w:t>Порядок введения</w:t>
            </w:r>
          </w:p>
        </w:tc>
      </w:tr>
      <w:tr w:rsidR="005600FF" w:rsidRPr="00C07B2E" w:rsidTr="005600FF">
        <w:trPr>
          <w:cantSplit/>
          <w:trHeight w:val="20"/>
        </w:trPr>
        <w:tc>
          <w:tcPr>
            <w:tcW w:w="709" w:type="dxa"/>
            <w:vMerge w:val="restart"/>
            <w:textDirection w:val="btLr"/>
            <w:vAlign w:val="center"/>
          </w:tcPr>
          <w:p w:rsidR="005600FF" w:rsidRPr="00C07B2E" w:rsidRDefault="005600FF" w:rsidP="005600FF">
            <w:pPr>
              <w:ind w:left="57" w:right="57" w:firstLine="0"/>
              <w:rPr>
                <w:rFonts w:eastAsia="SimSun"/>
              </w:rPr>
            </w:pPr>
            <w:r w:rsidRPr="00C07B2E">
              <w:rPr>
                <w:rFonts w:eastAsia="SimSun"/>
              </w:rPr>
              <w:t>Кондиционирование</w:t>
            </w:r>
          </w:p>
        </w:tc>
        <w:tc>
          <w:tcPr>
            <w:tcW w:w="1843" w:type="dxa"/>
            <w:vAlign w:val="center"/>
          </w:tcPr>
          <w:p w:rsidR="005600FF" w:rsidRPr="00C07B2E" w:rsidRDefault="005600FF" w:rsidP="005600FF">
            <w:pPr>
              <w:ind w:left="57" w:right="57" w:firstLine="0"/>
              <w:rPr>
                <w:rFonts w:eastAsia="SimSun"/>
              </w:rPr>
            </w:pPr>
            <w:r w:rsidRPr="00C07B2E">
              <w:rPr>
                <w:rFonts w:eastAsia="SimSun"/>
              </w:rPr>
              <w:t>Бусульфан</w:t>
            </w:r>
          </w:p>
        </w:tc>
        <w:tc>
          <w:tcPr>
            <w:tcW w:w="1417" w:type="dxa"/>
            <w:vAlign w:val="center"/>
          </w:tcPr>
          <w:p w:rsidR="005600FF" w:rsidRPr="00C07B2E" w:rsidRDefault="005600FF" w:rsidP="005600FF">
            <w:pPr>
              <w:ind w:left="57" w:right="57" w:firstLine="0"/>
              <w:rPr>
                <w:rFonts w:eastAsia="SimSun"/>
              </w:rPr>
            </w:pPr>
            <w:r w:rsidRPr="00C07B2E">
              <w:rPr>
                <w:rFonts w:eastAsia="SimSun"/>
              </w:rPr>
              <w:t>4 мг/кг</w:t>
            </w:r>
          </w:p>
        </w:tc>
        <w:tc>
          <w:tcPr>
            <w:tcW w:w="1418" w:type="dxa"/>
            <w:vAlign w:val="center"/>
          </w:tcPr>
          <w:p w:rsidR="005600FF" w:rsidRPr="00C07B2E" w:rsidRDefault="005600FF" w:rsidP="005600FF">
            <w:pPr>
              <w:ind w:left="57" w:right="57" w:firstLine="0"/>
              <w:rPr>
                <w:rFonts w:eastAsia="SimSun"/>
              </w:rPr>
            </w:pPr>
            <w:r w:rsidRPr="00C07B2E">
              <w:rPr>
                <w:rFonts w:eastAsia="SimSun"/>
                <w:lang w:val="en-US"/>
              </w:rPr>
              <w:t>12</w:t>
            </w:r>
            <w:r w:rsidRPr="00C07B2E">
              <w:rPr>
                <w:rFonts w:eastAsia="SimSun"/>
              </w:rPr>
              <w:t xml:space="preserve"> мг/кг</w:t>
            </w:r>
          </w:p>
        </w:tc>
        <w:tc>
          <w:tcPr>
            <w:tcW w:w="1701" w:type="dxa"/>
            <w:vAlign w:val="center"/>
          </w:tcPr>
          <w:p w:rsidR="005600FF" w:rsidRPr="00C07B2E" w:rsidRDefault="005600FF" w:rsidP="005600FF">
            <w:pPr>
              <w:ind w:left="57" w:right="57" w:firstLine="0"/>
              <w:rPr>
                <w:rFonts w:eastAsia="SimSun"/>
              </w:rPr>
            </w:pPr>
            <w:r w:rsidRPr="00C07B2E">
              <w:rPr>
                <w:rFonts w:eastAsia="SimSun"/>
                <w:lang w:val="en-US"/>
              </w:rPr>
              <w:t>C</w:t>
            </w:r>
            <w:r w:rsidRPr="00C07B2E">
              <w:rPr>
                <w:rFonts w:eastAsia="SimSun"/>
              </w:rPr>
              <w:t xml:space="preserve"> –6 по –4 день </w:t>
            </w:r>
          </w:p>
        </w:tc>
        <w:tc>
          <w:tcPr>
            <w:tcW w:w="2268" w:type="dxa"/>
            <w:vAlign w:val="center"/>
          </w:tcPr>
          <w:p w:rsidR="005600FF" w:rsidRPr="00985050" w:rsidRDefault="005600FF" w:rsidP="005600FF">
            <w:pPr>
              <w:ind w:left="57" w:right="57" w:firstLine="0"/>
              <w:rPr>
                <w:rFonts w:eastAsia="SimSun"/>
              </w:rPr>
            </w:pPr>
            <w:r w:rsidRPr="00985050">
              <w:rPr>
                <w:rFonts w:eastAsia="SimSun"/>
              </w:rPr>
              <w:t>Внутрь, суммарная суточная доза разделяется на 4 приема с интервалом 6 часов.</w:t>
            </w:r>
          </w:p>
        </w:tc>
      </w:tr>
      <w:tr w:rsidR="005600FF" w:rsidRPr="00C07B2E" w:rsidTr="005600FF">
        <w:trPr>
          <w:cantSplit/>
          <w:trHeight w:val="1207"/>
        </w:trPr>
        <w:tc>
          <w:tcPr>
            <w:tcW w:w="709" w:type="dxa"/>
            <w:vMerge/>
            <w:vAlign w:val="center"/>
          </w:tcPr>
          <w:p w:rsidR="005600FF" w:rsidRPr="00985050" w:rsidRDefault="005600FF" w:rsidP="005600FF">
            <w:pPr>
              <w:ind w:left="57" w:right="57" w:firstLine="0"/>
              <w:rPr>
                <w:rFonts w:eastAsia="SimSun"/>
              </w:rPr>
            </w:pPr>
          </w:p>
        </w:tc>
        <w:tc>
          <w:tcPr>
            <w:tcW w:w="1843" w:type="dxa"/>
            <w:vAlign w:val="center"/>
          </w:tcPr>
          <w:p w:rsidR="005600FF" w:rsidRPr="00C07B2E" w:rsidRDefault="005600FF" w:rsidP="005600FF">
            <w:pPr>
              <w:ind w:left="57" w:right="57" w:firstLine="0"/>
              <w:rPr>
                <w:rFonts w:eastAsia="SimSun"/>
              </w:rPr>
            </w:pPr>
            <w:r w:rsidRPr="00C07B2E">
              <w:rPr>
                <w:rFonts w:eastAsia="SimSun"/>
              </w:rPr>
              <w:t>Циклофосфамид</w:t>
            </w:r>
          </w:p>
        </w:tc>
        <w:tc>
          <w:tcPr>
            <w:tcW w:w="1417" w:type="dxa"/>
            <w:vAlign w:val="center"/>
          </w:tcPr>
          <w:p w:rsidR="005600FF" w:rsidRPr="00C07B2E" w:rsidRDefault="005600FF" w:rsidP="005600FF">
            <w:pPr>
              <w:ind w:left="57" w:right="57" w:firstLine="0"/>
              <w:rPr>
                <w:rFonts w:eastAsia="SimSun"/>
              </w:rPr>
            </w:pPr>
            <w:r w:rsidRPr="00C07B2E">
              <w:rPr>
                <w:rFonts w:eastAsia="SimSun"/>
              </w:rPr>
              <w:t>60 мг/кг</w:t>
            </w:r>
          </w:p>
        </w:tc>
        <w:tc>
          <w:tcPr>
            <w:tcW w:w="1418" w:type="dxa"/>
            <w:vAlign w:val="center"/>
          </w:tcPr>
          <w:p w:rsidR="005600FF" w:rsidRPr="00C07B2E" w:rsidRDefault="005600FF" w:rsidP="005600FF">
            <w:pPr>
              <w:ind w:left="57" w:right="57" w:firstLine="0"/>
              <w:rPr>
                <w:rFonts w:eastAsia="SimSun"/>
              </w:rPr>
            </w:pPr>
            <w:r w:rsidRPr="00C07B2E">
              <w:rPr>
                <w:rFonts w:eastAsia="SimSun"/>
              </w:rPr>
              <w:t>120 мг/кг</w:t>
            </w:r>
          </w:p>
        </w:tc>
        <w:tc>
          <w:tcPr>
            <w:tcW w:w="1701" w:type="dxa"/>
            <w:vAlign w:val="center"/>
          </w:tcPr>
          <w:p w:rsidR="005600FF" w:rsidRPr="00C07B2E" w:rsidRDefault="005600FF" w:rsidP="005600FF">
            <w:pPr>
              <w:ind w:left="57" w:right="57" w:firstLine="0"/>
              <w:rPr>
                <w:rFonts w:eastAsia="SimSun"/>
              </w:rPr>
            </w:pPr>
            <w:r w:rsidRPr="00C07B2E">
              <w:rPr>
                <w:rFonts w:eastAsia="SimSun"/>
                <w:lang w:val="en-US"/>
              </w:rPr>
              <w:t>–3, –2 дни</w:t>
            </w:r>
            <w:r w:rsidRPr="00C07B2E">
              <w:rPr>
                <w:rFonts w:eastAsia="SimSun"/>
              </w:rPr>
              <w:t xml:space="preserve"> </w:t>
            </w:r>
          </w:p>
        </w:tc>
        <w:tc>
          <w:tcPr>
            <w:tcW w:w="2268" w:type="dxa"/>
            <w:vAlign w:val="center"/>
          </w:tcPr>
          <w:p w:rsidR="005600FF" w:rsidRPr="00985050" w:rsidRDefault="005600FF" w:rsidP="005600FF">
            <w:pPr>
              <w:ind w:left="57" w:right="57" w:firstLine="0"/>
              <w:rPr>
                <w:rFonts w:eastAsia="SimSun"/>
              </w:rPr>
            </w:pPr>
            <w:r w:rsidRPr="00985050">
              <w:rPr>
                <w:rFonts w:eastAsia="SimSun"/>
              </w:rPr>
              <w:t xml:space="preserve">В/в, в течение 2 ч  </w:t>
            </w:r>
          </w:p>
        </w:tc>
      </w:tr>
      <w:tr w:rsidR="005600FF" w:rsidRPr="00C07B2E" w:rsidTr="005600FF">
        <w:trPr>
          <w:cantSplit/>
          <w:trHeight w:val="20"/>
        </w:trPr>
        <w:tc>
          <w:tcPr>
            <w:tcW w:w="709" w:type="dxa"/>
            <w:vMerge w:val="restart"/>
            <w:textDirection w:val="btLr"/>
            <w:vAlign w:val="center"/>
          </w:tcPr>
          <w:p w:rsidR="005600FF" w:rsidRPr="00C07B2E" w:rsidRDefault="005600FF" w:rsidP="005600FF">
            <w:pPr>
              <w:ind w:left="57" w:right="57" w:firstLine="0"/>
              <w:rPr>
                <w:rFonts w:eastAsia="SimSun"/>
              </w:rPr>
            </w:pPr>
            <w:r w:rsidRPr="00C07B2E">
              <w:rPr>
                <w:rFonts w:eastAsia="SimSun"/>
              </w:rPr>
              <w:t>Профилактика РТПХ</w:t>
            </w:r>
          </w:p>
        </w:tc>
        <w:tc>
          <w:tcPr>
            <w:tcW w:w="1843" w:type="dxa"/>
            <w:vAlign w:val="center"/>
          </w:tcPr>
          <w:p w:rsidR="005600FF" w:rsidRPr="00C07B2E" w:rsidRDefault="005600FF" w:rsidP="005600FF">
            <w:pPr>
              <w:ind w:left="57" w:right="57" w:firstLine="0"/>
              <w:rPr>
                <w:rFonts w:eastAsia="SimSun"/>
              </w:rPr>
            </w:pPr>
            <w:r w:rsidRPr="00C07B2E">
              <w:rPr>
                <w:rFonts w:eastAsia="SimSun"/>
              </w:rPr>
              <w:t xml:space="preserve">Циклоспорин </w:t>
            </w:r>
          </w:p>
        </w:tc>
        <w:tc>
          <w:tcPr>
            <w:tcW w:w="1417" w:type="dxa"/>
            <w:vAlign w:val="center"/>
          </w:tcPr>
          <w:p w:rsidR="005600FF" w:rsidRPr="00C07B2E" w:rsidRDefault="005600FF" w:rsidP="005600FF">
            <w:pPr>
              <w:ind w:left="57" w:right="57" w:firstLine="0"/>
              <w:rPr>
                <w:rFonts w:eastAsia="SimSun"/>
              </w:rPr>
            </w:pPr>
            <w:r w:rsidRPr="00C07B2E">
              <w:rPr>
                <w:rFonts w:eastAsia="SimSun"/>
              </w:rPr>
              <w:t>3 мг/кг</w:t>
            </w:r>
          </w:p>
        </w:tc>
        <w:tc>
          <w:tcPr>
            <w:tcW w:w="1418" w:type="dxa"/>
            <w:vAlign w:val="center"/>
          </w:tcPr>
          <w:p w:rsidR="005600FF" w:rsidRPr="00C07B2E" w:rsidRDefault="005600FF" w:rsidP="005600FF">
            <w:pPr>
              <w:ind w:left="57" w:right="57" w:firstLine="0"/>
              <w:rPr>
                <w:rFonts w:eastAsia="SimSun"/>
                <w:lang w:val="en-US"/>
              </w:rPr>
            </w:pPr>
            <w:r w:rsidRPr="00C07B2E">
              <w:rPr>
                <w:rFonts w:eastAsia="SimSun"/>
                <w:lang w:val="en-US"/>
              </w:rPr>
              <w:t>–</w:t>
            </w:r>
          </w:p>
        </w:tc>
        <w:tc>
          <w:tcPr>
            <w:tcW w:w="1701" w:type="dxa"/>
            <w:vAlign w:val="center"/>
          </w:tcPr>
          <w:p w:rsidR="005600FF" w:rsidRPr="00C07B2E" w:rsidRDefault="005600FF" w:rsidP="005600FF">
            <w:pPr>
              <w:ind w:left="57" w:right="57" w:firstLine="0"/>
              <w:rPr>
                <w:rFonts w:eastAsia="SimSun"/>
              </w:rPr>
            </w:pPr>
            <w:r w:rsidRPr="00C07B2E">
              <w:rPr>
                <w:rFonts w:eastAsia="SimSun"/>
              </w:rPr>
              <w:t>С –1 дня по +90 день, затем постепенное снижение к +180 дню</w:t>
            </w:r>
          </w:p>
        </w:tc>
        <w:tc>
          <w:tcPr>
            <w:tcW w:w="2268" w:type="dxa"/>
            <w:vAlign w:val="center"/>
          </w:tcPr>
          <w:p w:rsidR="005600FF" w:rsidRPr="00985050" w:rsidRDefault="005600FF" w:rsidP="005600FF">
            <w:pPr>
              <w:ind w:left="57" w:right="57"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5600FF" w:rsidRPr="00C07B2E" w:rsidTr="005600FF">
        <w:trPr>
          <w:cantSplit/>
          <w:trHeight w:val="20"/>
        </w:trPr>
        <w:tc>
          <w:tcPr>
            <w:tcW w:w="709" w:type="dxa"/>
            <w:vMerge/>
          </w:tcPr>
          <w:p w:rsidR="005600FF" w:rsidRPr="00985050" w:rsidRDefault="005600FF" w:rsidP="005600FF">
            <w:pPr>
              <w:ind w:left="57" w:right="57" w:firstLine="0"/>
              <w:rPr>
                <w:rFonts w:eastAsia="SimSun"/>
              </w:rPr>
            </w:pPr>
          </w:p>
        </w:tc>
        <w:tc>
          <w:tcPr>
            <w:tcW w:w="1843" w:type="dxa"/>
            <w:vMerge w:val="restart"/>
            <w:vAlign w:val="center"/>
          </w:tcPr>
          <w:p w:rsidR="005600FF" w:rsidRPr="00C07B2E" w:rsidRDefault="005600FF" w:rsidP="005600FF">
            <w:pPr>
              <w:ind w:left="57" w:right="57" w:firstLine="0"/>
              <w:rPr>
                <w:rFonts w:eastAsia="SimSun"/>
              </w:rPr>
            </w:pPr>
            <w:r w:rsidRPr="00C07B2E">
              <w:rPr>
                <w:rFonts w:eastAsia="SimSun"/>
              </w:rPr>
              <w:t>Метотрексат</w:t>
            </w:r>
          </w:p>
        </w:tc>
        <w:tc>
          <w:tcPr>
            <w:tcW w:w="1417" w:type="dxa"/>
            <w:vAlign w:val="center"/>
          </w:tcPr>
          <w:p w:rsidR="005600FF" w:rsidRPr="00C07B2E" w:rsidRDefault="005600FF" w:rsidP="005600FF">
            <w:pPr>
              <w:ind w:left="57" w:right="57" w:firstLine="0"/>
              <w:rPr>
                <w:rFonts w:eastAsia="SimSun"/>
              </w:rPr>
            </w:pPr>
            <w:r w:rsidRPr="00C07B2E">
              <w:rPr>
                <w:rFonts w:eastAsia="SimSun"/>
              </w:rPr>
              <w:t>15 мг/м</w:t>
            </w:r>
            <w:r w:rsidRPr="00C07B2E">
              <w:rPr>
                <w:rFonts w:eastAsia="SimSun"/>
                <w:vertAlign w:val="superscript"/>
              </w:rPr>
              <w:t>2</w:t>
            </w:r>
          </w:p>
        </w:tc>
        <w:tc>
          <w:tcPr>
            <w:tcW w:w="1418" w:type="dxa"/>
            <w:vAlign w:val="center"/>
          </w:tcPr>
          <w:p w:rsidR="005600FF" w:rsidRPr="00C07B2E" w:rsidRDefault="005600FF" w:rsidP="005600FF">
            <w:pPr>
              <w:ind w:left="57" w:right="57" w:firstLine="0"/>
              <w:rPr>
                <w:rFonts w:eastAsia="SimSun"/>
              </w:rPr>
            </w:pPr>
            <w:r w:rsidRPr="00C07B2E">
              <w:rPr>
                <w:rFonts w:eastAsia="SimSun"/>
                <w:lang w:val="en-US"/>
              </w:rPr>
              <w:t>–</w:t>
            </w:r>
          </w:p>
        </w:tc>
        <w:tc>
          <w:tcPr>
            <w:tcW w:w="1701" w:type="dxa"/>
            <w:vAlign w:val="center"/>
          </w:tcPr>
          <w:p w:rsidR="005600FF" w:rsidRPr="00C07B2E" w:rsidRDefault="005600FF" w:rsidP="005600FF">
            <w:pPr>
              <w:ind w:left="57" w:right="57" w:firstLine="0"/>
              <w:rPr>
                <w:rFonts w:eastAsia="SimSun"/>
              </w:rPr>
            </w:pPr>
            <w:r w:rsidRPr="00C07B2E">
              <w:rPr>
                <w:rFonts w:eastAsia="SimSun"/>
              </w:rPr>
              <w:t>+1 день</w:t>
            </w:r>
          </w:p>
        </w:tc>
        <w:tc>
          <w:tcPr>
            <w:tcW w:w="2268" w:type="dxa"/>
            <w:vAlign w:val="center"/>
          </w:tcPr>
          <w:p w:rsidR="005600FF" w:rsidRPr="00C07B2E" w:rsidRDefault="005600FF" w:rsidP="005600FF">
            <w:pPr>
              <w:ind w:left="57" w:right="57" w:firstLine="0"/>
              <w:rPr>
                <w:rFonts w:eastAsia="SimSun"/>
              </w:rPr>
            </w:pPr>
            <w:r w:rsidRPr="00C07B2E">
              <w:rPr>
                <w:rFonts w:eastAsia="SimSun"/>
              </w:rPr>
              <w:t>В/в, в 20 мл физ. р-ра</w:t>
            </w:r>
            <w:bookmarkStart w:id="148" w:name="OLE_LINK12"/>
            <w:bookmarkStart w:id="149" w:name="OLE_LINK13"/>
            <w:r w:rsidRPr="00C07B2E">
              <w:rPr>
                <w:rFonts w:eastAsia="SimSun"/>
              </w:rPr>
              <w:t xml:space="preserve"> </w:t>
            </w:r>
            <w:bookmarkEnd w:id="148"/>
            <w:bookmarkEnd w:id="149"/>
            <w:r w:rsidRPr="00C07B2E">
              <w:rPr>
                <w:rFonts w:eastAsia="SimSun"/>
              </w:rPr>
              <w:t xml:space="preserve"> </w:t>
            </w:r>
          </w:p>
        </w:tc>
      </w:tr>
      <w:tr w:rsidR="005600FF" w:rsidRPr="00C07B2E" w:rsidTr="005600FF">
        <w:trPr>
          <w:cantSplit/>
          <w:trHeight w:val="464"/>
        </w:trPr>
        <w:tc>
          <w:tcPr>
            <w:tcW w:w="709" w:type="dxa"/>
            <w:vMerge/>
          </w:tcPr>
          <w:p w:rsidR="005600FF" w:rsidRPr="00C07B2E" w:rsidRDefault="005600FF" w:rsidP="005600FF">
            <w:pPr>
              <w:ind w:left="57" w:right="57" w:firstLine="0"/>
              <w:rPr>
                <w:rFonts w:eastAsia="SimSun"/>
              </w:rPr>
            </w:pPr>
          </w:p>
        </w:tc>
        <w:tc>
          <w:tcPr>
            <w:tcW w:w="1843" w:type="dxa"/>
            <w:vMerge/>
            <w:vAlign w:val="center"/>
          </w:tcPr>
          <w:p w:rsidR="005600FF" w:rsidRPr="00C07B2E" w:rsidRDefault="005600FF" w:rsidP="005600FF">
            <w:pPr>
              <w:ind w:left="57" w:right="57" w:firstLine="0"/>
              <w:rPr>
                <w:rFonts w:eastAsia="SimSun"/>
              </w:rPr>
            </w:pPr>
          </w:p>
        </w:tc>
        <w:tc>
          <w:tcPr>
            <w:tcW w:w="1417" w:type="dxa"/>
            <w:vAlign w:val="center"/>
          </w:tcPr>
          <w:p w:rsidR="005600FF" w:rsidRPr="00C07B2E" w:rsidRDefault="005600FF" w:rsidP="005600FF">
            <w:pPr>
              <w:ind w:left="57" w:right="57" w:firstLine="0"/>
              <w:rPr>
                <w:rFonts w:eastAsia="SimSun"/>
              </w:rPr>
            </w:pPr>
            <w:r w:rsidRPr="00C07B2E">
              <w:rPr>
                <w:rFonts w:eastAsia="SimSun"/>
              </w:rPr>
              <w:t>10 мг/м</w:t>
            </w:r>
            <w:r w:rsidRPr="00C07B2E">
              <w:rPr>
                <w:rFonts w:eastAsia="SimSun"/>
                <w:vertAlign w:val="superscript"/>
              </w:rPr>
              <w:t>2</w:t>
            </w:r>
          </w:p>
        </w:tc>
        <w:tc>
          <w:tcPr>
            <w:tcW w:w="1418" w:type="dxa"/>
            <w:vAlign w:val="center"/>
          </w:tcPr>
          <w:p w:rsidR="005600FF" w:rsidRPr="00C07B2E" w:rsidRDefault="005600FF" w:rsidP="005600FF">
            <w:pPr>
              <w:ind w:left="57" w:right="57" w:firstLine="0"/>
              <w:rPr>
                <w:rFonts w:eastAsia="SimSun"/>
              </w:rPr>
            </w:pPr>
            <w:r w:rsidRPr="00C07B2E">
              <w:rPr>
                <w:rFonts w:eastAsia="SimSun"/>
                <w:lang w:val="en-US"/>
              </w:rPr>
              <w:t>–</w:t>
            </w:r>
          </w:p>
        </w:tc>
        <w:tc>
          <w:tcPr>
            <w:tcW w:w="1701" w:type="dxa"/>
            <w:vAlign w:val="center"/>
          </w:tcPr>
          <w:p w:rsidR="005600FF" w:rsidRPr="00C07B2E" w:rsidRDefault="005600FF" w:rsidP="005600FF">
            <w:pPr>
              <w:ind w:left="57" w:right="57" w:firstLine="0"/>
              <w:rPr>
                <w:rFonts w:eastAsia="SimSun"/>
              </w:rPr>
            </w:pPr>
            <w:r w:rsidRPr="00C07B2E">
              <w:rPr>
                <w:rFonts w:eastAsia="SimSun"/>
              </w:rPr>
              <w:t>+3, +6, +11 дни</w:t>
            </w:r>
          </w:p>
        </w:tc>
        <w:tc>
          <w:tcPr>
            <w:tcW w:w="2268" w:type="dxa"/>
            <w:vAlign w:val="center"/>
          </w:tcPr>
          <w:p w:rsidR="005600FF" w:rsidRPr="00C07B2E" w:rsidRDefault="005600FF" w:rsidP="005600FF">
            <w:pPr>
              <w:ind w:left="57" w:right="57" w:firstLine="0"/>
              <w:rPr>
                <w:rFonts w:eastAsia="SimSun"/>
              </w:rPr>
            </w:pPr>
            <w:r w:rsidRPr="00C07B2E">
              <w:rPr>
                <w:rFonts w:eastAsia="SimSun"/>
              </w:rPr>
              <w:t xml:space="preserve">В/в, в 20 мл физ. р-ра  </w:t>
            </w:r>
          </w:p>
        </w:tc>
      </w:tr>
      <w:bookmarkEnd w:id="147"/>
    </w:tbl>
    <w:p w:rsidR="005600FF" w:rsidRPr="00C07B2E" w:rsidRDefault="005600FF" w:rsidP="005600FF">
      <w:pPr>
        <w:rPr>
          <w:rFonts w:eastAsia="SimSun"/>
        </w:rPr>
      </w:pPr>
    </w:p>
    <w:p w:rsidR="005600FF" w:rsidRPr="00C07B2E" w:rsidRDefault="005600FF" w:rsidP="005600FF">
      <w:pPr>
        <w:rPr>
          <w:rFonts w:eastAsia="SimSun"/>
        </w:rPr>
      </w:pPr>
      <w:bookmarkStart w:id="150" w:name="_Toc44401145"/>
      <w:r w:rsidRPr="00042499">
        <w:rPr>
          <w:rFonts w:eastAsia="SimSun"/>
        </w:rPr>
        <w:t>Таблица</w:t>
      </w:r>
      <w:r w:rsidRPr="00C07B2E">
        <w:rPr>
          <w:rFonts w:eastAsia="SimSun"/>
        </w:rPr>
        <w:t xml:space="preserve"> </w:t>
      </w:r>
      <w:r>
        <w:rPr>
          <w:rFonts w:eastAsia="SimSun"/>
        </w:rPr>
        <w:t>5</w:t>
      </w:r>
      <w:r w:rsidRPr="00C07B2E">
        <w:rPr>
          <w:rFonts w:eastAsia="SimSun"/>
        </w:rPr>
        <w:t>.1.1.2  – TBI+Cy120 / CSA+MTX</w:t>
      </w:r>
      <w:bookmarkEnd w:id="150"/>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21"/>
        <w:gridCol w:w="1303"/>
        <w:gridCol w:w="1375"/>
        <w:gridCol w:w="1688"/>
        <w:gridCol w:w="2172"/>
      </w:tblGrid>
      <w:tr w:rsidR="005600FF" w:rsidRPr="00C07B2E" w:rsidTr="005600FF">
        <w:trPr>
          <w:cantSplit/>
          <w:trHeight w:val="20"/>
          <w:tblHeader/>
        </w:trPr>
        <w:tc>
          <w:tcPr>
            <w:tcW w:w="376" w:type="pct"/>
            <w:vAlign w:val="center"/>
          </w:tcPr>
          <w:p w:rsidR="005600FF" w:rsidRPr="00C07B2E" w:rsidRDefault="005600FF" w:rsidP="005600FF">
            <w:pPr>
              <w:ind w:firstLine="0"/>
              <w:rPr>
                <w:rFonts w:eastAsia="SimSun"/>
              </w:rPr>
            </w:pPr>
          </w:p>
        </w:tc>
        <w:tc>
          <w:tcPr>
            <w:tcW w:w="1027" w:type="pct"/>
            <w:vAlign w:val="center"/>
          </w:tcPr>
          <w:p w:rsidR="005600FF" w:rsidRPr="00C07B2E" w:rsidRDefault="005600FF" w:rsidP="005600FF">
            <w:pPr>
              <w:ind w:firstLine="0"/>
              <w:rPr>
                <w:rFonts w:eastAsia="SimSun"/>
              </w:rPr>
            </w:pPr>
            <w:r w:rsidRPr="00C07B2E">
              <w:rPr>
                <w:rFonts w:eastAsia="SimSun"/>
              </w:rPr>
              <w:t>Препарат</w:t>
            </w:r>
          </w:p>
        </w:tc>
        <w:tc>
          <w:tcPr>
            <w:tcW w:w="718" w:type="pct"/>
            <w:vAlign w:val="center"/>
          </w:tcPr>
          <w:p w:rsidR="005600FF" w:rsidRPr="00C07B2E" w:rsidRDefault="005600FF" w:rsidP="005600FF">
            <w:pPr>
              <w:ind w:firstLine="0"/>
              <w:rPr>
                <w:rFonts w:eastAsia="SimSun"/>
              </w:rPr>
            </w:pPr>
            <w:r w:rsidRPr="00C07B2E">
              <w:rPr>
                <w:rFonts w:eastAsia="SimSun"/>
              </w:rPr>
              <w:t>Суточная доза</w:t>
            </w:r>
          </w:p>
        </w:tc>
        <w:tc>
          <w:tcPr>
            <w:tcW w:w="757" w:type="pct"/>
            <w:vAlign w:val="center"/>
          </w:tcPr>
          <w:p w:rsidR="005600FF" w:rsidRPr="00C07B2E" w:rsidRDefault="005600FF" w:rsidP="005600FF">
            <w:pPr>
              <w:ind w:firstLine="0"/>
              <w:rPr>
                <w:rFonts w:eastAsia="SimSun"/>
              </w:rPr>
            </w:pPr>
            <w:r w:rsidRPr="00C07B2E">
              <w:rPr>
                <w:rFonts w:eastAsia="SimSun"/>
              </w:rPr>
              <w:t>Курсовая доза</w:t>
            </w:r>
          </w:p>
        </w:tc>
        <w:tc>
          <w:tcPr>
            <w:tcW w:w="928" w:type="pct"/>
            <w:vAlign w:val="center"/>
          </w:tcPr>
          <w:p w:rsidR="005600FF" w:rsidRPr="00C07B2E" w:rsidRDefault="005600FF" w:rsidP="005600FF">
            <w:pPr>
              <w:ind w:firstLine="0"/>
              <w:rPr>
                <w:rFonts w:eastAsia="SimSun"/>
              </w:rPr>
            </w:pPr>
            <w:r w:rsidRPr="00C07B2E">
              <w:rPr>
                <w:rFonts w:eastAsia="SimSun"/>
              </w:rPr>
              <w:t>Дни введения</w:t>
            </w:r>
          </w:p>
        </w:tc>
        <w:tc>
          <w:tcPr>
            <w:tcW w:w="1193" w:type="pct"/>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376" w:type="pct"/>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027" w:type="pct"/>
            <w:vAlign w:val="center"/>
          </w:tcPr>
          <w:p w:rsidR="005600FF" w:rsidRPr="00C07B2E" w:rsidRDefault="005600FF" w:rsidP="005600FF">
            <w:pPr>
              <w:ind w:firstLine="0"/>
              <w:rPr>
                <w:rFonts w:eastAsia="SimSun"/>
              </w:rPr>
            </w:pPr>
            <w:r w:rsidRPr="00C07B2E">
              <w:rPr>
                <w:rFonts w:eastAsia="SimSun"/>
              </w:rPr>
              <w:t>ТТО</w:t>
            </w:r>
          </w:p>
        </w:tc>
        <w:tc>
          <w:tcPr>
            <w:tcW w:w="718" w:type="pct"/>
            <w:vAlign w:val="center"/>
          </w:tcPr>
          <w:p w:rsidR="005600FF" w:rsidRPr="00C07B2E" w:rsidRDefault="005600FF" w:rsidP="005600FF">
            <w:pPr>
              <w:ind w:firstLine="0"/>
              <w:rPr>
                <w:rFonts w:eastAsia="SimSun"/>
              </w:rPr>
            </w:pPr>
            <w:r w:rsidRPr="00C07B2E">
              <w:rPr>
                <w:rFonts w:eastAsia="SimSun"/>
              </w:rPr>
              <w:t>4 Гр</w:t>
            </w:r>
          </w:p>
        </w:tc>
        <w:tc>
          <w:tcPr>
            <w:tcW w:w="757" w:type="pct"/>
            <w:vAlign w:val="center"/>
          </w:tcPr>
          <w:p w:rsidR="005600FF" w:rsidRPr="00C07B2E" w:rsidRDefault="005600FF" w:rsidP="005600FF">
            <w:pPr>
              <w:ind w:firstLine="0"/>
              <w:rPr>
                <w:rFonts w:eastAsia="SimSun"/>
              </w:rPr>
            </w:pPr>
            <w:r w:rsidRPr="00C07B2E">
              <w:rPr>
                <w:rFonts w:eastAsia="SimSun"/>
                <w:lang w:val="en-US"/>
              </w:rPr>
              <w:t>12</w:t>
            </w:r>
            <w:r w:rsidRPr="00C07B2E">
              <w:rPr>
                <w:rFonts w:eastAsia="SimSun"/>
              </w:rPr>
              <w:t xml:space="preserve"> Гр</w:t>
            </w:r>
          </w:p>
        </w:tc>
        <w:tc>
          <w:tcPr>
            <w:tcW w:w="928" w:type="pct"/>
            <w:vAlign w:val="center"/>
          </w:tcPr>
          <w:p w:rsidR="005600FF" w:rsidRPr="00C07B2E" w:rsidRDefault="005600FF" w:rsidP="005600FF">
            <w:pPr>
              <w:ind w:firstLine="0"/>
              <w:rPr>
                <w:rFonts w:eastAsia="SimSun"/>
              </w:rPr>
            </w:pPr>
            <w:r w:rsidRPr="00C07B2E">
              <w:rPr>
                <w:rFonts w:eastAsia="SimSun"/>
                <w:lang w:val="en-US"/>
              </w:rPr>
              <w:t>C</w:t>
            </w:r>
            <w:r w:rsidRPr="00C07B2E">
              <w:rPr>
                <w:rFonts w:eastAsia="SimSun"/>
              </w:rPr>
              <w:t xml:space="preserve"> –3 по –1 день </w:t>
            </w:r>
          </w:p>
        </w:tc>
        <w:tc>
          <w:tcPr>
            <w:tcW w:w="1193" w:type="pct"/>
            <w:vAlign w:val="center"/>
          </w:tcPr>
          <w:p w:rsidR="005600FF" w:rsidRPr="00C07B2E" w:rsidRDefault="005600FF" w:rsidP="005600FF">
            <w:pPr>
              <w:ind w:firstLine="0"/>
              <w:rPr>
                <w:rFonts w:eastAsia="SimSun"/>
              </w:rPr>
            </w:pPr>
            <w:r w:rsidRPr="00C07B2E">
              <w:rPr>
                <w:rFonts w:eastAsia="SimSun"/>
              </w:rPr>
              <w:t>6 фракций по 2 Гр 2 раза в день в течение 3-х дней  с экранированием легких.</w:t>
            </w:r>
          </w:p>
          <w:p w:rsidR="005600FF" w:rsidRPr="00C07B2E" w:rsidRDefault="005600FF" w:rsidP="005600FF">
            <w:pPr>
              <w:ind w:firstLine="0"/>
              <w:rPr>
                <w:rFonts w:eastAsia="SimSun"/>
              </w:rPr>
            </w:pPr>
          </w:p>
        </w:tc>
      </w:tr>
      <w:tr w:rsidR="005600FF" w:rsidRPr="00C07B2E" w:rsidTr="005600FF">
        <w:trPr>
          <w:cantSplit/>
          <w:trHeight w:val="1207"/>
        </w:trPr>
        <w:tc>
          <w:tcPr>
            <w:tcW w:w="376" w:type="pct"/>
            <w:vMerge/>
            <w:vAlign w:val="center"/>
          </w:tcPr>
          <w:p w:rsidR="005600FF" w:rsidRPr="00C07B2E" w:rsidRDefault="005600FF" w:rsidP="005600FF">
            <w:pPr>
              <w:ind w:firstLine="0"/>
              <w:rPr>
                <w:rFonts w:eastAsia="SimSun"/>
              </w:rPr>
            </w:pPr>
          </w:p>
        </w:tc>
        <w:tc>
          <w:tcPr>
            <w:tcW w:w="1027" w:type="pct"/>
            <w:vAlign w:val="center"/>
          </w:tcPr>
          <w:p w:rsidR="005600FF" w:rsidRPr="00C07B2E" w:rsidRDefault="005600FF" w:rsidP="005600FF">
            <w:pPr>
              <w:ind w:firstLine="0"/>
              <w:rPr>
                <w:rFonts w:eastAsia="SimSun"/>
              </w:rPr>
            </w:pPr>
            <w:r w:rsidRPr="00C07B2E">
              <w:rPr>
                <w:rFonts w:eastAsia="SimSun"/>
              </w:rPr>
              <w:t>Циклофосфамид</w:t>
            </w:r>
          </w:p>
        </w:tc>
        <w:tc>
          <w:tcPr>
            <w:tcW w:w="718" w:type="pct"/>
            <w:vAlign w:val="center"/>
          </w:tcPr>
          <w:p w:rsidR="005600FF" w:rsidRPr="00C07B2E" w:rsidRDefault="005600FF" w:rsidP="005600FF">
            <w:pPr>
              <w:ind w:firstLine="0"/>
              <w:rPr>
                <w:rFonts w:eastAsia="SimSun"/>
              </w:rPr>
            </w:pPr>
            <w:r w:rsidRPr="00C07B2E">
              <w:rPr>
                <w:rFonts w:eastAsia="SimSun"/>
              </w:rPr>
              <w:t>60 мг/кг</w:t>
            </w:r>
          </w:p>
        </w:tc>
        <w:tc>
          <w:tcPr>
            <w:tcW w:w="757" w:type="pct"/>
            <w:vAlign w:val="center"/>
          </w:tcPr>
          <w:p w:rsidR="005600FF" w:rsidRPr="00C07B2E" w:rsidRDefault="005600FF" w:rsidP="005600FF">
            <w:pPr>
              <w:ind w:firstLine="0"/>
              <w:rPr>
                <w:rFonts w:eastAsia="SimSun"/>
              </w:rPr>
            </w:pPr>
            <w:r w:rsidRPr="00C07B2E">
              <w:rPr>
                <w:rFonts w:eastAsia="SimSun"/>
              </w:rPr>
              <w:t>120 мг/кг</w:t>
            </w:r>
          </w:p>
        </w:tc>
        <w:tc>
          <w:tcPr>
            <w:tcW w:w="928" w:type="pct"/>
            <w:vAlign w:val="center"/>
          </w:tcPr>
          <w:p w:rsidR="005600FF" w:rsidRPr="00C07B2E" w:rsidRDefault="005600FF" w:rsidP="005600FF">
            <w:pPr>
              <w:ind w:firstLine="0"/>
              <w:rPr>
                <w:rFonts w:eastAsia="SimSun"/>
              </w:rPr>
            </w:pPr>
            <w:r w:rsidRPr="00C07B2E">
              <w:rPr>
                <w:rFonts w:eastAsia="SimSun"/>
                <w:lang w:val="en-US"/>
              </w:rPr>
              <w:t>–</w:t>
            </w:r>
            <w:r w:rsidRPr="00C07B2E">
              <w:rPr>
                <w:rFonts w:eastAsia="SimSun"/>
              </w:rPr>
              <w:t>6</w:t>
            </w:r>
            <w:r w:rsidRPr="00C07B2E">
              <w:rPr>
                <w:rFonts w:eastAsia="SimSun"/>
                <w:lang w:val="en-US"/>
              </w:rPr>
              <w:t>, –</w:t>
            </w:r>
            <w:r w:rsidRPr="00C07B2E">
              <w:rPr>
                <w:rFonts w:eastAsia="SimSun"/>
              </w:rPr>
              <w:t>5</w:t>
            </w:r>
            <w:r w:rsidRPr="00C07B2E">
              <w:rPr>
                <w:rFonts w:eastAsia="SimSun"/>
                <w:lang w:val="en-US"/>
              </w:rPr>
              <w:t xml:space="preserve"> дни</w:t>
            </w:r>
            <w:r w:rsidRPr="00C07B2E">
              <w:rPr>
                <w:rFonts w:eastAsia="SimSun"/>
              </w:rPr>
              <w:t xml:space="preserve"> </w:t>
            </w:r>
          </w:p>
        </w:tc>
        <w:tc>
          <w:tcPr>
            <w:tcW w:w="1193" w:type="pct"/>
            <w:vAlign w:val="center"/>
          </w:tcPr>
          <w:p w:rsidR="005600FF" w:rsidRPr="00C07B2E" w:rsidRDefault="005600FF" w:rsidP="005600FF">
            <w:pPr>
              <w:ind w:firstLine="0"/>
              <w:rPr>
                <w:rFonts w:eastAsia="SimSun"/>
              </w:rPr>
            </w:pPr>
            <w:r w:rsidRPr="00C07B2E">
              <w:rPr>
                <w:rFonts w:eastAsia="SimSun"/>
              </w:rPr>
              <w:t xml:space="preserve">В/в, в течение 2 ч </w:t>
            </w:r>
          </w:p>
        </w:tc>
      </w:tr>
      <w:tr w:rsidR="005600FF" w:rsidRPr="00C07B2E" w:rsidTr="005600FF">
        <w:trPr>
          <w:cantSplit/>
          <w:trHeight w:val="20"/>
        </w:trPr>
        <w:tc>
          <w:tcPr>
            <w:tcW w:w="376" w:type="pct"/>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027" w:type="pct"/>
            <w:vAlign w:val="center"/>
          </w:tcPr>
          <w:p w:rsidR="005600FF" w:rsidRPr="00C07B2E" w:rsidRDefault="005600FF" w:rsidP="005600FF">
            <w:pPr>
              <w:ind w:firstLine="0"/>
              <w:rPr>
                <w:rFonts w:eastAsia="SimSun"/>
              </w:rPr>
            </w:pPr>
            <w:r w:rsidRPr="00C07B2E">
              <w:rPr>
                <w:rFonts w:eastAsia="SimSun"/>
              </w:rPr>
              <w:t xml:space="preserve">Циклоспорин </w:t>
            </w:r>
          </w:p>
        </w:tc>
        <w:tc>
          <w:tcPr>
            <w:tcW w:w="718" w:type="pct"/>
            <w:vAlign w:val="center"/>
          </w:tcPr>
          <w:p w:rsidR="005600FF" w:rsidRPr="00C07B2E" w:rsidRDefault="005600FF" w:rsidP="005600FF">
            <w:pPr>
              <w:ind w:firstLine="0"/>
              <w:rPr>
                <w:rFonts w:eastAsia="SimSun"/>
              </w:rPr>
            </w:pPr>
            <w:r w:rsidRPr="00C07B2E">
              <w:rPr>
                <w:rFonts w:eastAsia="SimSun"/>
              </w:rPr>
              <w:t>3 мг/кг</w:t>
            </w:r>
          </w:p>
        </w:tc>
        <w:tc>
          <w:tcPr>
            <w:tcW w:w="757" w:type="pct"/>
            <w:vAlign w:val="center"/>
          </w:tcPr>
          <w:p w:rsidR="005600FF" w:rsidRPr="00C07B2E" w:rsidRDefault="005600FF" w:rsidP="005600FF">
            <w:pPr>
              <w:ind w:firstLine="0"/>
              <w:rPr>
                <w:rFonts w:eastAsia="SimSun"/>
                <w:lang w:val="en-US"/>
              </w:rPr>
            </w:pPr>
            <w:r w:rsidRPr="00C07B2E">
              <w:rPr>
                <w:rFonts w:eastAsia="SimSun"/>
                <w:lang w:val="en-US"/>
              </w:rPr>
              <w:t>–</w:t>
            </w:r>
          </w:p>
        </w:tc>
        <w:tc>
          <w:tcPr>
            <w:tcW w:w="928" w:type="pct"/>
            <w:vAlign w:val="center"/>
          </w:tcPr>
          <w:p w:rsidR="005600FF" w:rsidRPr="00C07B2E" w:rsidRDefault="005600FF" w:rsidP="005600FF">
            <w:pPr>
              <w:ind w:firstLine="0"/>
              <w:rPr>
                <w:rFonts w:eastAsia="SimSun"/>
              </w:rPr>
            </w:pPr>
            <w:r w:rsidRPr="00C07B2E">
              <w:rPr>
                <w:rFonts w:eastAsia="SimSun"/>
              </w:rPr>
              <w:t>С –1 дня по +90 день, затем постепенное снижение к +180 дню</w:t>
            </w:r>
          </w:p>
        </w:tc>
        <w:tc>
          <w:tcPr>
            <w:tcW w:w="1193" w:type="pct"/>
            <w:vAlign w:val="center"/>
          </w:tcPr>
          <w:p w:rsidR="005600FF" w:rsidRPr="00985050" w:rsidRDefault="005600FF" w:rsidP="005600FF">
            <w:pPr>
              <w:ind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5600FF" w:rsidRPr="00C07B2E" w:rsidTr="005600FF">
        <w:trPr>
          <w:cantSplit/>
          <w:trHeight w:val="20"/>
        </w:trPr>
        <w:tc>
          <w:tcPr>
            <w:tcW w:w="376" w:type="pct"/>
            <w:vMerge/>
          </w:tcPr>
          <w:p w:rsidR="005600FF" w:rsidRPr="00985050" w:rsidRDefault="005600FF" w:rsidP="005600FF">
            <w:pPr>
              <w:ind w:firstLine="0"/>
              <w:rPr>
                <w:rFonts w:eastAsia="SimSun"/>
              </w:rPr>
            </w:pPr>
          </w:p>
        </w:tc>
        <w:tc>
          <w:tcPr>
            <w:tcW w:w="1027" w:type="pct"/>
            <w:vMerge w:val="restart"/>
            <w:vAlign w:val="center"/>
          </w:tcPr>
          <w:p w:rsidR="005600FF" w:rsidRPr="00C07B2E" w:rsidRDefault="005600FF" w:rsidP="005600FF">
            <w:pPr>
              <w:ind w:firstLine="0"/>
              <w:rPr>
                <w:rFonts w:eastAsia="SimSun"/>
              </w:rPr>
            </w:pPr>
            <w:r w:rsidRPr="00C07B2E">
              <w:rPr>
                <w:rFonts w:eastAsia="SimSun"/>
              </w:rPr>
              <w:t>Метотрексат</w:t>
            </w:r>
          </w:p>
        </w:tc>
        <w:tc>
          <w:tcPr>
            <w:tcW w:w="718" w:type="pct"/>
            <w:vAlign w:val="center"/>
          </w:tcPr>
          <w:p w:rsidR="005600FF" w:rsidRPr="00C07B2E" w:rsidRDefault="005600FF" w:rsidP="005600FF">
            <w:pPr>
              <w:ind w:firstLine="0"/>
              <w:rPr>
                <w:rFonts w:eastAsia="SimSun"/>
              </w:rPr>
            </w:pPr>
            <w:r w:rsidRPr="00C07B2E">
              <w:rPr>
                <w:rFonts w:eastAsia="SimSun"/>
              </w:rPr>
              <w:t>15 мг/м</w:t>
            </w:r>
            <w:r w:rsidRPr="00C07B2E">
              <w:rPr>
                <w:rFonts w:eastAsia="SimSun"/>
                <w:vertAlign w:val="superscript"/>
              </w:rPr>
              <w:t>2</w:t>
            </w:r>
          </w:p>
        </w:tc>
        <w:tc>
          <w:tcPr>
            <w:tcW w:w="757" w:type="pct"/>
            <w:vAlign w:val="center"/>
          </w:tcPr>
          <w:p w:rsidR="005600FF" w:rsidRPr="00C07B2E" w:rsidRDefault="005600FF" w:rsidP="005600FF">
            <w:pPr>
              <w:ind w:firstLine="0"/>
              <w:rPr>
                <w:rFonts w:eastAsia="SimSun"/>
              </w:rPr>
            </w:pPr>
            <w:r w:rsidRPr="00C07B2E">
              <w:rPr>
                <w:rFonts w:eastAsia="SimSun"/>
                <w:lang w:val="en-US"/>
              </w:rPr>
              <w:t>–</w:t>
            </w:r>
          </w:p>
        </w:tc>
        <w:tc>
          <w:tcPr>
            <w:tcW w:w="928" w:type="pct"/>
            <w:vAlign w:val="center"/>
          </w:tcPr>
          <w:p w:rsidR="005600FF" w:rsidRPr="00C07B2E" w:rsidRDefault="005600FF" w:rsidP="005600FF">
            <w:pPr>
              <w:ind w:firstLine="0"/>
              <w:rPr>
                <w:rFonts w:eastAsia="SimSun"/>
              </w:rPr>
            </w:pPr>
            <w:r w:rsidRPr="00C07B2E">
              <w:rPr>
                <w:rFonts w:eastAsia="SimSun"/>
              </w:rPr>
              <w:t>+1 день</w:t>
            </w:r>
          </w:p>
        </w:tc>
        <w:tc>
          <w:tcPr>
            <w:tcW w:w="1193" w:type="pct"/>
            <w:vAlign w:val="center"/>
          </w:tcPr>
          <w:p w:rsidR="005600FF" w:rsidRPr="00C07B2E" w:rsidRDefault="005600FF" w:rsidP="005600FF">
            <w:pPr>
              <w:ind w:firstLine="0"/>
              <w:rPr>
                <w:rFonts w:eastAsia="SimSun"/>
              </w:rPr>
            </w:pPr>
            <w:r w:rsidRPr="00C07B2E">
              <w:rPr>
                <w:rFonts w:eastAsia="SimSun"/>
              </w:rPr>
              <w:t>В/в, в 20 мл физ. р-ра</w:t>
            </w:r>
          </w:p>
        </w:tc>
      </w:tr>
      <w:tr w:rsidR="005600FF" w:rsidRPr="00C07B2E" w:rsidTr="005600FF">
        <w:trPr>
          <w:cantSplit/>
          <w:trHeight w:val="464"/>
        </w:trPr>
        <w:tc>
          <w:tcPr>
            <w:tcW w:w="376" w:type="pct"/>
            <w:vMerge/>
          </w:tcPr>
          <w:p w:rsidR="005600FF" w:rsidRPr="00C07B2E" w:rsidRDefault="005600FF" w:rsidP="005600FF">
            <w:pPr>
              <w:ind w:firstLine="0"/>
              <w:rPr>
                <w:rFonts w:eastAsia="SimSun"/>
              </w:rPr>
            </w:pPr>
          </w:p>
        </w:tc>
        <w:tc>
          <w:tcPr>
            <w:tcW w:w="1027" w:type="pct"/>
            <w:vMerge/>
            <w:vAlign w:val="center"/>
          </w:tcPr>
          <w:p w:rsidR="005600FF" w:rsidRPr="00C07B2E" w:rsidRDefault="005600FF" w:rsidP="005600FF">
            <w:pPr>
              <w:ind w:firstLine="0"/>
              <w:rPr>
                <w:rFonts w:eastAsia="SimSun"/>
              </w:rPr>
            </w:pPr>
          </w:p>
        </w:tc>
        <w:tc>
          <w:tcPr>
            <w:tcW w:w="718" w:type="pct"/>
            <w:vAlign w:val="center"/>
          </w:tcPr>
          <w:p w:rsidR="005600FF" w:rsidRPr="00C07B2E" w:rsidRDefault="005600FF" w:rsidP="005600FF">
            <w:pPr>
              <w:ind w:firstLine="0"/>
              <w:rPr>
                <w:rFonts w:eastAsia="SimSun"/>
              </w:rPr>
            </w:pPr>
            <w:r w:rsidRPr="00C07B2E">
              <w:rPr>
                <w:rFonts w:eastAsia="SimSun"/>
              </w:rPr>
              <w:t>10 мг/м</w:t>
            </w:r>
            <w:r w:rsidRPr="00C07B2E">
              <w:rPr>
                <w:rFonts w:eastAsia="SimSun"/>
                <w:vertAlign w:val="superscript"/>
              </w:rPr>
              <w:t>2</w:t>
            </w:r>
          </w:p>
        </w:tc>
        <w:tc>
          <w:tcPr>
            <w:tcW w:w="757" w:type="pct"/>
            <w:vAlign w:val="center"/>
          </w:tcPr>
          <w:p w:rsidR="005600FF" w:rsidRPr="00C07B2E" w:rsidRDefault="005600FF" w:rsidP="005600FF">
            <w:pPr>
              <w:ind w:firstLine="0"/>
              <w:rPr>
                <w:rFonts w:eastAsia="SimSun"/>
              </w:rPr>
            </w:pPr>
            <w:r w:rsidRPr="00C07B2E">
              <w:rPr>
                <w:rFonts w:eastAsia="SimSun"/>
                <w:lang w:val="en-US"/>
              </w:rPr>
              <w:t>–</w:t>
            </w:r>
          </w:p>
        </w:tc>
        <w:tc>
          <w:tcPr>
            <w:tcW w:w="928" w:type="pct"/>
            <w:vAlign w:val="center"/>
          </w:tcPr>
          <w:p w:rsidR="005600FF" w:rsidRPr="00C07B2E" w:rsidRDefault="005600FF" w:rsidP="005600FF">
            <w:pPr>
              <w:ind w:firstLine="0"/>
              <w:rPr>
                <w:rFonts w:eastAsia="SimSun"/>
              </w:rPr>
            </w:pPr>
            <w:r w:rsidRPr="00C07B2E">
              <w:rPr>
                <w:rFonts w:eastAsia="SimSun"/>
              </w:rPr>
              <w:t>+3, +6, +11 дни</w:t>
            </w:r>
          </w:p>
        </w:tc>
        <w:tc>
          <w:tcPr>
            <w:tcW w:w="1193" w:type="pct"/>
            <w:vAlign w:val="center"/>
          </w:tcPr>
          <w:p w:rsidR="005600FF" w:rsidRPr="00C07B2E" w:rsidRDefault="005600FF" w:rsidP="005600FF">
            <w:pPr>
              <w:ind w:firstLine="0"/>
              <w:rPr>
                <w:rFonts w:eastAsia="SimSun"/>
              </w:rPr>
            </w:pPr>
            <w:r w:rsidRPr="00C07B2E">
              <w:rPr>
                <w:rFonts w:eastAsia="SimSun"/>
              </w:rPr>
              <w:t xml:space="preserve">В/в, в 20 мл физ. р-ра </w:t>
            </w:r>
          </w:p>
        </w:tc>
      </w:tr>
    </w:tbl>
    <w:p w:rsidR="005600FF" w:rsidRPr="00C07B2E" w:rsidRDefault="005600FF" w:rsidP="005600FF">
      <w:pPr>
        <w:rPr>
          <w:rFonts w:eastAsia="SimSun"/>
        </w:rPr>
      </w:pPr>
    </w:p>
    <w:p w:rsidR="005600FF" w:rsidRPr="00C07B2E" w:rsidRDefault="005600FF" w:rsidP="005600FF">
      <w:pPr>
        <w:rPr>
          <w:rFonts w:eastAsia="SimSun"/>
        </w:rPr>
      </w:pPr>
      <w:bookmarkStart w:id="151" w:name="_Toc44401146"/>
      <w:r w:rsidRPr="00042499">
        <w:rPr>
          <w:rFonts w:eastAsia="SimSun"/>
        </w:rPr>
        <w:t>Таблица</w:t>
      </w:r>
      <w:r w:rsidRPr="00C07B2E">
        <w:rPr>
          <w:rFonts w:eastAsia="SimSun"/>
        </w:rPr>
        <w:t xml:space="preserve"> </w:t>
      </w:r>
      <w:r>
        <w:rPr>
          <w:rFonts w:eastAsia="SimSun"/>
        </w:rPr>
        <w:t>5</w:t>
      </w:r>
      <w:r w:rsidRPr="00C07B2E">
        <w:rPr>
          <w:rFonts w:eastAsia="SimSun"/>
        </w:rPr>
        <w:t>.1.1.3  – Flu150+Bu12 / PT-Cy+CSA+MMF45</w:t>
      </w:r>
      <w:bookmarkEnd w:id="151"/>
    </w:p>
    <w:tbl>
      <w:tblPr>
        <w:tblW w:w="9356" w:type="dxa"/>
        <w:tblInd w:w="108" w:type="dxa"/>
        <w:tblLayout w:type="fixed"/>
        <w:tblCellMar>
          <w:left w:w="10" w:type="dxa"/>
          <w:right w:w="10" w:type="dxa"/>
        </w:tblCellMar>
        <w:tblLook w:val="0000" w:firstRow="0" w:lastRow="0" w:firstColumn="0" w:lastColumn="0" w:noHBand="0" w:noVBand="0"/>
      </w:tblPr>
      <w:tblGrid>
        <w:gridCol w:w="709"/>
        <w:gridCol w:w="1843"/>
        <w:gridCol w:w="1417"/>
        <w:gridCol w:w="1418"/>
        <w:gridCol w:w="1701"/>
        <w:gridCol w:w="2268"/>
      </w:tblGrid>
      <w:tr w:rsidR="005600FF" w:rsidRPr="00C07B2E" w:rsidTr="005600FF">
        <w:trPr>
          <w:cantSplit/>
          <w:trHeight w:val="20"/>
          <w:tblHeader/>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0FF" w:rsidRPr="00470D3D" w:rsidRDefault="005600FF" w:rsidP="005600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Порядок введения</w:t>
            </w:r>
          </w:p>
        </w:tc>
      </w:tr>
      <w:tr w:rsidR="005600FF" w:rsidRPr="00C07B2E" w:rsidTr="005600FF">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C07B2E" w:rsidRDefault="005600FF" w:rsidP="005600FF">
            <w:pPr>
              <w:ind w:firstLine="0"/>
            </w:pPr>
            <w:r w:rsidRPr="00C07B2E">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t>30 мг/м</w:t>
            </w:r>
            <w:r w:rsidRPr="00C07B2E">
              <w:rPr>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t>150 мг/м</w:t>
            </w:r>
            <w:r w:rsidRPr="00C07B2E">
              <w:rPr>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 xml:space="preserve">С </w:t>
            </w:r>
            <w:r w:rsidRPr="00C07B2E">
              <w:rPr>
                <w:rFonts w:eastAsia="SimSun"/>
                <w:lang w:val="en-US"/>
              </w:rPr>
              <w:t>–</w:t>
            </w:r>
            <w:r w:rsidRPr="00C07B2E">
              <w:rPr>
                <w:rFonts w:eastAsia="SimSun"/>
              </w:rPr>
              <w:t xml:space="preserve">6 по </w:t>
            </w:r>
            <w:r w:rsidRPr="00C07B2E">
              <w:rPr>
                <w:rFonts w:eastAsia="SimSun"/>
                <w:lang w:val="en-US"/>
              </w:rPr>
              <w:t>–</w:t>
            </w:r>
            <w:r w:rsidRPr="00C07B2E">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В/в, в течение 30 - 60 мин</w:t>
            </w:r>
          </w:p>
        </w:tc>
      </w:tr>
      <w:tr w:rsidR="005600FF" w:rsidRPr="00C07B2E" w:rsidTr="005600FF">
        <w:trPr>
          <w:cantSplit/>
          <w:trHeight w:val="2123"/>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12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lang w:val="en-US"/>
              </w:rPr>
              <w:t>-5, –4</w:t>
            </w:r>
            <w:r w:rsidRPr="00C07B2E">
              <w:rPr>
                <w:rFonts w:eastAsia="SimSun"/>
              </w:rPr>
              <w:t xml:space="preserve">, </w:t>
            </w:r>
            <w:r w:rsidRPr="00C07B2E">
              <w:rPr>
                <w:rFonts w:eastAsia="SimSun"/>
                <w:lang w:val="en-US"/>
              </w:rPr>
              <w:t>–3</w:t>
            </w:r>
            <w:r w:rsidRPr="00C07B2E">
              <w:rPr>
                <w:rFonts w:eastAsia="SimSun"/>
              </w:rPr>
              <w:t xml:space="preserve">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Внутрь, суммарная суточная доза разделяется на 4 приема с интервалом 6 часов.</w:t>
            </w:r>
          </w:p>
        </w:tc>
      </w:tr>
      <w:tr w:rsidR="005600FF" w:rsidRPr="00C07B2E" w:rsidTr="005600FF">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C07B2E" w:rsidRDefault="005600FF" w:rsidP="005600FF">
            <w:pPr>
              <w:ind w:firstLine="0"/>
            </w:pPr>
            <w:r w:rsidRPr="00C07B2E">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lang w:val="en-US"/>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0F445E" w:rsidRDefault="005600FF" w:rsidP="005600FF">
            <w:pPr>
              <w:ind w:firstLine="0"/>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х</w:t>
            </w:r>
            <w:r w:rsidRPr="000F445E">
              <w:rPr>
                <w:rFonts w:eastAsia="SimSun"/>
              </w:rPr>
              <w:t xml:space="preserve"> 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r w:rsidR="005600FF" w:rsidRPr="00C07B2E" w:rsidTr="005600FF">
        <w:trPr>
          <w:cantSplit/>
          <w:trHeight w:val="20"/>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0F445E" w:rsidRDefault="005600FF" w:rsidP="005600FF">
            <w:pPr>
              <w:ind w:firstLine="0"/>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5600FF" w:rsidRPr="00C07B2E" w:rsidTr="005600FF">
        <w:trPr>
          <w:cantSplit/>
          <w:trHeight w:val="46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C07B2E" w:rsidRDefault="005600FF" w:rsidP="005600FF">
            <w:pPr>
              <w:ind w:firstLine="0"/>
            </w:pPr>
            <w:r w:rsidRPr="00C07B2E">
              <w:rPr>
                <w:rFonts w:eastAsia="SimSun"/>
              </w:rPr>
              <w:t xml:space="preserve">В/в, в течение 2 ч  </w:t>
            </w:r>
          </w:p>
        </w:tc>
      </w:tr>
    </w:tbl>
    <w:p w:rsidR="005600FF" w:rsidRPr="00C07B2E" w:rsidRDefault="005600FF" w:rsidP="005600FF">
      <w:pPr>
        <w:rPr>
          <w:rFonts w:eastAsia="SimSun"/>
        </w:rPr>
      </w:pPr>
    </w:p>
    <w:p w:rsidR="005600FF" w:rsidRPr="00C07B2E" w:rsidRDefault="005600FF" w:rsidP="005600FF">
      <w:pPr>
        <w:rPr>
          <w:rFonts w:eastAsia="SimSun"/>
        </w:rPr>
      </w:pPr>
      <w:bookmarkStart w:id="152" w:name="_Toc44401147"/>
      <w:r w:rsidRPr="00042499">
        <w:rPr>
          <w:rFonts w:eastAsia="SimSun"/>
        </w:rPr>
        <w:t>Таблица</w:t>
      </w:r>
      <w:r w:rsidRPr="00C07B2E">
        <w:rPr>
          <w:rFonts w:eastAsia="SimSun"/>
        </w:rPr>
        <w:t xml:space="preserve"> </w:t>
      </w:r>
      <w:r>
        <w:rPr>
          <w:rFonts w:eastAsia="SimSun"/>
        </w:rPr>
        <w:t>5</w:t>
      </w:r>
      <w:r w:rsidRPr="00C07B2E">
        <w:rPr>
          <w:rFonts w:eastAsia="SimSun"/>
        </w:rPr>
        <w:t>.1.1.4  – Flu180+Bu12 / Tx+MMF30</w:t>
      </w:r>
      <w:bookmarkEnd w:id="152"/>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5600FF" w:rsidRPr="00C07B2E" w:rsidTr="005600FF">
        <w:trPr>
          <w:cantSplit/>
          <w:trHeight w:val="20"/>
          <w:tblHeader/>
          <w:jc w:val="right"/>
        </w:trPr>
        <w:tc>
          <w:tcPr>
            <w:tcW w:w="709" w:type="dxa"/>
            <w:vAlign w:val="center"/>
          </w:tcPr>
          <w:p w:rsidR="005600FF" w:rsidRPr="00C07B2E"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jc w:val="right"/>
        </w:trPr>
        <w:tc>
          <w:tcPr>
            <w:tcW w:w="709"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843"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0"/>
              <w:rPr>
                <w:rFonts w:eastAsia="SimSun"/>
              </w:rPr>
            </w:pPr>
            <w:r w:rsidRPr="00C07B2E">
              <w:rPr>
                <w:rFonts w:eastAsia="SimSun"/>
              </w:rPr>
              <w:t>30 мг/</w:t>
            </w:r>
            <w:r w:rsidRPr="000F445E">
              <w:rPr>
                <w:rFonts w:eastAsia="SimSun"/>
              </w:rPr>
              <w:t>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jc w:val="right"/>
        </w:trPr>
        <w:tc>
          <w:tcPr>
            <w:tcW w:w="709" w:type="dxa"/>
            <w:vMerge/>
            <w:vAlign w:val="center"/>
          </w:tcPr>
          <w:p w:rsidR="005600FF" w:rsidRPr="00C07B2E"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Бусульфан</w:t>
            </w:r>
          </w:p>
        </w:tc>
        <w:tc>
          <w:tcPr>
            <w:tcW w:w="1417" w:type="dxa"/>
            <w:vAlign w:val="center"/>
          </w:tcPr>
          <w:p w:rsidR="005600FF" w:rsidRPr="00C07B2E" w:rsidRDefault="005600FF" w:rsidP="005600FF">
            <w:pPr>
              <w:ind w:firstLine="0"/>
              <w:rPr>
                <w:rFonts w:eastAsia="SimSun"/>
              </w:rPr>
            </w:pPr>
            <w:r w:rsidRPr="00C07B2E">
              <w:rPr>
                <w:rFonts w:eastAsia="SimSun"/>
              </w:rPr>
              <w:t xml:space="preserve">4 мг/кг </w:t>
            </w:r>
          </w:p>
        </w:tc>
        <w:tc>
          <w:tcPr>
            <w:tcW w:w="1418" w:type="dxa"/>
            <w:vAlign w:val="center"/>
          </w:tcPr>
          <w:p w:rsidR="005600FF" w:rsidRPr="00C07B2E" w:rsidRDefault="005600FF" w:rsidP="005600FF">
            <w:pPr>
              <w:ind w:firstLine="0"/>
              <w:rPr>
                <w:rFonts w:eastAsia="SimSun"/>
              </w:rPr>
            </w:pPr>
            <w:r w:rsidRPr="00C07B2E">
              <w:rPr>
                <w:rFonts w:eastAsia="SimSun"/>
                <w:lang w:val="en-US"/>
              </w:rPr>
              <w:t>12</w:t>
            </w:r>
            <w:r w:rsidRPr="00C07B2E">
              <w:rPr>
                <w:rFonts w:eastAsia="SimSun"/>
              </w:rPr>
              <w:t xml:space="preserve"> мг/кг </w:t>
            </w:r>
          </w:p>
        </w:tc>
        <w:tc>
          <w:tcPr>
            <w:tcW w:w="1701" w:type="dxa"/>
            <w:vAlign w:val="center"/>
          </w:tcPr>
          <w:p w:rsidR="005600FF" w:rsidRPr="00C07B2E" w:rsidRDefault="005600FF" w:rsidP="005600F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rsidR="005600FF" w:rsidRPr="00C07B2E" w:rsidRDefault="005600FF" w:rsidP="005600FF">
            <w:pPr>
              <w:ind w:firstLine="0"/>
              <w:rPr>
                <w:rFonts w:eastAsia="SimSun"/>
              </w:rPr>
            </w:pPr>
            <w:r w:rsidRPr="00C07B2E">
              <w:rPr>
                <w:rFonts w:eastAsia="SimSun"/>
              </w:rPr>
              <w:t xml:space="preserve">Внутрь, суммарная суточная доза разделяется на 4 приема с интервалом 6 часов. </w:t>
            </w:r>
          </w:p>
        </w:tc>
      </w:tr>
      <w:tr w:rsidR="005600FF" w:rsidRPr="00C07B2E" w:rsidTr="005600FF">
        <w:trPr>
          <w:cantSplit/>
          <w:trHeight w:val="1498"/>
          <w:jc w:val="right"/>
        </w:trPr>
        <w:tc>
          <w:tcPr>
            <w:tcW w:w="709" w:type="dxa"/>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843" w:type="dxa"/>
            <w:vAlign w:val="center"/>
          </w:tcPr>
          <w:p w:rsidR="005600FF" w:rsidRPr="00C07B2E" w:rsidRDefault="005600FF" w:rsidP="005600FF">
            <w:pPr>
              <w:ind w:firstLine="0"/>
              <w:rPr>
                <w:rFonts w:eastAsia="SimSun"/>
              </w:rPr>
            </w:pPr>
            <w:r w:rsidRPr="00C07B2E">
              <w:rPr>
                <w:rFonts w:eastAsia="SimSun"/>
              </w:rPr>
              <w:t xml:space="preserve">Такролимус </w:t>
            </w:r>
          </w:p>
        </w:tc>
        <w:tc>
          <w:tcPr>
            <w:tcW w:w="1417" w:type="dxa"/>
            <w:vAlign w:val="center"/>
          </w:tcPr>
          <w:p w:rsidR="005600FF" w:rsidRPr="00C07B2E" w:rsidRDefault="005600FF" w:rsidP="005600FF">
            <w:pPr>
              <w:ind w:firstLine="0"/>
              <w:rPr>
                <w:rFonts w:eastAsia="SimSun"/>
              </w:rPr>
            </w:pPr>
            <w:r w:rsidRPr="00C07B2E">
              <w:rPr>
                <w:rFonts w:eastAsia="SimSun"/>
              </w:rPr>
              <w:t>0,03 мг/кг</w:t>
            </w:r>
          </w:p>
        </w:tc>
        <w:tc>
          <w:tcPr>
            <w:tcW w:w="1418" w:type="dxa"/>
            <w:vAlign w:val="center"/>
          </w:tcPr>
          <w:p w:rsidR="005600FF" w:rsidRPr="00C07B2E" w:rsidRDefault="005600FF" w:rsidP="005600FF">
            <w:pPr>
              <w:ind w:firstLine="0"/>
              <w:rPr>
                <w:rFonts w:eastAsia="SimSun"/>
              </w:rPr>
            </w:pPr>
            <w:r w:rsidRPr="00C07B2E">
              <w:rPr>
                <w:rFonts w:eastAsia="SimSun"/>
                <w:lang w:val="en-US"/>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длительно </w:t>
            </w:r>
          </w:p>
        </w:tc>
        <w:tc>
          <w:tcPr>
            <w:tcW w:w="2268" w:type="dxa"/>
            <w:vAlign w:val="center"/>
          </w:tcPr>
          <w:p w:rsidR="005600FF" w:rsidRPr="000F445E" w:rsidRDefault="005600FF" w:rsidP="005600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lang w:val="en-US"/>
              </w:rPr>
              <w:t>Tx</w:t>
            </w:r>
            <w:r w:rsidRPr="000F445E">
              <w:rPr>
                <w:rFonts w:eastAsia="SimSun"/>
              </w:rPr>
              <w:t xml:space="preserve"> 5-15 нг/мл.    </w:t>
            </w:r>
          </w:p>
        </w:tc>
      </w:tr>
      <w:tr w:rsidR="005600FF" w:rsidRPr="00C07B2E" w:rsidTr="005600FF">
        <w:trPr>
          <w:cantSplit/>
          <w:trHeight w:val="2381"/>
          <w:jc w:val="right"/>
        </w:trPr>
        <w:tc>
          <w:tcPr>
            <w:tcW w:w="709" w:type="dxa"/>
            <w:vMerge/>
            <w:textDirection w:val="btLr"/>
            <w:vAlign w:val="center"/>
          </w:tcPr>
          <w:p w:rsidR="005600FF" w:rsidRPr="000F445E"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7" w:type="dxa"/>
            <w:vAlign w:val="center"/>
          </w:tcPr>
          <w:p w:rsidR="005600FF" w:rsidRPr="00C07B2E" w:rsidRDefault="005600FF" w:rsidP="005600FF">
            <w:pPr>
              <w:ind w:firstLine="0"/>
              <w:rPr>
                <w:rFonts w:eastAsia="SimSun"/>
              </w:rPr>
            </w:pPr>
            <w:r w:rsidRPr="00C07B2E">
              <w:rPr>
                <w:rFonts w:eastAsia="SimSun"/>
              </w:rPr>
              <w:t xml:space="preserve">30 мг/кг </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по +3</w:t>
            </w:r>
            <w:r w:rsidRPr="00C07B2E">
              <w:rPr>
                <w:rFonts w:eastAsia="SimSun"/>
                <w:lang w:val="en-US"/>
              </w:rPr>
              <w:t>0</w:t>
            </w:r>
            <w:r w:rsidRPr="00C07B2E">
              <w:rPr>
                <w:rFonts w:eastAsia="SimSun"/>
              </w:rPr>
              <w:t xml:space="preserve"> день </w:t>
            </w:r>
          </w:p>
        </w:tc>
        <w:tc>
          <w:tcPr>
            <w:tcW w:w="2268" w:type="dxa"/>
            <w:vAlign w:val="center"/>
          </w:tcPr>
          <w:p w:rsidR="005600FF" w:rsidRPr="00C07B2E" w:rsidRDefault="005600FF" w:rsidP="005600FF">
            <w:pPr>
              <w:ind w:right="-138" w:firstLine="0"/>
              <w:rPr>
                <w:rFonts w:eastAsia="SimSun"/>
              </w:rPr>
            </w:pPr>
            <w:r w:rsidRPr="00C07B2E">
              <w:rPr>
                <w:rFonts w:eastAsia="SimSun"/>
              </w:rPr>
              <w:t>Внутрь, суммарная суточная доза разделяется на 2- 4 приема (не более 3г/сут)</w:t>
            </w:r>
          </w:p>
        </w:tc>
      </w:tr>
    </w:tbl>
    <w:p w:rsidR="005600FF" w:rsidRPr="00C07B2E" w:rsidRDefault="005600FF" w:rsidP="005600FF">
      <w:pPr>
        <w:rPr>
          <w:rFonts w:eastAsia="SimSun"/>
        </w:rPr>
        <w:sectPr w:rsidR="005600FF" w:rsidRPr="00C07B2E" w:rsidSect="005600FF">
          <w:type w:val="continuous"/>
          <w:pgSz w:w="11907" w:h="16839" w:code="9"/>
          <w:pgMar w:top="1134" w:right="850" w:bottom="1134" w:left="1701" w:header="709" w:footer="567" w:gutter="0"/>
          <w:cols w:space="708"/>
          <w:docGrid w:linePitch="360"/>
        </w:sectPr>
      </w:pPr>
    </w:p>
    <w:p w:rsidR="005600FF" w:rsidRDefault="005600FF" w:rsidP="005600FF">
      <w:pPr>
        <w:rPr>
          <w:rFonts w:eastAsia="SimSun"/>
        </w:rPr>
      </w:pPr>
      <w:bookmarkStart w:id="153" w:name="_Toc44401148"/>
    </w:p>
    <w:p w:rsidR="005600FF" w:rsidRPr="00C07B2E" w:rsidRDefault="005600FF" w:rsidP="005600FF">
      <w:pPr>
        <w:rPr>
          <w:rFonts w:eastAsia="SimSun"/>
        </w:rPr>
      </w:pPr>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.1.1.5  – Flu180+Bu12 / PT-Cy</w:t>
      </w:r>
      <w:bookmarkEnd w:id="153"/>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337"/>
        <w:gridCol w:w="1701"/>
        <w:gridCol w:w="2268"/>
      </w:tblGrid>
      <w:tr w:rsidR="005600FF" w:rsidRPr="00C07B2E" w:rsidTr="005600FF">
        <w:trPr>
          <w:cantSplit/>
          <w:trHeight w:val="20"/>
          <w:tblHeader/>
        </w:trPr>
        <w:tc>
          <w:tcPr>
            <w:tcW w:w="959" w:type="dxa"/>
            <w:vAlign w:val="center"/>
          </w:tcPr>
          <w:p w:rsidR="005600FF" w:rsidRPr="00980822" w:rsidRDefault="005600FF" w:rsidP="005600FF">
            <w:pPr>
              <w:ind w:firstLine="98"/>
              <w:rPr>
                <w:rFonts w:eastAsia="SimSun"/>
              </w:rPr>
            </w:pPr>
          </w:p>
        </w:tc>
        <w:tc>
          <w:tcPr>
            <w:tcW w:w="1843" w:type="dxa"/>
            <w:vAlign w:val="center"/>
          </w:tcPr>
          <w:p w:rsidR="005600FF" w:rsidRPr="00C07B2E" w:rsidRDefault="005600FF" w:rsidP="005600FF">
            <w:pPr>
              <w:ind w:firstLine="98"/>
              <w:rPr>
                <w:rFonts w:eastAsia="SimSun"/>
              </w:rPr>
            </w:pPr>
            <w:r w:rsidRPr="00C07B2E">
              <w:rPr>
                <w:rFonts w:eastAsia="SimSun"/>
              </w:rPr>
              <w:t>Препарат</w:t>
            </w:r>
          </w:p>
        </w:tc>
        <w:tc>
          <w:tcPr>
            <w:tcW w:w="1417" w:type="dxa"/>
            <w:vAlign w:val="center"/>
          </w:tcPr>
          <w:p w:rsidR="005600FF" w:rsidRPr="00C07B2E" w:rsidRDefault="005600FF" w:rsidP="005600FF">
            <w:pPr>
              <w:ind w:firstLine="98"/>
              <w:rPr>
                <w:rFonts w:eastAsia="SimSun"/>
              </w:rPr>
            </w:pPr>
            <w:r w:rsidRPr="00C07B2E">
              <w:rPr>
                <w:rFonts w:eastAsia="SimSun"/>
              </w:rPr>
              <w:t>Суточная доза</w:t>
            </w:r>
          </w:p>
        </w:tc>
        <w:tc>
          <w:tcPr>
            <w:tcW w:w="1337" w:type="dxa"/>
            <w:vAlign w:val="center"/>
          </w:tcPr>
          <w:p w:rsidR="005600FF" w:rsidRPr="00C07B2E" w:rsidRDefault="005600FF" w:rsidP="005600FF">
            <w:pPr>
              <w:ind w:firstLine="98"/>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98"/>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98"/>
              <w:rPr>
                <w:rFonts w:eastAsia="SimSun"/>
              </w:rPr>
            </w:pPr>
            <w:r w:rsidRPr="00C07B2E">
              <w:rPr>
                <w:rFonts w:eastAsia="SimSun"/>
              </w:rPr>
              <w:t>Порядок введения</w:t>
            </w:r>
          </w:p>
        </w:tc>
      </w:tr>
      <w:tr w:rsidR="005600FF" w:rsidRPr="00C07B2E" w:rsidTr="005600FF">
        <w:trPr>
          <w:cantSplit/>
          <w:trHeight w:val="20"/>
        </w:trPr>
        <w:tc>
          <w:tcPr>
            <w:tcW w:w="959" w:type="dxa"/>
            <w:vMerge w:val="restart"/>
            <w:textDirection w:val="btLr"/>
            <w:vAlign w:val="center"/>
          </w:tcPr>
          <w:p w:rsidR="005600FF" w:rsidRPr="00C07B2E" w:rsidRDefault="005600FF" w:rsidP="005600FF">
            <w:pPr>
              <w:ind w:firstLine="98"/>
              <w:rPr>
                <w:rFonts w:eastAsia="SimSun"/>
              </w:rPr>
            </w:pPr>
            <w:r w:rsidRPr="00C07B2E">
              <w:rPr>
                <w:rFonts w:eastAsia="SimSun"/>
              </w:rPr>
              <w:t>Кондиционирование</w:t>
            </w:r>
          </w:p>
        </w:tc>
        <w:tc>
          <w:tcPr>
            <w:tcW w:w="1843" w:type="dxa"/>
            <w:vAlign w:val="center"/>
          </w:tcPr>
          <w:p w:rsidR="005600FF" w:rsidRPr="00C07B2E" w:rsidRDefault="005600FF" w:rsidP="005600FF">
            <w:pPr>
              <w:ind w:firstLine="98"/>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98"/>
              <w:rPr>
                <w:rFonts w:eastAsia="SimSun"/>
              </w:rPr>
            </w:pPr>
            <w:r w:rsidRPr="00C07B2E">
              <w:rPr>
                <w:rFonts w:eastAsia="SimSun"/>
              </w:rPr>
              <w:t>30 мг/м</w:t>
            </w:r>
            <w:r w:rsidRPr="000F445E">
              <w:rPr>
                <w:rFonts w:eastAsia="SimSun"/>
                <w:vertAlign w:val="superscript"/>
              </w:rPr>
              <w:t>2</w:t>
            </w:r>
          </w:p>
        </w:tc>
        <w:tc>
          <w:tcPr>
            <w:tcW w:w="1337" w:type="dxa"/>
            <w:vAlign w:val="center"/>
          </w:tcPr>
          <w:p w:rsidR="005600FF" w:rsidRPr="00C07B2E" w:rsidRDefault="005600FF" w:rsidP="005600FF">
            <w:pPr>
              <w:ind w:firstLine="98"/>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98"/>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98"/>
              <w:rPr>
                <w:rFonts w:eastAsia="SimSun"/>
              </w:rPr>
            </w:pPr>
            <w:r w:rsidRPr="00C07B2E">
              <w:rPr>
                <w:rFonts w:eastAsia="SimSun"/>
              </w:rPr>
              <w:t>В/в, в течение 30 - 60 мин</w:t>
            </w:r>
          </w:p>
        </w:tc>
      </w:tr>
      <w:tr w:rsidR="005600FF" w:rsidRPr="00C07B2E" w:rsidTr="005600FF">
        <w:trPr>
          <w:cantSplit/>
          <w:trHeight w:val="1207"/>
        </w:trPr>
        <w:tc>
          <w:tcPr>
            <w:tcW w:w="959" w:type="dxa"/>
            <w:vMerge/>
            <w:vAlign w:val="center"/>
          </w:tcPr>
          <w:p w:rsidR="005600FF" w:rsidRPr="00C07B2E" w:rsidRDefault="005600FF" w:rsidP="005600FF">
            <w:pPr>
              <w:ind w:firstLine="98"/>
              <w:rPr>
                <w:rFonts w:eastAsia="SimSun"/>
              </w:rPr>
            </w:pPr>
          </w:p>
        </w:tc>
        <w:tc>
          <w:tcPr>
            <w:tcW w:w="1843" w:type="dxa"/>
            <w:vAlign w:val="center"/>
          </w:tcPr>
          <w:p w:rsidR="005600FF" w:rsidRPr="00C07B2E" w:rsidRDefault="005600FF" w:rsidP="005600FF">
            <w:pPr>
              <w:ind w:firstLine="98"/>
              <w:rPr>
                <w:rFonts w:eastAsia="SimSun"/>
              </w:rPr>
            </w:pPr>
            <w:r w:rsidRPr="00C07B2E">
              <w:rPr>
                <w:rFonts w:eastAsia="SimSun"/>
              </w:rPr>
              <w:t>Бусульфан</w:t>
            </w:r>
          </w:p>
        </w:tc>
        <w:tc>
          <w:tcPr>
            <w:tcW w:w="1417" w:type="dxa"/>
            <w:vAlign w:val="center"/>
          </w:tcPr>
          <w:p w:rsidR="005600FF" w:rsidRPr="00C07B2E" w:rsidRDefault="005600FF" w:rsidP="005600FF">
            <w:pPr>
              <w:ind w:firstLine="98"/>
              <w:rPr>
                <w:rFonts w:eastAsia="SimSun"/>
              </w:rPr>
            </w:pPr>
            <w:r w:rsidRPr="00C07B2E">
              <w:rPr>
                <w:rFonts w:eastAsia="SimSun"/>
              </w:rPr>
              <w:t xml:space="preserve">4 мг/кг </w:t>
            </w:r>
          </w:p>
        </w:tc>
        <w:tc>
          <w:tcPr>
            <w:tcW w:w="1337" w:type="dxa"/>
            <w:vAlign w:val="center"/>
          </w:tcPr>
          <w:p w:rsidR="005600FF" w:rsidRPr="00C07B2E" w:rsidRDefault="005600FF" w:rsidP="005600FF">
            <w:pPr>
              <w:ind w:firstLine="98"/>
              <w:rPr>
                <w:rFonts w:eastAsia="SimSun"/>
              </w:rPr>
            </w:pPr>
            <w:r w:rsidRPr="00C07B2E">
              <w:rPr>
                <w:rFonts w:eastAsia="SimSun"/>
                <w:lang w:val="en-US"/>
              </w:rPr>
              <w:t>12</w:t>
            </w:r>
            <w:r w:rsidRPr="00C07B2E">
              <w:rPr>
                <w:rFonts w:eastAsia="SimSun"/>
              </w:rPr>
              <w:t xml:space="preserve"> мг/кг </w:t>
            </w:r>
          </w:p>
        </w:tc>
        <w:tc>
          <w:tcPr>
            <w:tcW w:w="1701" w:type="dxa"/>
            <w:vAlign w:val="center"/>
          </w:tcPr>
          <w:p w:rsidR="005600FF" w:rsidRPr="00C07B2E" w:rsidRDefault="005600FF" w:rsidP="005600FF">
            <w:pPr>
              <w:ind w:firstLine="98"/>
              <w:rPr>
                <w:rFonts w:eastAsia="SimSun"/>
              </w:rPr>
            </w:pPr>
            <w:r w:rsidRPr="00C07B2E">
              <w:rPr>
                <w:rFonts w:eastAsia="SimSun"/>
              </w:rPr>
              <w:t>С -5 дня по -3 день</w:t>
            </w:r>
          </w:p>
        </w:tc>
        <w:tc>
          <w:tcPr>
            <w:tcW w:w="2268" w:type="dxa"/>
            <w:vAlign w:val="center"/>
          </w:tcPr>
          <w:p w:rsidR="005600FF" w:rsidRPr="00C07B2E" w:rsidRDefault="005600FF" w:rsidP="005600FF">
            <w:pPr>
              <w:ind w:firstLine="98"/>
              <w:rPr>
                <w:rFonts w:eastAsia="SimSun"/>
              </w:rPr>
            </w:pPr>
            <w:r w:rsidRPr="00C07B2E">
              <w:rPr>
                <w:rFonts w:eastAsia="SimSun"/>
              </w:rPr>
              <w:t>Внутрь, суммарная суточная доза разделяется на 4 приема с интервалом 6 часов.</w:t>
            </w:r>
          </w:p>
        </w:tc>
      </w:tr>
      <w:tr w:rsidR="005600FF" w:rsidRPr="00C07B2E" w:rsidTr="005600FF">
        <w:trPr>
          <w:cantSplit/>
          <w:trHeight w:val="1498"/>
        </w:trPr>
        <w:tc>
          <w:tcPr>
            <w:tcW w:w="959" w:type="dxa"/>
            <w:textDirection w:val="btLr"/>
            <w:vAlign w:val="center"/>
          </w:tcPr>
          <w:p w:rsidR="005600FF" w:rsidRPr="00C07B2E" w:rsidRDefault="005600FF" w:rsidP="005600FF">
            <w:pPr>
              <w:ind w:firstLine="98"/>
              <w:rPr>
                <w:rFonts w:eastAsia="SimSun"/>
              </w:rPr>
            </w:pPr>
            <w:r w:rsidRPr="00C07B2E">
              <w:rPr>
                <w:rFonts w:eastAsia="SimSun"/>
              </w:rPr>
              <w:t>Профилактика РТПХ</w:t>
            </w:r>
          </w:p>
        </w:tc>
        <w:tc>
          <w:tcPr>
            <w:tcW w:w="1843" w:type="dxa"/>
            <w:vAlign w:val="center"/>
          </w:tcPr>
          <w:p w:rsidR="005600FF" w:rsidRPr="00C07B2E" w:rsidRDefault="005600FF" w:rsidP="005600FF">
            <w:pPr>
              <w:ind w:firstLine="98"/>
              <w:rPr>
                <w:rFonts w:eastAsia="SimSun"/>
              </w:rPr>
            </w:pPr>
            <w:r w:rsidRPr="00C07B2E">
              <w:rPr>
                <w:rFonts w:eastAsia="SimSun"/>
              </w:rPr>
              <w:t>Циклофосфамид</w:t>
            </w:r>
          </w:p>
        </w:tc>
        <w:tc>
          <w:tcPr>
            <w:tcW w:w="1417" w:type="dxa"/>
            <w:vAlign w:val="center"/>
          </w:tcPr>
          <w:p w:rsidR="005600FF" w:rsidRPr="00C07B2E" w:rsidRDefault="005600FF" w:rsidP="005600FF">
            <w:pPr>
              <w:ind w:firstLine="98"/>
              <w:rPr>
                <w:rFonts w:eastAsia="SimSun"/>
              </w:rPr>
            </w:pPr>
            <w:r w:rsidRPr="00C07B2E">
              <w:rPr>
                <w:rFonts w:eastAsia="SimSun"/>
              </w:rPr>
              <w:t>50 мг/кг</w:t>
            </w:r>
          </w:p>
        </w:tc>
        <w:tc>
          <w:tcPr>
            <w:tcW w:w="1337" w:type="dxa"/>
            <w:vAlign w:val="center"/>
          </w:tcPr>
          <w:p w:rsidR="005600FF" w:rsidRPr="00C07B2E" w:rsidRDefault="005600FF" w:rsidP="005600FF">
            <w:pPr>
              <w:ind w:firstLine="98"/>
              <w:rPr>
                <w:rFonts w:eastAsia="SimSun"/>
              </w:rPr>
            </w:pPr>
            <w:r w:rsidRPr="00C07B2E">
              <w:rPr>
                <w:rFonts w:eastAsia="SimSun"/>
              </w:rPr>
              <w:t>100 мг/кг</w:t>
            </w:r>
          </w:p>
        </w:tc>
        <w:tc>
          <w:tcPr>
            <w:tcW w:w="1701" w:type="dxa"/>
            <w:vAlign w:val="center"/>
          </w:tcPr>
          <w:p w:rsidR="005600FF" w:rsidRPr="00C07B2E" w:rsidRDefault="005600FF" w:rsidP="005600FF">
            <w:pPr>
              <w:ind w:firstLine="98"/>
              <w:rPr>
                <w:rFonts w:eastAsia="SimSun"/>
              </w:rPr>
            </w:pPr>
            <w:r w:rsidRPr="00C07B2E">
              <w:rPr>
                <w:rFonts w:eastAsia="SimSun"/>
              </w:rPr>
              <w:t>С +3 дня по +4 день</w:t>
            </w:r>
          </w:p>
        </w:tc>
        <w:tc>
          <w:tcPr>
            <w:tcW w:w="2268" w:type="dxa"/>
            <w:vAlign w:val="center"/>
          </w:tcPr>
          <w:p w:rsidR="005600FF" w:rsidRPr="00C07B2E" w:rsidRDefault="005600FF" w:rsidP="005600FF">
            <w:pPr>
              <w:ind w:firstLine="98"/>
              <w:rPr>
                <w:rFonts w:eastAsia="SimSun"/>
              </w:rPr>
            </w:pPr>
            <w:r w:rsidRPr="00C07B2E">
              <w:rPr>
                <w:rFonts w:eastAsia="SimSun"/>
              </w:rPr>
              <w:t xml:space="preserve">В/в, в течение 2 ч  </w:t>
            </w:r>
          </w:p>
        </w:tc>
      </w:tr>
    </w:tbl>
    <w:p w:rsidR="005600FF" w:rsidRPr="00C07B2E" w:rsidRDefault="005600FF" w:rsidP="005600FF">
      <w:pPr>
        <w:rPr>
          <w:rFonts w:eastAsia="SimSun"/>
        </w:rPr>
      </w:pPr>
    </w:p>
    <w:p w:rsidR="005600FF" w:rsidRPr="00C07B2E" w:rsidRDefault="005600FF" w:rsidP="005600FF">
      <w:pPr>
        <w:rPr>
          <w:rFonts w:eastAsia="SimSun"/>
        </w:rPr>
      </w:pPr>
      <w:r w:rsidRPr="00C07B2E">
        <w:rPr>
          <w:rFonts w:eastAsia="SimSun"/>
        </w:rPr>
        <w:tab/>
      </w:r>
    </w:p>
    <w:p w:rsidR="005600FF" w:rsidRPr="00C07B2E" w:rsidRDefault="005600FF" w:rsidP="005600FF">
      <w:pPr>
        <w:rPr>
          <w:rFonts w:eastAsia="SimSun"/>
        </w:rPr>
      </w:pPr>
      <w:bookmarkStart w:id="154" w:name="_Toc44401149"/>
      <w:r w:rsidRPr="00042499">
        <w:rPr>
          <w:rFonts w:eastAsia="SimSun"/>
        </w:rPr>
        <w:t>Таблица</w:t>
      </w:r>
      <w:r w:rsidRPr="00C07B2E">
        <w:rPr>
          <w:rFonts w:eastAsia="SimSun"/>
        </w:rPr>
        <w:t xml:space="preserve"> </w:t>
      </w:r>
      <w:r>
        <w:rPr>
          <w:rFonts w:eastAsia="SimSun"/>
        </w:rPr>
        <w:t>5</w:t>
      </w:r>
      <w:r w:rsidRPr="00C07B2E">
        <w:rPr>
          <w:rFonts w:eastAsia="SimSun"/>
        </w:rPr>
        <w:t>.1.1.6  – Flu180+Bu12 / PT-Cy+Tx+MMF30</w:t>
      </w:r>
      <w:bookmarkEnd w:id="15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5600FF" w:rsidRPr="00C07B2E" w:rsidTr="005600FF">
        <w:trPr>
          <w:cantSplit/>
          <w:trHeight w:val="20"/>
          <w:tblHeader/>
        </w:trPr>
        <w:tc>
          <w:tcPr>
            <w:tcW w:w="993" w:type="dxa"/>
            <w:vAlign w:val="center"/>
          </w:tcPr>
          <w:p w:rsidR="005600FF" w:rsidRPr="00470D3D"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843"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trPr>
        <w:tc>
          <w:tcPr>
            <w:tcW w:w="993" w:type="dxa"/>
            <w:vMerge/>
            <w:vAlign w:val="center"/>
          </w:tcPr>
          <w:p w:rsidR="005600FF" w:rsidRPr="00C07B2E"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Бусульфан</w:t>
            </w:r>
          </w:p>
        </w:tc>
        <w:tc>
          <w:tcPr>
            <w:tcW w:w="1417" w:type="dxa"/>
            <w:vAlign w:val="center"/>
          </w:tcPr>
          <w:p w:rsidR="005600FF" w:rsidRPr="00C07B2E" w:rsidRDefault="005600FF" w:rsidP="005600FF">
            <w:pPr>
              <w:ind w:firstLine="0"/>
              <w:rPr>
                <w:rFonts w:eastAsia="SimSun"/>
              </w:rPr>
            </w:pPr>
            <w:r w:rsidRPr="00C07B2E">
              <w:rPr>
                <w:rFonts w:eastAsia="SimSun"/>
              </w:rPr>
              <w:t xml:space="preserve">4 мг/кг </w:t>
            </w:r>
          </w:p>
        </w:tc>
        <w:tc>
          <w:tcPr>
            <w:tcW w:w="1418" w:type="dxa"/>
            <w:vAlign w:val="center"/>
          </w:tcPr>
          <w:p w:rsidR="005600FF" w:rsidRPr="00C07B2E" w:rsidRDefault="005600FF" w:rsidP="005600FF">
            <w:pPr>
              <w:ind w:firstLine="0"/>
              <w:rPr>
                <w:rFonts w:eastAsia="SimSun"/>
              </w:rPr>
            </w:pPr>
            <w:r w:rsidRPr="00C07B2E">
              <w:rPr>
                <w:rFonts w:eastAsia="SimSun"/>
                <w:lang w:val="en-US"/>
              </w:rPr>
              <w:t>1</w:t>
            </w:r>
            <w:r w:rsidRPr="00C07B2E">
              <w:rPr>
                <w:rFonts w:eastAsia="SimSun"/>
              </w:rPr>
              <w:t xml:space="preserve">2мг/кг </w:t>
            </w:r>
          </w:p>
        </w:tc>
        <w:tc>
          <w:tcPr>
            <w:tcW w:w="1701" w:type="dxa"/>
            <w:vAlign w:val="center"/>
          </w:tcPr>
          <w:p w:rsidR="005600FF" w:rsidRPr="00C07B2E" w:rsidRDefault="005600FF" w:rsidP="005600F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5600FF" w:rsidRPr="00C07B2E" w:rsidTr="005600FF">
        <w:trPr>
          <w:cantSplit/>
          <w:trHeight w:val="1498"/>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843" w:type="dxa"/>
            <w:vAlign w:val="center"/>
          </w:tcPr>
          <w:p w:rsidR="005600FF" w:rsidRPr="00C07B2E" w:rsidRDefault="005600FF" w:rsidP="005600FF">
            <w:pPr>
              <w:ind w:firstLine="0"/>
              <w:rPr>
                <w:rFonts w:eastAsia="SimSun"/>
              </w:rPr>
            </w:pPr>
            <w:r w:rsidRPr="00C07B2E">
              <w:rPr>
                <w:rFonts w:eastAsia="SimSun"/>
              </w:rPr>
              <w:t>Циклофосфамид</w:t>
            </w:r>
          </w:p>
        </w:tc>
        <w:tc>
          <w:tcPr>
            <w:tcW w:w="1417" w:type="dxa"/>
            <w:vAlign w:val="center"/>
          </w:tcPr>
          <w:p w:rsidR="005600FF" w:rsidRPr="00C07B2E" w:rsidRDefault="005600FF" w:rsidP="005600FF">
            <w:pPr>
              <w:ind w:firstLine="0"/>
              <w:rPr>
                <w:rFonts w:eastAsia="SimSun"/>
              </w:rPr>
            </w:pPr>
            <w:r w:rsidRPr="00C07B2E">
              <w:rPr>
                <w:rFonts w:eastAsia="SimSun"/>
              </w:rPr>
              <w:t>50 мг/кг</w:t>
            </w:r>
          </w:p>
        </w:tc>
        <w:tc>
          <w:tcPr>
            <w:tcW w:w="1418" w:type="dxa"/>
            <w:vAlign w:val="center"/>
          </w:tcPr>
          <w:p w:rsidR="005600FF" w:rsidRPr="00C07B2E" w:rsidRDefault="005600FF" w:rsidP="005600FF">
            <w:pPr>
              <w:ind w:firstLine="0"/>
              <w:rPr>
                <w:rFonts w:eastAsia="SimSun"/>
              </w:rPr>
            </w:pPr>
            <w:r w:rsidRPr="00C07B2E">
              <w:rPr>
                <w:rFonts w:eastAsia="SimSun"/>
              </w:rPr>
              <w:t>100 мг/кг</w:t>
            </w:r>
          </w:p>
        </w:tc>
        <w:tc>
          <w:tcPr>
            <w:tcW w:w="1701" w:type="dxa"/>
            <w:vAlign w:val="center"/>
          </w:tcPr>
          <w:p w:rsidR="005600FF" w:rsidRPr="00C07B2E" w:rsidRDefault="005600FF" w:rsidP="005600FF">
            <w:pPr>
              <w:ind w:firstLine="0"/>
              <w:rPr>
                <w:rFonts w:eastAsia="SimSun"/>
              </w:rPr>
            </w:pPr>
            <w:r w:rsidRPr="00C07B2E">
              <w:rPr>
                <w:rFonts w:eastAsia="SimSun"/>
              </w:rPr>
              <w:t>С +3 дня по +4 день</w:t>
            </w:r>
          </w:p>
        </w:tc>
        <w:tc>
          <w:tcPr>
            <w:tcW w:w="2268" w:type="dxa"/>
            <w:vAlign w:val="center"/>
          </w:tcPr>
          <w:p w:rsidR="005600FF" w:rsidRPr="00C07B2E" w:rsidRDefault="005600FF" w:rsidP="005600FF">
            <w:pPr>
              <w:ind w:firstLine="0"/>
              <w:rPr>
                <w:rFonts w:eastAsia="SimSun"/>
              </w:rPr>
            </w:pPr>
            <w:r w:rsidRPr="00C07B2E">
              <w:rPr>
                <w:rFonts w:eastAsia="SimSun"/>
              </w:rPr>
              <w:t xml:space="preserve">В/в, в течение 2 ч  </w:t>
            </w:r>
          </w:p>
        </w:tc>
      </w:tr>
      <w:tr w:rsidR="005600FF" w:rsidRPr="00C07B2E" w:rsidTr="005600FF">
        <w:trPr>
          <w:cantSplit/>
          <w:trHeight w:val="958"/>
        </w:trPr>
        <w:tc>
          <w:tcPr>
            <w:tcW w:w="993" w:type="dxa"/>
            <w:vMerge/>
            <w:textDirection w:val="btLr"/>
            <w:vAlign w:val="center"/>
          </w:tcPr>
          <w:p w:rsidR="005600FF" w:rsidRPr="00C07B2E"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 xml:space="preserve">Такролимус </w:t>
            </w:r>
          </w:p>
        </w:tc>
        <w:tc>
          <w:tcPr>
            <w:tcW w:w="1417" w:type="dxa"/>
            <w:vAlign w:val="center"/>
          </w:tcPr>
          <w:p w:rsidR="005600FF" w:rsidRPr="00C07B2E" w:rsidRDefault="005600FF" w:rsidP="005600FF">
            <w:pPr>
              <w:ind w:firstLine="0"/>
              <w:rPr>
                <w:rFonts w:eastAsia="SimSun"/>
              </w:rPr>
            </w:pPr>
            <w:r w:rsidRPr="00C07B2E">
              <w:rPr>
                <w:rFonts w:eastAsia="SimSun"/>
              </w:rPr>
              <w:t>0,03 мг/кг</w:t>
            </w:r>
          </w:p>
        </w:tc>
        <w:tc>
          <w:tcPr>
            <w:tcW w:w="1418" w:type="dxa"/>
            <w:vAlign w:val="center"/>
          </w:tcPr>
          <w:p w:rsidR="005600FF" w:rsidRPr="00C07B2E" w:rsidRDefault="005600FF" w:rsidP="005600FF">
            <w:pPr>
              <w:ind w:firstLine="0"/>
              <w:rPr>
                <w:rFonts w:eastAsia="SimSun"/>
              </w:rPr>
            </w:pPr>
            <w:r w:rsidRPr="00C07B2E">
              <w:rPr>
                <w:rFonts w:eastAsia="SimSun"/>
                <w:lang w:val="en-US"/>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длительно </w:t>
            </w:r>
          </w:p>
        </w:tc>
        <w:tc>
          <w:tcPr>
            <w:tcW w:w="2268" w:type="dxa"/>
            <w:vAlign w:val="center"/>
          </w:tcPr>
          <w:p w:rsidR="005600FF" w:rsidRPr="000F445E" w:rsidRDefault="005600FF" w:rsidP="005600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5600FF" w:rsidRPr="00C07B2E" w:rsidTr="005600FF">
        <w:trPr>
          <w:cantSplit/>
          <w:trHeight w:val="1861"/>
        </w:trPr>
        <w:tc>
          <w:tcPr>
            <w:tcW w:w="993" w:type="dxa"/>
            <w:vMerge/>
            <w:textDirection w:val="btLr"/>
            <w:vAlign w:val="center"/>
          </w:tcPr>
          <w:p w:rsidR="005600FF" w:rsidRPr="000F445E" w:rsidRDefault="005600FF" w:rsidP="005600FF">
            <w:pPr>
              <w:ind w:firstLine="0"/>
              <w:rPr>
                <w:rFonts w:eastAsia="SimSun"/>
              </w:rPr>
            </w:pPr>
          </w:p>
        </w:tc>
        <w:tc>
          <w:tcPr>
            <w:tcW w:w="1843"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7" w:type="dxa"/>
            <w:vAlign w:val="center"/>
          </w:tcPr>
          <w:p w:rsidR="005600FF" w:rsidRPr="00C07B2E" w:rsidRDefault="005600FF" w:rsidP="005600FF">
            <w:pPr>
              <w:ind w:firstLine="0"/>
              <w:rPr>
                <w:rFonts w:eastAsia="SimSun"/>
              </w:rPr>
            </w:pPr>
            <w:r w:rsidRPr="00C07B2E">
              <w:rPr>
                <w:rFonts w:eastAsia="SimSun"/>
              </w:rPr>
              <w:t xml:space="preserve">30 мг/кг </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+35 день </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2- 4 приема (не более 3г/сут).</w:t>
            </w:r>
          </w:p>
        </w:tc>
      </w:tr>
    </w:tbl>
    <w:p w:rsidR="005600FF" w:rsidRPr="00C07B2E" w:rsidRDefault="005600FF" w:rsidP="005600FF">
      <w:pPr>
        <w:rPr>
          <w:rFonts w:eastAsia="SimSun"/>
        </w:rPr>
      </w:pPr>
    </w:p>
    <w:p w:rsidR="005600FF" w:rsidRPr="00C07B2E" w:rsidRDefault="005600FF" w:rsidP="005600FF">
      <w:pPr>
        <w:rPr>
          <w:rFonts w:eastAsia="SimSun"/>
        </w:rPr>
      </w:pPr>
      <w:bookmarkStart w:id="155" w:name="_Toc44401150"/>
      <w:r w:rsidRPr="00042499">
        <w:rPr>
          <w:rFonts w:eastAsia="SimSun"/>
        </w:rPr>
        <w:t>Таблица</w:t>
      </w:r>
      <w:r w:rsidRPr="00C07B2E">
        <w:rPr>
          <w:rFonts w:eastAsia="SimSun"/>
        </w:rPr>
        <w:t xml:space="preserve"> </w:t>
      </w:r>
      <w:r>
        <w:rPr>
          <w:rFonts w:eastAsia="SimSun"/>
        </w:rPr>
        <w:t>5</w:t>
      </w:r>
      <w:r w:rsidRPr="00C07B2E">
        <w:rPr>
          <w:rFonts w:eastAsia="SimSun"/>
        </w:rPr>
        <w:t>.1.1.7  – Flu180+Bu12 / PT-Cy+CSA+MMF30</w:t>
      </w:r>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1921"/>
        <w:gridCol w:w="1305"/>
        <w:gridCol w:w="1400"/>
        <w:gridCol w:w="1653"/>
        <w:gridCol w:w="2172"/>
      </w:tblGrid>
      <w:tr w:rsidR="005600FF" w:rsidRPr="00C07B2E" w:rsidTr="005600FF">
        <w:trPr>
          <w:cantSplit/>
          <w:trHeight w:val="20"/>
          <w:tblHeader/>
        </w:trPr>
        <w:tc>
          <w:tcPr>
            <w:tcW w:w="484" w:type="pct"/>
            <w:vAlign w:val="center"/>
          </w:tcPr>
          <w:p w:rsidR="005600FF" w:rsidRPr="00470D3D" w:rsidRDefault="005600FF" w:rsidP="005600FF">
            <w:pPr>
              <w:ind w:firstLine="0"/>
              <w:rPr>
                <w:rFonts w:eastAsia="SimSun"/>
              </w:rPr>
            </w:pPr>
          </w:p>
        </w:tc>
        <w:tc>
          <w:tcPr>
            <w:tcW w:w="1003" w:type="pct"/>
            <w:vAlign w:val="center"/>
          </w:tcPr>
          <w:p w:rsidR="005600FF" w:rsidRPr="00C07B2E" w:rsidRDefault="005600FF" w:rsidP="005600FF">
            <w:pPr>
              <w:ind w:firstLine="0"/>
              <w:rPr>
                <w:rFonts w:eastAsia="SimSun"/>
              </w:rPr>
            </w:pPr>
            <w:r w:rsidRPr="00C07B2E">
              <w:rPr>
                <w:rFonts w:eastAsia="SimSun"/>
              </w:rPr>
              <w:t>Препарат</w:t>
            </w:r>
          </w:p>
        </w:tc>
        <w:tc>
          <w:tcPr>
            <w:tcW w:w="703" w:type="pct"/>
            <w:vAlign w:val="center"/>
          </w:tcPr>
          <w:p w:rsidR="005600FF" w:rsidRPr="00C07B2E" w:rsidRDefault="005600FF" w:rsidP="005600FF">
            <w:pPr>
              <w:ind w:firstLine="0"/>
              <w:rPr>
                <w:rFonts w:eastAsia="SimSun"/>
              </w:rPr>
            </w:pPr>
            <w:r w:rsidRPr="00C07B2E">
              <w:rPr>
                <w:rFonts w:eastAsia="SimSun"/>
              </w:rPr>
              <w:t>Суточная доза</w:t>
            </w:r>
          </w:p>
        </w:tc>
        <w:tc>
          <w:tcPr>
            <w:tcW w:w="754" w:type="pct"/>
            <w:vAlign w:val="center"/>
          </w:tcPr>
          <w:p w:rsidR="005600FF" w:rsidRPr="00C07B2E" w:rsidRDefault="005600FF" w:rsidP="005600FF">
            <w:pPr>
              <w:ind w:firstLine="0"/>
              <w:rPr>
                <w:rFonts w:eastAsia="SimSun"/>
              </w:rPr>
            </w:pPr>
            <w:r w:rsidRPr="00C07B2E">
              <w:rPr>
                <w:rFonts w:eastAsia="SimSun"/>
              </w:rPr>
              <w:t>Курсовая доза</w:t>
            </w:r>
          </w:p>
        </w:tc>
        <w:tc>
          <w:tcPr>
            <w:tcW w:w="889" w:type="pct"/>
            <w:vAlign w:val="center"/>
          </w:tcPr>
          <w:p w:rsidR="005600FF" w:rsidRPr="00C07B2E" w:rsidRDefault="005600FF" w:rsidP="005600FF">
            <w:pPr>
              <w:ind w:firstLine="0"/>
              <w:rPr>
                <w:rFonts w:eastAsia="SimSun"/>
              </w:rPr>
            </w:pPr>
            <w:r w:rsidRPr="00C07B2E">
              <w:rPr>
                <w:rFonts w:eastAsia="SimSun"/>
              </w:rPr>
              <w:t>Дни введения</w:t>
            </w:r>
          </w:p>
        </w:tc>
        <w:tc>
          <w:tcPr>
            <w:tcW w:w="1167" w:type="pct"/>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484" w:type="pct"/>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003" w:type="pct"/>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703" w:type="pct"/>
            <w:vAlign w:val="center"/>
          </w:tcPr>
          <w:p w:rsidR="005600FF" w:rsidRPr="00C07B2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754" w:type="pct"/>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889" w:type="pct"/>
            <w:vAlign w:val="center"/>
          </w:tcPr>
          <w:p w:rsidR="005600FF" w:rsidRPr="00C07B2E" w:rsidRDefault="005600FF" w:rsidP="005600FF">
            <w:pPr>
              <w:ind w:firstLine="0"/>
              <w:rPr>
                <w:rFonts w:eastAsia="SimSun"/>
              </w:rPr>
            </w:pPr>
            <w:r w:rsidRPr="00C07B2E">
              <w:rPr>
                <w:rFonts w:eastAsia="SimSun"/>
              </w:rPr>
              <w:t>С -7 дня по -2 день</w:t>
            </w:r>
          </w:p>
        </w:tc>
        <w:tc>
          <w:tcPr>
            <w:tcW w:w="1167" w:type="pct"/>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trPr>
        <w:tc>
          <w:tcPr>
            <w:tcW w:w="484" w:type="pct"/>
            <w:vMerge/>
            <w:vAlign w:val="center"/>
          </w:tcPr>
          <w:p w:rsidR="005600FF" w:rsidRPr="00C07B2E" w:rsidRDefault="005600FF" w:rsidP="005600FF">
            <w:pPr>
              <w:ind w:firstLine="0"/>
              <w:rPr>
                <w:rFonts w:eastAsia="SimSun"/>
              </w:rPr>
            </w:pPr>
          </w:p>
        </w:tc>
        <w:tc>
          <w:tcPr>
            <w:tcW w:w="1003" w:type="pct"/>
            <w:vAlign w:val="center"/>
          </w:tcPr>
          <w:p w:rsidR="005600FF" w:rsidRPr="00C07B2E" w:rsidRDefault="005600FF" w:rsidP="005600FF">
            <w:pPr>
              <w:ind w:firstLine="0"/>
              <w:rPr>
                <w:rFonts w:eastAsia="SimSun"/>
              </w:rPr>
            </w:pPr>
            <w:r w:rsidRPr="00C07B2E">
              <w:rPr>
                <w:rFonts w:eastAsia="SimSun"/>
              </w:rPr>
              <w:t>Бусульфан</w:t>
            </w:r>
          </w:p>
        </w:tc>
        <w:tc>
          <w:tcPr>
            <w:tcW w:w="703" w:type="pct"/>
            <w:vAlign w:val="center"/>
          </w:tcPr>
          <w:p w:rsidR="005600FF" w:rsidRPr="00C07B2E" w:rsidRDefault="005600FF" w:rsidP="005600FF">
            <w:pPr>
              <w:ind w:firstLine="0"/>
              <w:rPr>
                <w:rFonts w:eastAsia="SimSun"/>
              </w:rPr>
            </w:pPr>
            <w:r w:rsidRPr="00C07B2E">
              <w:rPr>
                <w:rFonts w:eastAsia="SimSun"/>
              </w:rPr>
              <w:t xml:space="preserve">4 мг/кг </w:t>
            </w:r>
          </w:p>
        </w:tc>
        <w:tc>
          <w:tcPr>
            <w:tcW w:w="754" w:type="pct"/>
            <w:vAlign w:val="center"/>
          </w:tcPr>
          <w:p w:rsidR="005600FF" w:rsidRPr="00C07B2E" w:rsidRDefault="005600FF" w:rsidP="005600FF">
            <w:pPr>
              <w:ind w:firstLine="0"/>
              <w:rPr>
                <w:rFonts w:eastAsia="SimSun"/>
              </w:rPr>
            </w:pPr>
            <w:r w:rsidRPr="00C07B2E">
              <w:rPr>
                <w:rFonts w:eastAsia="SimSun"/>
                <w:lang w:val="en-US"/>
              </w:rPr>
              <w:t>12</w:t>
            </w:r>
            <w:r w:rsidRPr="00C07B2E">
              <w:rPr>
                <w:rFonts w:eastAsia="SimSun"/>
              </w:rPr>
              <w:t xml:space="preserve"> мг/кг </w:t>
            </w:r>
          </w:p>
        </w:tc>
        <w:tc>
          <w:tcPr>
            <w:tcW w:w="889" w:type="pct"/>
            <w:vAlign w:val="center"/>
          </w:tcPr>
          <w:p w:rsidR="005600FF" w:rsidRPr="00C07B2E" w:rsidRDefault="005600FF" w:rsidP="005600F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1167" w:type="pct"/>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5600FF" w:rsidRPr="00C07B2E" w:rsidTr="005600FF">
        <w:trPr>
          <w:cantSplit/>
          <w:trHeight w:val="1498"/>
        </w:trPr>
        <w:tc>
          <w:tcPr>
            <w:tcW w:w="484" w:type="pct"/>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003" w:type="pct"/>
            <w:vAlign w:val="center"/>
          </w:tcPr>
          <w:p w:rsidR="005600FF" w:rsidRPr="00C07B2E" w:rsidRDefault="005600FF" w:rsidP="005600FF">
            <w:pPr>
              <w:ind w:firstLine="0"/>
              <w:rPr>
                <w:rFonts w:eastAsia="SimSun"/>
              </w:rPr>
            </w:pPr>
            <w:r w:rsidRPr="00C07B2E">
              <w:rPr>
                <w:rFonts w:eastAsia="SimSun"/>
              </w:rPr>
              <w:t>Циклофосфамид</w:t>
            </w:r>
          </w:p>
        </w:tc>
        <w:tc>
          <w:tcPr>
            <w:tcW w:w="703" w:type="pct"/>
            <w:vAlign w:val="center"/>
          </w:tcPr>
          <w:p w:rsidR="005600FF" w:rsidRPr="00C07B2E" w:rsidRDefault="005600FF" w:rsidP="005600FF">
            <w:pPr>
              <w:ind w:firstLine="0"/>
              <w:rPr>
                <w:rFonts w:eastAsia="SimSun"/>
              </w:rPr>
            </w:pPr>
            <w:r w:rsidRPr="00C07B2E">
              <w:rPr>
                <w:rFonts w:eastAsia="SimSun"/>
              </w:rPr>
              <w:t>50 мг/кг</w:t>
            </w:r>
          </w:p>
        </w:tc>
        <w:tc>
          <w:tcPr>
            <w:tcW w:w="754" w:type="pct"/>
            <w:vAlign w:val="center"/>
          </w:tcPr>
          <w:p w:rsidR="005600FF" w:rsidRPr="00C07B2E" w:rsidRDefault="005600FF" w:rsidP="005600FF">
            <w:pPr>
              <w:ind w:firstLine="0"/>
              <w:rPr>
                <w:rFonts w:eastAsia="SimSun"/>
              </w:rPr>
            </w:pPr>
            <w:r w:rsidRPr="00C07B2E">
              <w:rPr>
                <w:rFonts w:eastAsia="SimSun"/>
              </w:rPr>
              <w:t>100 мг/кг</w:t>
            </w:r>
          </w:p>
        </w:tc>
        <w:tc>
          <w:tcPr>
            <w:tcW w:w="889" w:type="pct"/>
            <w:vAlign w:val="center"/>
          </w:tcPr>
          <w:p w:rsidR="005600FF" w:rsidRPr="00C07B2E" w:rsidRDefault="005600FF" w:rsidP="005600FF">
            <w:pPr>
              <w:ind w:firstLine="0"/>
              <w:rPr>
                <w:rFonts w:eastAsia="SimSun"/>
              </w:rPr>
            </w:pPr>
            <w:r w:rsidRPr="00C07B2E">
              <w:rPr>
                <w:rFonts w:eastAsia="SimSun"/>
              </w:rPr>
              <w:t>В +3 день  и +5 день</w:t>
            </w:r>
          </w:p>
        </w:tc>
        <w:tc>
          <w:tcPr>
            <w:tcW w:w="1167" w:type="pct"/>
            <w:vAlign w:val="center"/>
          </w:tcPr>
          <w:p w:rsidR="005600FF" w:rsidRPr="00C07B2E" w:rsidRDefault="005600FF" w:rsidP="005600FF">
            <w:pPr>
              <w:ind w:firstLine="0"/>
              <w:rPr>
                <w:rFonts w:eastAsia="SimSun"/>
              </w:rPr>
            </w:pPr>
            <w:r w:rsidRPr="00C07B2E">
              <w:rPr>
                <w:rFonts w:eastAsia="SimSun"/>
              </w:rPr>
              <w:t xml:space="preserve">В/в, в течение 2 ч  </w:t>
            </w:r>
          </w:p>
        </w:tc>
      </w:tr>
      <w:tr w:rsidR="005600FF" w:rsidRPr="00C07B2E" w:rsidTr="005600FF">
        <w:trPr>
          <w:cantSplit/>
          <w:trHeight w:val="958"/>
        </w:trPr>
        <w:tc>
          <w:tcPr>
            <w:tcW w:w="484" w:type="pct"/>
            <w:vMerge/>
            <w:textDirection w:val="btLr"/>
            <w:vAlign w:val="center"/>
          </w:tcPr>
          <w:p w:rsidR="005600FF" w:rsidRPr="00C07B2E" w:rsidRDefault="005600FF" w:rsidP="005600FF">
            <w:pPr>
              <w:ind w:firstLine="0"/>
              <w:rPr>
                <w:rFonts w:eastAsia="SimSun"/>
              </w:rPr>
            </w:pPr>
          </w:p>
        </w:tc>
        <w:tc>
          <w:tcPr>
            <w:tcW w:w="1003" w:type="pct"/>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703" w:type="pct"/>
            <w:vAlign w:val="center"/>
          </w:tcPr>
          <w:p w:rsidR="005600FF" w:rsidRPr="00C07B2E" w:rsidRDefault="005600FF" w:rsidP="005600FF">
            <w:pPr>
              <w:ind w:firstLine="0"/>
              <w:rPr>
                <w:rFonts w:eastAsia="SimSun"/>
              </w:rPr>
            </w:pPr>
            <w:r w:rsidRPr="00C07B2E">
              <w:rPr>
                <w:rFonts w:eastAsia="SimSun"/>
              </w:rPr>
              <w:t xml:space="preserve">30 мг/кг </w:t>
            </w:r>
          </w:p>
        </w:tc>
        <w:tc>
          <w:tcPr>
            <w:tcW w:w="754" w:type="pct"/>
            <w:vAlign w:val="center"/>
          </w:tcPr>
          <w:p w:rsidR="005600FF" w:rsidRPr="00C07B2E" w:rsidRDefault="005600FF" w:rsidP="005600FF">
            <w:pPr>
              <w:ind w:firstLine="0"/>
              <w:rPr>
                <w:rFonts w:eastAsia="SimSun"/>
              </w:rPr>
            </w:pPr>
            <w:r w:rsidRPr="00C07B2E">
              <w:rPr>
                <w:rFonts w:eastAsia="SimSun"/>
              </w:rPr>
              <w:t>–</w:t>
            </w:r>
          </w:p>
        </w:tc>
        <w:tc>
          <w:tcPr>
            <w:tcW w:w="889" w:type="pct"/>
            <w:vAlign w:val="center"/>
          </w:tcPr>
          <w:p w:rsidR="005600FF" w:rsidRPr="00C07B2E" w:rsidRDefault="005600FF" w:rsidP="005600FF">
            <w:pPr>
              <w:ind w:firstLine="0"/>
              <w:rPr>
                <w:rFonts w:eastAsia="SimSun"/>
              </w:rPr>
            </w:pPr>
            <w:r w:rsidRPr="00C07B2E">
              <w:rPr>
                <w:rFonts w:eastAsia="SimSun"/>
              </w:rPr>
              <w:t xml:space="preserve">С +1 дня по +28 день </w:t>
            </w:r>
          </w:p>
        </w:tc>
        <w:tc>
          <w:tcPr>
            <w:tcW w:w="1167" w:type="pct"/>
            <w:vAlign w:val="center"/>
          </w:tcPr>
          <w:p w:rsidR="005600FF" w:rsidRPr="000F445E" w:rsidRDefault="005600FF" w:rsidP="005600FF">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5600FF" w:rsidRPr="000F445E" w:rsidTr="005600FF">
        <w:trPr>
          <w:cantSplit/>
          <w:trHeight w:val="958"/>
        </w:trPr>
        <w:tc>
          <w:tcPr>
            <w:tcW w:w="484" w:type="pct"/>
            <w:vMerge/>
            <w:textDirection w:val="btLr"/>
            <w:vAlign w:val="center"/>
          </w:tcPr>
          <w:p w:rsidR="005600FF" w:rsidRPr="000F445E" w:rsidRDefault="005600FF" w:rsidP="005600FF">
            <w:pPr>
              <w:ind w:firstLine="0"/>
              <w:rPr>
                <w:rFonts w:eastAsia="SimSun"/>
              </w:rPr>
            </w:pPr>
          </w:p>
        </w:tc>
        <w:tc>
          <w:tcPr>
            <w:tcW w:w="1003" w:type="pct"/>
            <w:vAlign w:val="center"/>
          </w:tcPr>
          <w:p w:rsidR="005600FF" w:rsidRPr="00C07B2E" w:rsidRDefault="005600FF" w:rsidP="005600FF">
            <w:pPr>
              <w:ind w:firstLine="0"/>
              <w:rPr>
                <w:rFonts w:eastAsia="SimSun"/>
              </w:rPr>
            </w:pPr>
            <w:r w:rsidRPr="00C07B2E">
              <w:rPr>
                <w:rFonts w:eastAsia="SimSun"/>
              </w:rPr>
              <w:t>Циклоспорин А</w:t>
            </w:r>
          </w:p>
        </w:tc>
        <w:tc>
          <w:tcPr>
            <w:tcW w:w="703" w:type="pct"/>
            <w:vAlign w:val="center"/>
          </w:tcPr>
          <w:p w:rsidR="005600FF" w:rsidRPr="00C07B2E" w:rsidRDefault="005600FF" w:rsidP="005600FF">
            <w:pPr>
              <w:ind w:firstLine="0"/>
              <w:rPr>
                <w:rFonts w:eastAsia="SimSun"/>
              </w:rPr>
            </w:pPr>
            <w:r w:rsidRPr="00C07B2E">
              <w:rPr>
                <w:rFonts w:eastAsia="SimSun"/>
              </w:rPr>
              <w:t>3  мг/кг</w:t>
            </w:r>
          </w:p>
        </w:tc>
        <w:tc>
          <w:tcPr>
            <w:tcW w:w="754" w:type="pct"/>
            <w:vAlign w:val="center"/>
          </w:tcPr>
          <w:p w:rsidR="005600FF" w:rsidRPr="00C07B2E" w:rsidRDefault="005600FF" w:rsidP="005600FF">
            <w:pPr>
              <w:ind w:firstLine="0"/>
              <w:rPr>
                <w:rFonts w:eastAsia="SimSun"/>
              </w:rPr>
            </w:pPr>
            <w:r w:rsidRPr="00C07B2E">
              <w:rPr>
                <w:rFonts w:eastAsia="SimSun"/>
              </w:rPr>
              <w:t>-</w:t>
            </w:r>
          </w:p>
        </w:tc>
        <w:tc>
          <w:tcPr>
            <w:tcW w:w="889" w:type="pct"/>
            <w:vAlign w:val="center"/>
          </w:tcPr>
          <w:p w:rsidR="005600FF" w:rsidRPr="00C07B2E" w:rsidRDefault="005600FF" w:rsidP="005600FF">
            <w:pPr>
              <w:ind w:firstLine="0"/>
              <w:rPr>
                <w:rFonts w:eastAsia="SimSun"/>
              </w:rPr>
            </w:pPr>
            <w:r w:rsidRPr="00C07B2E">
              <w:rPr>
                <w:rFonts w:eastAsia="SimSun"/>
              </w:rPr>
              <w:t xml:space="preserve">С -1 дня по +100 день </w:t>
            </w:r>
          </w:p>
        </w:tc>
        <w:tc>
          <w:tcPr>
            <w:tcW w:w="1167" w:type="pct"/>
            <w:vAlign w:val="center"/>
          </w:tcPr>
          <w:p w:rsidR="005600FF" w:rsidRPr="000F445E" w:rsidRDefault="005600FF" w:rsidP="005600FF">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bl>
    <w:p w:rsidR="005600FF" w:rsidRPr="00C07B2E" w:rsidRDefault="005600FF" w:rsidP="005600FF">
      <w:pPr>
        <w:rPr>
          <w:rFonts w:eastAsia="SimSun"/>
        </w:rPr>
      </w:pPr>
    </w:p>
    <w:p w:rsidR="005600FF" w:rsidRPr="00C07B2E" w:rsidRDefault="005600FF" w:rsidP="005600FF">
      <w:pPr>
        <w:rPr>
          <w:rFonts w:eastAsia="SimSun"/>
        </w:rPr>
      </w:pPr>
      <w:bookmarkStart w:id="156" w:name="_Toc44401151"/>
      <w:r w:rsidRPr="00042499">
        <w:rPr>
          <w:rFonts w:eastAsia="SimSun"/>
        </w:rPr>
        <w:t>Таблица</w:t>
      </w:r>
      <w:r w:rsidRPr="00C07B2E">
        <w:rPr>
          <w:rFonts w:eastAsia="SimSun"/>
        </w:rPr>
        <w:t xml:space="preserve"> </w:t>
      </w:r>
      <w:r>
        <w:rPr>
          <w:rFonts w:eastAsia="SimSun"/>
        </w:rPr>
        <w:t>5</w:t>
      </w:r>
      <w:r w:rsidRPr="00C07B2E">
        <w:rPr>
          <w:rFonts w:eastAsia="SimSun"/>
        </w:rPr>
        <w:t>.1.1.8  – Flu180+Bu14 / PT-Cy</w:t>
      </w:r>
      <w:bookmarkEnd w:id="15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5600FF" w:rsidRPr="00C07B2E" w:rsidTr="005600FF">
        <w:trPr>
          <w:cantSplit/>
          <w:trHeight w:val="20"/>
          <w:tblHeader/>
        </w:trPr>
        <w:tc>
          <w:tcPr>
            <w:tcW w:w="993" w:type="dxa"/>
            <w:vAlign w:val="center"/>
          </w:tcPr>
          <w:p w:rsidR="005600FF" w:rsidRPr="00C07B2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809"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trPr>
        <w:tc>
          <w:tcPr>
            <w:tcW w:w="993" w:type="dxa"/>
            <w:vMerge/>
            <w:vAlign w:val="center"/>
          </w:tcPr>
          <w:p w:rsidR="005600FF" w:rsidRPr="00C07B2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Бусульфан</w:t>
            </w:r>
          </w:p>
        </w:tc>
        <w:tc>
          <w:tcPr>
            <w:tcW w:w="1417" w:type="dxa"/>
            <w:vAlign w:val="center"/>
          </w:tcPr>
          <w:p w:rsidR="005600FF" w:rsidRPr="00C07B2E" w:rsidRDefault="005600FF" w:rsidP="005600FF">
            <w:pPr>
              <w:ind w:firstLine="0"/>
              <w:rPr>
                <w:rFonts w:eastAsia="SimSun"/>
              </w:rPr>
            </w:pPr>
            <w:r w:rsidRPr="00C07B2E">
              <w:rPr>
                <w:rFonts w:eastAsia="SimSun"/>
              </w:rPr>
              <w:t xml:space="preserve">4 мг/кг </w:t>
            </w:r>
          </w:p>
        </w:tc>
        <w:tc>
          <w:tcPr>
            <w:tcW w:w="1418" w:type="dxa"/>
            <w:vAlign w:val="center"/>
          </w:tcPr>
          <w:p w:rsidR="005600FF" w:rsidRPr="00C07B2E" w:rsidRDefault="005600FF" w:rsidP="005600F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rsidR="005600FF" w:rsidRPr="00C07B2E" w:rsidRDefault="005600FF" w:rsidP="005600F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C07B2E" w:rsidTr="005600FF">
        <w:trPr>
          <w:cantSplit/>
          <w:trHeight w:val="1498"/>
        </w:trPr>
        <w:tc>
          <w:tcPr>
            <w:tcW w:w="993" w:type="dxa"/>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809" w:type="dxa"/>
            <w:vAlign w:val="center"/>
          </w:tcPr>
          <w:p w:rsidR="005600FF" w:rsidRPr="00C07B2E" w:rsidRDefault="005600FF" w:rsidP="005600FF">
            <w:pPr>
              <w:ind w:firstLine="0"/>
              <w:rPr>
                <w:rFonts w:eastAsia="SimSun"/>
              </w:rPr>
            </w:pPr>
            <w:r w:rsidRPr="00C07B2E">
              <w:rPr>
                <w:rFonts w:eastAsia="SimSun"/>
              </w:rPr>
              <w:t>Циклофосфамид</w:t>
            </w:r>
          </w:p>
        </w:tc>
        <w:tc>
          <w:tcPr>
            <w:tcW w:w="1417" w:type="dxa"/>
            <w:vAlign w:val="center"/>
          </w:tcPr>
          <w:p w:rsidR="005600FF" w:rsidRPr="00C07B2E" w:rsidRDefault="005600FF" w:rsidP="005600FF">
            <w:pPr>
              <w:ind w:firstLine="0"/>
              <w:rPr>
                <w:rFonts w:eastAsia="SimSun"/>
              </w:rPr>
            </w:pPr>
            <w:r w:rsidRPr="00C07B2E">
              <w:rPr>
                <w:rFonts w:eastAsia="SimSun"/>
              </w:rPr>
              <w:t>50 мг/кг</w:t>
            </w:r>
          </w:p>
        </w:tc>
        <w:tc>
          <w:tcPr>
            <w:tcW w:w="1418" w:type="dxa"/>
            <w:vAlign w:val="center"/>
          </w:tcPr>
          <w:p w:rsidR="005600FF" w:rsidRPr="00C07B2E" w:rsidRDefault="005600FF" w:rsidP="005600FF">
            <w:pPr>
              <w:ind w:firstLine="0"/>
              <w:rPr>
                <w:rFonts w:eastAsia="SimSun"/>
              </w:rPr>
            </w:pPr>
            <w:r w:rsidRPr="00C07B2E">
              <w:rPr>
                <w:rFonts w:eastAsia="SimSun"/>
              </w:rPr>
              <w:t>100 мг/кг</w:t>
            </w:r>
          </w:p>
        </w:tc>
        <w:tc>
          <w:tcPr>
            <w:tcW w:w="1701" w:type="dxa"/>
            <w:vAlign w:val="center"/>
          </w:tcPr>
          <w:p w:rsidR="005600FF" w:rsidRPr="00C07B2E" w:rsidRDefault="005600FF" w:rsidP="005600FF">
            <w:pPr>
              <w:ind w:firstLine="0"/>
              <w:rPr>
                <w:rFonts w:eastAsia="SimSun"/>
              </w:rPr>
            </w:pPr>
            <w:r w:rsidRPr="00C07B2E">
              <w:rPr>
                <w:rFonts w:eastAsia="SimSun"/>
              </w:rPr>
              <w:t>С +3 дня по +4 день</w:t>
            </w:r>
          </w:p>
        </w:tc>
        <w:tc>
          <w:tcPr>
            <w:tcW w:w="2268" w:type="dxa"/>
            <w:vAlign w:val="center"/>
          </w:tcPr>
          <w:p w:rsidR="005600FF" w:rsidRPr="00C07B2E" w:rsidRDefault="005600FF" w:rsidP="005600FF">
            <w:pPr>
              <w:ind w:firstLine="0"/>
              <w:rPr>
                <w:rFonts w:eastAsia="SimSun"/>
              </w:rPr>
            </w:pPr>
            <w:r w:rsidRPr="00C07B2E">
              <w:rPr>
                <w:rFonts w:eastAsia="SimSun"/>
              </w:rPr>
              <w:t xml:space="preserve">В/в, в течение 2 ч  </w:t>
            </w:r>
          </w:p>
        </w:tc>
      </w:tr>
    </w:tbl>
    <w:p w:rsidR="005600FF" w:rsidRPr="00C07B2E" w:rsidRDefault="005600FF" w:rsidP="005600FF">
      <w:pPr>
        <w:rPr>
          <w:rFonts w:eastAsia="SimSun"/>
        </w:rPr>
      </w:pPr>
    </w:p>
    <w:p w:rsidR="005600FF" w:rsidRPr="00C07B2E" w:rsidRDefault="005600FF" w:rsidP="005600FF">
      <w:pPr>
        <w:rPr>
          <w:rFonts w:eastAsia="SimSun"/>
        </w:rPr>
      </w:pPr>
      <w:bookmarkStart w:id="157" w:name="_Toc44401152"/>
      <w:r w:rsidRPr="00042499">
        <w:rPr>
          <w:rFonts w:eastAsia="SimSun"/>
        </w:rPr>
        <w:t>Таблица</w:t>
      </w:r>
      <w:r w:rsidRPr="00C07B2E">
        <w:rPr>
          <w:rFonts w:eastAsia="SimSun"/>
        </w:rPr>
        <w:t xml:space="preserve"> </w:t>
      </w:r>
      <w:r>
        <w:rPr>
          <w:rFonts w:eastAsia="SimSun"/>
        </w:rPr>
        <w:t>5</w:t>
      </w:r>
      <w:r w:rsidRPr="00C07B2E">
        <w:rPr>
          <w:rFonts w:eastAsia="SimSun"/>
        </w:rPr>
        <w:t>.1.1.9 – Flu180+Bu14 / PT-Cy+Tx+MMF30</w:t>
      </w:r>
      <w:bookmarkEnd w:id="15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5600FF" w:rsidRPr="00C07B2E" w:rsidTr="005600FF">
        <w:trPr>
          <w:cantSplit/>
          <w:trHeight w:val="20"/>
          <w:tblHeader/>
        </w:trPr>
        <w:tc>
          <w:tcPr>
            <w:tcW w:w="993" w:type="dxa"/>
            <w:vAlign w:val="center"/>
          </w:tcPr>
          <w:p w:rsidR="005600FF" w:rsidRPr="00470D3D"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809"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trPr>
        <w:tc>
          <w:tcPr>
            <w:tcW w:w="993" w:type="dxa"/>
            <w:vMerge/>
            <w:vAlign w:val="center"/>
          </w:tcPr>
          <w:p w:rsidR="005600FF" w:rsidRPr="00C07B2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Бусульфан</w:t>
            </w:r>
          </w:p>
        </w:tc>
        <w:tc>
          <w:tcPr>
            <w:tcW w:w="1417" w:type="dxa"/>
            <w:vAlign w:val="center"/>
          </w:tcPr>
          <w:p w:rsidR="005600FF" w:rsidRPr="00C07B2E" w:rsidRDefault="005600FF" w:rsidP="005600FF">
            <w:pPr>
              <w:ind w:firstLine="0"/>
              <w:rPr>
                <w:rFonts w:eastAsia="SimSun"/>
              </w:rPr>
            </w:pPr>
            <w:r w:rsidRPr="00C07B2E">
              <w:rPr>
                <w:rFonts w:eastAsia="SimSun"/>
              </w:rPr>
              <w:t xml:space="preserve">4 мг/кг </w:t>
            </w:r>
          </w:p>
        </w:tc>
        <w:tc>
          <w:tcPr>
            <w:tcW w:w="1418" w:type="dxa"/>
            <w:vAlign w:val="center"/>
          </w:tcPr>
          <w:p w:rsidR="005600FF" w:rsidRPr="00C07B2E" w:rsidRDefault="005600FF" w:rsidP="005600FF">
            <w:pPr>
              <w:ind w:firstLine="0"/>
              <w:rPr>
                <w:rFonts w:eastAsia="SimSun"/>
              </w:rPr>
            </w:pPr>
            <w:r w:rsidRPr="00C07B2E">
              <w:rPr>
                <w:rFonts w:eastAsia="SimSun"/>
                <w:lang w:val="en-US"/>
              </w:rPr>
              <w:t>1</w:t>
            </w:r>
            <w:r w:rsidRPr="00C07B2E">
              <w:rPr>
                <w:rFonts w:eastAsia="SimSun"/>
              </w:rPr>
              <w:t xml:space="preserve">4мг/кг </w:t>
            </w:r>
          </w:p>
        </w:tc>
        <w:tc>
          <w:tcPr>
            <w:tcW w:w="1701" w:type="dxa"/>
            <w:vAlign w:val="center"/>
          </w:tcPr>
          <w:p w:rsidR="005600FF" w:rsidRPr="00C07B2E" w:rsidRDefault="005600FF" w:rsidP="005600FF">
            <w:pPr>
              <w:ind w:firstLine="0"/>
              <w:rPr>
                <w:rFonts w:eastAsia="SimSun"/>
              </w:rPr>
            </w:pPr>
            <w:r w:rsidRPr="00C07B2E">
              <w:rPr>
                <w:rFonts w:eastAsia="SimSun"/>
              </w:rPr>
              <w:t>С -6 дня по -3 день</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C07B2E" w:rsidTr="005600FF">
        <w:trPr>
          <w:cantSplit/>
          <w:trHeight w:val="622"/>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809" w:type="dxa"/>
            <w:vAlign w:val="center"/>
          </w:tcPr>
          <w:p w:rsidR="005600FF" w:rsidRPr="00C07B2E" w:rsidRDefault="005600FF" w:rsidP="005600FF">
            <w:pPr>
              <w:ind w:firstLine="0"/>
              <w:rPr>
                <w:rFonts w:eastAsia="SimSun"/>
              </w:rPr>
            </w:pPr>
            <w:r w:rsidRPr="00C07B2E">
              <w:rPr>
                <w:rFonts w:eastAsia="SimSun"/>
              </w:rPr>
              <w:t>Циклофосфамид</w:t>
            </w:r>
          </w:p>
        </w:tc>
        <w:tc>
          <w:tcPr>
            <w:tcW w:w="1417" w:type="dxa"/>
            <w:vAlign w:val="center"/>
          </w:tcPr>
          <w:p w:rsidR="005600FF" w:rsidRPr="00C07B2E" w:rsidRDefault="005600FF" w:rsidP="005600FF">
            <w:pPr>
              <w:ind w:firstLine="0"/>
              <w:rPr>
                <w:rFonts w:eastAsia="SimSun"/>
              </w:rPr>
            </w:pPr>
            <w:r w:rsidRPr="00C07B2E">
              <w:rPr>
                <w:rFonts w:eastAsia="SimSun"/>
              </w:rPr>
              <w:t>50 мг/кг</w:t>
            </w:r>
          </w:p>
        </w:tc>
        <w:tc>
          <w:tcPr>
            <w:tcW w:w="1418" w:type="dxa"/>
            <w:vAlign w:val="center"/>
          </w:tcPr>
          <w:p w:rsidR="005600FF" w:rsidRPr="00C07B2E" w:rsidRDefault="005600FF" w:rsidP="005600FF">
            <w:pPr>
              <w:ind w:firstLine="0"/>
              <w:rPr>
                <w:rFonts w:eastAsia="SimSun"/>
              </w:rPr>
            </w:pPr>
            <w:r w:rsidRPr="00C07B2E">
              <w:rPr>
                <w:rFonts w:eastAsia="SimSun"/>
              </w:rPr>
              <w:t>100 мг/кг</w:t>
            </w:r>
          </w:p>
        </w:tc>
        <w:tc>
          <w:tcPr>
            <w:tcW w:w="1701" w:type="dxa"/>
            <w:vAlign w:val="center"/>
          </w:tcPr>
          <w:p w:rsidR="005600FF" w:rsidRPr="00C07B2E" w:rsidRDefault="005600FF" w:rsidP="005600FF">
            <w:pPr>
              <w:ind w:firstLine="0"/>
              <w:rPr>
                <w:rFonts w:eastAsia="SimSun"/>
              </w:rPr>
            </w:pPr>
            <w:r w:rsidRPr="00C07B2E">
              <w:rPr>
                <w:rFonts w:eastAsia="SimSun"/>
              </w:rPr>
              <w:t>С +3 дня по +4 день</w:t>
            </w:r>
          </w:p>
        </w:tc>
        <w:tc>
          <w:tcPr>
            <w:tcW w:w="2268" w:type="dxa"/>
            <w:vAlign w:val="center"/>
          </w:tcPr>
          <w:p w:rsidR="005600FF" w:rsidRPr="00C07B2E" w:rsidRDefault="005600FF" w:rsidP="005600FF">
            <w:pPr>
              <w:ind w:firstLine="0"/>
              <w:rPr>
                <w:rFonts w:eastAsia="SimSun"/>
              </w:rPr>
            </w:pPr>
            <w:r w:rsidRPr="00C07B2E">
              <w:rPr>
                <w:rFonts w:eastAsia="SimSun"/>
              </w:rPr>
              <w:t xml:space="preserve">В/в, в течение 2 ч  </w:t>
            </w:r>
          </w:p>
        </w:tc>
      </w:tr>
      <w:tr w:rsidR="005600FF" w:rsidRPr="00C07B2E" w:rsidTr="005600FF">
        <w:trPr>
          <w:cantSplit/>
          <w:trHeight w:val="958"/>
        </w:trPr>
        <w:tc>
          <w:tcPr>
            <w:tcW w:w="993" w:type="dxa"/>
            <w:vMerge/>
            <w:textDirection w:val="btLr"/>
            <w:vAlign w:val="center"/>
          </w:tcPr>
          <w:p w:rsidR="005600FF" w:rsidRPr="00C07B2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 xml:space="preserve">Такролимус </w:t>
            </w:r>
          </w:p>
        </w:tc>
        <w:tc>
          <w:tcPr>
            <w:tcW w:w="1417" w:type="dxa"/>
            <w:vAlign w:val="center"/>
          </w:tcPr>
          <w:p w:rsidR="005600FF" w:rsidRPr="00C07B2E" w:rsidRDefault="005600FF" w:rsidP="005600FF">
            <w:pPr>
              <w:ind w:firstLine="0"/>
              <w:rPr>
                <w:rFonts w:eastAsia="SimSun"/>
              </w:rPr>
            </w:pPr>
            <w:r w:rsidRPr="00C07B2E">
              <w:rPr>
                <w:rFonts w:eastAsia="SimSun"/>
              </w:rPr>
              <w:t>0,03 мг/кг</w:t>
            </w:r>
          </w:p>
        </w:tc>
        <w:tc>
          <w:tcPr>
            <w:tcW w:w="1418" w:type="dxa"/>
            <w:vAlign w:val="center"/>
          </w:tcPr>
          <w:p w:rsidR="005600FF" w:rsidRPr="00C07B2E" w:rsidRDefault="005600FF" w:rsidP="005600FF">
            <w:pPr>
              <w:ind w:firstLine="0"/>
              <w:rPr>
                <w:rFonts w:eastAsia="SimSun"/>
              </w:rPr>
            </w:pPr>
            <w:r w:rsidRPr="00C07B2E">
              <w:rPr>
                <w:rFonts w:eastAsia="SimSun"/>
                <w:lang w:val="en-US"/>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длительно </w:t>
            </w:r>
          </w:p>
        </w:tc>
        <w:tc>
          <w:tcPr>
            <w:tcW w:w="2268" w:type="dxa"/>
            <w:vAlign w:val="center"/>
          </w:tcPr>
          <w:p w:rsidR="005600FF" w:rsidRPr="000F445E" w:rsidRDefault="005600FF" w:rsidP="005600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5600FF" w:rsidRPr="00C07B2E" w:rsidTr="005600FF">
        <w:trPr>
          <w:cantSplit/>
          <w:trHeight w:val="986"/>
        </w:trPr>
        <w:tc>
          <w:tcPr>
            <w:tcW w:w="993" w:type="dxa"/>
            <w:vMerge/>
            <w:textDirection w:val="btLr"/>
            <w:vAlign w:val="center"/>
          </w:tcPr>
          <w:p w:rsidR="005600FF" w:rsidRPr="000F445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7" w:type="dxa"/>
            <w:vAlign w:val="center"/>
          </w:tcPr>
          <w:p w:rsidR="005600FF" w:rsidRPr="00C07B2E" w:rsidRDefault="005600FF" w:rsidP="005600FF">
            <w:pPr>
              <w:ind w:firstLine="0"/>
              <w:rPr>
                <w:rFonts w:eastAsia="SimSun"/>
              </w:rPr>
            </w:pPr>
            <w:r w:rsidRPr="00C07B2E">
              <w:rPr>
                <w:rFonts w:eastAsia="SimSun"/>
              </w:rPr>
              <w:t xml:space="preserve">30 мг/кг </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+35 день </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2- 4 приема (не более 3г/сут).</w:t>
            </w:r>
          </w:p>
        </w:tc>
      </w:tr>
    </w:tbl>
    <w:p w:rsidR="005600FF" w:rsidRPr="00C07B2E" w:rsidRDefault="005600FF" w:rsidP="005600FF">
      <w:pPr>
        <w:rPr>
          <w:rFonts w:eastAsia="SimSun"/>
        </w:rPr>
      </w:pPr>
    </w:p>
    <w:p w:rsidR="005600FF" w:rsidRPr="00C07B2E" w:rsidRDefault="005600FF" w:rsidP="005600FF">
      <w:pPr>
        <w:rPr>
          <w:rFonts w:eastAsia="SimSun"/>
        </w:rPr>
      </w:pPr>
      <w:bookmarkStart w:id="158" w:name="_Toc44401153"/>
      <w:r w:rsidRPr="00042499">
        <w:rPr>
          <w:rFonts w:eastAsia="SimSun"/>
        </w:rPr>
        <w:t>Таблица</w:t>
      </w:r>
      <w:r w:rsidRPr="00C07B2E">
        <w:rPr>
          <w:rFonts w:eastAsia="SimSun"/>
        </w:rPr>
        <w:t xml:space="preserve"> </w:t>
      </w:r>
      <w:r>
        <w:rPr>
          <w:rFonts w:eastAsia="SimSun"/>
        </w:rPr>
        <w:t>5</w:t>
      </w:r>
      <w:r w:rsidRPr="00C07B2E">
        <w:rPr>
          <w:rFonts w:eastAsia="SimSun"/>
        </w:rPr>
        <w:t>.1.1.10  – Flu180+Bu14 / PT-Cy+CSA+MMF30</w:t>
      </w:r>
      <w:bookmarkEnd w:id="15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10"/>
        <w:gridCol w:w="1417"/>
        <w:gridCol w:w="1418"/>
        <w:gridCol w:w="1701"/>
        <w:gridCol w:w="2268"/>
      </w:tblGrid>
      <w:tr w:rsidR="005600FF" w:rsidRPr="00C07B2E" w:rsidTr="005600FF">
        <w:trPr>
          <w:cantSplit/>
          <w:trHeight w:val="20"/>
          <w:tblHeader/>
        </w:trPr>
        <w:tc>
          <w:tcPr>
            <w:tcW w:w="992" w:type="dxa"/>
            <w:vAlign w:val="center"/>
          </w:tcPr>
          <w:p w:rsidR="005600FF" w:rsidRPr="00470D3D" w:rsidRDefault="005600FF" w:rsidP="005600FF">
            <w:pPr>
              <w:ind w:firstLine="0"/>
              <w:rPr>
                <w:rFonts w:eastAsia="SimSun"/>
              </w:rPr>
            </w:pPr>
          </w:p>
        </w:tc>
        <w:tc>
          <w:tcPr>
            <w:tcW w:w="1810"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992"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810"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trPr>
        <w:tc>
          <w:tcPr>
            <w:tcW w:w="992" w:type="dxa"/>
            <w:vMerge/>
            <w:vAlign w:val="center"/>
          </w:tcPr>
          <w:p w:rsidR="005600FF" w:rsidRPr="00C07B2E" w:rsidRDefault="005600FF" w:rsidP="005600FF">
            <w:pPr>
              <w:ind w:firstLine="0"/>
              <w:rPr>
                <w:rFonts w:eastAsia="SimSun"/>
              </w:rPr>
            </w:pPr>
          </w:p>
        </w:tc>
        <w:tc>
          <w:tcPr>
            <w:tcW w:w="1810" w:type="dxa"/>
            <w:vAlign w:val="center"/>
          </w:tcPr>
          <w:p w:rsidR="005600FF" w:rsidRPr="00C07B2E" w:rsidRDefault="005600FF" w:rsidP="005600FF">
            <w:pPr>
              <w:ind w:firstLine="0"/>
              <w:rPr>
                <w:rFonts w:eastAsia="SimSun"/>
              </w:rPr>
            </w:pPr>
            <w:r w:rsidRPr="00C07B2E">
              <w:rPr>
                <w:rFonts w:eastAsia="SimSun"/>
              </w:rPr>
              <w:t>Бусульфан</w:t>
            </w:r>
          </w:p>
        </w:tc>
        <w:tc>
          <w:tcPr>
            <w:tcW w:w="1417" w:type="dxa"/>
            <w:vAlign w:val="center"/>
          </w:tcPr>
          <w:p w:rsidR="005600FF" w:rsidRPr="00C07B2E" w:rsidRDefault="005600FF" w:rsidP="005600FF">
            <w:pPr>
              <w:ind w:firstLine="0"/>
              <w:rPr>
                <w:rFonts w:eastAsia="SimSun"/>
              </w:rPr>
            </w:pPr>
            <w:r w:rsidRPr="00C07B2E">
              <w:rPr>
                <w:rFonts w:eastAsia="SimSun"/>
              </w:rPr>
              <w:t xml:space="preserve">4 мг/кг </w:t>
            </w:r>
          </w:p>
        </w:tc>
        <w:tc>
          <w:tcPr>
            <w:tcW w:w="1418" w:type="dxa"/>
            <w:vAlign w:val="center"/>
          </w:tcPr>
          <w:p w:rsidR="005600FF" w:rsidRPr="00C07B2E" w:rsidRDefault="005600FF" w:rsidP="005600F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rsidR="005600FF" w:rsidRPr="00C07B2E" w:rsidRDefault="005600FF" w:rsidP="005600F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C07B2E" w:rsidTr="005600FF">
        <w:trPr>
          <w:cantSplit/>
          <w:trHeight w:val="424"/>
        </w:trPr>
        <w:tc>
          <w:tcPr>
            <w:tcW w:w="992" w:type="dxa"/>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810" w:type="dxa"/>
            <w:vAlign w:val="center"/>
          </w:tcPr>
          <w:p w:rsidR="005600FF" w:rsidRPr="00C07B2E" w:rsidRDefault="005600FF" w:rsidP="005600FF">
            <w:pPr>
              <w:ind w:firstLine="0"/>
              <w:rPr>
                <w:rFonts w:eastAsia="SimSun"/>
              </w:rPr>
            </w:pPr>
            <w:r w:rsidRPr="00C07B2E">
              <w:rPr>
                <w:rFonts w:eastAsia="SimSun"/>
              </w:rPr>
              <w:t>Циклофосфамид</w:t>
            </w:r>
          </w:p>
        </w:tc>
        <w:tc>
          <w:tcPr>
            <w:tcW w:w="1417" w:type="dxa"/>
            <w:vAlign w:val="center"/>
          </w:tcPr>
          <w:p w:rsidR="005600FF" w:rsidRPr="00C07B2E" w:rsidRDefault="005600FF" w:rsidP="005600FF">
            <w:pPr>
              <w:ind w:firstLine="0"/>
              <w:rPr>
                <w:rFonts w:eastAsia="SimSun"/>
              </w:rPr>
            </w:pPr>
            <w:r w:rsidRPr="00C07B2E">
              <w:rPr>
                <w:rFonts w:eastAsia="SimSun"/>
              </w:rPr>
              <w:t>50 мг/кг</w:t>
            </w:r>
          </w:p>
        </w:tc>
        <w:tc>
          <w:tcPr>
            <w:tcW w:w="1418" w:type="dxa"/>
            <w:vAlign w:val="center"/>
          </w:tcPr>
          <w:p w:rsidR="005600FF" w:rsidRPr="00C07B2E" w:rsidRDefault="005600FF" w:rsidP="005600FF">
            <w:pPr>
              <w:ind w:firstLine="0"/>
              <w:rPr>
                <w:rFonts w:eastAsia="SimSun"/>
              </w:rPr>
            </w:pPr>
            <w:r w:rsidRPr="00C07B2E">
              <w:rPr>
                <w:rFonts w:eastAsia="SimSun"/>
              </w:rPr>
              <w:t>100 мг/кг</w:t>
            </w:r>
          </w:p>
        </w:tc>
        <w:tc>
          <w:tcPr>
            <w:tcW w:w="1701" w:type="dxa"/>
            <w:vAlign w:val="center"/>
          </w:tcPr>
          <w:p w:rsidR="005600FF" w:rsidRPr="00C07B2E" w:rsidRDefault="005600FF" w:rsidP="005600FF">
            <w:pPr>
              <w:ind w:firstLine="0"/>
              <w:rPr>
                <w:rFonts w:eastAsia="SimSun"/>
              </w:rPr>
            </w:pPr>
            <w:r w:rsidRPr="00C07B2E">
              <w:rPr>
                <w:rFonts w:eastAsia="SimSun"/>
              </w:rPr>
              <w:t>В +3 день  и +5 день</w:t>
            </w:r>
          </w:p>
        </w:tc>
        <w:tc>
          <w:tcPr>
            <w:tcW w:w="2268" w:type="dxa"/>
            <w:vAlign w:val="center"/>
          </w:tcPr>
          <w:p w:rsidR="005600FF" w:rsidRPr="00C07B2E" w:rsidRDefault="005600FF" w:rsidP="005600FF">
            <w:pPr>
              <w:ind w:firstLine="0"/>
              <w:rPr>
                <w:rFonts w:eastAsia="SimSun"/>
              </w:rPr>
            </w:pPr>
            <w:r w:rsidRPr="00C07B2E">
              <w:rPr>
                <w:rFonts w:eastAsia="SimSun"/>
              </w:rPr>
              <w:t xml:space="preserve">В/в, в течение 2 ч  </w:t>
            </w:r>
          </w:p>
        </w:tc>
      </w:tr>
      <w:tr w:rsidR="005600FF" w:rsidRPr="00C07B2E" w:rsidTr="005600FF">
        <w:trPr>
          <w:cantSplit/>
          <w:trHeight w:val="958"/>
        </w:trPr>
        <w:tc>
          <w:tcPr>
            <w:tcW w:w="992" w:type="dxa"/>
            <w:vMerge/>
            <w:textDirection w:val="btLr"/>
            <w:vAlign w:val="center"/>
          </w:tcPr>
          <w:p w:rsidR="005600FF" w:rsidRPr="00C07B2E" w:rsidRDefault="005600FF" w:rsidP="005600FF">
            <w:pPr>
              <w:ind w:firstLine="0"/>
              <w:rPr>
                <w:rFonts w:eastAsia="SimSun"/>
              </w:rPr>
            </w:pPr>
          </w:p>
        </w:tc>
        <w:tc>
          <w:tcPr>
            <w:tcW w:w="1810"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7" w:type="dxa"/>
            <w:vAlign w:val="center"/>
          </w:tcPr>
          <w:p w:rsidR="005600FF" w:rsidRPr="00C07B2E" w:rsidRDefault="005600FF" w:rsidP="005600FF">
            <w:pPr>
              <w:ind w:firstLine="0"/>
              <w:rPr>
                <w:rFonts w:eastAsia="SimSun"/>
              </w:rPr>
            </w:pPr>
            <w:r w:rsidRPr="00C07B2E">
              <w:rPr>
                <w:rFonts w:eastAsia="SimSun"/>
              </w:rPr>
              <w:t xml:space="preserve">30 мг/кг </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+1 дня по +28 день </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2- 4 приема (не более 3г/сут).</w:t>
            </w:r>
          </w:p>
        </w:tc>
      </w:tr>
      <w:tr w:rsidR="005600FF" w:rsidRPr="000F445E" w:rsidTr="005600FF">
        <w:trPr>
          <w:cantSplit/>
          <w:trHeight w:val="958"/>
        </w:trPr>
        <w:tc>
          <w:tcPr>
            <w:tcW w:w="992" w:type="dxa"/>
            <w:vMerge/>
            <w:textDirection w:val="btLr"/>
            <w:vAlign w:val="center"/>
          </w:tcPr>
          <w:p w:rsidR="005600FF" w:rsidRPr="00C07B2E" w:rsidRDefault="005600FF" w:rsidP="005600FF">
            <w:pPr>
              <w:ind w:firstLine="0"/>
              <w:rPr>
                <w:rFonts w:eastAsia="SimSun"/>
              </w:rPr>
            </w:pPr>
          </w:p>
        </w:tc>
        <w:tc>
          <w:tcPr>
            <w:tcW w:w="1810" w:type="dxa"/>
            <w:vAlign w:val="center"/>
          </w:tcPr>
          <w:p w:rsidR="005600FF" w:rsidRPr="00C07B2E" w:rsidRDefault="005600FF" w:rsidP="005600FF">
            <w:pPr>
              <w:ind w:firstLine="0"/>
              <w:rPr>
                <w:rFonts w:eastAsia="SimSun"/>
              </w:rPr>
            </w:pPr>
            <w:r w:rsidRPr="00C07B2E">
              <w:rPr>
                <w:rFonts w:eastAsia="SimSun"/>
              </w:rPr>
              <w:t>Циклоспорин А</w:t>
            </w:r>
          </w:p>
        </w:tc>
        <w:tc>
          <w:tcPr>
            <w:tcW w:w="1417" w:type="dxa"/>
            <w:vAlign w:val="center"/>
          </w:tcPr>
          <w:p w:rsidR="005600FF" w:rsidRPr="00C07B2E" w:rsidRDefault="005600FF" w:rsidP="005600FF">
            <w:pPr>
              <w:ind w:firstLine="0"/>
              <w:rPr>
                <w:rFonts w:eastAsia="SimSun"/>
              </w:rPr>
            </w:pPr>
            <w:r w:rsidRPr="00C07B2E">
              <w:rPr>
                <w:rFonts w:eastAsia="SimSun"/>
              </w:rPr>
              <w:t>3 мг/кг</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-1 дня по +100 день </w:t>
            </w:r>
          </w:p>
        </w:tc>
        <w:tc>
          <w:tcPr>
            <w:tcW w:w="2268" w:type="dxa"/>
            <w:vAlign w:val="center"/>
          </w:tcPr>
          <w:p w:rsidR="005600FF" w:rsidRPr="000F445E" w:rsidRDefault="005600FF" w:rsidP="005600FF">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х 1</w:t>
            </w:r>
            <w:r w:rsidRPr="000F445E">
              <w:rPr>
                <w:rFonts w:eastAsia="SimSun"/>
              </w:rPr>
              <w:t>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150-350пг/мл.</w:t>
            </w:r>
          </w:p>
        </w:tc>
      </w:tr>
    </w:tbl>
    <w:p w:rsidR="005600FF" w:rsidRPr="00C07B2E" w:rsidRDefault="005600FF" w:rsidP="005600FF">
      <w:pPr>
        <w:rPr>
          <w:rFonts w:eastAsia="SimSun"/>
        </w:rPr>
      </w:pPr>
    </w:p>
    <w:p w:rsidR="005600FF" w:rsidRPr="00C07B2E" w:rsidRDefault="005600FF" w:rsidP="005600FF">
      <w:pPr>
        <w:rPr>
          <w:rFonts w:eastAsia="SimSun"/>
        </w:rPr>
      </w:pPr>
      <w:bookmarkStart w:id="159" w:name="_Toc44401154"/>
      <w:r w:rsidRPr="00042499">
        <w:rPr>
          <w:rFonts w:eastAsia="SimSun"/>
        </w:rPr>
        <w:t>Таблица</w:t>
      </w:r>
      <w:r w:rsidRPr="00C07B2E">
        <w:rPr>
          <w:rFonts w:eastAsia="SimSun"/>
        </w:rPr>
        <w:t xml:space="preserve"> </w:t>
      </w:r>
      <w:r>
        <w:rPr>
          <w:rFonts w:eastAsia="SimSun"/>
        </w:rPr>
        <w:t>5</w:t>
      </w:r>
      <w:r w:rsidRPr="00C07B2E">
        <w:rPr>
          <w:rFonts w:eastAsia="SimSun"/>
        </w:rPr>
        <w:t>.1.1.11  – Flu180+Bu14 / Tx+MMF30</w:t>
      </w:r>
      <w:bookmarkEnd w:id="15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5600FF" w:rsidRPr="00C07B2E" w:rsidTr="005600FF">
        <w:trPr>
          <w:cantSplit/>
          <w:trHeight w:val="20"/>
          <w:tblHeader/>
        </w:trPr>
        <w:tc>
          <w:tcPr>
            <w:tcW w:w="993" w:type="dxa"/>
            <w:vAlign w:val="center"/>
          </w:tcPr>
          <w:p w:rsidR="005600FF" w:rsidRPr="00C07B2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809"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C07B2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30 - 60 мин</w:t>
            </w:r>
          </w:p>
        </w:tc>
      </w:tr>
      <w:tr w:rsidR="005600FF" w:rsidRPr="00C07B2E" w:rsidTr="005600FF">
        <w:trPr>
          <w:cantSplit/>
          <w:trHeight w:val="1207"/>
        </w:trPr>
        <w:tc>
          <w:tcPr>
            <w:tcW w:w="993" w:type="dxa"/>
            <w:vMerge/>
            <w:vAlign w:val="center"/>
          </w:tcPr>
          <w:p w:rsidR="005600FF" w:rsidRPr="00C07B2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Бусульфан</w:t>
            </w:r>
          </w:p>
        </w:tc>
        <w:tc>
          <w:tcPr>
            <w:tcW w:w="1417" w:type="dxa"/>
            <w:vAlign w:val="center"/>
          </w:tcPr>
          <w:p w:rsidR="005600FF" w:rsidRPr="00C07B2E" w:rsidRDefault="005600FF" w:rsidP="005600FF">
            <w:pPr>
              <w:ind w:firstLine="0"/>
              <w:rPr>
                <w:rFonts w:eastAsia="SimSun"/>
              </w:rPr>
            </w:pPr>
            <w:r w:rsidRPr="00C07B2E">
              <w:rPr>
                <w:rFonts w:eastAsia="SimSun"/>
              </w:rPr>
              <w:t xml:space="preserve">4 мг/кг </w:t>
            </w:r>
          </w:p>
        </w:tc>
        <w:tc>
          <w:tcPr>
            <w:tcW w:w="1418" w:type="dxa"/>
            <w:vAlign w:val="center"/>
          </w:tcPr>
          <w:p w:rsidR="005600FF" w:rsidRPr="00C07B2E" w:rsidRDefault="005600FF" w:rsidP="005600F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rsidR="005600FF" w:rsidRPr="00C07B2E" w:rsidRDefault="005600FF" w:rsidP="005600F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rsidR="005600FF" w:rsidRPr="00C07B2E" w:rsidRDefault="005600FF" w:rsidP="005600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0F445E" w:rsidTr="005600FF">
        <w:trPr>
          <w:cantSplit/>
          <w:trHeight w:val="1498"/>
        </w:trPr>
        <w:tc>
          <w:tcPr>
            <w:tcW w:w="993" w:type="dxa"/>
            <w:vMerge w:val="restart"/>
            <w:textDirection w:val="btLr"/>
            <w:vAlign w:val="center"/>
          </w:tcPr>
          <w:p w:rsidR="005600FF" w:rsidRPr="00C07B2E" w:rsidRDefault="005600FF" w:rsidP="005600FF">
            <w:pPr>
              <w:ind w:firstLine="0"/>
              <w:rPr>
                <w:rFonts w:eastAsia="SimSun"/>
              </w:rPr>
            </w:pPr>
            <w:r w:rsidRPr="00C07B2E">
              <w:rPr>
                <w:rFonts w:eastAsia="SimSun"/>
              </w:rPr>
              <w:lastRenderedPageBreak/>
              <w:t>Профилактика РТПХ</w:t>
            </w:r>
          </w:p>
        </w:tc>
        <w:tc>
          <w:tcPr>
            <w:tcW w:w="1809" w:type="dxa"/>
            <w:vAlign w:val="center"/>
          </w:tcPr>
          <w:p w:rsidR="005600FF" w:rsidRPr="00C07B2E" w:rsidRDefault="005600FF" w:rsidP="005600FF">
            <w:pPr>
              <w:ind w:firstLine="0"/>
              <w:rPr>
                <w:rFonts w:eastAsia="SimSun"/>
              </w:rPr>
            </w:pPr>
            <w:r w:rsidRPr="00C07B2E">
              <w:rPr>
                <w:rFonts w:eastAsia="SimSun"/>
              </w:rPr>
              <w:t xml:space="preserve">Такролимус </w:t>
            </w:r>
          </w:p>
        </w:tc>
        <w:tc>
          <w:tcPr>
            <w:tcW w:w="1417" w:type="dxa"/>
            <w:vAlign w:val="center"/>
          </w:tcPr>
          <w:p w:rsidR="005600FF" w:rsidRPr="00C07B2E" w:rsidRDefault="005600FF" w:rsidP="005600FF">
            <w:pPr>
              <w:ind w:firstLine="0"/>
              <w:rPr>
                <w:rFonts w:eastAsia="SimSun"/>
              </w:rPr>
            </w:pPr>
            <w:r w:rsidRPr="00C07B2E">
              <w:rPr>
                <w:rFonts w:eastAsia="SimSun"/>
              </w:rPr>
              <w:t>0,03 мг/кг</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длительно </w:t>
            </w:r>
          </w:p>
        </w:tc>
        <w:tc>
          <w:tcPr>
            <w:tcW w:w="2268" w:type="dxa"/>
            <w:vAlign w:val="center"/>
          </w:tcPr>
          <w:p w:rsidR="005600FF" w:rsidRPr="000F445E" w:rsidRDefault="005600FF" w:rsidP="005600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 xml:space="preserve">Перевод на прием внутрь при условии восстановления лейкоцитов &gt; 1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5600FF" w:rsidRPr="00C07B2E" w:rsidTr="005600FF">
        <w:trPr>
          <w:cantSplit/>
          <w:trHeight w:val="805"/>
        </w:trPr>
        <w:tc>
          <w:tcPr>
            <w:tcW w:w="993" w:type="dxa"/>
            <w:vMerge/>
            <w:textDirection w:val="btLr"/>
            <w:vAlign w:val="center"/>
          </w:tcPr>
          <w:p w:rsidR="005600FF" w:rsidRPr="000F445E" w:rsidRDefault="005600FF" w:rsidP="005600FF">
            <w:pPr>
              <w:ind w:firstLine="0"/>
              <w:rPr>
                <w:rFonts w:eastAsia="SimSun"/>
              </w:rPr>
            </w:pPr>
          </w:p>
        </w:tc>
        <w:tc>
          <w:tcPr>
            <w:tcW w:w="1809"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7" w:type="dxa"/>
            <w:vAlign w:val="center"/>
          </w:tcPr>
          <w:p w:rsidR="005600FF" w:rsidRPr="00C07B2E" w:rsidRDefault="005600FF" w:rsidP="005600FF">
            <w:pPr>
              <w:ind w:firstLine="0"/>
              <w:rPr>
                <w:rFonts w:eastAsia="SimSun"/>
              </w:rPr>
            </w:pPr>
            <w:r w:rsidRPr="00C07B2E">
              <w:rPr>
                <w:rFonts w:eastAsia="SimSun"/>
              </w:rPr>
              <w:t xml:space="preserve">30 мг/кг </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+35 день </w:t>
            </w:r>
          </w:p>
        </w:tc>
        <w:tc>
          <w:tcPr>
            <w:tcW w:w="2268" w:type="dxa"/>
            <w:vAlign w:val="center"/>
          </w:tcPr>
          <w:p w:rsidR="005600FF" w:rsidRPr="000F445E" w:rsidRDefault="005600FF" w:rsidP="005600FF">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bl>
    <w:p w:rsidR="005600FF" w:rsidRPr="00C07B2E" w:rsidRDefault="005600FF" w:rsidP="005600FF">
      <w:pPr>
        <w:rPr>
          <w:rFonts w:eastAsia="SimSun"/>
        </w:rPr>
      </w:pPr>
    </w:p>
    <w:p w:rsidR="005600FF" w:rsidRPr="00C07B2E" w:rsidRDefault="005600FF" w:rsidP="005600FF">
      <w:pPr>
        <w:rPr>
          <w:rFonts w:eastAsia="SimSun"/>
        </w:rPr>
      </w:pPr>
      <w:bookmarkStart w:id="160" w:name="_Toc44401155"/>
      <w:r w:rsidRPr="00042499">
        <w:rPr>
          <w:rFonts w:eastAsia="SimSun"/>
        </w:rPr>
        <w:t>Таблица</w:t>
      </w:r>
      <w:r w:rsidRPr="00C07B2E">
        <w:rPr>
          <w:rFonts w:eastAsia="SimSun"/>
        </w:rPr>
        <w:t xml:space="preserve"> </w:t>
      </w:r>
      <w:r>
        <w:rPr>
          <w:rFonts w:eastAsia="SimSun"/>
        </w:rPr>
        <w:t>5</w:t>
      </w:r>
      <w:r w:rsidRPr="00C07B2E">
        <w:rPr>
          <w:rFonts w:eastAsia="SimSun"/>
        </w:rPr>
        <w:t>.1.1.12  – Flu180+Treo42 / PT-Cy+Tx+MMF30</w:t>
      </w:r>
      <w:bookmarkEnd w:id="16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1417"/>
        <w:gridCol w:w="1418"/>
        <w:gridCol w:w="1701"/>
        <w:gridCol w:w="2268"/>
      </w:tblGrid>
      <w:tr w:rsidR="005600FF" w:rsidRPr="00C07B2E" w:rsidTr="005600FF">
        <w:trPr>
          <w:cantSplit/>
          <w:trHeight w:val="20"/>
          <w:tblHeader/>
        </w:trPr>
        <w:tc>
          <w:tcPr>
            <w:tcW w:w="1101" w:type="dxa"/>
            <w:vAlign w:val="center"/>
          </w:tcPr>
          <w:p w:rsidR="005600FF" w:rsidRPr="00470D3D"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Препарат</w:t>
            </w:r>
          </w:p>
        </w:tc>
        <w:tc>
          <w:tcPr>
            <w:tcW w:w="1417"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418"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1101"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701"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7" w:type="dxa"/>
            <w:vAlign w:val="center"/>
          </w:tcPr>
          <w:p w:rsidR="005600FF" w:rsidRPr="000F445E" w:rsidRDefault="005600FF" w:rsidP="005600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rsidR="005600FF" w:rsidRPr="00C07B2E" w:rsidRDefault="005600FF" w:rsidP="005600FF">
            <w:pPr>
              <w:ind w:firstLine="0"/>
              <w:rPr>
                <w:rFonts w:eastAsia="SimSun"/>
              </w:rPr>
            </w:pPr>
            <w:r w:rsidRPr="00C07B2E">
              <w:rPr>
                <w:rFonts w:eastAsia="SimSun"/>
              </w:rPr>
              <w:t>180 мг/м</w:t>
            </w:r>
            <w:r w:rsidRPr="005659AA">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6A31EC" w:rsidRDefault="005600FF" w:rsidP="005600FF">
            <w:pPr>
              <w:ind w:firstLine="0"/>
              <w:rPr>
                <w:rFonts w:eastAsia="SimSun"/>
              </w:rPr>
            </w:pPr>
            <w:r w:rsidRPr="006A31EC">
              <w:rPr>
                <w:rFonts w:eastAsia="SimSun"/>
              </w:rPr>
              <w:t>В/в, в течение 30 - 60 мин</w:t>
            </w:r>
          </w:p>
        </w:tc>
      </w:tr>
      <w:tr w:rsidR="005600FF" w:rsidRPr="00C07B2E" w:rsidTr="005600FF">
        <w:trPr>
          <w:cantSplit/>
          <w:trHeight w:val="778"/>
        </w:trPr>
        <w:tc>
          <w:tcPr>
            <w:tcW w:w="1101" w:type="dxa"/>
            <w:vMerge/>
            <w:vAlign w:val="center"/>
          </w:tcPr>
          <w:p w:rsidR="005600FF" w:rsidRPr="006A31EC"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 xml:space="preserve">Треосульфан </w:t>
            </w:r>
          </w:p>
        </w:tc>
        <w:tc>
          <w:tcPr>
            <w:tcW w:w="1417" w:type="dxa"/>
            <w:vAlign w:val="center"/>
          </w:tcPr>
          <w:p w:rsidR="005600FF" w:rsidRPr="00C07B2E" w:rsidRDefault="005600FF" w:rsidP="005600FF">
            <w:pPr>
              <w:ind w:firstLine="0"/>
              <w:rPr>
                <w:rFonts w:eastAsia="SimSun"/>
              </w:rPr>
            </w:pPr>
            <w:r w:rsidRPr="00C07B2E">
              <w:rPr>
                <w:rFonts w:eastAsia="SimSun"/>
              </w:rPr>
              <w:t>14 г/кг</w:t>
            </w:r>
          </w:p>
        </w:tc>
        <w:tc>
          <w:tcPr>
            <w:tcW w:w="1418" w:type="dxa"/>
            <w:vAlign w:val="center"/>
          </w:tcPr>
          <w:p w:rsidR="005600FF" w:rsidRPr="00C07B2E" w:rsidRDefault="005600FF" w:rsidP="005600FF">
            <w:pPr>
              <w:ind w:firstLine="0"/>
              <w:rPr>
                <w:rFonts w:eastAsia="SimSun"/>
              </w:rPr>
            </w:pPr>
            <w:r w:rsidRPr="00C07B2E">
              <w:rPr>
                <w:rFonts w:eastAsia="SimSun"/>
              </w:rPr>
              <w:t>42 г/кг</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 день </w:t>
            </w:r>
          </w:p>
        </w:tc>
        <w:tc>
          <w:tcPr>
            <w:tcW w:w="2268" w:type="dxa"/>
            <w:vAlign w:val="center"/>
          </w:tcPr>
          <w:p w:rsidR="005600FF" w:rsidRPr="006A31EC" w:rsidRDefault="005600FF" w:rsidP="005600FF">
            <w:pPr>
              <w:ind w:firstLine="0"/>
              <w:rPr>
                <w:rFonts w:eastAsia="SimSun"/>
              </w:rPr>
            </w:pPr>
            <w:r w:rsidRPr="006A31EC">
              <w:rPr>
                <w:rFonts w:eastAsia="SimSun"/>
              </w:rPr>
              <w:t xml:space="preserve">В/в инфуия, в течение 2 часов </w:t>
            </w:r>
          </w:p>
        </w:tc>
      </w:tr>
      <w:tr w:rsidR="005600FF" w:rsidRPr="005659AA" w:rsidTr="005600FF">
        <w:trPr>
          <w:cantSplit/>
          <w:trHeight w:val="1498"/>
        </w:trPr>
        <w:tc>
          <w:tcPr>
            <w:tcW w:w="1101" w:type="dxa"/>
            <w:vMerge w:val="restart"/>
            <w:textDirection w:val="btLr"/>
            <w:vAlign w:val="center"/>
          </w:tcPr>
          <w:p w:rsidR="005600FF" w:rsidRPr="00C07B2E" w:rsidRDefault="005600FF" w:rsidP="005600FF">
            <w:pPr>
              <w:ind w:firstLine="0"/>
              <w:rPr>
                <w:rFonts w:eastAsia="SimSun"/>
              </w:rPr>
            </w:pPr>
            <w:r w:rsidRPr="00C07B2E">
              <w:rPr>
                <w:rFonts w:eastAsia="SimSun"/>
              </w:rPr>
              <w:lastRenderedPageBreak/>
              <w:t>Профилактика РТПХ</w:t>
            </w:r>
          </w:p>
        </w:tc>
        <w:tc>
          <w:tcPr>
            <w:tcW w:w="1701" w:type="dxa"/>
            <w:vAlign w:val="center"/>
          </w:tcPr>
          <w:p w:rsidR="005600FF" w:rsidRPr="00C07B2E" w:rsidRDefault="005600FF" w:rsidP="005600FF">
            <w:pPr>
              <w:ind w:firstLine="0"/>
              <w:rPr>
                <w:rFonts w:eastAsia="SimSun"/>
              </w:rPr>
            </w:pPr>
            <w:r w:rsidRPr="00C07B2E">
              <w:rPr>
                <w:rFonts w:eastAsia="SimSun"/>
              </w:rPr>
              <w:t xml:space="preserve">Такролимус </w:t>
            </w:r>
          </w:p>
        </w:tc>
        <w:tc>
          <w:tcPr>
            <w:tcW w:w="1417" w:type="dxa"/>
            <w:vAlign w:val="center"/>
          </w:tcPr>
          <w:p w:rsidR="005600FF" w:rsidRPr="00C07B2E" w:rsidRDefault="005600FF" w:rsidP="005600FF">
            <w:pPr>
              <w:ind w:firstLine="0"/>
              <w:rPr>
                <w:rFonts w:eastAsia="SimSun"/>
              </w:rPr>
            </w:pPr>
            <w:r w:rsidRPr="00C07B2E">
              <w:rPr>
                <w:rFonts w:eastAsia="SimSun"/>
              </w:rPr>
              <w:t>0,03 мг/кг</w:t>
            </w:r>
          </w:p>
        </w:tc>
        <w:tc>
          <w:tcPr>
            <w:tcW w:w="1418" w:type="dxa"/>
            <w:vAlign w:val="center"/>
          </w:tcPr>
          <w:p w:rsidR="005600FF" w:rsidRPr="00C07B2E" w:rsidRDefault="005600FF" w:rsidP="005600FF">
            <w:pPr>
              <w:ind w:firstLine="0"/>
              <w:rPr>
                <w:rFonts w:eastAsia="SimSun"/>
              </w:rPr>
            </w:pPr>
            <w:r w:rsidRPr="00C07B2E">
              <w:rPr>
                <w:rFonts w:eastAsia="SimSun"/>
                <w:lang w:val="en-US"/>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длительно </w:t>
            </w:r>
          </w:p>
        </w:tc>
        <w:tc>
          <w:tcPr>
            <w:tcW w:w="2268" w:type="dxa"/>
            <w:vAlign w:val="center"/>
          </w:tcPr>
          <w:p w:rsidR="005600FF" w:rsidRPr="005659AA" w:rsidRDefault="005600FF" w:rsidP="005600FF">
            <w:pPr>
              <w:ind w:firstLine="0"/>
              <w:rPr>
                <w:rFonts w:eastAsia="SimSun"/>
              </w:rPr>
            </w:pPr>
            <w:r w:rsidRPr="006A31EC">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w:t>
            </w:r>
            <w:r>
              <w:rPr>
                <w:rFonts w:eastAsia="SimSun"/>
              </w:rPr>
              <w:t xml:space="preserve">х </w:t>
            </w:r>
            <w:r w:rsidRPr="006A31EC">
              <w:rPr>
                <w:rFonts w:eastAsia="SimSun"/>
              </w:rPr>
              <w:t>10</w:t>
            </w:r>
            <w:r w:rsidRPr="006A31EC">
              <w:rPr>
                <w:rFonts w:eastAsia="SimSun"/>
                <w:vertAlign w:val="superscript"/>
              </w:rPr>
              <w:t>9</w:t>
            </w:r>
            <w:r w:rsidRPr="006A31EC">
              <w:rPr>
                <w:rFonts w:eastAsia="SimSun"/>
              </w:rPr>
              <w:t xml:space="preserve">/л, при отсутствии тошноты, рвоты, диареи и возможности приема внутрь. </w:t>
            </w:r>
            <w:r w:rsidRPr="005659AA">
              <w:rPr>
                <w:rFonts w:eastAsia="SimSun"/>
              </w:rPr>
              <w:t xml:space="preserve">Концентрация </w:t>
            </w:r>
            <w:r w:rsidRPr="00C07B2E">
              <w:rPr>
                <w:rFonts w:eastAsia="SimSun"/>
              </w:rPr>
              <w:t>Tx</w:t>
            </w:r>
            <w:r w:rsidRPr="005659AA">
              <w:rPr>
                <w:rFonts w:eastAsia="SimSun"/>
              </w:rPr>
              <w:t xml:space="preserve"> 5-15 нг/мл.    </w:t>
            </w:r>
          </w:p>
        </w:tc>
      </w:tr>
      <w:tr w:rsidR="005600FF" w:rsidRPr="00C07B2E" w:rsidTr="005600FF">
        <w:trPr>
          <w:cantSplit/>
          <w:trHeight w:val="858"/>
        </w:trPr>
        <w:tc>
          <w:tcPr>
            <w:tcW w:w="1101" w:type="dxa"/>
            <w:vMerge/>
            <w:textDirection w:val="btLr"/>
            <w:vAlign w:val="center"/>
          </w:tcPr>
          <w:p w:rsidR="005600FF" w:rsidRPr="005659AA"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7" w:type="dxa"/>
            <w:vAlign w:val="center"/>
          </w:tcPr>
          <w:p w:rsidR="005600FF" w:rsidRPr="00C07B2E" w:rsidRDefault="005600FF" w:rsidP="005600FF">
            <w:pPr>
              <w:ind w:firstLine="0"/>
              <w:rPr>
                <w:rFonts w:eastAsia="SimSun"/>
              </w:rPr>
            </w:pPr>
            <w:r w:rsidRPr="00C07B2E">
              <w:rPr>
                <w:rFonts w:eastAsia="SimSun"/>
                <w:lang w:val="en-US"/>
              </w:rPr>
              <w:t>30</w:t>
            </w:r>
            <w:r w:rsidRPr="00C07B2E">
              <w:rPr>
                <w:rFonts w:eastAsia="SimSun"/>
              </w:rPr>
              <w:t xml:space="preserve"> мг/кг </w:t>
            </w:r>
          </w:p>
        </w:tc>
        <w:tc>
          <w:tcPr>
            <w:tcW w:w="1418"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+35 день </w:t>
            </w:r>
          </w:p>
        </w:tc>
        <w:tc>
          <w:tcPr>
            <w:tcW w:w="2268" w:type="dxa"/>
            <w:vAlign w:val="center"/>
          </w:tcPr>
          <w:p w:rsidR="005600FF" w:rsidRPr="005659AA" w:rsidRDefault="005600FF" w:rsidP="005600FF">
            <w:pPr>
              <w:ind w:firstLine="0"/>
              <w:rPr>
                <w:rFonts w:eastAsia="SimSun"/>
              </w:rPr>
            </w:pPr>
            <w:r w:rsidRPr="005659AA">
              <w:rPr>
                <w:rFonts w:eastAsia="SimSun"/>
              </w:rPr>
              <w:t>Внутрь, суммарная суточная доза разделяется на 2- 4 приема (не более 3</w:t>
            </w:r>
            <w:r>
              <w:rPr>
                <w:rFonts w:eastAsia="SimSun"/>
              </w:rPr>
              <w:t xml:space="preserve"> </w:t>
            </w:r>
            <w:r w:rsidRPr="005659AA">
              <w:rPr>
                <w:rFonts w:eastAsia="SimSun"/>
              </w:rPr>
              <w:t>г/сут).</w:t>
            </w:r>
          </w:p>
        </w:tc>
      </w:tr>
      <w:tr w:rsidR="005600FF" w:rsidRPr="00C07B2E" w:rsidTr="005600FF">
        <w:trPr>
          <w:cantSplit/>
          <w:trHeight w:val="472"/>
        </w:trPr>
        <w:tc>
          <w:tcPr>
            <w:tcW w:w="1101" w:type="dxa"/>
            <w:vMerge/>
            <w:textDirection w:val="btLr"/>
            <w:vAlign w:val="center"/>
          </w:tcPr>
          <w:p w:rsidR="005600FF" w:rsidRPr="005659AA"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 xml:space="preserve">Циклофосфамид </w:t>
            </w:r>
          </w:p>
        </w:tc>
        <w:tc>
          <w:tcPr>
            <w:tcW w:w="1417" w:type="dxa"/>
            <w:vAlign w:val="center"/>
          </w:tcPr>
          <w:p w:rsidR="005600FF" w:rsidRPr="00C07B2E" w:rsidRDefault="005600FF" w:rsidP="005600FF">
            <w:pPr>
              <w:ind w:firstLine="0"/>
              <w:rPr>
                <w:rFonts w:eastAsia="SimSun"/>
              </w:rPr>
            </w:pPr>
            <w:r w:rsidRPr="00C07B2E">
              <w:rPr>
                <w:rFonts w:eastAsia="SimSun"/>
              </w:rPr>
              <w:t xml:space="preserve">50 мг/кг </w:t>
            </w:r>
          </w:p>
        </w:tc>
        <w:tc>
          <w:tcPr>
            <w:tcW w:w="1418" w:type="dxa"/>
            <w:vAlign w:val="center"/>
          </w:tcPr>
          <w:p w:rsidR="005600FF" w:rsidRPr="00C07B2E" w:rsidRDefault="005600FF" w:rsidP="005600FF">
            <w:pPr>
              <w:ind w:firstLine="0"/>
              <w:rPr>
                <w:rFonts w:eastAsia="SimSun"/>
              </w:rPr>
            </w:pPr>
            <w:r w:rsidRPr="00C07B2E">
              <w:rPr>
                <w:rFonts w:eastAsia="SimSun"/>
              </w:rPr>
              <w:t>100 мг/кг</w:t>
            </w:r>
          </w:p>
        </w:tc>
        <w:tc>
          <w:tcPr>
            <w:tcW w:w="1701" w:type="dxa"/>
            <w:vAlign w:val="center"/>
          </w:tcPr>
          <w:p w:rsidR="005600FF" w:rsidRPr="00C07B2E" w:rsidRDefault="005600FF" w:rsidP="005600FF">
            <w:pPr>
              <w:ind w:firstLine="0"/>
              <w:rPr>
                <w:rFonts w:eastAsia="SimSun"/>
              </w:rPr>
            </w:pPr>
            <w:r w:rsidRPr="00C07B2E">
              <w:rPr>
                <w:rFonts w:eastAsia="SimSun"/>
              </w:rPr>
              <w:t>С +3 дня по +4 день</w:t>
            </w:r>
          </w:p>
        </w:tc>
        <w:tc>
          <w:tcPr>
            <w:tcW w:w="2268" w:type="dxa"/>
            <w:vAlign w:val="center"/>
          </w:tcPr>
          <w:p w:rsidR="005600FF" w:rsidRPr="00C07B2E" w:rsidRDefault="005600FF" w:rsidP="005600FF">
            <w:pPr>
              <w:ind w:firstLine="0"/>
              <w:rPr>
                <w:rFonts w:eastAsia="SimSun"/>
              </w:rPr>
            </w:pPr>
            <w:r w:rsidRPr="00C07B2E">
              <w:rPr>
                <w:rFonts w:eastAsia="SimSun"/>
              </w:rPr>
              <w:t xml:space="preserve">В/в, в течение 2 ч  </w:t>
            </w:r>
          </w:p>
        </w:tc>
      </w:tr>
    </w:tbl>
    <w:p w:rsidR="005600FF" w:rsidRPr="00C07B2E" w:rsidRDefault="005600FF" w:rsidP="005600FF">
      <w:pPr>
        <w:rPr>
          <w:rFonts w:eastAsia="SimSun"/>
        </w:rPr>
        <w:sectPr w:rsidR="005600FF" w:rsidRPr="00C07B2E" w:rsidSect="005600FF">
          <w:type w:val="continuous"/>
          <w:pgSz w:w="11907" w:h="16839" w:code="9"/>
          <w:pgMar w:top="1134" w:right="850" w:bottom="1134" w:left="1701" w:header="709" w:footer="567" w:gutter="0"/>
          <w:cols w:space="708"/>
          <w:docGrid w:linePitch="360"/>
        </w:sectPr>
      </w:pPr>
    </w:p>
    <w:p w:rsidR="005600FF" w:rsidRDefault="005600FF" w:rsidP="005600FF">
      <w:pPr>
        <w:rPr>
          <w:rFonts w:eastAsia="SimSun"/>
        </w:rPr>
      </w:pPr>
      <w:bookmarkStart w:id="161" w:name="_Toc44401156"/>
    </w:p>
    <w:bookmarkEnd w:id="161"/>
    <w:p w:rsidR="005600FF" w:rsidRPr="00C07B2E" w:rsidRDefault="005600FF" w:rsidP="005600FF">
      <w:pPr>
        <w:rPr>
          <w:rFonts w:eastAsia="SimSun"/>
        </w:rPr>
      </w:pPr>
      <w:r w:rsidRPr="00C07B2E">
        <w:rPr>
          <w:rFonts w:eastAsia="SimSun"/>
        </w:rPr>
        <w:t>Схемы и режимы применения препаратов для кондиционирования и профилактики РТПХ</w:t>
      </w:r>
      <w:r>
        <w:rPr>
          <w:rFonts w:eastAsia="SimSun"/>
        </w:rPr>
        <w:t xml:space="preserve"> при проведении </w:t>
      </w:r>
      <w:r w:rsidRPr="006A31EC">
        <w:rPr>
          <w:rFonts w:eastAsia="SimSun"/>
          <w:b/>
          <w:u w:val="single"/>
        </w:rPr>
        <w:t>аллоТГСК в режиме пониженной интенсивности</w:t>
      </w:r>
      <w:r w:rsidRPr="00C07B2E">
        <w:rPr>
          <w:rFonts w:eastAsia="SimSun"/>
        </w:rPr>
        <w:t xml:space="preserve"> указаны в Таблице </w:t>
      </w:r>
      <w:r>
        <w:rPr>
          <w:rFonts w:eastAsia="SimSun"/>
        </w:rPr>
        <w:t>5.</w:t>
      </w:r>
      <w:r w:rsidRPr="00C07B2E">
        <w:rPr>
          <w:rFonts w:eastAsia="SimSun"/>
        </w:rPr>
        <w:t>1.2</w:t>
      </w:r>
    </w:p>
    <w:p w:rsidR="005600FF" w:rsidRPr="00C07B2E" w:rsidRDefault="005600FF" w:rsidP="005600FF">
      <w:pPr>
        <w:rPr>
          <w:rFonts w:eastAsia="SimSun"/>
        </w:rPr>
        <w:sectPr w:rsidR="005600FF" w:rsidRPr="00C07B2E" w:rsidSect="005600FF">
          <w:footerReference w:type="default" r:id="rId8"/>
          <w:type w:val="continuous"/>
          <w:pgSz w:w="11907" w:h="16839" w:code="9"/>
          <w:pgMar w:top="1134" w:right="850" w:bottom="1134" w:left="1701" w:header="709" w:footer="567" w:gutter="0"/>
          <w:cols w:space="708"/>
          <w:docGrid w:linePitch="360"/>
        </w:sectPr>
      </w:pPr>
    </w:p>
    <w:p w:rsidR="005600FF" w:rsidRPr="00C07B2E" w:rsidRDefault="005600FF" w:rsidP="005600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1.2 Схемы и режимы применения препаратов для кондиционирования и профилактики РТПХ со ссылками на </w:t>
      </w:r>
      <w:r>
        <w:rPr>
          <w:rFonts w:eastAsia="SimSun"/>
        </w:rPr>
        <w:t>таблицы с описанием</w:t>
      </w:r>
    </w:p>
    <w:p w:rsidR="005600FF" w:rsidRPr="00C07B2E" w:rsidRDefault="005600FF" w:rsidP="005600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08"/>
        <w:gridCol w:w="742"/>
        <w:gridCol w:w="1136"/>
        <w:gridCol w:w="959"/>
        <w:gridCol w:w="931"/>
        <w:gridCol w:w="959"/>
        <w:gridCol w:w="839"/>
        <w:gridCol w:w="839"/>
        <w:gridCol w:w="959"/>
        <w:gridCol w:w="960"/>
        <w:gridCol w:w="1143"/>
        <w:gridCol w:w="1260"/>
        <w:gridCol w:w="960"/>
        <w:gridCol w:w="949"/>
      </w:tblGrid>
      <w:tr w:rsidR="005600FF" w:rsidRPr="006A31EC" w:rsidTr="005600FF">
        <w:trPr>
          <w:cantSplit/>
          <w:trHeight w:val="381"/>
        </w:trPr>
        <w:tc>
          <w:tcPr>
            <w:tcW w:w="1237" w:type="pct"/>
            <w:gridSpan w:val="4"/>
            <w:vMerge w:val="restart"/>
            <w:shd w:val="clear" w:color="auto" w:fill="auto"/>
            <w:vAlign w:val="center"/>
          </w:tcPr>
          <w:p w:rsidR="005600FF" w:rsidRPr="006A31EC" w:rsidRDefault="005600FF" w:rsidP="005600FF">
            <w:pPr>
              <w:ind w:firstLine="0"/>
              <w:rPr>
                <w:rFonts w:eastAsia="SimSun"/>
                <w:sz w:val="22"/>
              </w:rPr>
            </w:pPr>
            <w:r w:rsidRPr="006A31EC">
              <w:rPr>
                <w:rFonts w:eastAsia="SimSun"/>
                <w:sz w:val="22"/>
              </w:rPr>
              <w:t>Профилактика РТПХ</w:t>
            </w:r>
          </w:p>
        </w:tc>
        <w:tc>
          <w:tcPr>
            <w:tcW w:w="3763" w:type="pct"/>
            <w:gridSpan w:val="11"/>
          </w:tcPr>
          <w:p w:rsidR="005600FF" w:rsidRPr="006A31EC" w:rsidRDefault="005600FF" w:rsidP="005600FF">
            <w:pPr>
              <w:ind w:firstLine="0"/>
              <w:rPr>
                <w:rFonts w:eastAsia="SimSun"/>
                <w:sz w:val="22"/>
              </w:rPr>
            </w:pPr>
            <w:r w:rsidRPr="006A31EC">
              <w:rPr>
                <w:rFonts w:eastAsia="SimSun"/>
                <w:sz w:val="22"/>
              </w:rPr>
              <w:t>Режим кондиционирования</w:t>
            </w:r>
          </w:p>
        </w:tc>
      </w:tr>
      <w:tr w:rsidR="005600FF" w:rsidRPr="006A31EC" w:rsidTr="005600FF">
        <w:trPr>
          <w:cantSplit/>
          <w:trHeight w:val="400"/>
        </w:trPr>
        <w:tc>
          <w:tcPr>
            <w:tcW w:w="1237" w:type="pct"/>
            <w:gridSpan w:val="4"/>
            <w:vMerge/>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D9D9D9"/>
            <w:vAlign w:val="center"/>
          </w:tcPr>
          <w:p w:rsidR="005600FF" w:rsidRPr="006A31EC" w:rsidRDefault="005600FF" w:rsidP="005600FF">
            <w:pPr>
              <w:ind w:firstLine="0"/>
              <w:rPr>
                <w:rFonts w:eastAsia="SimSun"/>
                <w:sz w:val="22"/>
              </w:rPr>
            </w:pPr>
            <w:r w:rsidRPr="006A31EC">
              <w:rPr>
                <w:rFonts w:eastAsia="SimSun"/>
                <w:sz w:val="22"/>
                <w:lang w:val="en-US"/>
              </w:rPr>
              <w:t>Flu</w:t>
            </w:r>
            <w:r w:rsidRPr="006A31EC">
              <w:rPr>
                <w:rFonts w:eastAsia="SimSun"/>
                <w:sz w:val="22"/>
              </w:rPr>
              <w:t>90</w:t>
            </w:r>
          </w:p>
        </w:tc>
        <w:tc>
          <w:tcPr>
            <w:tcW w:w="312"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Flu10</w:t>
            </w:r>
            <w:r w:rsidRPr="006A31EC">
              <w:rPr>
                <w:rFonts w:eastAsia="SimSun"/>
                <w:sz w:val="22"/>
              </w:rPr>
              <w:t>0</w:t>
            </w:r>
          </w:p>
        </w:tc>
        <w:tc>
          <w:tcPr>
            <w:tcW w:w="337" w:type="pct"/>
            <w:shd w:val="clear" w:color="auto" w:fill="D9D9D9"/>
            <w:vAlign w:val="center"/>
          </w:tcPr>
          <w:p w:rsidR="005600FF" w:rsidRPr="006A31EC" w:rsidRDefault="005600FF" w:rsidP="005600FF">
            <w:pPr>
              <w:ind w:firstLine="0"/>
              <w:rPr>
                <w:rFonts w:eastAsia="SimSun"/>
                <w:sz w:val="22"/>
              </w:rPr>
            </w:pPr>
            <w:r w:rsidRPr="006A31EC">
              <w:rPr>
                <w:rFonts w:eastAsia="SimSun"/>
                <w:sz w:val="22"/>
                <w:lang w:val="en-US"/>
              </w:rPr>
              <w:t>Flu1</w:t>
            </w:r>
            <w:r w:rsidRPr="006A31EC">
              <w:rPr>
                <w:rFonts w:eastAsia="SimSun"/>
                <w:sz w:val="22"/>
              </w:rPr>
              <w:t>20</w:t>
            </w:r>
          </w:p>
        </w:tc>
        <w:tc>
          <w:tcPr>
            <w:tcW w:w="1264" w:type="pct"/>
            <w:gridSpan w:val="4"/>
            <w:shd w:val="clear" w:color="auto" w:fill="D9D9D9"/>
            <w:vAlign w:val="center"/>
          </w:tcPr>
          <w:p w:rsidR="005600FF" w:rsidRPr="006A31EC" w:rsidRDefault="005600FF" w:rsidP="005600FF">
            <w:pPr>
              <w:ind w:firstLine="0"/>
              <w:rPr>
                <w:rFonts w:eastAsia="SimSun"/>
                <w:sz w:val="22"/>
              </w:rPr>
            </w:pPr>
            <w:r w:rsidRPr="006A31EC">
              <w:rPr>
                <w:rFonts w:eastAsia="SimSun"/>
                <w:sz w:val="22"/>
                <w:lang w:val="en-US"/>
              </w:rPr>
              <w:t>Flu150</w:t>
            </w:r>
          </w:p>
        </w:tc>
        <w:tc>
          <w:tcPr>
            <w:tcW w:w="1515" w:type="pct"/>
            <w:gridSpan w:val="4"/>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Flu180</w:t>
            </w:r>
          </w:p>
        </w:tc>
      </w:tr>
      <w:tr w:rsidR="005600FF" w:rsidRPr="006A31EC" w:rsidTr="005600FF">
        <w:trPr>
          <w:cantSplit/>
          <w:trHeight w:val="351"/>
        </w:trPr>
        <w:tc>
          <w:tcPr>
            <w:tcW w:w="1237" w:type="pct"/>
            <w:gridSpan w:val="4"/>
            <w:vMerge/>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Benda</w:t>
            </w:r>
          </w:p>
        </w:tc>
        <w:tc>
          <w:tcPr>
            <w:tcW w:w="312"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Cy100</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Cy2000</w:t>
            </w:r>
          </w:p>
        </w:tc>
        <w:tc>
          <w:tcPr>
            <w:tcW w:w="590" w:type="pct"/>
            <w:gridSpan w:val="2"/>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Bu8</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40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Bu8</w:t>
            </w:r>
          </w:p>
        </w:tc>
        <w:tc>
          <w:tcPr>
            <w:tcW w:w="442"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Bu10</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Cy</w:t>
            </w:r>
            <w:r w:rsidRPr="006A31EC">
              <w:rPr>
                <w:rFonts w:eastAsia="SimSun"/>
                <w:sz w:val="22"/>
              </w:rPr>
              <w:t>12</w:t>
            </w:r>
            <w:r w:rsidRPr="006A31EC">
              <w:rPr>
                <w:rFonts w:eastAsia="SimSun"/>
                <w:sz w:val="22"/>
                <w:lang w:val="en-US"/>
              </w:rPr>
              <w:t>00</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Mel100</w:t>
            </w:r>
          </w:p>
        </w:tc>
      </w:tr>
      <w:tr w:rsidR="005600FF" w:rsidRPr="006A31EC" w:rsidTr="005600FF">
        <w:trPr>
          <w:cantSplit/>
          <w:trHeight w:val="354"/>
        </w:trPr>
        <w:tc>
          <w:tcPr>
            <w:tcW w:w="1237" w:type="pct"/>
            <w:gridSpan w:val="4"/>
            <w:vMerge/>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12" w:type="pct"/>
            <w:shd w:val="clear" w:color="auto" w:fill="D9D9D9"/>
          </w:tcPr>
          <w:p w:rsidR="005600FF" w:rsidRPr="006A31EC" w:rsidRDefault="005600FF" w:rsidP="005600FF">
            <w:pPr>
              <w:ind w:firstLine="0"/>
              <w:rPr>
                <w:rFonts w:eastAsia="SimSun"/>
                <w:sz w:val="22"/>
                <w:lang w:val="en-US"/>
              </w:rPr>
            </w:pP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Mel 140</w:t>
            </w:r>
          </w:p>
        </w:tc>
        <w:tc>
          <w:tcPr>
            <w:tcW w:w="295" w:type="pct"/>
            <w:shd w:val="clear" w:color="auto" w:fill="D9D9D9"/>
          </w:tcPr>
          <w:p w:rsidR="005600FF" w:rsidRPr="006A31EC" w:rsidRDefault="005600FF" w:rsidP="005600FF">
            <w:pPr>
              <w:ind w:firstLine="0"/>
              <w:rPr>
                <w:rFonts w:eastAsia="SimSun"/>
                <w:sz w:val="22"/>
                <w:lang w:val="en-US"/>
              </w:rPr>
            </w:pPr>
            <w:r w:rsidRPr="006A31EC">
              <w:rPr>
                <w:rFonts w:eastAsia="SimSun"/>
                <w:sz w:val="22"/>
                <w:lang w:val="en-US"/>
              </w:rPr>
              <w:t>-</w:t>
            </w:r>
          </w:p>
        </w:tc>
        <w:tc>
          <w:tcPr>
            <w:tcW w:w="295"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Thio</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Treo36</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Thio</w:t>
            </w:r>
          </w:p>
        </w:tc>
        <w:tc>
          <w:tcPr>
            <w:tcW w:w="40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442"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37" w:type="pct"/>
            <w:shd w:val="clear" w:color="auto" w:fill="D9D9D9"/>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val="restar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hATG</w:t>
            </w:r>
          </w:p>
        </w:tc>
        <w:tc>
          <w:tcPr>
            <w:tcW w:w="284" w:type="pct"/>
            <w:vMerge w:val="restar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CSA</w:t>
            </w:r>
          </w:p>
        </w:tc>
        <w:tc>
          <w:tcPr>
            <w:tcW w:w="261" w:type="pct"/>
            <w:vMerge w:val="restar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rFonts w:eastAsia="SimSun"/>
                <w:sz w:val="22"/>
                <w:lang w:val="en-US"/>
              </w:rPr>
            </w:pPr>
          </w:p>
        </w:tc>
        <w:tc>
          <w:tcPr>
            <w:tcW w:w="312" w:type="pct"/>
            <w:vAlign w:val="center"/>
          </w:tcPr>
          <w:p w:rsidR="005600FF" w:rsidRPr="006A31EC" w:rsidRDefault="005600FF" w:rsidP="005600FF">
            <w:pPr>
              <w:ind w:firstLine="0"/>
              <w:rPr>
                <w:rFonts w:eastAsia="SimSun"/>
                <w:sz w:val="22"/>
              </w:rPr>
            </w:pPr>
            <w:r w:rsidRPr="006A31EC">
              <w:rPr>
                <w:rFonts w:eastAsia="SimSun"/>
                <w:sz w:val="22"/>
                <w:lang w:val="en-US"/>
              </w:rPr>
              <w:t>5.1.2.</w:t>
            </w:r>
            <w:r w:rsidRPr="006A31EC">
              <w:rPr>
                <w:rFonts w:eastAsia="SimSun"/>
                <w:sz w:val="22"/>
              </w:rPr>
              <w:t>18</w:t>
            </w:r>
          </w:p>
        </w:tc>
        <w:tc>
          <w:tcPr>
            <w:tcW w:w="337" w:type="pct"/>
            <w:shd w:val="clear" w:color="auto" w:fill="auto"/>
            <w:vAlign w:val="center"/>
          </w:tcPr>
          <w:p w:rsidR="005600FF" w:rsidRPr="006A31EC" w:rsidRDefault="005600FF" w:rsidP="005600FF">
            <w:pPr>
              <w:ind w:firstLine="0"/>
              <w:rPr>
                <w:rFonts w:eastAsia="SimSun"/>
                <w:sz w:val="22"/>
                <w:lang w:val="en-US"/>
              </w:rPr>
            </w:pPr>
          </w:p>
        </w:tc>
        <w:tc>
          <w:tcPr>
            <w:tcW w:w="295" w:type="pct"/>
            <w:shd w:val="clear" w:color="auto" w:fill="auto"/>
            <w:vAlign w:val="center"/>
          </w:tcPr>
          <w:p w:rsidR="005600FF" w:rsidRPr="006A31EC" w:rsidRDefault="005600FF" w:rsidP="005600FF">
            <w:pPr>
              <w:ind w:firstLine="0"/>
              <w:rPr>
                <w:rFonts w:eastAsia="SimSun"/>
                <w:sz w:val="22"/>
                <w:lang w:val="en-US"/>
              </w:rPr>
            </w:pPr>
          </w:p>
        </w:tc>
        <w:tc>
          <w:tcPr>
            <w:tcW w:w="295" w:type="pct"/>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p>
        </w:tc>
        <w:tc>
          <w:tcPr>
            <w:tcW w:w="401" w:type="pct"/>
            <w:shd w:val="clear" w:color="auto" w:fill="auto"/>
            <w:vAlign w:val="center"/>
          </w:tcPr>
          <w:p w:rsidR="005600FF" w:rsidRPr="006A31EC" w:rsidRDefault="005600FF" w:rsidP="005600FF">
            <w:pPr>
              <w:ind w:firstLine="0"/>
              <w:rPr>
                <w:sz w:val="22"/>
              </w:rPr>
            </w:pPr>
          </w:p>
        </w:tc>
        <w:tc>
          <w:tcPr>
            <w:tcW w:w="442" w:type="pct"/>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rFonts w:eastAsia="SimSun"/>
                <w:sz w:val="22"/>
                <w:lang w:val="en-US"/>
              </w:rPr>
            </w:pP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vMerge/>
            <w:shd w:val="clear" w:color="auto" w:fill="D9D9D9"/>
            <w:vAlign w:val="center"/>
          </w:tcPr>
          <w:p w:rsidR="005600FF" w:rsidRPr="006A31EC" w:rsidRDefault="005600FF" w:rsidP="005600FF">
            <w:pPr>
              <w:ind w:firstLine="0"/>
              <w:rPr>
                <w:rFonts w:eastAsia="SimSun"/>
                <w:sz w:val="22"/>
                <w:lang w:val="en-US"/>
              </w:rPr>
            </w:pPr>
          </w:p>
        </w:tc>
        <w:tc>
          <w:tcPr>
            <w:tcW w:w="261" w:type="pct"/>
            <w:vMerge/>
            <w:shd w:val="clear" w:color="auto" w:fill="D9D9D9"/>
            <w:vAlign w:val="center"/>
          </w:tcPr>
          <w:p w:rsidR="005600FF" w:rsidRPr="006A31EC" w:rsidRDefault="005600FF" w:rsidP="005600FF">
            <w:pPr>
              <w:ind w:firstLine="0"/>
              <w:rPr>
                <w:rFonts w:eastAsia="SimSun"/>
                <w:sz w:val="22"/>
                <w:lang w:val="en-US"/>
              </w:rPr>
            </w:pP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p>
        </w:tc>
        <w:tc>
          <w:tcPr>
            <w:tcW w:w="401" w:type="pct"/>
            <w:shd w:val="clear" w:color="auto" w:fill="auto"/>
            <w:vAlign w:val="center"/>
          </w:tcPr>
          <w:p w:rsidR="005600FF" w:rsidRPr="006A31EC" w:rsidRDefault="005600FF" w:rsidP="005600FF">
            <w:pPr>
              <w:ind w:firstLine="0"/>
              <w:rPr>
                <w:sz w:val="22"/>
              </w:rPr>
            </w:pPr>
            <w:r w:rsidRPr="006A31EC">
              <w:rPr>
                <w:sz w:val="22"/>
              </w:rPr>
              <w:t>5.1.2.5</w:t>
            </w:r>
          </w:p>
        </w:tc>
        <w:tc>
          <w:tcPr>
            <w:tcW w:w="442"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sz w:val="22"/>
              </w:rPr>
              <w:t>5.1.2.21</w:t>
            </w:r>
          </w:p>
        </w:tc>
        <w:tc>
          <w:tcPr>
            <w:tcW w:w="401"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42"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rFonts w:eastAsia="SimSun"/>
                <w:sz w:val="22"/>
              </w:rPr>
            </w:pPr>
            <w:r w:rsidRPr="006A31EC">
              <w:rPr>
                <w:rFonts w:eastAsia="SimSun"/>
                <w:sz w:val="22"/>
                <w:lang w:val="en-US"/>
              </w:rPr>
              <w:t>5.1.2.2</w:t>
            </w:r>
            <w:r w:rsidRPr="006A31EC">
              <w:rPr>
                <w:rFonts w:eastAsia="SimSun"/>
                <w:sz w:val="22"/>
              </w:rPr>
              <w:t>2</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val="restar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rATG</w:t>
            </w: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CSA</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5.1.2.2</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rFonts w:eastAsia="SimSun"/>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5.1.2.6</w:t>
            </w:r>
          </w:p>
        </w:tc>
        <w:tc>
          <w:tcPr>
            <w:tcW w:w="442"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42"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rFonts w:eastAsia="SimSun"/>
                <w:sz w:val="22"/>
              </w:rPr>
            </w:pPr>
            <w:r w:rsidRPr="006A31EC">
              <w:rPr>
                <w:rFonts w:eastAsia="SimSun"/>
                <w:sz w:val="22"/>
                <w:lang w:val="en-US"/>
              </w:rPr>
              <w:t>5.1.2.2</w:t>
            </w:r>
            <w:r w:rsidRPr="006A31EC">
              <w:rPr>
                <w:rFonts w:eastAsia="SimSun"/>
                <w:sz w:val="22"/>
              </w:rPr>
              <w:t>3</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val="restar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PT-Cy</w:t>
            </w:r>
          </w:p>
          <w:p w:rsidR="005600FF" w:rsidRPr="006A31EC" w:rsidRDefault="005600FF" w:rsidP="005600FF">
            <w:pPr>
              <w:ind w:firstLine="0"/>
              <w:rPr>
                <w:rFonts w:eastAsia="SimSun"/>
                <w:sz w:val="22"/>
                <w:lang w:val="en-US"/>
              </w:rPr>
            </w:pP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5.1.2.17</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5.1.2.8</w:t>
            </w:r>
          </w:p>
        </w:tc>
        <w:tc>
          <w:tcPr>
            <w:tcW w:w="442"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5.1.2.13</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vMerge w:val="restart"/>
            <w:shd w:val="clear" w:color="auto" w:fill="D9D9D9"/>
            <w:vAlign w:val="center"/>
          </w:tcPr>
          <w:p w:rsidR="005600FF" w:rsidRPr="006A31EC" w:rsidRDefault="005600FF" w:rsidP="005600FF">
            <w:pPr>
              <w:ind w:firstLine="0"/>
              <w:rPr>
                <w:rFonts w:eastAsia="SimSun"/>
                <w:sz w:val="22"/>
              </w:rPr>
            </w:pPr>
            <w:r w:rsidRPr="006A31EC">
              <w:rPr>
                <w:rFonts w:eastAsia="SimSun"/>
                <w:sz w:val="22"/>
                <w:lang w:val="en-US"/>
              </w:rPr>
              <w:t>CSA</w:t>
            </w:r>
          </w:p>
          <w:p w:rsidR="005600FF" w:rsidRPr="006A31EC" w:rsidRDefault="005600FF" w:rsidP="005600FF">
            <w:pPr>
              <w:ind w:firstLine="0"/>
              <w:rPr>
                <w:rFonts w:eastAsia="SimSun"/>
                <w:sz w:val="22"/>
              </w:rPr>
            </w:pP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5.1.2.4</w:t>
            </w:r>
          </w:p>
        </w:tc>
        <w:tc>
          <w:tcPr>
            <w:tcW w:w="337" w:type="pct"/>
            <w:shd w:val="clear" w:color="auto" w:fill="auto"/>
            <w:vAlign w:val="center"/>
          </w:tcPr>
          <w:p w:rsidR="005600FF" w:rsidRPr="006A31EC" w:rsidRDefault="005600FF" w:rsidP="005600FF">
            <w:pPr>
              <w:ind w:firstLine="0"/>
              <w:rPr>
                <w:sz w:val="22"/>
              </w:rPr>
            </w:pPr>
            <w:r w:rsidRPr="006A31EC">
              <w:rPr>
                <w:sz w:val="22"/>
              </w:rPr>
              <w:t>5.1.2.20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5.1.2.7/11</w:t>
            </w:r>
          </w:p>
        </w:tc>
        <w:tc>
          <w:tcPr>
            <w:tcW w:w="442"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vMerge/>
            <w:shd w:val="clear" w:color="auto" w:fill="D9D9D9"/>
            <w:vAlign w:val="center"/>
          </w:tcPr>
          <w:p w:rsidR="005600FF" w:rsidRPr="006A31EC" w:rsidRDefault="005600FF" w:rsidP="005600FF">
            <w:pPr>
              <w:ind w:firstLine="0"/>
              <w:rPr>
                <w:rFonts w:eastAsia="SimSun"/>
                <w:sz w:val="22"/>
                <w:lang w:val="en-US"/>
              </w:rPr>
            </w:pP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MMF45</w:t>
            </w:r>
          </w:p>
        </w:tc>
        <w:tc>
          <w:tcPr>
            <w:tcW w:w="337" w:type="pct"/>
            <w:shd w:val="clear" w:color="auto" w:fill="auto"/>
            <w:vAlign w:val="center"/>
          </w:tcPr>
          <w:p w:rsidR="005600FF" w:rsidRPr="006A31EC" w:rsidRDefault="005600FF" w:rsidP="005600FF">
            <w:pPr>
              <w:ind w:firstLine="0"/>
              <w:rPr>
                <w:rFonts w:eastAsia="SimSun"/>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rFonts w:eastAsia="SimSun"/>
                <w:sz w:val="22"/>
              </w:rPr>
            </w:pPr>
            <w:r w:rsidRPr="006A31EC">
              <w:rPr>
                <w:rFonts w:eastAsia="SimSun"/>
                <w:sz w:val="22"/>
                <w:lang w:val="en-US"/>
              </w:rPr>
              <w:t>5.1.2.1</w:t>
            </w:r>
            <w:r w:rsidRPr="006A31EC">
              <w:rPr>
                <w:rFonts w:eastAsia="SimSun"/>
                <w:sz w:val="22"/>
              </w:rPr>
              <w:t>9</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5.1.2.3</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42"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5.1.2.16</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5.1.2.9</w:t>
            </w:r>
          </w:p>
        </w:tc>
        <w:tc>
          <w:tcPr>
            <w:tcW w:w="442"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5.1.2.14</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rPr>
              <w:t xml:space="preserve">      </w:t>
            </w:r>
            <w:r w:rsidRPr="006A31EC">
              <w:rPr>
                <w:rFonts w:eastAsia="SimSun"/>
                <w:sz w:val="22"/>
                <w:lang w:val="en-US"/>
              </w:rPr>
              <w:t>-</w:t>
            </w:r>
          </w:p>
        </w:tc>
        <w:tc>
          <w:tcPr>
            <w:tcW w:w="337" w:type="pct"/>
          </w:tcPr>
          <w:p w:rsidR="005600FF" w:rsidRPr="006A31EC" w:rsidRDefault="005600FF" w:rsidP="005600FF">
            <w:pPr>
              <w:ind w:firstLine="0"/>
              <w:rPr>
                <w:rFonts w:eastAsia="SimSun"/>
                <w:sz w:val="22"/>
              </w:rPr>
            </w:pPr>
            <w:r w:rsidRPr="006A31EC">
              <w:rPr>
                <w:rFonts w:eastAsia="SimSun"/>
                <w:sz w:val="22"/>
                <w:lang w:val="en-US"/>
              </w:rPr>
              <w:t>5.1.2.2</w:t>
            </w:r>
            <w:r w:rsidRPr="006A31EC">
              <w:rPr>
                <w:rFonts w:eastAsia="SimSun"/>
                <w:sz w:val="22"/>
              </w:rPr>
              <w:t>4</w:t>
            </w:r>
          </w:p>
        </w:tc>
      </w:tr>
      <w:tr w:rsidR="005600FF" w:rsidRPr="006A31EC" w:rsidTr="005600FF">
        <w:trPr>
          <w:cantSplit/>
          <w:trHeight w:val="624"/>
        </w:trPr>
        <w:tc>
          <w:tcPr>
            <w:tcW w:w="293" w:type="pct"/>
            <w:vMerge/>
            <w:shd w:val="clear" w:color="auto" w:fill="D9D9D9"/>
            <w:vAlign w:val="center"/>
          </w:tcPr>
          <w:p w:rsidR="005600FF" w:rsidRPr="006A31EC" w:rsidRDefault="005600FF" w:rsidP="005600FF">
            <w:pPr>
              <w:ind w:firstLine="0"/>
              <w:rPr>
                <w:rFonts w:eastAsia="SimSun"/>
                <w:sz w:val="22"/>
                <w:lang w:val="en-US"/>
              </w:rPr>
            </w:pP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Ruxo</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rFonts w:eastAsia="SimSun"/>
                <w:sz w:val="22"/>
              </w:rPr>
            </w:pPr>
          </w:p>
        </w:tc>
        <w:tc>
          <w:tcPr>
            <w:tcW w:w="442"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5.1.2.12/15</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r w:rsidR="005600FF" w:rsidRPr="006A31EC" w:rsidTr="005600FF">
        <w:trPr>
          <w:cantSplit/>
          <w:trHeight w:val="624"/>
        </w:trPr>
        <w:tc>
          <w:tcPr>
            <w:tcW w:w="293"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lastRenderedPageBreak/>
              <w:t>-</w:t>
            </w:r>
          </w:p>
        </w:tc>
        <w:tc>
          <w:tcPr>
            <w:tcW w:w="284"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rsidR="005600FF" w:rsidRPr="006A31EC" w:rsidRDefault="005600FF" w:rsidP="005600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12" w:type="pct"/>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295"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401" w:type="pct"/>
            <w:shd w:val="clear" w:color="auto" w:fill="auto"/>
            <w:vAlign w:val="center"/>
          </w:tcPr>
          <w:p w:rsidR="005600FF" w:rsidRPr="006A31EC" w:rsidRDefault="005600FF" w:rsidP="005600FF">
            <w:pPr>
              <w:ind w:firstLine="0"/>
              <w:rPr>
                <w:rFonts w:eastAsia="SimSun"/>
                <w:sz w:val="22"/>
                <w:lang w:val="en-US"/>
              </w:rPr>
            </w:pPr>
            <w:r w:rsidRPr="006A31EC">
              <w:rPr>
                <w:rFonts w:eastAsia="SimSun"/>
                <w:sz w:val="22"/>
                <w:lang w:val="en-US"/>
              </w:rPr>
              <w:t>5.1.2.10</w:t>
            </w:r>
          </w:p>
        </w:tc>
        <w:tc>
          <w:tcPr>
            <w:tcW w:w="442" w:type="pct"/>
            <w:shd w:val="clear" w:color="auto" w:fill="auto"/>
            <w:vAlign w:val="center"/>
          </w:tcPr>
          <w:p w:rsidR="005600FF" w:rsidRPr="006A31EC" w:rsidRDefault="005600FF" w:rsidP="005600FF">
            <w:pPr>
              <w:ind w:firstLine="0"/>
              <w:rPr>
                <w:rFonts w:eastAsia="SimSun"/>
                <w:sz w:val="22"/>
                <w:lang w:val="en-US"/>
              </w:rPr>
            </w:pPr>
          </w:p>
        </w:tc>
        <w:tc>
          <w:tcPr>
            <w:tcW w:w="337" w:type="pct"/>
            <w:shd w:val="clear" w:color="auto" w:fill="auto"/>
            <w:vAlign w:val="center"/>
          </w:tcPr>
          <w:p w:rsidR="005600FF" w:rsidRPr="006A31EC" w:rsidRDefault="005600FF" w:rsidP="005600FF">
            <w:pPr>
              <w:ind w:firstLine="0"/>
              <w:rPr>
                <w:sz w:val="22"/>
              </w:rPr>
            </w:pPr>
            <w:r w:rsidRPr="006A31EC">
              <w:rPr>
                <w:rFonts w:eastAsia="SimSun"/>
                <w:sz w:val="22"/>
                <w:lang w:val="en-US"/>
              </w:rPr>
              <w:t>-</w:t>
            </w:r>
          </w:p>
        </w:tc>
        <w:tc>
          <w:tcPr>
            <w:tcW w:w="337" w:type="pct"/>
          </w:tcPr>
          <w:p w:rsidR="005600FF" w:rsidRPr="006A31EC" w:rsidRDefault="005600FF" w:rsidP="005600FF">
            <w:pPr>
              <w:ind w:firstLine="0"/>
              <w:rPr>
                <w:rFonts w:eastAsia="SimSun"/>
                <w:sz w:val="22"/>
                <w:lang w:val="en-US"/>
              </w:rPr>
            </w:pPr>
          </w:p>
        </w:tc>
      </w:tr>
    </w:tbl>
    <w:p w:rsidR="005600FF" w:rsidRPr="00C07B2E" w:rsidRDefault="005600FF" w:rsidP="005600FF">
      <w:pPr>
        <w:rPr>
          <w:rFonts w:eastAsia="SimSun"/>
        </w:rPr>
        <w:sectPr w:rsidR="005600FF" w:rsidRPr="00C07B2E" w:rsidSect="005600FF">
          <w:type w:val="continuous"/>
          <w:pgSz w:w="16839" w:h="11907" w:orient="landscape" w:code="9"/>
          <w:pgMar w:top="1134" w:right="850" w:bottom="1134" w:left="1701" w:header="709" w:footer="567" w:gutter="0"/>
          <w:cols w:space="708"/>
          <w:docGrid w:linePitch="360"/>
        </w:sectPr>
      </w:pPr>
    </w:p>
    <w:p w:rsidR="005600FF" w:rsidRPr="00C07B2E" w:rsidRDefault="005600FF" w:rsidP="005600FF">
      <w:pPr>
        <w:rPr>
          <w:rFonts w:eastAsia="SimSun"/>
        </w:rPr>
      </w:pPr>
    </w:p>
    <w:p w:rsidR="005600FF" w:rsidRPr="00C07B2E" w:rsidRDefault="005600FF" w:rsidP="005600FF">
      <w:pPr>
        <w:rPr>
          <w:rFonts w:eastAsia="SimSun"/>
        </w:rPr>
      </w:pPr>
      <w:bookmarkStart w:id="162" w:name="_Toc44401159"/>
      <w:r w:rsidRPr="00042499">
        <w:rPr>
          <w:rFonts w:eastAsia="SimSun"/>
        </w:rPr>
        <w:t>Таблица</w:t>
      </w:r>
      <w:r w:rsidRPr="00C07B2E">
        <w:rPr>
          <w:rFonts w:eastAsia="SimSun"/>
        </w:rPr>
        <w:t xml:space="preserve"> </w:t>
      </w:r>
      <w:r>
        <w:rPr>
          <w:rFonts w:eastAsia="SimSun"/>
        </w:rPr>
        <w:t>5.</w:t>
      </w:r>
      <w:r w:rsidRPr="00C07B2E">
        <w:rPr>
          <w:rFonts w:eastAsia="SimSun"/>
        </w:rPr>
        <w:t>1.2.1  – Flu150+Bu8+Thio / hATG+CSA+MTX+MMF30</w:t>
      </w:r>
      <w:bookmarkEnd w:id="16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50 мг/м</w:t>
            </w:r>
            <w:r w:rsidRPr="005659AA">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5659AA">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31"/>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700"/>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Тиотепа</w:t>
            </w:r>
          </w:p>
        </w:tc>
        <w:tc>
          <w:tcPr>
            <w:tcW w:w="1417"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20"/>
        </w:trPr>
        <w:tc>
          <w:tcPr>
            <w:tcW w:w="993" w:type="dxa"/>
            <w:vMerge w:val="restart"/>
            <w:textDirection w:val="btL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417" w:type="dxa"/>
            <w:vAlign w:val="center"/>
          </w:tcPr>
          <w:p w:rsidR="005600FF" w:rsidRPr="00AC3044" w:rsidRDefault="005600FF" w:rsidP="005600FF">
            <w:pPr>
              <w:ind w:firstLine="0"/>
              <w:rPr>
                <w:rFonts w:eastAsia="SimSun"/>
              </w:rPr>
            </w:pPr>
            <w:r w:rsidRPr="00AC3044">
              <w:rPr>
                <w:rFonts w:eastAsia="SimSun"/>
              </w:rPr>
              <w:t>10-15 мг/кг</w:t>
            </w:r>
          </w:p>
        </w:tc>
        <w:tc>
          <w:tcPr>
            <w:tcW w:w="1418" w:type="dxa"/>
            <w:vAlign w:val="center"/>
          </w:tcPr>
          <w:p w:rsidR="005600FF" w:rsidRPr="00AC3044" w:rsidRDefault="005600FF" w:rsidP="005600FF">
            <w:pPr>
              <w:ind w:firstLine="0"/>
              <w:rPr>
                <w:rFonts w:eastAsia="SimSun"/>
              </w:rPr>
            </w:pPr>
            <w:r w:rsidRPr="00AC3044">
              <w:rPr>
                <w:rFonts w:eastAsia="SimSun"/>
              </w:rPr>
              <w:t>40-60 мг/кг</w:t>
            </w:r>
          </w:p>
        </w:tc>
        <w:tc>
          <w:tcPr>
            <w:tcW w:w="1701" w:type="dxa"/>
            <w:vAlign w:val="center"/>
          </w:tcPr>
          <w:p w:rsidR="005600FF" w:rsidRPr="00AC3044" w:rsidRDefault="005600FF" w:rsidP="005600FF">
            <w:pPr>
              <w:ind w:firstLine="0"/>
              <w:rPr>
                <w:rFonts w:eastAsia="SimSun"/>
              </w:rPr>
            </w:pPr>
            <w:r w:rsidRPr="00AC3044">
              <w:rPr>
                <w:rFonts w:eastAsia="SimSun"/>
              </w:rPr>
              <w:t>С –4 по –1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 «Инфузия АТГ») </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5600FF" w:rsidRPr="00AC3044" w:rsidTr="005600FF">
        <w:trPr>
          <w:cantSplit/>
          <w:trHeight w:val="20"/>
        </w:trPr>
        <w:tc>
          <w:tcPr>
            <w:tcW w:w="993" w:type="dxa"/>
            <w:vMerge/>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417" w:type="dxa"/>
            <w:vAlign w:val="center"/>
          </w:tcPr>
          <w:p w:rsidR="005600FF" w:rsidRPr="00AC3044" w:rsidRDefault="005600FF" w:rsidP="005600F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день</w:t>
            </w:r>
          </w:p>
        </w:tc>
        <w:tc>
          <w:tcPr>
            <w:tcW w:w="2268" w:type="dxa"/>
            <w:vAlign w:val="center"/>
          </w:tcPr>
          <w:p w:rsidR="005600FF" w:rsidRPr="00AC3044" w:rsidRDefault="005600FF" w:rsidP="005600FF">
            <w:pPr>
              <w:ind w:firstLine="0"/>
              <w:rPr>
                <w:rFonts w:eastAsia="SimSun"/>
              </w:rPr>
            </w:pPr>
            <w:r w:rsidRPr="00AC3044">
              <w:rPr>
                <w:rFonts w:eastAsia="SimSun"/>
              </w:rPr>
              <w:t>В/в, в 20 мл физ. р-ра</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rsidR="005600FF" w:rsidRPr="00AC3044" w:rsidRDefault="005600FF" w:rsidP="005600FF">
            <w:pPr>
              <w:ind w:firstLine="0"/>
              <w:rPr>
                <w:rFonts w:eastAsia="SimSun"/>
              </w:rPr>
            </w:pPr>
            <w:r w:rsidRPr="00AC3044">
              <w:rPr>
                <w:rFonts w:eastAsia="SimSun"/>
              </w:rPr>
              <w:t>2000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+14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3г/сут).</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1000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rsidR="005600FF" w:rsidRDefault="005600FF" w:rsidP="005600FF">
      <w:pPr>
        <w:rPr>
          <w:rFonts w:eastAsia="SimSun"/>
        </w:rPr>
      </w:pPr>
      <w:bookmarkStart w:id="163" w:name="_Toc44401160"/>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  – Flu150+Bu8+Thio / rATG+CSA+MTX+MMF30</w:t>
      </w:r>
      <w:bookmarkEnd w:id="16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687"/>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w:t>
            </w:r>
          </w:p>
        </w:tc>
      </w:tr>
      <w:tr w:rsidR="005600FF" w:rsidRPr="00AC3044" w:rsidTr="005600FF">
        <w:trPr>
          <w:cantSplit/>
          <w:trHeight w:val="697"/>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Тиотепа</w:t>
            </w:r>
          </w:p>
        </w:tc>
        <w:tc>
          <w:tcPr>
            <w:tcW w:w="1417"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АТГ (кроличий)</w:t>
            </w:r>
          </w:p>
        </w:tc>
        <w:tc>
          <w:tcPr>
            <w:tcW w:w="1417" w:type="dxa"/>
            <w:vAlign w:val="center"/>
          </w:tcPr>
          <w:p w:rsidR="005600FF" w:rsidRPr="00AC3044" w:rsidRDefault="005600FF" w:rsidP="005600FF">
            <w:pPr>
              <w:ind w:firstLine="0"/>
              <w:rPr>
                <w:rFonts w:eastAsia="SimSun"/>
              </w:rPr>
            </w:pPr>
            <w:r w:rsidRPr="00AC3044">
              <w:rPr>
                <w:rFonts w:eastAsia="SimSun"/>
              </w:rPr>
              <w:t>2,5 мг/кг</w:t>
            </w:r>
          </w:p>
        </w:tc>
        <w:tc>
          <w:tcPr>
            <w:tcW w:w="1418" w:type="dxa"/>
            <w:vAlign w:val="center"/>
          </w:tcPr>
          <w:p w:rsidR="005600FF" w:rsidRPr="00AC3044" w:rsidRDefault="005600FF" w:rsidP="005600FF">
            <w:pPr>
              <w:ind w:firstLine="0"/>
              <w:rPr>
                <w:rFonts w:eastAsia="SimSun"/>
              </w:rPr>
            </w:pPr>
            <w:r w:rsidRPr="00AC3044">
              <w:rPr>
                <w:rFonts w:eastAsia="SimSun"/>
              </w:rPr>
              <w:t>5- 7,5 мг/кг2</w:t>
            </w:r>
          </w:p>
        </w:tc>
        <w:tc>
          <w:tcPr>
            <w:tcW w:w="1701" w:type="dxa"/>
            <w:vAlign w:val="center"/>
          </w:tcPr>
          <w:p w:rsidR="005600FF" w:rsidRPr="00AC3044" w:rsidRDefault="005600FF" w:rsidP="005600FF">
            <w:pPr>
              <w:ind w:firstLine="0"/>
              <w:rPr>
                <w:rFonts w:eastAsia="SimSun"/>
              </w:rPr>
            </w:pPr>
            <w:r w:rsidRPr="00AC3044">
              <w:rPr>
                <w:rFonts w:eastAsia="SimSun"/>
              </w:rPr>
              <w:t>С –3 по – 2 (-1)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5600FF" w:rsidRPr="00AC3044" w:rsidTr="005600FF">
        <w:trPr>
          <w:cantSplit/>
          <w:trHeight w:val="20"/>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5600FF" w:rsidRPr="00AC3044" w:rsidTr="005600FF">
        <w:trPr>
          <w:cantSplit/>
          <w:trHeight w:val="20"/>
        </w:trPr>
        <w:tc>
          <w:tcPr>
            <w:tcW w:w="993" w:type="dxa"/>
            <w:vMerge/>
            <w:vAlign w:val="center"/>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417" w:type="dxa"/>
            <w:vAlign w:val="center"/>
          </w:tcPr>
          <w:p w:rsidR="005600FF" w:rsidRPr="00AC3044" w:rsidRDefault="005600FF" w:rsidP="005600F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vAlign w:val="center"/>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vAlign w:val="center"/>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rsidR="005600FF" w:rsidRPr="00AC3044" w:rsidRDefault="005600FF" w:rsidP="005600FF">
            <w:pPr>
              <w:ind w:firstLine="0"/>
              <w:rPr>
                <w:rFonts w:eastAsia="SimSun"/>
              </w:rPr>
            </w:pPr>
            <w:r w:rsidRPr="00AC3044">
              <w:rPr>
                <w:rFonts w:eastAsia="SimSun"/>
              </w:rPr>
              <w:t>2000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+14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r w:rsidR="005600FF" w:rsidRPr="00AC3044" w:rsidTr="005600FF">
        <w:trPr>
          <w:cantSplit/>
          <w:trHeight w:val="464"/>
        </w:trPr>
        <w:tc>
          <w:tcPr>
            <w:tcW w:w="993" w:type="dxa"/>
            <w:vMerge/>
            <w:vAlign w:val="center"/>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1000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bl>
    <w:p w:rsidR="005600FF" w:rsidRDefault="005600FF" w:rsidP="005600FF">
      <w:pPr>
        <w:rPr>
          <w:rFonts w:eastAsia="SimSun"/>
        </w:rPr>
      </w:pPr>
      <w:bookmarkStart w:id="164" w:name="_Toc44401161"/>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1.2.3 – Flu150+Bu8 / PT-Cy+CSA+MMF45</w:t>
      </w:r>
      <w:bookmarkEnd w:id="164"/>
    </w:p>
    <w:tbl>
      <w:tblPr>
        <w:tblW w:w="9640" w:type="dxa"/>
        <w:tblInd w:w="-34" w:type="dxa"/>
        <w:tblLayout w:type="fixed"/>
        <w:tblCellMar>
          <w:left w:w="10" w:type="dxa"/>
          <w:right w:w="10" w:type="dxa"/>
        </w:tblCellMar>
        <w:tblLook w:val="0000" w:firstRow="0" w:lastRow="0" w:firstColumn="0" w:lastColumn="0" w:noHBand="0" w:noVBand="0"/>
      </w:tblPr>
      <w:tblGrid>
        <w:gridCol w:w="993"/>
        <w:gridCol w:w="1843"/>
        <w:gridCol w:w="1417"/>
        <w:gridCol w:w="1418"/>
        <w:gridCol w:w="1701"/>
        <w:gridCol w:w="2268"/>
      </w:tblGrid>
      <w:tr w:rsidR="005600FF" w:rsidRPr="00AC3044" w:rsidTr="005600FF">
        <w:trPr>
          <w:cantSplit/>
          <w:trHeight w:val="20"/>
          <w:tblHeader/>
        </w:trPr>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0FF" w:rsidRPr="00470D3D" w:rsidRDefault="005600FF" w:rsidP="005600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30 мг/м</w:t>
            </w:r>
            <w:r w:rsidRPr="000C005F">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150 мг/м</w:t>
            </w:r>
            <w:r w:rsidRPr="000C005F">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 –6 по –2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918"/>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8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 xml:space="preserve"> –4, –3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(не более 3</w:t>
            </w:r>
            <w:r>
              <w:rPr>
                <w:rFonts w:eastAsia="SimSun"/>
              </w:rPr>
              <w:t xml:space="preserve"> </w:t>
            </w:r>
            <w:r w:rsidRPr="00AC3044">
              <w:rPr>
                <w:rFonts w:eastAsia="SimSun"/>
              </w:rPr>
              <w:t>г/сут)</w:t>
            </w:r>
          </w:p>
        </w:tc>
      </w:tr>
      <w:tr w:rsidR="005600FF" w:rsidRPr="00AC3044" w:rsidTr="005600FF">
        <w:trPr>
          <w:cantSplit/>
          <w:trHeight w:val="464"/>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инфузия в течение 2 ч</w:t>
            </w:r>
          </w:p>
        </w:tc>
      </w:tr>
    </w:tbl>
    <w:p w:rsidR="005600FF" w:rsidRDefault="005600FF" w:rsidP="005600FF">
      <w:pPr>
        <w:rPr>
          <w:rFonts w:eastAsia="SimSun"/>
        </w:rPr>
      </w:pPr>
      <w:bookmarkStart w:id="165" w:name="_Toc44401162"/>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1.2.4  – Flu150+Bu8+Thio / PT-Cy+CSA+ MMF30</w:t>
      </w:r>
      <w:bookmarkEnd w:id="16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03"/>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704"/>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Тиотепа</w:t>
            </w:r>
          </w:p>
        </w:tc>
        <w:tc>
          <w:tcPr>
            <w:tcW w:w="1417"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течение 2 ч </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по +60 день, затем постепенное снижение к +100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30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по +30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rsidR="005600FF" w:rsidRPr="00C07B2E" w:rsidRDefault="005600FF" w:rsidP="005600FF">
      <w:pPr>
        <w:rPr>
          <w:rFonts w:eastAsia="SimSun"/>
        </w:rPr>
      </w:pPr>
    </w:p>
    <w:p w:rsidR="005600FF" w:rsidRPr="00C07B2E" w:rsidRDefault="005600FF" w:rsidP="005600FF">
      <w:pPr>
        <w:rPr>
          <w:rFonts w:eastAsia="SimSun"/>
        </w:rPr>
      </w:pPr>
      <w:bookmarkStart w:id="166" w:name="_Toc44401163"/>
      <w:r w:rsidRPr="00042499">
        <w:rPr>
          <w:rFonts w:eastAsia="SimSun"/>
        </w:rPr>
        <w:t>Таблица</w:t>
      </w:r>
      <w:r w:rsidRPr="00C07B2E">
        <w:rPr>
          <w:rFonts w:eastAsia="SimSun"/>
        </w:rPr>
        <w:t xml:space="preserve"> </w:t>
      </w:r>
      <w:r>
        <w:rPr>
          <w:rFonts w:eastAsia="SimSun"/>
        </w:rPr>
        <w:t>5.</w:t>
      </w:r>
      <w:r w:rsidRPr="00C07B2E">
        <w:rPr>
          <w:rFonts w:eastAsia="SimSun"/>
        </w:rPr>
        <w:t>1.2.5  – Flu180+Bu8 / hATG+CSA+MTX+MMF30</w:t>
      </w:r>
      <w:bookmarkEnd w:id="16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0C00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–10 по –5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043"/>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–6, –5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993" w:type="dxa"/>
            <w:vMerge w:val="restart"/>
            <w:textDirection w:val="btL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417" w:type="dxa"/>
            <w:vAlign w:val="center"/>
          </w:tcPr>
          <w:p w:rsidR="005600FF" w:rsidRPr="00AC3044" w:rsidRDefault="005600FF" w:rsidP="005600FF">
            <w:pPr>
              <w:ind w:firstLine="0"/>
              <w:rPr>
                <w:rFonts w:eastAsia="SimSun"/>
              </w:rPr>
            </w:pPr>
            <w:r w:rsidRPr="00AC3044">
              <w:rPr>
                <w:rFonts w:eastAsia="SimSun"/>
              </w:rPr>
              <w:t>10 -15 мг/кг</w:t>
            </w:r>
          </w:p>
        </w:tc>
        <w:tc>
          <w:tcPr>
            <w:tcW w:w="1418" w:type="dxa"/>
            <w:vAlign w:val="center"/>
          </w:tcPr>
          <w:p w:rsidR="005600FF" w:rsidRPr="00AC3044" w:rsidRDefault="005600FF" w:rsidP="005600FF">
            <w:pPr>
              <w:ind w:firstLine="0"/>
              <w:rPr>
                <w:rFonts w:eastAsia="SimSun"/>
              </w:rPr>
            </w:pPr>
            <w:r w:rsidRPr="00AC3044">
              <w:rPr>
                <w:rFonts w:eastAsia="SimSun"/>
              </w:rPr>
              <w:t>40 -60 мг/кг</w:t>
            </w:r>
          </w:p>
        </w:tc>
        <w:tc>
          <w:tcPr>
            <w:tcW w:w="1701" w:type="dxa"/>
            <w:vAlign w:val="center"/>
          </w:tcPr>
          <w:p w:rsidR="005600FF" w:rsidRPr="00AC3044" w:rsidRDefault="005600FF" w:rsidP="005600FF">
            <w:pPr>
              <w:ind w:firstLine="0"/>
              <w:rPr>
                <w:rFonts w:eastAsia="SimSun"/>
              </w:rPr>
            </w:pPr>
            <w:r w:rsidRPr="00AC3044">
              <w:rPr>
                <w:rFonts w:eastAsia="SimSun"/>
              </w:rPr>
              <w:t>С –4 по –1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993" w:type="dxa"/>
            <w:vMerge/>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417" w:type="dxa"/>
            <w:vAlign w:val="center"/>
          </w:tcPr>
          <w:p w:rsidR="005600FF" w:rsidRPr="00AC3044" w:rsidRDefault="005600FF" w:rsidP="005600F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rsidR="005600FF" w:rsidRPr="00AC3044" w:rsidRDefault="005600FF" w:rsidP="005600FF">
            <w:pPr>
              <w:ind w:firstLine="0"/>
              <w:rPr>
                <w:rFonts w:eastAsia="SimSun"/>
              </w:rPr>
            </w:pPr>
            <w:r w:rsidRPr="00AC3044">
              <w:rPr>
                <w:rFonts w:eastAsia="SimSun"/>
              </w:rPr>
              <w:t>2000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+14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2-4 приема.</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1000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2-4 приема.</w:t>
            </w:r>
          </w:p>
        </w:tc>
      </w:tr>
    </w:tbl>
    <w:p w:rsidR="005600FF" w:rsidRDefault="005600FF" w:rsidP="005600FF">
      <w:pPr>
        <w:rPr>
          <w:rFonts w:eastAsia="SimSun"/>
        </w:rPr>
      </w:pPr>
      <w:bookmarkStart w:id="167" w:name="_Toc44401164"/>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1.2.6  – Flu180+Bu8 / rATG+CSA+MTX+MMF30</w:t>
      </w:r>
      <w:bookmarkEnd w:id="16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60"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rsidR="005600FF" w:rsidRPr="00AC3044" w:rsidRDefault="005600FF" w:rsidP="005600FF">
            <w:pPr>
              <w:ind w:firstLine="0"/>
              <w:rPr>
                <w:rFonts w:eastAsia="SimSun"/>
              </w:rPr>
            </w:pPr>
            <w:r w:rsidRPr="00AC3044">
              <w:rPr>
                <w:rFonts w:eastAsia="SimSun"/>
              </w:rPr>
              <w:t>С –9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472"/>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559" w:type="dxa"/>
            <w:vAlign w:val="center"/>
          </w:tcPr>
          <w:p w:rsidR="005600FF" w:rsidRPr="00AC3044" w:rsidRDefault="005600FF" w:rsidP="005600FF">
            <w:pPr>
              <w:ind w:firstLine="0"/>
              <w:rPr>
                <w:rFonts w:eastAsia="SimSun"/>
              </w:rPr>
            </w:pPr>
            <w:r w:rsidRPr="00AC3044">
              <w:rPr>
                <w:rFonts w:eastAsia="SimSun"/>
              </w:rPr>
              <w:t>8 мг/кг</w:t>
            </w:r>
          </w:p>
        </w:tc>
        <w:tc>
          <w:tcPr>
            <w:tcW w:w="1560" w:type="dxa"/>
            <w:vAlign w:val="center"/>
          </w:tcPr>
          <w:p w:rsidR="005600FF" w:rsidRPr="00AC3044" w:rsidRDefault="005600FF" w:rsidP="005600FF">
            <w:pPr>
              <w:ind w:firstLine="0"/>
              <w:rPr>
                <w:rFonts w:eastAsia="SimSun"/>
              </w:rPr>
            </w:pPr>
            <w:r w:rsidRPr="00AC3044">
              <w:rPr>
                <w:rFonts w:eastAsia="SimSun"/>
              </w:rPr>
              <w:t>–5, –4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АТГ (кроличий)</w:t>
            </w:r>
          </w:p>
        </w:tc>
        <w:tc>
          <w:tcPr>
            <w:tcW w:w="1417" w:type="dxa"/>
            <w:vAlign w:val="center"/>
          </w:tcPr>
          <w:p w:rsidR="005600FF" w:rsidRPr="00AC3044" w:rsidRDefault="005600FF" w:rsidP="005600FF">
            <w:pPr>
              <w:ind w:firstLine="0"/>
              <w:rPr>
                <w:rFonts w:eastAsia="SimSun"/>
              </w:rPr>
            </w:pPr>
            <w:r w:rsidRPr="00AC3044">
              <w:rPr>
                <w:rFonts w:eastAsia="SimSun"/>
              </w:rPr>
              <w:t>2,5 мг/кг</w:t>
            </w:r>
          </w:p>
        </w:tc>
        <w:tc>
          <w:tcPr>
            <w:tcW w:w="1559" w:type="dxa"/>
            <w:vAlign w:val="center"/>
          </w:tcPr>
          <w:p w:rsidR="005600FF" w:rsidRPr="00AC3044" w:rsidRDefault="005600FF" w:rsidP="005600FF">
            <w:pPr>
              <w:ind w:firstLine="0"/>
              <w:rPr>
                <w:rFonts w:eastAsia="SimSun"/>
              </w:rPr>
            </w:pPr>
            <w:r w:rsidRPr="00AC3044">
              <w:rPr>
                <w:rFonts w:eastAsia="SimSun"/>
              </w:rPr>
              <w:t>5 - 7,5 мг/кг</w:t>
            </w:r>
            <w:r w:rsidRPr="001E6DBE">
              <w:rPr>
                <w:rFonts w:eastAsia="SimSun"/>
                <w:vertAlign w:val="superscript"/>
              </w:rPr>
              <w:t>2</w:t>
            </w:r>
          </w:p>
        </w:tc>
        <w:tc>
          <w:tcPr>
            <w:tcW w:w="1560" w:type="dxa"/>
            <w:vAlign w:val="center"/>
          </w:tcPr>
          <w:p w:rsidR="005600FF" w:rsidRPr="00AC3044" w:rsidRDefault="005600FF" w:rsidP="005600FF">
            <w:pPr>
              <w:ind w:firstLine="0"/>
              <w:rPr>
                <w:rFonts w:eastAsia="SimSun"/>
              </w:rPr>
            </w:pPr>
            <w:r w:rsidRPr="00AC3044">
              <w:rPr>
                <w:rFonts w:eastAsia="SimSun"/>
              </w:rPr>
              <w:t>С –3 по –2 (-1)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5600FF" w:rsidRPr="00AC3044" w:rsidTr="005600FF">
        <w:trPr>
          <w:cantSplit/>
          <w:trHeight w:val="20"/>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993" w:type="dxa"/>
            <w:vMerge/>
            <w:vAlign w:val="center"/>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417" w:type="dxa"/>
            <w:vAlign w:val="center"/>
          </w:tcPr>
          <w:p w:rsidR="005600FF" w:rsidRPr="00AC3044" w:rsidRDefault="005600FF" w:rsidP="005600FF">
            <w:pPr>
              <w:ind w:firstLine="0"/>
              <w:rPr>
                <w:rFonts w:eastAsia="SimSun"/>
              </w:rPr>
            </w:pPr>
            <w:r w:rsidRPr="00AC3044">
              <w:rPr>
                <w:rFonts w:eastAsia="SimSun"/>
              </w:rPr>
              <w:t>15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В/в, в 20 мл физ. р-ра</w:t>
            </w:r>
          </w:p>
        </w:tc>
      </w:tr>
      <w:tr w:rsidR="005600FF" w:rsidRPr="00AC3044" w:rsidTr="005600FF">
        <w:trPr>
          <w:cantSplit/>
          <w:trHeight w:val="464"/>
        </w:trPr>
        <w:tc>
          <w:tcPr>
            <w:tcW w:w="993" w:type="dxa"/>
            <w:vMerge/>
            <w:vAlign w:val="center"/>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+3, +6, +11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vAlign w:val="center"/>
          </w:tcPr>
          <w:p w:rsidR="005600FF" w:rsidRPr="00AC3044" w:rsidRDefault="005600FF" w:rsidP="005600FF">
            <w:pPr>
              <w:ind w:firstLine="0"/>
              <w:rPr>
                <w:rFonts w:eastAsia="SimSun"/>
              </w:rPr>
            </w:pPr>
          </w:p>
        </w:tc>
        <w:tc>
          <w:tcPr>
            <w:tcW w:w="1843" w:type="dxa"/>
            <w:vMerge w:val="restart"/>
            <w:vAlign w:val="center"/>
          </w:tcPr>
          <w:p w:rsidR="005600FF" w:rsidRPr="00AC3044" w:rsidRDefault="005600FF" w:rsidP="005600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rsidR="005600FF" w:rsidRPr="00AC3044" w:rsidRDefault="005600FF" w:rsidP="005600FF">
            <w:pPr>
              <w:ind w:firstLine="0"/>
              <w:rPr>
                <w:rFonts w:eastAsia="SimSun"/>
              </w:rPr>
            </w:pPr>
            <w:r w:rsidRPr="00AC3044">
              <w:rPr>
                <w:rFonts w:eastAsia="SimSun"/>
              </w:rPr>
              <w:t>2000 мг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С +1 по +14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2-4 приема.</w:t>
            </w:r>
          </w:p>
        </w:tc>
      </w:tr>
      <w:tr w:rsidR="005600FF" w:rsidRPr="00AC3044" w:rsidTr="005600FF">
        <w:trPr>
          <w:cantSplit/>
          <w:trHeight w:val="464"/>
        </w:trPr>
        <w:tc>
          <w:tcPr>
            <w:tcW w:w="993" w:type="dxa"/>
            <w:vMerge/>
            <w:vAlign w:val="center"/>
          </w:tcPr>
          <w:p w:rsidR="005600FF" w:rsidRPr="00AC3044" w:rsidRDefault="005600FF" w:rsidP="005600FF">
            <w:pPr>
              <w:ind w:firstLine="0"/>
              <w:rPr>
                <w:rFonts w:eastAsia="SimSun"/>
              </w:rPr>
            </w:pPr>
          </w:p>
        </w:tc>
        <w:tc>
          <w:tcPr>
            <w:tcW w:w="1843"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1000 мг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С +15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2-4 приема.</w:t>
            </w:r>
          </w:p>
        </w:tc>
      </w:tr>
    </w:tbl>
    <w:p w:rsidR="005600FF" w:rsidRDefault="005600FF" w:rsidP="005600FF">
      <w:pPr>
        <w:rPr>
          <w:rFonts w:eastAsia="SimSun"/>
        </w:rPr>
      </w:pPr>
      <w:bookmarkStart w:id="168" w:name="_Toc44401165"/>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1.2.7  – Flu180+Bu8 / PT-Cy+CSA+MMF30</w:t>
      </w:r>
      <w:bookmarkEnd w:id="16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60"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150 мг/м</w:t>
            </w:r>
            <w:r w:rsidRPr="001E6DBE">
              <w:rPr>
                <w:rFonts w:eastAsia="SimSun"/>
                <w:vertAlign w:val="superscript"/>
              </w:rPr>
              <w:t>2</w:t>
            </w:r>
          </w:p>
        </w:tc>
        <w:tc>
          <w:tcPr>
            <w:tcW w:w="1560" w:type="dxa"/>
            <w:vAlign w:val="center"/>
          </w:tcPr>
          <w:p w:rsidR="005600FF" w:rsidRPr="00AC3044" w:rsidRDefault="005600FF" w:rsidP="005600FF">
            <w:pPr>
              <w:ind w:firstLine="0"/>
              <w:rPr>
                <w:rFonts w:eastAsia="SimSun"/>
              </w:rPr>
            </w:pPr>
            <w:r w:rsidRPr="00AC3044">
              <w:rPr>
                <w:rFonts w:eastAsia="SimSun"/>
              </w:rPr>
              <w:t>С –6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337"/>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559" w:type="dxa"/>
            <w:vAlign w:val="center"/>
          </w:tcPr>
          <w:p w:rsidR="005600FF" w:rsidRPr="00AC3044" w:rsidRDefault="005600FF" w:rsidP="005600FF">
            <w:pPr>
              <w:ind w:firstLine="0"/>
              <w:rPr>
                <w:rFonts w:eastAsia="SimSun"/>
              </w:rPr>
            </w:pPr>
            <w:r w:rsidRPr="00AC3044">
              <w:rPr>
                <w:rFonts w:eastAsia="SimSun"/>
              </w:rPr>
              <w:t>8 мг/кг</w:t>
            </w:r>
          </w:p>
        </w:tc>
        <w:tc>
          <w:tcPr>
            <w:tcW w:w="1560" w:type="dxa"/>
            <w:vAlign w:val="center"/>
          </w:tcPr>
          <w:p w:rsidR="005600FF" w:rsidRPr="00AC3044" w:rsidRDefault="005600FF" w:rsidP="005600FF">
            <w:pPr>
              <w:ind w:firstLine="0"/>
              <w:rPr>
                <w:rFonts w:eastAsia="SimSun"/>
              </w:rPr>
            </w:pPr>
            <w:r w:rsidRPr="00AC3044">
              <w:rPr>
                <w:rFonts w:eastAsia="SimSun"/>
              </w:rPr>
              <w:t>–5, –4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60"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течение 2 ч  </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С +5 по +60 день, затем постепенное снижение к +100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30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С +5 по +30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bl>
    <w:p w:rsidR="005600FF" w:rsidRDefault="005600FF" w:rsidP="005600FF">
      <w:pPr>
        <w:rPr>
          <w:rFonts w:eastAsia="SimSun"/>
        </w:rPr>
      </w:pPr>
      <w:bookmarkStart w:id="169" w:name="_Toc44401166"/>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1.2.8  – Flu180+Bu8 / PT-Cy</w:t>
      </w:r>
      <w:bookmarkEnd w:id="16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59"/>
        <w:gridCol w:w="2269"/>
      </w:tblGrid>
      <w:tr w:rsidR="005600FF" w:rsidRPr="00AC3044" w:rsidTr="005600FF">
        <w:trPr>
          <w:cantSplit/>
          <w:trHeight w:val="20"/>
          <w:tblHeader/>
        </w:trPr>
        <w:tc>
          <w:tcPr>
            <w:tcW w:w="993" w:type="dxa"/>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9"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9"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294"/>
        </w:trPr>
        <w:tc>
          <w:tcPr>
            <w:tcW w:w="993" w:type="dxa"/>
            <w:vMerge/>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559"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9"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054"/>
        </w:trPr>
        <w:tc>
          <w:tcPr>
            <w:tcW w:w="993"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9" w:type="dxa"/>
            <w:vAlign w:val="center"/>
          </w:tcPr>
          <w:p w:rsidR="005600FF" w:rsidRPr="00AC3044" w:rsidRDefault="005600FF" w:rsidP="005600FF">
            <w:pPr>
              <w:ind w:firstLine="0"/>
              <w:rPr>
                <w:rFonts w:eastAsia="SimSun"/>
              </w:rPr>
            </w:pPr>
            <w:r w:rsidRPr="00AC3044">
              <w:rPr>
                <w:rFonts w:eastAsia="SimSun"/>
              </w:rPr>
              <w:t xml:space="preserve">В/в, в течение 2 ч  </w:t>
            </w:r>
          </w:p>
        </w:tc>
      </w:tr>
    </w:tbl>
    <w:p w:rsidR="005600FF" w:rsidRDefault="005600FF" w:rsidP="005600FF">
      <w:pPr>
        <w:rPr>
          <w:rFonts w:eastAsia="SimSun"/>
        </w:rPr>
      </w:pPr>
      <w:bookmarkStart w:id="170" w:name="_Toc44401167"/>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1.2.9  – Flu180+Bu8 / PT-Cy+Tx+MMF30</w:t>
      </w:r>
      <w:bookmarkEnd w:id="17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5600FF" w:rsidRPr="00AC3044" w:rsidTr="005600FF">
        <w:trPr>
          <w:cantSplit/>
          <w:trHeight w:val="20"/>
          <w:tblHeader/>
        </w:trPr>
        <w:tc>
          <w:tcPr>
            <w:tcW w:w="993" w:type="dxa"/>
            <w:vAlign w:val="center"/>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60"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961"/>
        </w:trPr>
        <w:tc>
          <w:tcPr>
            <w:tcW w:w="993" w:type="dxa"/>
            <w:vMerge/>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560"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498"/>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60"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течение 2 ч  </w:t>
            </w:r>
          </w:p>
        </w:tc>
      </w:tr>
      <w:tr w:rsidR="005600FF" w:rsidRPr="00AC3044" w:rsidTr="005600FF">
        <w:trPr>
          <w:cantSplit/>
          <w:trHeight w:val="958"/>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7"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44"/>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bl>
    <w:p w:rsidR="005600FF" w:rsidRPr="00C07B2E" w:rsidRDefault="005600FF" w:rsidP="005600FF">
      <w:pPr>
        <w:rPr>
          <w:rFonts w:eastAsia="SimSun"/>
        </w:rPr>
      </w:pPr>
    </w:p>
    <w:p w:rsidR="005600FF" w:rsidRPr="00C07B2E" w:rsidRDefault="005600FF" w:rsidP="005600FF">
      <w:pPr>
        <w:rPr>
          <w:rFonts w:eastAsia="SimSun"/>
        </w:rPr>
      </w:pPr>
      <w:bookmarkStart w:id="171" w:name="_Toc44401168"/>
      <w:r w:rsidRPr="00042499">
        <w:rPr>
          <w:rFonts w:eastAsia="SimSun"/>
        </w:rPr>
        <w:t>Таблица</w:t>
      </w:r>
      <w:r w:rsidRPr="00C07B2E">
        <w:rPr>
          <w:rFonts w:eastAsia="SimSun"/>
        </w:rPr>
        <w:t xml:space="preserve"> </w:t>
      </w:r>
      <w:r>
        <w:rPr>
          <w:rFonts w:eastAsia="SimSun"/>
        </w:rPr>
        <w:t>5.</w:t>
      </w:r>
      <w:r w:rsidRPr="00C07B2E">
        <w:rPr>
          <w:rFonts w:eastAsia="SimSun"/>
        </w:rPr>
        <w:t>1.2.10  – Flu180+Bu8 / Tx+MMF30</w:t>
      </w:r>
      <w:bookmarkEnd w:id="17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5600FF" w:rsidRPr="00AC3044" w:rsidTr="005600FF">
        <w:trPr>
          <w:cantSplit/>
          <w:trHeight w:val="20"/>
          <w:tblHeader/>
        </w:trPr>
        <w:tc>
          <w:tcPr>
            <w:tcW w:w="993" w:type="dxa"/>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60"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84"/>
        </w:trPr>
        <w:tc>
          <w:tcPr>
            <w:tcW w:w="993" w:type="dxa"/>
            <w:vMerge/>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560"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498"/>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7"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38"/>
        </w:trPr>
        <w:tc>
          <w:tcPr>
            <w:tcW w:w="993"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60"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bl>
    <w:p w:rsidR="005600FF" w:rsidRDefault="005600FF" w:rsidP="005600FF">
      <w:pPr>
        <w:rPr>
          <w:rFonts w:eastAsia="SimSun"/>
        </w:rPr>
      </w:pPr>
      <w:bookmarkStart w:id="172" w:name="_Toc44401169"/>
    </w:p>
    <w:p w:rsidR="005600FF"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1.2.11  – Flu180+Bu8/ PT-Cy+CSA+MMF30</w:t>
      </w:r>
      <w:bookmarkEnd w:id="172"/>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46"/>
      </w:tblGrid>
      <w:tr w:rsidR="005600FF" w:rsidRPr="00AC3044" w:rsidTr="005600FF">
        <w:trPr>
          <w:cantSplit/>
          <w:trHeight w:val="20"/>
          <w:tblHeader/>
        </w:trPr>
        <w:tc>
          <w:tcPr>
            <w:tcW w:w="959" w:type="dxa"/>
            <w:vAlign w:val="center"/>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46"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46"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50"/>
        </w:trPr>
        <w:tc>
          <w:tcPr>
            <w:tcW w:w="959" w:type="dxa"/>
            <w:vMerge/>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701"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418"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46"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498"/>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В +3 день  и +5 день</w:t>
            </w:r>
          </w:p>
        </w:tc>
        <w:tc>
          <w:tcPr>
            <w:tcW w:w="2246"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по +28 день </w:t>
            </w:r>
          </w:p>
        </w:tc>
        <w:tc>
          <w:tcPr>
            <w:tcW w:w="2246"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Циклоспорин А</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по +100 день </w:t>
            </w:r>
          </w:p>
        </w:tc>
        <w:tc>
          <w:tcPr>
            <w:tcW w:w="2246"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rsidR="005600FF" w:rsidRDefault="005600FF" w:rsidP="005600FF">
      <w:pPr>
        <w:rPr>
          <w:rFonts w:eastAsia="SimSun"/>
        </w:rPr>
      </w:pPr>
    </w:p>
    <w:p w:rsidR="005600FF" w:rsidRPr="00C07B2E" w:rsidRDefault="005600FF" w:rsidP="005600FF">
      <w:pPr>
        <w:rPr>
          <w:rFonts w:eastAsia="SimSun"/>
        </w:rPr>
      </w:pPr>
      <w:bookmarkStart w:id="173" w:name="_Toc44401170"/>
      <w:r w:rsidRPr="00042499">
        <w:rPr>
          <w:rFonts w:eastAsia="SimSun"/>
        </w:rPr>
        <w:t>Таблица</w:t>
      </w:r>
      <w:r w:rsidRPr="00C07B2E">
        <w:rPr>
          <w:rFonts w:eastAsia="SimSun"/>
        </w:rPr>
        <w:t xml:space="preserve"> </w:t>
      </w:r>
      <w:r>
        <w:rPr>
          <w:rFonts w:eastAsia="SimSun"/>
        </w:rPr>
        <w:t>5.</w:t>
      </w:r>
      <w:r w:rsidRPr="00C07B2E">
        <w:rPr>
          <w:rFonts w:eastAsia="SimSun"/>
        </w:rPr>
        <w:t>1.2.12  – Flu180+Bu10 / PT-Cy+Ruxo</w:t>
      </w:r>
      <w:bookmarkEnd w:id="17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68"/>
      </w:tblGrid>
      <w:tr w:rsidR="005600FF" w:rsidRPr="00AC3044" w:rsidTr="005600FF">
        <w:trPr>
          <w:cantSplit/>
          <w:trHeight w:val="20"/>
          <w:tblHeader/>
        </w:trPr>
        <w:tc>
          <w:tcPr>
            <w:tcW w:w="959" w:type="dxa"/>
            <w:vAlign w:val="center"/>
          </w:tcPr>
          <w:p w:rsidR="005600FF" w:rsidRPr="00470D3D"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43"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998"/>
        </w:trPr>
        <w:tc>
          <w:tcPr>
            <w:tcW w:w="959" w:type="dxa"/>
            <w:vMerge/>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701"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418"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470D3D" w:rsidRDefault="005600FF" w:rsidP="005600FF">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r w:rsidRPr="00470D3D">
              <w:rPr>
                <w:rFonts w:eastAsia="SimSun"/>
              </w:rPr>
              <w:t>День -6: бусульфан разделяется на 2 приема с интервалом 6 часов, в вечернее время (18.00, 24.00)</w:t>
            </w:r>
          </w:p>
        </w:tc>
      </w:tr>
      <w:tr w:rsidR="005600FF" w:rsidRPr="00AC3044" w:rsidTr="005600FF">
        <w:trPr>
          <w:cantSplit/>
          <w:trHeight w:val="636"/>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688"/>
        </w:trPr>
        <w:tc>
          <w:tcPr>
            <w:tcW w:w="959"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Руксолитиниб</w:t>
            </w:r>
          </w:p>
        </w:tc>
        <w:tc>
          <w:tcPr>
            <w:tcW w:w="1417" w:type="dxa"/>
            <w:vAlign w:val="center"/>
          </w:tcPr>
          <w:p w:rsidR="005600FF" w:rsidRPr="00AC3044" w:rsidRDefault="005600FF" w:rsidP="005600FF">
            <w:pPr>
              <w:ind w:firstLine="0"/>
              <w:rPr>
                <w:rFonts w:eastAsia="SimSun"/>
              </w:rPr>
            </w:pPr>
            <w:r w:rsidRPr="00AC3044">
              <w:rPr>
                <w:rFonts w:eastAsia="SimSun"/>
              </w:rPr>
              <w:t>45 мг</w:t>
            </w:r>
          </w:p>
        </w:tc>
        <w:tc>
          <w:tcPr>
            <w:tcW w:w="1701" w:type="dxa"/>
            <w:vAlign w:val="center"/>
          </w:tcPr>
          <w:p w:rsidR="005600FF" w:rsidRPr="00AC3044" w:rsidRDefault="005600FF" w:rsidP="005600FF">
            <w:pPr>
              <w:ind w:firstLine="0"/>
              <w:rPr>
                <w:rFonts w:eastAsia="SimSun"/>
              </w:rPr>
            </w:pPr>
            <w:r w:rsidRPr="00AC3044">
              <w:rPr>
                <w:rFonts w:eastAsia="SimSun"/>
              </w:rPr>
              <w:t>270 мг</w:t>
            </w:r>
          </w:p>
        </w:tc>
        <w:tc>
          <w:tcPr>
            <w:tcW w:w="1418" w:type="dxa"/>
            <w:vAlign w:val="center"/>
          </w:tcPr>
          <w:p w:rsidR="005600FF" w:rsidRPr="00AC3044" w:rsidRDefault="005600FF" w:rsidP="005600FF">
            <w:pPr>
              <w:ind w:firstLine="0"/>
              <w:rPr>
                <w:rFonts w:eastAsia="SimSun"/>
              </w:rPr>
            </w:pPr>
            <w:r w:rsidRPr="00AC3044">
              <w:rPr>
                <w:rFonts w:eastAsia="SimSun"/>
              </w:rPr>
              <w:t xml:space="preserve">С -7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суточную дозу </w:t>
            </w:r>
          </w:p>
          <w:p w:rsidR="005600FF" w:rsidRPr="00AC3044" w:rsidRDefault="005600FF" w:rsidP="005600FF">
            <w:pPr>
              <w:ind w:firstLine="0"/>
              <w:rPr>
                <w:rFonts w:eastAsia="SimSun"/>
              </w:rPr>
            </w:pPr>
            <w:r w:rsidRPr="00AC3044">
              <w:rPr>
                <w:rFonts w:eastAsia="SimSun"/>
              </w:rPr>
              <w:t>за 3 приема</w:t>
            </w:r>
          </w:p>
        </w:tc>
      </w:tr>
      <w:tr w:rsidR="005600FF" w:rsidRPr="00AC3044" w:rsidTr="005600FF">
        <w:trPr>
          <w:cantSplit/>
          <w:trHeight w:val="839"/>
        </w:trPr>
        <w:tc>
          <w:tcPr>
            <w:tcW w:w="959" w:type="dxa"/>
            <w:vMerge/>
            <w:textDirection w:val="btLr"/>
            <w:vAlign w:val="cente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 xml:space="preserve">Руксолитиниб </w:t>
            </w:r>
          </w:p>
        </w:tc>
        <w:tc>
          <w:tcPr>
            <w:tcW w:w="1417" w:type="dxa"/>
            <w:vAlign w:val="center"/>
          </w:tcPr>
          <w:p w:rsidR="005600FF" w:rsidRPr="00AC3044" w:rsidRDefault="005600FF" w:rsidP="005600FF">
            <w:pPr>
              <w:ind w:firstLine="0"/>
              <w:rPr>
                <w:rFonts w:eastAsia="SimSun"/>
              </w:rPr>
            </w:pPr>
            <w:r w:rsidRPr="00AC3044">
              <w:rPr>
                <w:rFonts w:eastAsia="SimSun"/>
              </w:rPr>
              <w:t>15 мг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С +5 дня по +100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суточную дозу </w:t>
            </w:r>
          </w:p>
          <w:p w:rsidR="005600FF" w:rsidRPr="00AC3044" w:rsidRDefault="005600FF" w:rsidP="005600FF">
            <w:pPr>
              <w:ind w:firstLine="0"/>
              <w:rPr>
                <w:rFonts w:eastAsia="SimSun"/>
              </w:rPr>
            </w:pPr>
            <w:r w:rsidRPr="00AC3044">
              <w:rPr>
                <w:rFonts w:eastAsia="SimSun"/>
              </w:rPr>
              <w:t>за 2 приема</w:t>
            </w:r>
          </w:p>
        </w:tc>
      </w:tr>
    </w:tbl>
    <w:p w:rsidR="005600FF" w:rsidRDefault="005600FF" w:rsidP="005600FF">
      <w:pPr>
        <w:rPr>
          <w:rFonts w:eastAsia="SimSun"/>
        </w:rPr>
      </w:pPr>
      <w:bookmarkStart w:id="174" w:name="_Toc44401171"/>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1.2.13  – Flu180+Bu10 / PT-Cy</w:t>
      </w:r>
      <w:bookmarkEnd w:id="174"/>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1802"/>
        <w:gridCol w:w="1495"/>
        <w:gridCol w:w="1695"/>
        <w:gridCol w:w="1408"/>
        <w:gridCol w:w="2278"/>
      </w:tblGrid>
      <w:tr w:rsidR="005600FF" w:rsidRPr="00AC3044" w:rsidTr="005600FF">
        <w:trPr>
          <w:cantSplit/>
          <w:trHeight w:val="20"/>
          <w:tblHeader/>
        </w:trPr>
        <w:tc>
          <w:tcPr>
            <w:tcW w:w="866" w:type="dxa"/>
            <w:vAlign w:val="center"/>
          </w:tcPr>
          <w:p w:rsidR="005600FF" w:rsidRPr="00470D3D" w:rsidRDefault="005600FF" w:rsidP="005600FF">
            <w:pPr>
              <w:ind w:firstLine="0"/>
              <w:rPr>
                <w:rFonts w:eastAsia="SimSun"/>
              </w:rPr>
            </w:pPr>
          </w:p>
        </w:tc>
        <w:tc>
          <w:tcPr>
            <w:tcW w:w="1802" w:type="dxa"/>
            <w:vAlign w:val="center"/>
          </w:tcPr>
          <w:p w:rsidR="005600FF" w:rsidRPr="00AC3044" w:rsidRDefault="005600FF" w:rsidP="005600FF">
            <w:pPr>
              <w:ind w:firstLine="0"/>
              <w:rPr>
                <w:rFonts w:eastAsia="SimSun"/>
              </w:rPr>
            </w:pPr>
            <w:r w:rsidRPr="00AC3044">
              <w:rPr>
                <w:rFonts w:eastAsia="SimSun"/>
              </w:rPr>
              <w:t>Препарат</w:t>
            </w:r>
          </w:p>
        </w:tc>
        <w:tc>
          <w:tcPr>
            <w:tcW w:w="1495"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695"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0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7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66"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802"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95"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695"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0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7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114"/>
        </w:trPr>
        <w:tc>
          <w:tcPr>
            <w:tcW w:w="866" w:type="dxa"/>
            <w:vMerge/>
            <w:vAlign w:val="center"/>
          </w:tcPr>
          <w:p w:rsidR="005600FF" w:rsidRPr="00AC3044" w:rsidRDefault="005600FF" w:rsidP="005600FF">
            <w:pPr>
              <w:ind w:firstLine="0"/>
              <w:rPr>
                <w:rFonts w:eastAsia="SimSun"/>
              </w:rPr>
            </w:pPr>
          </w:p>
        </w:tc>
        <w:tc>
          <w:tcPr>
            <w:tcW w:w="1802" w:type="dxa"/>
            <w:vAlign w:val="center"/>
          </w:tcPr>
          <w:p w:rsidR="005600FF" w:rsidRPr="00AC3044" w:rsidRDefault="005600FF" w:rsidP="005600FF">
            <w:pPr>
              <w:ind w:firstLine="0"/>
              <w:rPr>
                <w:rFonts w:eastAsia="SimSun"/>
              </w:rPr>
            </w:pPr>
            <w:r w:rsidRPr="00AC3044">
              <w:rPr>
                <w:rFonts w:eastAsia="SimSun"/>
              </w:rPr>
              <w:t>Бусульфан</w:t>
            </w:r>
          </w:p>
        </w:tc>
        <w:tc>
          <w:tcPr>
            <w:tcW w:w="1495"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695"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408"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7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1176"/>
        </w:trPr>
        <w:tc>
          <w:tcPr>
            <w:tcW w:w="866"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02"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95" w:type="dxa"/>
            <w:vAlign w:val="center"/>
          </w:tcPr>
          <w:p w:rsidR="005600FF" w:rsidRPr="00AC3044" w:rsidRDefault="005600FF" w:rsidP="005600FF">
            <w:pPr>
              <w:ind w:firstLine="0"/>
              <w:rPr>
                <w:rFonts w:eastAsia="SimSun"/>
              </w:rPr>
            </w:pPr>
            <w:r w:rsidRPr="00AC3044">
              <w:rPr>
                <w:rFonts w:eastAsia="SimSun"/>
              </w:rPr>
              <w:t>50 мг/кг</w:t>
            </w:r>
          </w:p>
        </w:tc>
        <w:tc>
          <w:tcPr>
            <w:tcW w:w="1695" w:type="dxa"/>
            <w:vAlign w:val="center"/>
          </w:tcPr>
          <w:p w:rsidR="005600FF" w:rsidRPr="00AC3044" w:rsidRDefault="005600FF" w:rsidP="005600FF">
            <w:pPr>
              <w:ind w:firstLine="0"/>
              <w:rPr>
                <w:rFonts w:eastAsia="SimSun"/>
              </w:rPr>
            </w:pPr>
            <w:r w:rsidRPr="00AC3044">
              <w:rPr>
                <w:rFonts w:eastAsia="SimSun"/>
              </w:rPr>
              <w:t>100 мг/кг</w:t>
            </w:r>
          </w:p>
        </w:tc>
        <w:tc>
          <w:tcPr>
            <w:tcW w:w="1408"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7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Pr="00C07B2E" w:rsidRDefault="005600FF" w:rsidP="005600FF">
      <w:pPr>
        <w:rPr>
          <w:rFonts w:eastAsia="SimSun"/>
        </w:rPr>
      </w:pPr>
    </w:p>
    <w:p w:rsidR="005600FF" w:rsidRPr="00C07B2E" w:rsidRDefault="005600FF" w:rsidP="005600FF">
      <w:pPr>
        <w:rPr>
          <w:rFonts w:eastAsia="SimSun"/>
        </w:rPr>
      </w:pPr>
      <w:bookmarkStart w:id="175" w:name="_Toc44401172"/>
      <w:r w:rsidRPr="00042499">
        <w:rPr>
          <w:rFonts w:eastAsia="SimSun"/>
        </w:rPr>
        <w:t>Таблица</w:t>
      </w:r>
      <w:r w:rsidRPr="00C07B2E">
        <w:rPr>
          <w:rFonts w:eastAsia="SimSun"/>
        </w:rPr>
        <w:t xml:space="preserve"> </w:t>
      </w:r>
      <w:r>
        <w:rPr>
          <w:rFonts w:eastAsia="SimSun"/>
        </w:rPr>
        <w:t>5.</w:t>
      </w:r>
      <w:r w:rsidRPr="00C07B2E">
        <w:rPr>
          <w:rFonts w:eastAsia="SimSun"/>
        </w:rPr>
        <w:t>1.2.14  – Flu180+Bu10 / PT-Cy+Tx+MMF30</w:t>
      </w:r>
      <w:bookmarkEnd w:id="17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701"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418"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1498"/>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986"/>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bl>
    <w:p w:rsidR="005600FF" w:rsidRPr="00C07B2E" w:rsidRDefault="005600FF" w:rsidP="005600FF">
      <w:pPr>
        <w:rPr>
          <w:rFonts w:eastAsia="SimSun"/>
        </w:rPr>
      </w:pPr>
    </w:p>
    <w:p w:rsidR="005600FF" w:rsidRPr="00C07B2E" w:rsidRDefault="005600FF" w:rsidP="005600FF">
      <w:pPr>
        <w:rPr>
          <w:rFonts w:eastAsia="SimSun"/>
        </w:rPr>
      </w:pPr>
      <w:bookmarkStart w:id="176" w:name="_Toc44401173"/>
      <w:r w:rsidRPr="00042499">
        <w:rPr>
          <w:rFonts w:eastAsia="SimSun"/>
        </w:rPr>
        <w:t>Таблица</w:t>
      </w:r>
      <w:r w:rsidRPr="00C07B2E">
        <w:rPr>
          <w:rFonts w:eastAsia="SimSun"/>
        </w:rPr>
        <w:t xml:space="preserve"> </w:t>
      </w:r>
      <w:r>
        <w:rPr>
          <w:rFonts w:eastAsia="SimSun"/>
        </w:rPr>
        <w:t>5.</w:t>
      </w:r>
      <w:r w:rsidRPr="00C07B2E">
        <w:rPr>
          <w:rFonts w:eastAsia="SimSun"/>
        </w:rPr>
        <w:t>1.2.15  – Flu180+Bu10 / PT-Cy+Ruxo</w:t>
      </w:r>
      <w:bookmarkEnd w:id="176"/>
      <w:r w:rsidRPr="00C07B2E">
        <w:rPr>
          <w:rFonts w:eastAsia="SimSu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667"/>
        <w:gridCol w:w="1559"/>
        <w:gridCol w:w="1701"/>
        <w:gridCol w:w="1418"/>
        <w:gridCol w:w="2268"/>
      </w:tblGrid>
      <w:tr w:rsidR="005600FF" w:rsidRPr="00AC3044" w:rsidTr="005600FF">
        <w:trPr>
          <w:cantSplit/>
          <w:trHeight w:val="20"/>
          <w:tblHeader/>
        </w:trPr>
        <w:tc>
          <w:tcPr>
            <w:tcW w:w="993" w:type="dxa"/>
            <w:vAlign w:val="center"/>
          </w:tcPr>
          <w:p w:rsidR="005600FF" w:rsidRPr="00470D3D" w:rsidRDefault="005600FF" w:rsidP="005600FF">
            <w:pPr>
              <w:ind w:firstLine="0"/>
              <w:rPr>
                <w:rFonts w:eastAsia="SimSun"/>
              </w:rPr>
            </w:pPr>
          </w:p>
        </w:tc>
        <w:tc>
          <w:tcPr>
            <w:tcW w:w="1667"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667"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993" w:type="dxa"/>
            <w:vMerge/>
            <w:vAlign w:val="center"/>
          </w:tcPr>
          <w:p w:rsidR="005600FF" w:rsidRPr="00AC3044" w:rsidRDefault="005600FF" w:rsidP="005600FF">
            <w:pPr>
              <w:ind w:firstLine="0"/>
              <w:rPr>
                <w:rFonts w:eastAsia="SimSun"/>
              </w:rPr>
            </w:pPr>
          </w:p>
        </w:tc>
        <w:tc>
          <w:tcPr>
            <w:tcW w:w="1667"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701"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418"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582"/>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667"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562"/>
        </w:trPr>
        <w:tc>
          <w:tcPr>
            <w:tcW w:w="993" w:type="dxa"/>
            <w:vMerge/>
            <w:textDirection w:val="btLr"/>
            <w:vAlign w:val="center"/>
          </w:tcPr>
          <w:p w:rsidR="005600FF" w:rsidRPr="00AC3044" w:rsidRDefault="005600FF" w:rsidP="005600FF">
            <w:pPr>
              <w:ind w:firstLine="0"/>
              <w:rPr>
                <w:rFonts w:eastAsia="SimSun"/>
              </w:rPr>
            </w:pPr>
          </w:p>
        </w:tc>
        <w:tc>
          <w:tcPr>
            <w:tcW w:w="1667" w:type="dxa"/>
            <w:vAlign w:val="center"/>
          </w:tcPr>
          <w:p w:rsidR="005600FF" w:rsidRPr="00AC3044" w:rsidRDefault="005600FF" w:rsidP="005600FF">
            <w:pPr>
              <w:ind w:firstLine="0"/>
              <w:rPr>
                <w:rFonts w:eastAsia="SimSun"/>
              </w:rPr>
            </w:pPr>
            <w:r w:rsidRPr="00AC3044">
              <w:rPr>
                <w:rFonts w:eastAsia="SimSun"/>
              </w:rPr>
              <w:t>Руксолитиниб</w:t>
            </w:r>
          </w:p>
        </w:tc>
        <w:tc>
          <w:tcPr>
            <w:tcW w:w="1559" w:type="dxa"/>
            <w:vAlign w:val="center"/>
          </w:tcPr>
          <w:p w:rsidR="005600FF" w:rsidRPr="00AC3044" w:rsidRDefault="005600FF" w:rsidP="005600FF">
            <w:pPr>
              <w:ind w:firstLine="0"/>
              <w:rPr>
                <w:rFonts w:eastAsia="SimSun"/>
              </w:rPr>
            </w:pPr>
            <w:r w:rsidRPr="00AC3044">
              <w:rPr>
                <w:rFonts w:eastAsia="SimSun"/>
              </w:rPr>
              <w:t>45 мг</w:t>
            </w:r>
          </w:p>
        </w:tc>
        <w:tc>
          <w:tcPr>
            <w:tcW w:w="1701" w:type="dxa"/>
            <w:vAlign w:val="center"/>
          </w:tcPr>
          <w:p w:rsidR="005600FF" w:rsidRPr="00AC3044" w:rsidRDefault="005600FF" w:rsidP="005600FF">
            <w:pPr>
              <w:ind w:firstLine="0"/>
              <w:rPr>
                <w:rFonts w:eastAsia="SimSun"/>
              </w:rPr>
            </w:pPr>
            <w:r w:rsidRPr="00AC3044">
              <w:rPr>
                <w:rFonts w:eastAsia="SimSun"/>
              </w:rPr>
              <w:t>270 мг</w:t>
            </w:r>
          </w:p>
        </w:tc>
        <w:tc>
          <w:tcPr>
            <w:tcW w:w="1418" w:type="dxa"/>
            <w:vAlign w:val="center"/>
          </w:tcPr>
          <w:p w:rsidR="005600FF" w:rsidRPr="00AC3044" w:rsidRDefault="005600FF" w:rsidP="005600FF">
            <w:pPr>
              <w:ind w:firstLine="0"/>
              <w:rPr>
                <w:rFonts w:eastAsia="SimSun"/>
              </w:rPr>
            </w:pPr>
            <w:r w:rsidRPr="00AC3044">
              <w:rPr>
                <w:rFonts w:eastAsia="SimSun"/>
              </w:rPr>
              <w:t xml:space="preserve">С -7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суточную дозу </w:t>
            </w:r>
          </w:p>
          <w:p w:rsidR="005600FF" w:rsidRPr="00AC3044" w:rsidRDefault="005600FF" w:rsidP="005600FF">
            <w:pPr>
              <w:ind w:firstLine="0"/>
              <w:rPr>
                <w:rFonts w:eastAsia="SimSun"/>
              </w:rPr>
            </w:pPr>
            <w:r w:rsidRPr="00AC3044">
              <w:rPr>
                <w:rFonts w:eastAsia="SimSun"/>
              </w:rPr>
              <w:t>за 3 приема</w:t>
            </w:r>
          </w:p>
        </w:tc>
      </w:tr>
      <w:tr w:rsidR="005600FF" w:rsidRPr="00AC3044" w:rsidTr="005600FF">
        <w:trPr>
          <w:cantSplit/>
          <w:trHeight w:val="769"/>
        </w:trPr>
        <w:tc>
          <w:tcPr>
            <w:tcW w:w="993" w:type="dxa"/>
            <w:vMerge/>
            <w:textDirection w:val="btLr"/>
            <w:vAlign w:val="center"/>
          </w:tcPr>
          <w:p w:rsidR="005600FF" w:rsidRPr="00AC3044" w:rsidRDefault="005600FF" w:rsidP="005600FF">
            <w:pPr>
              <w:ind w:firstLine="0"/>
              <w:rPr>
                <w:rFonts w:eastAsia="SimSun"/>
              </w:rPr>
            </w:pPr>
          </w:p>
        </w:tc>
        <w:tc>
          <w:tcPr>
            <w:tcW w:w="1667" w:type="dxa"/>
            <w:vAlign w:val="center"/>
          </w:tcPr>
          <w:p w:rsidR="005600FF" w:rsidRPr="00AC3044" w:rsidRDefault="005600FF" w:rsidP="005600FF">
            <w:pPr>
              <w:ind w:firstLine="0"/>
              <w:rPr>
                <w:rFonts w:eastAsia="SimSun"/>
              </w:rPr>
            </w:pPr>
            <w:r w:rsidRPr="00AC3044">
              <w:rPr>
                <w:rFonts w:eastAsia="SimSun"/>
              </w:rPr>
              <w:t xml:space="preserve">Руксолитиниб </w:t>
            </w:r>
          </w:p>
        </w:tc>
        <w:tc>
          <w:tcPr>
            <w:tcW w:w="1559" w:type="dxa"/>
            <w:vAlign w:val="center"/>
          </w:tcPr>
          <w:p w:rsidR="005600FF" w:rsidRPr="00AC3044" w:rsidRDefault="005600FF" w:rsidP="005600FF">
            <w:pPr>
              <w:ind w:firstLine="0"/>
              <w:rPr>
                <w:rFonts w:eastAsia="SimSun"/>
              </w:rPr>
            </w:pPr>
            <w:r w:rsidRPr="00AC3044">
              <w:rPr>
                <w:rFonts w:eastAsia="SimSun"/>
              </w:rPr>
              <w:t>15 мг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С +5 дня по +100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суточную дозу </w:t>
            </w:r>
          </w:p>
          <w:p w:rsidR="005600FF" w:rsidRPr="00AC3044" w:rsidRDefault="005600FF" w:rsidP="005600FF">
            <w:pPr>
              <w:ind w:firstLine="0"/>
              <w:rPr>
                <w:rFonts w:eastAsia="SimSun"/>
              </w:rPr>
            </w:pPr>
            <w:r w:rsidRPr="00AC3044">
              <w:rPr>
                <w:rFonts w:eastAsia="SimSun"/>
              </w:rPr>
              <w:t>за 2 приема</w:t>
            </w:r>
          </w:p>
        </w:tc>
      </w:tr>
    </w:tbl>
    <w:p w:rsidR="005600FF" w:rsidRDefault="005600FF" w:rsidP="005600FF">
      <w:pPr>
        <w:rPr>
          <w:rFonts w:eastAsia="SimSun"/>
        </w:rPr>
      </w:pPr>
      <w:bookmarkStart w:id="177" w:name="_Toc44401174"/>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1.2.16  – Flu90+Benda /PT-Cy+Tx+MMF30</w:t>
      </w:r>
      <w:bookmarkEnd w:id="17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678"/>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Бендамустин</w:t>
            </w:r>
          </w:p>
        </w:tc>
        <w:tc>
          <w:tcPr>
            <w:tcW w:w="1559" w:type="dxa"/>
            <w:vAlign w:val="center"/>
          </w:tcPr>
          <w:p w:rsidR="005600FF" w:rsidRPr="00AC3044" w:rsidRDefault="005600FF" w:rsidP="005600FF">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rsidR="005600FF" w:rsidRPr="00AC3044" w:rsidRDefault="005600FF" w:rsidP="005600FF">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  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958"/>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79"/>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 xml:space="preserve">В дни +3, +4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418"/>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w:t>
            </w:r>
          </w:p>
        </w:tc>
      </w:tr>
    </w:tbl>
    <w:p w:rsidR="005600FF" w:rsidRDefault="005600FF" w:rsidP="005600FF">
      <w:pPr>
        <w:rPr>
          <w:rFonts w:eastAsia="SimSun"/>
        </w:rPr>
      </w:pPr>
      <w:bookmarkStart w:id="178" w:name="_Toc44401175"/>
    </w:p>
    <w:p w:rsidR="005600FF" w:rsidRPr="00042499" w:rsidRDefault="005600FF" w:rsidP="005600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1.2.17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w:t>
      </w:r>
      <w:r w:rsidRPr="00C07B2E">
        <w:rPr>
          <w:rFonts w:eastAsia="SimSun"/>
        </w:rPr>
        <w:t>PT</w:t>
      </w:r>
      <w:r w:rsidRPr="00042499">
        <w:rPr>
          <w:rFonts w:eastAsia="SimSun"/>
          <w:lang w:val="en-US"/>
        </w:rPr>
        <w:t>-</w:t>
      </w:r>
      <w:r w:rsidRPr="00C07B2E">
        <w:rPr>
          <w:rFonts w:eastAsia="SimSun"/>
        </w:rPr>
        <w:t>Cy</w:t>
      </w:r>
      <w:bookmarkEnd w:id="17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9B5A5D"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394"/>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Бендамустин</w:t>
            </w:r>
          </w:p>
        </w:tc>
        <w:tc>
          <w:tcPr>
            <w:tcW w:w="1559" w:type="dxa"/>
            <w:vAlign w:val="center"/>
          </w:tcPr>
          <w:p w:rsidR="005600FF" w:rsidRPr="00AC3044" w:rsidRDefault="005600FF" w:rsidP="005600FF">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rsidR="005600FF" w:rsidRPr="00AC3044" w:rsidRDefault="005600FF" w:rsidP="005600FF">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  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958"/>
        </w:trPr>
        <w:tc>
          <w:tcPr>
            <w:tcW w:w="959" w:type="dxa"/>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 xml:space="preserve">В дни +3, +4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179" w:name="_Toc44401176"/>
    </w:p>
    <w:p w:rsidR="005600FF" w:rsidRPr="00C07B2E" w:rsidRDefault="005600FF" w:rsidP="005600FF">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2.2.18 – Flu100+Cy100 / hATG+CSA+MTX</w:t>
      </w:r>
      <w:bookmarkEnd w:id="17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C07B2E"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25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С –5 по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C07B2E" w:rsidTr="005600FF">
        <w:trPr>
          <w:cantSplit/>
          <w:trHeight w:val="704"/>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25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С –5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C07B2E"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559" w:type="dxa"/>
            <w:vAlign w:val="center"/>
          </w:tcPr>
          <w:p w:rsidR="005600FF" w:rsidRPr="00AC3044" w:rsidRDefault="005600FF" w:rsidP="005600FF">
            <w:pPr>
              <w:ind w:firstLine="0"/>
              <w:rPr>
                <w:rFonts w:eastAsia="SimSun"/>
              </w:rPr>
            </w:pPr>
            <w:r w:rsidRPr="00AC3044">
              <w:rPr>
                <w:rFonts w:eastAsia="SimSun"/>
              </w:rPr>
              <w:t>25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С –4 по –1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 гл. 3, «Инфузия АТГ»)</w:t>
            </w:r>
          </w:p>
        </w:tc>
      </w:tr>
      <w:tr w:rsidR="005600FF" w:rsidRPr="00C07B2E" w:rsidTr="005600FF">
        <w:trPr>
          <w:cantSplit/>
          <w:trHeight w:val="1141"/>
        </w:trPr>
        <w:tc>
          <w:tcPr>
            <w:tcW w:w="993"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С –1 дня по +230 день затем постепенное снижение к +270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C07B2E" w:rsidTr="005600FF">
        <w:trPr>
          <w:cantSplit/>
          <w:trHeight w:val="20"/>
        </w:trPr>
        <w:tc>
          <w:tcPr>
            <w:tcW w:w="993"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Метотрексат</w:t>
            </w:r>
          </w:p>
        </w:tc>
        <w:tc>
          <w:tcPr>
            <w:tcW w:w="1559" w:type="dxa"/>
            <w:vAlign w:val="center"/>
          </w:tcPr>
          <w:p w:rsidR="005600FF" w:rsidRPr="00AC3044" w:rsidRDefault="005600FF" w:rsidP="005600FF">
            <w:pPr>
              <w:ind w:firstLine="0"/>
              <w:rPr>
                <w:rFonts w:eastAsia="SimSun"/>
              </w:rPr>
            </w:pPr>
            <w:r w:rsidRPr="00AC3044">
              <w:rPr>
                <w:rFonts w:eastAsia="SimSun"/>
              </w:rPr>
              <w:t>15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C07B2E" w:rsidTr="005600FF">
        <w:trPr>
          <w:cantSplit/>
          <w:trHeight w:val="464"/>
        </w:trPr>
        <w:tc>
          <w:tcPr>
            <w:tcW w:w="993"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Метотрексат</w:t>
            </w:r>
          </w:p>
        </w:tc>
        <w:tc>
          <w:tcPr>
            <w:tcW w:w="1559" w:type="dxa"/>
            <w:vAlign w:val="center"/>
          </w:tcPr>
          <w:p w:rsidR="005600FF" w:rsidRPr="00AC3044" w:rsidRDefault="005600FF" w:rsidP="005600FF">
            <w:pPr>
              <w:ind w:firstLine="0"/>
              <w:rPr>
                <w:rFonts w:eastAsia="SimSun"/>
              </w:rPr>
            </w:pPr>
            <w:r w:rsidRPr="00AC3044">
              <w:rPr>
                <w:rFonts w:eastAsia="SimSun"/>
              </w:rPr>
              <w:t>10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+3, +6, +11 дни</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bl>
    <w:p w:rsidR="005600FF" w:rsidRDefault="005600FF" w:rsidP="005600FF">
      <w:pPr>
        <w:rPr>
          <w:rFonts w:eastAsia="SimSun"/>
        </w:rPr>
      </w:pPr>
      <w:bookmarkStart w:id="180" w:name="_Toc44401177"/>
    </w:p>
    <w:p w:rsidR="005600FF" w:rsidRPr="00042499" w:rsidRDefault="005600FF" w:rsidP="005600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1.2.19  – </w:t>
      </w:r>
      <w:r w:rsidRPr="00B64E8C">
        <w:rPr>
          <w:rFonts w:eastAsia="SimSun"/>
          <w:lang w:val="en-US"/>
        </w:rPr>
        <w:t>Flu</w:t>
      </w:r>
      <w:r w:rsidRPr="00042499">
        <w:rPr>
          <w:rFonts w:eastAsia="SimSun"/>
          <w:lang w:val="en-US"/>
        </w:rPr>
        <w:t>120+</w:t>
      </w:r>
      <w:r w:rsidRPr="00B64E8C">
        <w:rPr>
          <w:rFonts w:eastAsia="SimSun"/>
          <w:lang w:val="en-US"/>
        </w:rPr>
        <w:t>Cy</w:t>
      </w:r>
      <w:r w:rsidRPr="00042499">
        <w:rPr>
          <w:rFonts w:eastAsia="SimSun"/>
          <w:lang w:val="en-US"/>
        </w:rPr>
        <w:t>2000+</w:t>
      </w:r>
      <w:r w:rsidRPr="00B64E8C">
        <w:rPr>
          <w:rFonts w:eastAsia="SimSun"/>
          <w:lang w:val="en-US"/>
        </w:rPr>
        <w:t>Mel</w:t>
      </w:r>
      <w:r w:rsidRPr="00042499">
        <w:rPr>
          <w:rFonts w:eastAsia="SimSun"/>
          <w:lang w:val="en-US"/>
        </w:rPr>
        <w:t xml:space="preserve">140 / </w:t>
      </w:r>
      <w:r w:rsidRPr="00B64E8C">
        <w:rPr>
          <w:rFonts w:eastAsia="SimSun"/>
          <w:lang w:val="en-US"/>
        </w:rPr>
        <w:t>PT</w:t>
      </w:r>
      <w:r w:rsidRPr="00042499">
        <w:rPr>
          <w:rFonts w:eastAsia="SimSun"/>
          <w:lang w:val="en-US"/>
        </w:rPr>
        <w:t>-</w:t>
      </w:r>
      <w:r w:rsidRPr="00B64E8C">
        <w:rPr>
          <w:rFonts w:eastAsia="SimSun"/>
          <w:lang w:val="en-US"/>
        </w:rPr>
        <w:t>Cy</w:t>
      </w:r>
      <w:r w:rsidRPr="00042499">
        <w:rPr>
          <w:rFonts w:eastAsia="SimSun"/>
          <w:lang w:val="en-US"/>
        </w:rPr>
        <w:t>+</w:t>
      </w:r>
      <w:r w:rsidRPr="00B64E8C">
        <w:rPr>
          <w:rFonts w:eastAsia="SimSun"/>
          <w:lang w:val="en-US"/>
        </w:rPr>
        <w:t>CSA</w:t>
      </w:r>
      <w:r w:rsidRPr="00042499">
        <w:rPr>
          <w:rFonts w:eastAsia="SimSun"/>
          <w:lang w:val="en-US"/>
        </w:rPr>
        <w:t>+</w:t>
      </w:r>
      <w:r w:rsidRPr="00B64E8C">
        <w:rPr>
          <w:rFonts w:eastAsia="SimSun"/>
          <w:lang w:val="en-US"/>
        </w:rPr>
        <w:t>MMF</w:t>
      </w:r>
      <w:r w:rsidRPr="00042499">
        <w:rPr>
          <w:rFonts w:eastAsia="SimSun"/>
          <w:lang w:val="en-US"/>
        </w:rPr>
        <w:t>45</w:t>
      </w:r>
      <w:bookmarkEnd w:id="180"/>
    </w:p>
    <w:tbl>
      <w:tblPr>
        <w:tblW w:w="9605" w:type="dxa"/>
        <w:tblInd w:w="1" w:type="dxa"/>
        <w:tblLayout w:type="fixed"/>
        <w:tblCellMar>
          <w:left w:w="10" w:type="dxa"/>
          <w:right w:w="10" w:type="dxa"/>
        </w:tblCellMar>
        <w:tblLook w:val="0000" w:firstRow="0" w:lastRow="0" w:firstColumn="0" w:lastColumn="0" w:noHBand="0" w:noVBand="0"/>
      </w:tblPr>
      <w:tblGrid>
        <w:gridCol w:w="958"/>
        <w:gridCol w:w="1701"/>
        <w:gridCol w:w="1559"/>
        <w:gridCol w:w="1701"/>
        <w:gridCol w:w="1418"/>
        <w:gridCol w:w="2268"/>
      </w:tblGrid>
      <w:tr w:rsidR="005600FF" w:rsidRPr="00AC3044" w:rsidTr="005600FF">
        <w:trPr>
          <w:trHeight w:val="20"/>
          <w:tblHeader/>
        </w:trPr>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0FF" w:rsidRPr="009B5A5D" w:rsidRDefault="005600FF" w:rsidP="005600FF">
            <w:pPr>
              <w:ind w:firstLine="0"/>
              <w:rPr>
                <w:rFonts w:eastAsia="SimSun"/>
                <w:lang w:val="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Препарат</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trHeight w:val="20"/>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Флударабин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120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 –5 по –3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trHeight w:val="1011"/>
        </w:trPr>
        <w:tc>
          <w:tcPr>
            <w:tcW w:w="958" w:type="dxa"/>
            <w:vMerge/>
            <w:tcBorders>
              <w:left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1000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2000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-7, -6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trHeight w:val="402"/>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Мелфалан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140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trHeight w:val="20"/>
        </w:trPr>
        <w:tc>
          <w:tcPr>
            <w:tcW w:w="9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3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w:t>
            </w:r>
            <w:r>
              <w:rPr>
                <w:rFonts w:eastAsia="SimSun"/>
              </w:rPr>
              <w:t xml:space="preserve"> </w:t>
            </w:r>
            <w:r w:rsidRPr="00AC3044">
              <w:rPr>
                <w:rFonts w:eastAsia="SimSun"/>
              </w:rPr>
              <w:t>пг/мл</w:t>
            </w:r>
          </w:p>
        </w:tc>
      </w:tr>
      <w:tr w:rsidR="005600FF" w:rsidRPr="00AC3044" w:rsidTr="005600FF">
        <w:trPr>
          <w:trHeight w:val="20"/>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45 мг/кг</w:t>
            </w:r>
            <w:r w:rsidRPr="00AC3044">
              <w:rPr>
                <w:rFonts w:eastAsia="SimSun"/>
              </w:rPr>
              <w:tab/>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r w:rsidR="005600FF" w:rsidRPr="00AC3044" w:rsidTr="005600FF">
        <w:trPr>
          <w:trHeight w:val="464"/>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50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100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181" w:name="_Toc44401178"/>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1.2.20  – Flu150+Treo36 / PT-Cy+CSA+MMF30</w:t>
      </w:r>
      <w:bookmarkEnd w:id="18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–6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801"/>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Треосульфан</w:t>
            </w:r>
          </w:p>
        </w:tc>
        <w:tc>
          <w:tcPr>
            <w:tcW w:w="1559" w:type="dxa"/>
            <w:vAlign w:val="center"/>
          </w:tcPr>
          <w:p w:rsidR="005600FF" w:rsidRPr="00AC3044" w:rsidRDefault="005600FF" w:rsidP="005600FF">
            <w:pPr>
              <w:ind w:firstLine="0"/>
              <w:rPr>
                <w:rFonts w:eastAsia="SimSun"/>
              </w:rPr>
            </w:pPr>
            <w:r w:rsidRPr="00AC3044">
              <w:rPr>
                <w:rFonts w:eastAsia="SimSun"/>
              </w:rPr>
              <w:t>12 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36 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–6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С +5 по +60 день, затем постепенное снижение к +100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30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С +5 по +30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3г/сут).</w:t>
            </w:r>
          </w:p>
        </w:tc>
      </w:tr>
    </w:tbl>
    <w:p w:rsidR="005600FF" w:rsidRPr="00C07B2E" w:rsidRDefault="005600FF" w:rsidP="005600FF">
      <w:pPr>
        <w:rPr>
          <w:rFonts w:eastAsia="SimSun"/>
        </w:rPr>
      </w:pPr>
    </w:p>
    <w:p w:rsidR="005600FF" w:rsidRPr="00042499" w:rsidRDefault="005600FF" w:rsidP="005600FF">
      <w:pPr>
        <w:rPr>
          <w:rFonts w:eastAsia="SimSun"/>
          <w:lang w:val="en-US"/>
        </w:rPr>
      </w:pPr>
      <w:bookmarkStart w:id="182" w:name="_Toc44401179"/>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1.2.21  – </w:t>
      </w:r>
      <w:r w:rsidRPr="00B64E8C">
        <w:rPr>
          <w:rFonts w:eastAsia="SimSun"/>
          <w:lang w:val="en-US"/>
        </w:rPr>
        <w:t>Flu</w:t>
      </w:r>
      <w:r w:rsidRPr="00042499">
        <w:rPr>
          <w:rFonts w:eastAsia="SimSun"/>
          <w:lang w:val="en-US"/>
        </w:rPr>
        <w:t>150+</w:t>
      </w:r>
      <w:r w:rsidRPr="00B64E8C">
        <w:rPr>
          <w:rFonts w:eastAsia="SimSun"/>
          <w:lang w:val="en-US"/>
        </w:rPr>
        <w:t>Thio</w:t>
      </w:r>
      <w:r w:rsidRPr="00042499">
        <w:rPr>
          <w:rFonts w:eastAsia="SimSun"/>
          <w:lang w:val="en-US"/>
        </w:rPr>
        <w:t xml:space="preserve"> / </w:t>
      </w:r>
      <w:r w:rsidRPr="00B64E8C">
        <w:rPr>
          <w:rFonts w:eastAsia="SimSun"/>
          <w:lang w:val="en-US"/>
        </w:rPr>
        <w:t>hATG</w:t>
      </w:r>
      <w:r w:rsidRPr="00042499">
        <w:rPr>
          <w:rFonts w:eastAsia="SimSun"/>
          <w:lang w:val="en-US"/>
        </w:rPr>
        <w:t>+</w:t>
      </w:r>
      <w:r w:rsidRPr="00B64E8C">
        <w:rPr>
          <w:rFonts w:eastAsia="SimSun"/>
          <w:lang w:val="en-US"/>
        </w:rPr>
        <w:t>Tx</w:t>
      </w:r>
      <w:r w:rsidRPr="00042499">
        <w:rPr>
          <w:rFonts w:eastAsia="SimSun"/>
          <w:lang w:val="en-US"/>
        </w:rPr>
        <w:t>+</w:t>
      </w:r>
      <w:r w:rsidRPr="00B64E8C">
        <w:rPr>
          <w:rFonts w:eastAsia="SimSun"/>
          <w:lang w:val="en-US"/>
        </w:rPr>
        <w:t>MMF</w:t>
      </w:r>
      <w:r w:rsidRPr="00042499">
        <w:rPr>
          <w:rFonts w:eastAsia="SimSun"/>
          <w:lang w:val="en-US"/>
        </w:rPr>
        <w:t>30</w:t>
      </w:r>
      <w:bookmarkEnd w:id="18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B64E8C"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-6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74"/>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мг/м</w:t>
            </w:r>
            <w:r w:rsidRPr="001E6DBE">
              <w:rPr>
                <w:rFonts w:eastAsia="SimSun"/>
                <w:vertAlign w:val="superscript"/>
              </w:rPr>
              <w:t>2</w:t>
            </w:r>
            <w:r w:rsidRPr="00AC3044">
              <w:rPr>
                <w:rFonts w:eastAsia="SimSun"/>
              </w:rPr>
              <w:t xml:space="preserve"> </w:t>
            </w:r>
          </w:p>
        </w:tc>
        <w:tc>
          <w:tcPr>
            <w:tcW w:w="1701" w:type="dxa"/>
            <w:vAlign w:val="center"/>
          </w:tcPr>
          <w:p w:rsidR="005600FF" w:rsidRPr="00AC3044" w:rsidRDefault="005600FF" w:rsidP="005600FF">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 Дни -5; -4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695"/>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559" w:type="dxa"/>
            <w:vAlign w:val="center"/>
          </w:tcPr>
          <w:p w:rsidR="005600FF" w:rsidRPr="00AC3044" w:rsidRDefault="005600FF" w:rsidP="005600FF">
            <w:pPr>
              <w:ind w:firstLine="0"/>
              <w:rPr>
                <w:rFonts w:eastAsia="SimSun"/>
              </w:rPr>
            </w:pPr>
            <w:r w:rsidRPr="00AC3044">
              <w:rPr>
                <w:rFonts w:eastAsia="SimSun"/>
              </w:rPr>
              <w:t>20 мг/кг</w:t>
            </w:r>
          </w:p>
        </w:tc>
        <w:tc>
          <w:tcPr>
            <w:tcW w:w="1701" w:type="dxa"/>
            <w:vAlign w:val="center"/>
          </w:tcPr>
          <w:p w:rsidR="005600FF" w:rsidRPr="00AC3044" w:rsidRDefault="005600FF" w:rsidP="005600FF">
            <w:pPr>
              <w:ind w:firstLine="0"/>
              <w:rPr>
                <w:rFonts w:eastAsia="SimSun"/>
              </w:rPr>
            </w:pPr>
            <w:r w:rsidRPr="00AC3044">
              <w:rPr>
                <w:rFonts w:eastAsia="SimSun"/>
              </w:rPr>
              <w:t>60 мг/кг</w:t>
            </w:r>
          </w:p>
        </w:tc>
        <w:tc>
          <w:tcPr>
            <w:tcW w:w="1418" w:type="dxa"/>
            <w:vAlign w:val="center"/>
          </w:tcPr>
          <w:p w:rsidR="005600FF" w:rsidRPr="00AC3044" w:rsidRDefault="005600FF" w:rsidP="005600FF">
            <w:pPr>
              <w:ind w:firstLine="0"/>
              <w:rPr>
                <w:rFonts w:eastAsia="SimSun"/>
              </w:rPr>
            </w:pPr>
            <w:r w:rsidRPr="00AC3044">
              <w:rPr>
                <w:rFonts w:eastAsia="SimSun"/>
              </w:rPr>
              <w:t>В дни -3, -2, -1</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986"/>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183" w:name="_Toc44401180"/>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1.2.22  – Flu180+Cy1200/ hATG+Tx+MMF30</w:t>
      </w:r>
      <w:bookmarkEnd w:id="18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864"/>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rsidR="005600FF" w:rsidRPr="00AC3044" w:rsidRDefault="005600FF" w:rsidP="005600FF">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 С -5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64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 xml:space="preserve"> АТГ (лошадиный)</w:t>
            </w:r>
          </w:p>
        </w:tc>
        <w:tc>
          <w:tcPr>
            <w:tcW w:w="1559" w:type="dxa"/>
            <w:vAlign w:val="center"/>
          </w:tcPr>
          <w:p w:rsidR="005600FF" w:rsidRPr="00AC3044" w:rsidRDefault="005600FF" w:rsidP="005600FF">
            <w:pPr>
              <w:ind w:firstLine="0"/>
              <w:rPr>
                <w:rFonts w:eastAsia="SimSun"/>
              </w:rPr>
            </w:pPr>
            <w:r w:rsidRPr="00AC3044">
              <w:rPr>
                <w:rFonts w:eastAsia="SimSun"/>
              </w:rPr>
              <w:t>20 мг/кг</w:t>
            </w:r>
          </w:p>
        </w:tc>
        <w:tc>
          <w:tcPr>
            <w:tcW w:w="1701" w:type="dxa"/>
            <w:vAlign w:val="center"/>
          </w:tcPr>
          <w:p w:rsidR="005600FF" w:rsidRPr="00AC3044" w:rsidRDefault="005600FF" w:rsidP="005600FF">
            <w:pPr>
              <w:ind w:firstLine="0"/>
              <w:rPr>
                <w:rFonts w:eastAsia="SimSun"/>
              </w:rPr>
            </w:pPr>
            <w:r w:rsidRPr="00AC3044">
              <w:rPr>
                <w:rFonts w:eastAsia="SimSun"/>
              </w:rPr>
              <w:t>60 мг/кг</w:t>
            </w:r>
          </w:p>
        </w:tc>
        <w:tc>
          <w:tcPr>
            <w:tcW w:w="1418" w:type="dxa"/>
            <w:vAlign w:val="center"/>
          </w:tcPr>
          <w:p w:rsidR="005600FF" w:rsidRPr="00AC3044" w:rsidRDefault="005600FF" w:rsidP="005600FF">
            <w:pPr>
              <w:ind w:firstLine="0"/>
              <w:rPr>
                <w:rFonts w:eastAsia="SimSun"/>
              </w:rPr>
            </w:pPr>
            <w:r w:rsidRPr="00AC3044">
              <w:rPr>
                <w:rFonts w:eastAsia="SimSun"/>
              </w:rPr>
              <w:t>В дни -3, -2, -1</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109/л, при отсутствии тошноты, рвоты, диареи и возможности приема внутрь. Концентрация Tx 5-15 нг/мл.    </w:t>
            </w:r>
          </w:p>
        </w:tc>
      </w:tr>
      <w:tr w:rsidR="005600FF" w:rsidRPr="00AC3044" w:rsidTr="005600FF">
        <w:trPr>
          <w:cantSplit/>
          <w:trHeight w:val="709"/>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Pr="00C07B2E" w:rsidRDefault="005600FF" w:rsidP="005600FF">
      <w:pPr>
        <w:rPr>
          <w:rFonts w:eastAsia="SimSun"/>
        </w:rPr>
      </w:pPr>
    </w:p>
    <w:p w:rsidR="005600FF" w:rsidRPr="00042499" w:rsidRDefault="005600FF" w:rsidP="005600FF">
      <w:pPr>
        <w:rPr>
          <w:rFonts w:eastAsia="SimSun"/>
          <w:lang w:val="en-US"/>
        </w:rPr>
      </w:pPr>
      <w:bookmarkStart w:id="184" w:name="_Toc44401181"/>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1.2.23  – </w:t>
      </w:r>
      <w:r w:rsidRPr="00B64E8C">
        <w:rPr>
          <w:rFonts w:eastAsia="SimSun"/>
          <w:lang w:val="en-US"/>
        </w:rPr>
        <w:t>Flu</w:t>
      </w:r>
      <w:r w:rsidRPr="00042499">
        <w:rPr>
          <w:rFonts w:eastAsia="SimSun"/>
          <w:lang w:val="en-US"/>
        </w:rPr>
        <w:t>180+</w:t>
      </w:r>
      <w:r w:rsidRPr="00B64E8C">
        <w:rPr>
          <w:rFonts w:eastAsia="SimSun"/>
          <w:lang w:val="en-US"/>
        </w:rPr>
        <w:t>Cy</w:t>
      </w:r>
      <w:r w:rsidRPr="00042499">
        <w:rPr>
          <w:rFonts w:eastAsia="SimSun"/>
          <w:lang w:val="en-US"/>
        </w:rPr>
        <w:t xml:space="preserve">1200 / </w:t>
      </w:r>
      <w:r w:rsidRPr="00B64E8C">
        <w:rPr>
          <w:rFonts w:eastAsia="SimSun"/>
          <w:lang w:val="en-US"/>
        </w:rPr>
        <w:t>rATG</w:t>
      </w:r>
      <w:r w:rsidRPr="00042499">
        <w:rPr>
          <w:rFonts w:eastAsia="SimSun"/>
          <w:lang w:val="en-US"/>
        </w:rPr>
        <w:t>+</w:t>
      </w:r>
      <w:r w:rsidRPr="00B64E8C">
        <w:rPr>
          <w:rFonts w:eastAsia="SimSun"/>
          <w:lang w:val="en-US"/>
        </w:rPr>
        <w:t>Tx</w:t>
      </w:r>
      <w:r w:rsidRPr="00042499">
        <w:rPr>
          <w:rFonts w:eastAsia="SimSun"/>
          <w:lang w:val="en-US"/>
        </w:rPr>
        <w:t>+</w:t>
      </w:r>
      <w:r w:rsidRPr="00B64E8C">
        <w:rPr>
          <w:rFonts w:eastAsia="SimSun"/>
          <w:lang w:val="en-US"/>
        </w:rPr>
        <w:t>MMF</w:t>
      </w:r>
      <w:r w:rsidRPr="00042499">
        <w:rPr>
          <w:rFonts w:eastAsia="SimSun"/>
          <w:lang w:val="en-US"/>
        </w:rPr>
        <w:t>30</w:t>
      </w:r>
      <w:bookmarkEnd w:id="18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B64E8C"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rsidR="005600FF" w:rsidRPr="00AC3044" w:rsidRDefault="005600FF" w:rsidP="005600FF">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 С -5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858"/>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(кроличий)</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701" w:type="dxa"/>
            <w:vAlign w:val="center"/>
          </w:tcPr>
          <w:p w:rsidR="005600FF" w:rsidRPr="00AC3044" w:rsidRDefault="005600FF" w:rsidP="005600FF">
            <w:pPr>
              <w:ind w:firstLine="0"/>
              <w:rPr>
                <w:rFonts w:eastAsia="SimSun"/>
              </w:rPr>
            </w:pPr>
            <w:r w:rsidRPr="00AC3044">
              <w:rPr>
                <w:rFonts w:eastAsia="SimSun"/>
              </w:rPr>
              <w:t>10 мг/кг</w:t>
            </w:r>
          </w:p>
        </w:tc>
        <w:tc>
          <w:tcPr>
            <w:tcW w:w="1418" w:type="dxa"/>
            <w:vAlign w:val="center"/>
          </w:tcPr>
          <w:p w:rsidR="005600FF" w:rsidRPr="00AC3044" w:rsidRDefault="005600FF" w:rsidP="005600FF">
            <w:pPr>
              <w:ind w:firstLine="0"/>
              <w:rPr>
                <w:rFonts w:eastAsia="SimSun"/>
              </w:rPr>
            </w:pPr>
            <w:r w:rsidRPr="00AC3044">
              <w:rPr>
                <w:rFonts w:eastAsia="SimSun"/>
              </w:rPr>
              <w:t>В дни -2, -1</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 на 2 введения (см. гл.</w:t>
            </w:r>
            <w:r>
              <w:rPr>
                <w:rFonts w:eastAsia="SimSun"/>
              </w:rPr>
              <w:t xml:space="preserve"> </w:t>
            </w:r>
            <w:r w:rsidRPr="00AC3044">
              <w:rPr>
                <w:rFonts w:eastAsia="SimSun"/>
              </w:rPr>
              <w:t>«Инфузия АТГ»)</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370"/>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185" w:name="_Toc44401182"/>
    </w:p>
    <w:p w:rsidR="005600FF" w:rsidRPr="00C07B2E" w:rsidRDefault="005600FF" w:rsidP="005600FF">
      <w:pPr>
        <w:rPr>
          <w:rFonts w:eastAsia="SimSun"/>
        </w:rPr>
      </w:pPr>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2.2.24 – Flu180+Mel100/ PT-Cy+Tx+MMF30</w:t>
      </w:r>
      <w:bookmarkEnd w:id="18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5600FF" w:rsidRPr="00AC3044" w:rsidTr="005600FF">
        <w:trPr>
          <w:cantSplit/>
          <w:trHeight w:val="20"/>
          <w:tblHeader/>
        </w:trPr>
        <w:tc>
          <w:tcPr>
            <w:tcW w:w="959"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701"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8"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440"/>
        </w:trPr>
        <w:tc>
          <w:tcPr>
            <w:tcW w:w="959"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Мелфалан</w:t>
            </w:r>
          </w:p>
        </w:tc>
        <w:tc>
          <w:tcPr>
            <w:tcW w:w="1559" w:type="dxa"/>
            <w:vAlign w:val="center"/>
          </w:tcPr>
          <w:p w:rsidR="005600FF" w:rsidRPr="00AC3044" w:rsidRDefault="005600FF" w:rsidP="005600FF">
            <w:pPr>
              <w:ind w:firstLine="0"/>
              <w:rPr>
                <w:rFonts w:eastAsia="SimSun"/>
              </w:rPr>
            </w:pPr>
            <w:r w:rsidRPr="00AC3044">
              <w:rPr>
                <w:rFonts w:eastAsia="SimSun"/>
              </w:rPr>
              <w:t>100 мг/м</w:t>
            </w:r>
            <w:r w:rsidRPr="001E6DBE">
              <w:rPr>
                <w:rFonts w:eastAsia="SimSun"/>
                <w:vertAlign w:val="superscript"/>
              </w:rPr>
              <w:t>2</w:t>
            </w:r>
            <w:r w:rsidRPr="00AC3044">
              <w:rPr>
                <w:rFonts w:eastAsia="SimSun"/>
              </w:rPr>
              <w:t xml:space="preserve"> </w:t>
            </w:r>
          </w:p>
        </w:tc>
        <w:tc>
          <w:tcPr>
            <w:tcW w:w="1701" w:type="dxa"/>
            <w:vAlign w:val="center"/>
          </w:tcPr>
          <w:p w:rsidR="005600FF" w:rsidRPr="00AC3044" w:rsidRDefault="005600FF" w:rsidP="005600FF">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 xml:space="preserve">В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516"/>
        </w:trPr>
        <w:tc>
          <w:tcPr>
            <w:tcW w:w="95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701" w:type="dxa"/>
            <w:vAlign w:val="center"/>
          </w:tcPr>
          <w:p w:rsidR="005600FF" w:rsidRPr="00AC3044" w:rsidRDefault="005600FF" w:rsidP="005600FF">
            <w:pPr>
              <w:ind w:firstLine="0"/>
              <w:rPr>
                <w:rFonts w:eastAsia="SimSun"/>
              </w:rPr>
            </w:pPr>
            <w:r w:rsidRPr="00AC3044">
              <w:rPr>
                <w:rFonts w:eastAsia="SimSun"/>
              </w:rPr>
              <w:t>100 мг/кг</w:t>
            </w:r>
          </w:p>
        </w:tc>
        <w:tc>
          <w:tcPr>
            <w:tcW w:w="1418"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течение 2 ч </w:t>
            </w:r>
          </w:p>
        </w:tc>
      </w:tr>
      <w:tr w:rsidR="005600FF" w:rsidRPr="00AC3044" w:rsidTr="005600FF">
        <w:trPr>
          <w:cantSplit/>
          <w:trHeight w:val="958"/>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986"/>
        </w:trPr>
        <w:tc>
          <w:tcPr>
            <w:tcW w:w="95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701" w:type="dxa"/>
            <w:vAlign w:val="center"/>
          </w:tcPr>
          <w:p w:rsidR="005600FF" w:rsidRPr="00AC3044" w:rsidRDefault="005600FF" w:rsidP="005600FF">
            <w:pPr>
              <w:ind w:firstLine="0"/>
              <w:rPr>
                <w:rFonts w:eastAsia="SimSun"/>
              </w:rPr>
            </w:pPr>
            <w:r w:rsidRPr="00AC3044">
              <w:rPr>
                <w:rFonts w:eastAsia="SimSun"/>
              </w:rPr>
              <w:t>–</w:t>
            </w:r>
          </w:p>
        </w:tc>
        <w:tc>
          <w:tcPr>
            <w:tcW w:w="1418"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Pr="00C07B2E" w:rsidRDefault="005600FF" w:rsidP="005600FF">
      <w:pPr>
        <w:rPr>
          <w:rFonts w:eastAsia="SimSun"/>
        </w:rPr>
        <w:sectPr w:rsidR="005600FF" w:rsidRPr="00C07B2E" w:rsidSect="005600FF">
          <w:footerReference w:type="default" r:id="rId9"/>
          <w:type w:val="continuous"/>
          <w:pgSz w:w="11907" w:h="16839" w:code="9"/>
          <w:pgMar w:top="1134" w:right="850" w:bottom="1134" w:left="1701" w:header="709" w:footer="567" w:gutter="0"/>
          <w:cols w:space="708"/>
          <w:docGrid w:linePitch="360"/>
        </w:sectPr>
      </w:pPr>
    </w:p>
    <w:p w:rsidR="005600FF" w:rsidRDefault="005600FF" w:rsidP="005600FF">
      <w:pPr>
        <w:rPr>
          <w:rFonts w:eastAsia="SimSun"/>
        </w:rPr>
      </w:pPr>
      <w:bookmarkStart w:id="186" w:name="_Toc44401183"/>
    </w:p>
    <w:p w:rsidR="005600FF" w:rsidRPr="00470E23" w:rsidRDefault="005600FF" w:rsidP="005600FF">
      <w:pPr>
        <w:rPr>
          <w:rFonts w:eastAsia="SimSun"/>
          <w:i/>
          <w:u w:val="single"/>
        </w:rPr>
      </w:pPr>
      <w:r w:rsidRPr="00470E23">
        <w:rPr>
          <w:rFonts w:eastAsia="SimSun"/>
          <w:i/>
          <w:u w:val="single"/>
        </w:rPr>
        <w:t>2. Неродственный HLA-идентичный донор</w:t>
      </w:r>
      <w:bookmarkEnd w:id="186"/>
      <w:r w:rsidRPr="00470E23">
        <w:rPr>
          <w:rFonts w:eastAsia="SimSun"/>
          <w:i/>
          <w:u w:val="single"/>
        </w:rPr>
        <w:t xml:space="preserve"> </w:t>
      </w:r>
    </w:p>
    <w:p w:rsidR="005600FF" w:rsidRDefault="005600FF" w:rsidP="005600FF">
      <w:pPr>
        <w:rPr>
          <w:rFonts w:eastAsia="SimSun"/>
        </w:rPr>
      </w:pPr>
      <w:bookmarkStart w:id="187" w:name="_Toc44401184"/>
    </w:p>
    <w:bookmarkEnd w:id="187"/>
    <w:p w:rsidR="005600FF" w:rsidRPr="00C07B2E" w:rsidRDefault="005600FF" w:rsidP="005600FF">
      <w:pPr>
        <w:rPr>
          <w:rFonts w:eastAsia="SimSun"/>
        </w:rPr>
      </w:pPr>
      <w:r w:rsidRPr="00C07B2E">
        <w:rPr>
          <w:rFonts w:eastAsia="SimSun"/>
        </w:rPr>
        <w:t xml:space="preserve">Схемы и режимы применения препаратов для </w:t>
      </w:r>
      <w:r w:rsidRPr="00470E23">
        <w:rPr>
          <w:rFonts w:eastAsia="SimSun"/>
          <w:b/>
          <w:u w:val="single"/>
        </w:rPr>
        <w:t>кондиционирования в миелоаблативном режиме</w:t>
      </w:r>
      <w:r w:rsidRPr="00C07B2E">
        <w:rPr>
          <w:rFonts w:eastAsia="SimSun"/>
        </w:rPr>
        <w:t xml:space="preserve"> и профилактики РТПХ указаны в Таблице </w:t>
      </w:r>
      <w:r>
        <w:rPr>
          <w:rFonts w:eastAsia="SimSun"/>
        </w:rPr>
        <w:t>5.</w:t>
      </w:r>
      <w:r w:rsidRPr="00C07B2E">
        <w:rPr>
          <w:rFonts w:eastAsia="SimSun"/>
        </w:rPr>
        <w:t>2.1</w:t>
      </w:r>
    </w:p>
    <w:p w:rsidR="005600FF" w:rsidRPr="00C07B2E" w:rsidRDefault="005600FF" w:rsidP="005600FF">
      <w:pPr>
        <w:rPr>
          <w:rFonts w:eastAsia="SimSun"/>
        </w:rPr>
        <w:sectPr w:rsidR="005600FF" w:rsidRPr="00C07B2E" w:rsidSect="005600FF">
          <w:headerReference w:type="even" r:id="rId10"/>
          <w:type w:val="continuous"/>
          <w:pgSz w:w="11907" w:h="16839" w:code="9"/>
          <w:pgMar w:top="1134" w:right="850" w:bottom="1134" w:left="1701" w:header="709" w:footer="567" w:gutter="0"/>
          <w:cols w:space="708"/>
          <w:docGrid w:linePitch="360"/>
        </w:sectPr>
      </w:pPr>
    </w:p>
    <w:p w:rsidR="005600FF" w:rsidRPr="00C07B2E" w:rsidRDefault="005600FF" w:rsidP="005600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2.1 Схемы и режимы применения препаратов для кондиционирования и профилактики РТПХ со ссылками на </w:t>
      </w:r>
      <w:r>
        <w:rPr>
          <w:rFonts w:eastAsia="SimSun"/>
        </w:rPr>
        <w:t>таблицы с описанием</w:t>
      </w:r>
    </w:p>
    <w:p w:rsidR="005600FF" w:rsidRPr="00C07B2E" w:rsidRDefault="005600FF" w:rsidP="005600FF">
      <w:pPr>
        <w:rPr>
          <w:rFonts w:eastAsia="SimSun"/>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46"/>
        <w:gridCol w:w="1450"/>
        <w:gridCol w:w="2017"/>
        <w:gridCol w:w="2116"/>
        <w:gridCol w:w="1913"/>
        <w:gridCol w:w="2113"/>
        <w:gridCol w:w="1603"/>
      </w:tblGrid>
      <w:tr w:rsidR="005600FF" w:rsidRPr="00470E23" w:rsidTr="005600FF">
        <w:trPr>
          <w:cantSplit/>
          <w:trHeight w:val="640"/>
        </w:trPr>
        <w:tc>
          <w:tcPr>
            <w:tcW w:w="2255" w:type="pct"/>
            <w:gridSpan w:val="4"/>
            <w:vMerge w:val="restart"/>
            <w:shd w:val="clear" w:color="auto" w:fill="auto"/>
            <w:vAlign w:val="center"/>
          </w:tcPr>
          <w:p w:rsidR="005600FF" w:rsidRPr="00470E23" w:rsidRDefault="005600FF" w:rsidP="005600FF">
            <w:pPr>
              <w:ind w:firstLine="0"/>
              <w:rPr>
                <w:rFonts w:eastAsia="SimSun"/>
              </w:rPr>
            </w:pPr>
            <w:r w:rsidRPr="00470E23">
              <w:rPr>
                <w:rFonts w:eastAsia="SimSun"/>
              </w:rPr>
              <w:t>Профилактика РТПХ</w:t>
            </w:r>
          </w:p>
        </w:tc>
        <w:tc>
          <w:tcPr>
            <w:tcW w:w="2745" w:type="pct"/>
            <w:gridSpan w:val="4"/>
            <w:tcBorders>
              <w:left w:val="single" w:sz="4" w:space="0" w:color="00000A"/>
              <w:right w:val="single" w:sz="4" w:space="0" w:color="00000A"/>
            </w:tcBorders>
            <w:shd w:val="clear" w:color="auto" w:fill="auto"/>
          </w:tcPr>
          <w:p w:rsidR="005600FF" w:rsidRPr="00470E23" w:rsidRDefault="005600FF" w:rsidP="005600FF">
            <w:pPr>
              <w:ind w:firstLine="0"/>
              <w:rPr>
                <w:rFonts w:eastAsia="SimSun"/>
              </w:rPr>
            </w:pPr>
            <w:r w:rsidRPr="00470E23">
              <w:rPr>
                <w:rFonts w:eastAsia="SimSun"/>
              </w:rPr>
              <w:t>Режим кондиционирования</w:t>
            </w:r>
          </w:p>
        </w:tc>
      </w:tr>
      <w:tr w:rsidR="005600FF" w:rsidRPr="00470E23" w:rsidTr="005600FF">
        <w:trPr>
          <w:cantSplit/>
          <w:trHeight w:val="549"/>
        </w:trPr>
        <w:tc>
          <w:tcPr>
            <w:tcW w:w="2255" w:type="pct"/>
            <w:gridSpan w:val="4"/>
            <w:vMerge/>
            <w:shd w:val="clear" w:color="auto" w:fill="auto"/>
            <w:vAlign w:val="center"/>
          </w:tcPr>
          <w:p w:rsidR="005600FF" w:rsidRPr="00470E23" w:rsidRDefault="005600FF" w:rsidP="005600FF">
            <w:pPr>
              <w:ind w:firstLine="0"/>
              <w:rPr>
                <w:rFonts w:eastAsia="SimSun"/>
              </w:rPr>
            </w:pPr>
          </w:p>
        </w:tc>
        <w:tc>
          <w:tcPr>
            <w:tcW w:w="750" w:type="pct"/>
            <w:shd w:val="clear" w:color="auto" w:fill="D9D9D9"/>
            <w:vAlign w:val="center"/>
          </w:tcPr>
          <w:p w:rsidR="005600FF" w:rsidRPr="00470E23" w:rsidRDefault="005600FF" w:rsidP="005600FF">
            <w:pPr>
              <w:ind w:firstLine="0"/>
              <w:rPr>
                <w:rFonts w:eastAsia="SimSun"/>
              </w:rPr>
            </w:pPr>
            <w:r w:rsidRPr="00470E23">
              <w:rPr>
                <w:rFonts w:eastAsia="SimSun"/>
              </w:rPr>
              <w:t>Cy120</w:t>
            </w:r>
          </w:p>
        </w:tc>
        <w:tc>
          <w:tcPr>
            <w:tcW w:w="1995" w:type="pct"/>
            <w:gridSpan w:val="3"/>
            <w:shd w:val="clear" w:color="auto" w:fill="D9D9D9"/>
            <w:vAlign w:val="center"/>
          </w:tcPr>
          <w:p w:rsidR="005600FF" w:rsidRPr="00470E23" w:rsidRDefault="005600FF" w:rsidP="005600FF">
            <w:pPr>
              <w:ind w:firstLine="0"/>
              <w:rPr>
                <w:rFonts w:eastAsia="SimSun"/>
              </w:rPr>
            </w:pPr>
            <w:r w:rsidRPr="00470E23">
              <w:rPr>
                <w:rFonts w:eastAsia="SimSun"/>
              </w:rPr>
              <w:t>Flu180</w:t>
            </w:r>
          </w:p>
        </w:tc>
      </w:tr>
      <w:tr w:rsidR="005600FF" w:rsidRPr="00470E23" w:rsidTr="005600FF">
        <w:trPr>
          <w:cantSplit/>
          <w:trHeight w:val="571"/>
        </w:trPr>
        <w:tc>
          <w:tcPr>
            <w:tcW w:w="2255" w:type="pct"/>
            <w:gridSpan w:val="4"/>
            <w:vMerge/>
            <w:shd w:val="clear" w:color="auto" w:fill="auto"/>
            <w:vAlign w:val="center"/>
          </w:tcPr>
          <w:p w:rsidR="005600FF" w:rsidRPr="00470E23" w:rsidRDefault="005600FF" w:rsidP="005600FF">
            <w:pPr>
              <w:ind w:firstLine="0"/>
              <w:rPr>
                <w:rFonts w:eastAsia="SimSun"/>
              </w:rPr>
            </w:pPr>
          </w:p>
        </w:tc>
        <w:tc>
          <w:tcPr>
            <w:tcW w:w="750" w:type="pct"/>
            <w:shd w:val="clear" w:color="auto" w:fill="D9D9D9"/>
            <w:vAlign w:val="center"/>
          </w:tcPr>
          <w:p w:rsidR="005600FF" w:rsidRPr="00470E23" w:rsidRDefault="005600FF" w:rsidP="005600FF">
            <w:pPr>
              <w:ind w:firstLine="0"/>
              <w:rPr>
                <w:rFonts w:eastAsia="SimSun"/>
              </w:rPr>
            </w:pPr>
            <w:r w:rsidRPr="00470E23">
              <w:rPr>
                <w:rFonts w:eastAsia="SimSun"/>
              </w:rPr>
              <w:t>Bu12</w:t>
            </w:r>
          </w:p>
        </w:tc>
        <w:tc>
          <w:tcPr>
            <w:tcW w:w="678" w:type="pct"/>
            <w:shd w:val="clear" w:color="auto" w:fill="D9D9D9"/>
            <w:vAlign w:val="center"/>
          </w:tcPr>
          <w:p w:rsidR="005600FF" w:rsidRPr="00470E23" w:rsidRDefault="005600FF" w:rsidP="005600FF">
            <w:pPr>
              <w:ind w:firstLine="0"/>
              <w:rPr>
                <w:rFonts w:eastAsia="SimSun"/>
              </w:rPr>
            </w:pPr>
            <w:r w:rsidRPr="00470E23">
              <w:rPr>
                <w:rFonts w:eastAsia="SimSun"/>
              </w:rPr>
              <w:t>Bu12</w:t>
            </w:r>
          </w:p>
        </w:tc>
        <w:tc>
          <w:tcPr>
            <w:tcW w:w="749" w:type="pct"/>
            <w:shd w:val="clear" w:color="auto" w:fill="D9D9D9"/>
            <w:vAlign w:val="center"/>
          </w:tcPr>
          <w:p w:rsidR="005600FF" w:rsidRPr="00470E23" w:rsidRDefault="005600FF" w:rsidP="005600FF">
            <w:pPr>
              <w:ind w:firstLine="0"/>
              <w:rPr>
                <w:rFonts w:eastAsia="SimSun"/>
              </w:rPr>
            </w:pPr>
            <w:r w:rsidRPr="00470E23">
              <w:rPr>
                <w:rFonts w:eastAsia="SimSun"/>
              </w:rPr>
              <w:t>Bu14</w:t>
            </w:r>
          </w:p>
        </w:tc>
        <w:tc>
          <w:tcPr>
            <w:tcW w:w="568" w:type="pct"/>
            <w:shd w:val="clear" w:color="auto" w:fill="D9D9D9"/>
            <w:vAlign w:val="center"/>
          </w:tcPr>
          <w:p w:rsidR="005600FF" w:rsidRPr="00470E23" w:rsidRDefault="005600FF" w:rsidP="005600FF">
            <w:pPr>
              <w:ind w:firstLine="0"/>
              <w:rPr>
                <w:rFonts w:eastAsia="SimSun"/>
              </w:rPr>
            </w:pPr>
            <w:r w:rsidRPr="00470E23">
              <w:rPr>
                <w:rFonts w:eastAsia="SimSun"/>
              </w:rPr>
              <w:t>Treo42</w:t>
            </w:r>
          </w:p>
        </w:tc>
      </w:tr>
      <w:tr w:rsidR="005600FF" w:rsidRPr="00470E23" w:rsidTr="005600FF">
        <w:trPr>
          <w:cantSplit/>
          <w:trHeight w:val="551"/>
        </w:trPr>
        <w:tc>
          <w:tcPr>
            <w:tcW w:w="2255" w:type="pct"/>
            <w:gridSpan w:val="4"/>
            <w:vMerge/>
            <w:shd w:val="clear" w:color="auto" w:fill="auto"/>
            <w:vAlign w:val="center"/>
          </w:tcPr>
          <w:p w:rsidR="005600FF" w:rsidRPr="00470E23" w:rsidRDefault="005600FF" w:rsidP="005600FF">
            <w:pPr>
              <w:ind w:firstLine="0"/>
              <w:rPr>
                <w:rFonts w:eastAsia="SimSun"/>
              </w:rPr>
            </w:pPr>
          </w:p>
        </w:tc>
        <w:tc>
          <w:tcPr>
            <w:tcW w:w="750"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678"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749"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568" w:type="pct"/>
            <w:shd w:val="clear" w:color="auto" w:fill="D9D9D9"/>
            <w:vAlign w:val="center"/>
          </w:tcPr>
          <w:p w:rsidR="005600FF" w:rsidRPr="00470E23" w:rsidRDefault="005600FF" w:rsidP="005600FF">
            <w:pPr>
              <w:ind w:firstLine="0"/>
              <w:rPr>
                <w:rFonts w:eastAsia="SimSun"/>
              </w:rPr>
            </w:pPr>
            <w:r w:rsidRPr="00470E23">
              <w:rPr>
                <w:rFonts w:eastAsia="SimSun"/>
              </w:rPr>
              <w:t>-</w:t>
            </w:r>
          </w:p>
        </w:tc>
      </w:tr>
      <w:tr w:rsidR="005600FF" w:rsidRPr="00470E23" w:rsidTr="005600FF">
        <w:trPr>
          <w:cantSplit/>
          <w:trHeight w:val="850"/>
        </w:trPr>
        <w:tc>
          <w:tcPr>
            <w:tcW w:w="549" w:type="pct"/>
            <w:tcBorders>
              <w:bottom w:val="single" w:sz="4" w:space="0" w:color="00000A"/>
            </w:tcBorders>
            <w:shd w:val="clear" w:color="auto" w:fill="D9D9D9"/>
            <w:vAlign w:val="center"/>
          </w:tcPr>
          <w:p w:rsidR="005600FF" w:rsidRPr="00470E23" w:rsidRDefault="005600FF" w:rsidP="005600FF">
            <w:pPr>
              <w:ind w:firstLine="0"/>
              <w:rPr>
                <w:rFonts w:eastAsia="SimSun"/>
              </w:rPr>
            </w:pPr>
            <w:r w:rsidRPr="00470E23">
              <w:rPr>
                <w:rFonts w:eastAsia="SimSun"/>
              </w:rPr>
              <w:t>hATG</w:t>
            </w:r>
          </w:p>
        </w:tc>
        <w:tc>
          <w:tcPr>
            <w:tcW w:w="477" w:type="pct"/>
            <w:shd w:val="clear" w:color="auto" w:fill="D9D9D9"/>
            <w:vAlign w:val="center"/>
          </w:tcPr>
          <w:p w:rsidR="005600FF" w:rsidRPr="00470E23" w:rsidRDefault="005600FF" w:rsidP="005600FF">
            <w:pPr>
              <w:ind w:firstLine="0"/>
              <w:rPr>
                <w:rFonts w:eastAsia="SimSun"/>
              </w:rPr>
            </w:pPr>
            <w:r w:rsidRPr="00470E23">
              <w:rPr>
                <w:rFonts w:eastAsia="SimSun"/>
              </w:rPr>
              <w:t>CSA</w:t>
            </w:r>
          </w:p>
        </w:tc>
        <w:tc>
          <w:tcPr>
            <w:tcW w:w="514" w:type="pct"/>
            <w:shd w:val="clear" w:color="auto" w:fill="D9D9D9"/>
            <w:vAlign w:val="center"/>
          </w:tcPr>
          <w:p w:rsidR="005600FF" w:rsidRPr="00470E23" w:rsidRDefault="005600FF" w:rsidP="005600FF">
            <w:pPr>
              <w:ind w:firstLine="0"/>
              <w:rPr>
                <w:rFonts w:eastAsia="SimSun"/>
              </w:rPr>
            </w:pPr>
            <w:r w:rsidRPr="00470E23">
              <w:rPr>
                <w:rFonts w:eastAsia="SimSun"/>
              </w:rPr>
              <w:t>MTX</w:t>
            </w:r>
          </w:p>
        </w:tc>
        <w:tc>
          <w:tcPr>
            <w:tcW w:w="715" w:type="pct"/>
            <w:shd w:val="clear" w:color="auto" w:fill="D9D9D9"/>
            <w:vAlign w:val="center"/>
          </w:tcPr>
          <w:p w:rsidR="005600FF" w:rsidRPr="00470E23" w:rsidRDefault="005600FF" w:rsidP="005600FF">
            <w:pPr>
              <w:ind w:firstLine="0"/>
              <w:rPr>
                <w:rFonts w:eastAsia="SimSun"/>
              </w:rPr>
            </w:pPr>
            <w:r w:rsidRPr="00470E23">
              <w:rPr>
                <w:rFonts w:eastAsia="SimSun"/>
              </w:rPr>
              <w:t>MMF45</w:t>
            </w:r>
          </w:p>
        </w:tc>
        <w:tc>
          <w:tcPr>
            <w:tcW w:w="750" w:type="pct"/>
            <w:shd w:val="clear" w:color="auto" w:fill="auto"/>
            <w:vAlign w:val="center"/>
          </w:tcPr>
          <w:p w:rsidR="005600FF" w:rsidRPr="00470E23" w:rsidRDefault="005600FF" w:rsidP="005600FF">
            <w:pPr>
              <w:ind w:firstLine="0"/>
              <w:rPr>
                <w:rFonts w:eastAsia="SimSun"/>
              </w:rPr>
            </w:pPr>
            <w:r w:rsidRPr="00470E23">
              <w:rPr>
                <w:rFonts w:eastAsia="SimSun"/>
              </w:rPr>
              <w:t>5.2.1.1</w:t>
            </w:r>
          </w:p>
        </w:tc>
        <w:tc>
          <w:tcPr>
            <w:tcW w:w="678"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749"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568" w:type="pct"/>
            <w:shd w:val="clear" w:color="auto" w:fill="auto"/>
            <w:vAlign w:val="center"/>
          </w:tcPr>
          <w:p w:rsidR="005600FF" w:rsidRPr="00470E23" w:rsidRDefault="005600FF" w:rsidP="005600FF">
            <w:pPr>
              <w:ind w:firstLine="0"/>
              <w:rPr>
                <w:rFonts w:eastAsia="SimSun"/>
              </w:rPr>
            </w:pPr>
            <w:r w:rsidRPr="00470E23">
              <w:rPr>
                <w:rFonts w:eastAsia="SimSun"/>
              </w:rPr>
              <w:t>-</w:t>
            </w:r>
          </w:p>
        </w:tc>
      </w:tr>
      <w:tr w:rsidR="005600FF" w:rsidRPr="00470E23" w:rsidTr="005600FF">
        <w:trPr>
          <w:cantSplit/>
          <w:trHeight w:val="850"/>
        </w:trPr>
        <w:tc>
          <w:tcPr>
            <w:tcW w:w="549" w:type="pct"/>
            <w:tcBorders>
              <w:top w:val="single" w:sz="4" w:space="0" w:color="00000A"/>
              <w:bottom w:val="single" w:sz="4" w:space="0" w:color="00000A"/>
            </w:tcBorders>
            <w:shd w:val="clear" w:color="auto" w:fill="D9D9D9"/>
            <w:vAlign w:val="center"/>
          </w:tcPr>
          <w:p w:rsidR="005600FF" w:rsidRPr="00470E23" w:rsidRDefault="005600FF" w:rsidP="005600FF">
            <w:pPr>
              <w:ind w:firstLine="0"/>
              <w:rPr>
                <w:rFonts w:eastAsia="SimSun"/>
              </w:rPr>
            </w:pPr>
            <w:r w:rsidRPr="00470E23">
              <w:rPr>
                <w:rFonts w:eastAsia="SimSun"/>
              </w:rPr>
              <w:t>rATG</w:t>
            </w:r>
          </w:p>
        </w:tc>
        <w:tc>
          <w:tcPr>
            <w:tcW w:w="477" w:type="pct"/>
            <w:shd w:val="clear" w:color="auto" w:fill="D9D9D9"/>
            <w:vAlign w:val="center"/>
          </w:tcPr>
          <w:p w:rsidR="005600FF" w:rsidRPr="00470E23" w:rsidRDefault="005600FF" w:rsidP="005600FF">
            <w:pPr>
              <w:ind w:firstLine="0"/>
              <w:rPr>
                <w:rFonts w:eastAsia="SimSun"/>
              </w:rPr>
            </w:pPr>
            <w:r w:rsidRPr="00470E23">
              <w:rPr>
                <w:rFonts w:eastAsia="SimSun"/>
              </w:rPr>
              <w:t>CSA</w:t>
            </w:r>
          </w:p>
        </w:tc>
        <w:tc>
          <w:tcPr>
            <w:tcW w:w="514" w:type="pct"/>
            <w:shd w:val="clear" w:color="auto" w:fill="D9D9D9"/>
            <w:vAlign w:val="center"/>
          </w:tcPr>
          <w:p w:rsidR="005600FF" w:rsidRPr="00470E23" w:rsidRDefault="005600FF" w:rsidP="005600FF">
            <w:pPr>
              <w:ind w:firstLine="0"/>
              <w:rPr>
                <w:rFonts w:eastAsia="SimSun"/>
              </w:rPr>
            </w:pPr>
            <w:r w:rsidRPr="00470E23">
              <w:rPr>
                <w:rFonts w:eastAsia="SimSun"/>
              </w:rPr>
              <w:t>MTX</w:t>
            </w:r>
          </w:p>
        </w:tc>
        <w:tc>
          <w:tcPr>
            <w:tcW w:w="715" w:type="pct"/>
            <w:shd w:val="clear" w:color="auto" w:fill="D9D9D9"/>
            <w:vAlign w:val="center"/>
          </w:tcPr>
          <w:p w:rsidR="005600FF" w:rsidRPr="00470E23" w:rsidRDefault="005600FF" w:rsidP="005600FF">
            <w:pPr>
              <w:ind w:firstLine="0"/>
              <w:rPr>
                <w:rFonts w:eastAsia="SimSun"/>
              </w:rPr>
            </w:pPr>
            <w:r w:rsidRPr="00470E23">
              <w:rPr>
                <w:rFonts w:eastAsia="SimSun"/>
              </w:rPr>
              <w:t>MMF45</w:t>
            </w:r>
          </w:p>
        </w:tc>
        <w:tc>
          <w:tcPr>
            <w:tcW w:w="750" w:type="pct"/>
            <w:shd w:val="clear" w:color="auto" w:fill="auto"/>
            <w:vAlign w:val="center"/>
          </w:tcPr>
          <w:p w:rsidR="005600FF" w:rsidRPr="00470E23" w:rsidRDefault="005600FF" w:rsidP="005600FF">
            <w:pPr>
              <w:ind w:firstLine="0"/>
              <w:rPr>
                <w:rFonts w:eastAsia="SimSun"/>
              </w:rPr>
            </w:pPr>
            <w:r w:rsidRPr="00470E23">
              <w:rPr>
                <w:rFonts w:eastAsia="SimSun"/>
              </w:rPr>
              <w:t>5.2.1.2</w:t>
            </w:r>
          </w:p>
        </w:tc>
        <w:tc>
          <w:tcPr>
            <w:tcW w:w="678"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749"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568" w:type="pct"/>
            <w:shd w:val="clear" w:color="auto" w:fill="auto"/>
            <w:vAlign w:val="center"/>
          </w:tcPr>
          <w:p w:rsidR="005600FF" w:rsidRPr="00470E23" w:rsidRDefault="005600FF" w:rsidP="005600FF">
            <w:pPr>
              <w:ind w:firstLine="0"/>
              <w:rPr>
                <w:rFonts w:eastAsia="SimSun"/>
              </w:rPr>
            </w:pPr>
            <w:r w:rsidRPr="00470E23">
              <w:rPr>
                <w:rFonts w:eastAsia="SimSun"/>
              </w:rPr>
              <w:t>-</w:t>
            </w:r>
          </w:p>
        </w:tc>
      </w:tr>
      <w:tr w:rsidR="005600FF" w:rsidRPr="00470E23" w:rsidTr="005600FF">
        <w:trPr>
          <w:cantSplit/>
          <w:trHeight w:val="850"/>
        </w:trPr>
        <w:tc>
          <w:tcPr>
            <w:tcW w:w="549" w:type="pct"/>
            <w:vMerge w:val="restart"/>
            <w:shd w:val="clear" w:color="auto" w:fill="D9D9D9"/>
            <w:vAlign w:val="center"/>
          </w:tcPr>
          <w:p w:rsidR="005600FF" w:rsidRPr="00470E23" w:rsidRDefault="005600FF" w:rsidP="005600FF">
            <w:pPr>
              <w:ind w:firstLine="0"/>
              <w:rPr>
                <w:rFonts w:eastAsia="SimSun"/>
              </w:rPr>
            </w:pPr>
            <w:r w:rsidRPr="00470E23">
              <w:rPr>
                <w:rFonts w:eastAsia="SimSun"/>
              </w:rPr>
              <w:t>PT-Cy</w:t>
            </w:r>
          </w:p>
          <w:p w:rsidR="005600FF" w:rsidRPr="00470E23" w:rsidRDefault="005600FF" w:rsidP="005600FF">
            <w:pPr>
              <w:ind w:firstLine="0"/>
              <w:rPr>
                <w:rFonts w:eastAsia="SimSun"/>
              </w:rPr>
            </w:pPr>
          </w:p>
        </w:tc>
        <w:tc>
          <w:tcPr>
            <w:tcW w:w="477"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514"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715"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750"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678" w:type="pct"/>
            <w:shd w:val="clear" w:color="auto" w:fill="auto"/>
            <w:vAlign w:val="center"/>
          </w:tcPr>
          <w:p w:rsidR="005600FF" w:rsidRPr="00470E23" w:rsidRDefault="005600FF" w:rsidP="005600FF">
            <w:pPr>
              <w:ind w:firstLine="0"/>
              <w:rPr>
                <w:rFonts w:eastAsia="SimSun"/>
              </w:rPr>
            </w:pPr>
            <w:r w:rsidRPr="00470E23">
              <w:rPr>
                <w:rFonts w:eastAsia="SimSun"/>
              </w:rPr>
              <w:t>5.2.1.3</w:t>
            </w:r>
          </w:p>
        </w:tc>
        <w:tc>
          <w:tcPr>
            <w:tcW w:w="749" w:type="pct"/>
            <w:shd w:val="clear" w:color="auto" w:fill="auto"/>
            <w:vAlign w:val="center"/>
          </w:tcPr>
          <w:p w:rsidR="005600FF" w:rsidRPr="00470E23" w:rsidRDefault="005600FF" w:rsidP="005600FF">
            <w:pPr>
              <w:ind w:firstLine="0"/>
              <w:rPr>
                <w:rFonts w:eastAsia="SimSun"/>
              </w:rPr>
            </w:pPr>
            <w:r w:rsidRPr="00470E23">
              <w:rPr>
                <w:rFonts w:eastAsia="SimSun"/>
              </w:rPr>
              <w:t>5.2.1.7</w:t>
            </w:r>
          </w:p>
        </w:tc>
        <w:tc>
          <w:tcPr>
            <w:tcW w:w="568" w:type="pct"/>
            <w:shd w:val="clear" w:color="auto" w:fill="auto"/>
            <w:vAlign w:val="center"/>
          </w:tcPr>
          <w:p w:rsidR="005600FF" w:rsidRPr="00470E23" w:rsidRDefault="005600FF" w:rsidP="005600FF">
            <w:pPr>
              <w:ind w:firstLine="0"/>
              <w:rPr>
                <w:rFonts w:eastAsia="SimSun"/>
              </w:rPr>
            </w:pPr>
            <w:r w:rsidRPr="00470E23">
              <w:rPr>
                <w:rFonts w:eastAsia="SimSun"/>
              </w:rPr>
              <w:t>-</w:t>
            </w:r>
          </w:p>
        </w:tc>
      </w:tr>
      <w:tr w:rsidR="005600FF" w:rsidRPr="00470E23" w:rsidTr="005600FF">
        <w:trPr>
          <w:cantSplit/>
          <w:trHeight w:val="850"/>
        </w:trPr>
        <w:tc>
          <w:tcPr>
            <w:tcW w:w="549" w:type="pct"/>
            <w:vMerge/>
            <w:shd w:val="clear" w:color="auto" w:fill="D9D9D9"/>
            <w:vAlign w:val="center"/>
          </w:tcPr>
          <w:p w:rsidR="005600FF" w:rsidRPr="00470E23" w:rsidRDefault="005600FF" w:rsidP="005600FF">
            <w:pPr>
              <w:ind w:firstLine="0"/>
              <w:rPr>
                <w:rFonts w:eastAsia="SimSun"/>
              </w:rPr>
            </w:pPr>
          </w:p>
        </w:tc>
        <w:tc>
          <w:tcPr>
            <w:tcW w:w="477" w:type="pct"/>
            <w:tcBorders>
              <w:bottom w:val="single" w:sz="4" w:space="0" w:color="00000A"/>
            </w:tcBorders>
            <w:shd w:val="clear" w:color="auto" w:fill="D9D9D9"/>
            <w:vAlign w:val="center"/>
          </w:tcPr>
          <w:p w:rsidR="005600FF" w:rsidRPr="00470E23" w:rsidRDefault="005600FF" w:rsidP="005600FF">
            <w:pPr>
              <w:ind w:firstLine="0"/>
              <w:rPr>
                <w:rFonts w:eastAsia="SimSun"/>
              </w:rPr>
            </w:pPr>
            <w:r w:rsidRPr="00470E23">
              <w:rPr>
                <w:rFonts w:eastAsia="SimSun"/>
              </w:rPr>
              <w:t>CSA</w:t>
            </w:r>
          </w:p>
          <w:p w:rsidR="005600FF" w:rsidRPr="00470E23" w:rsidRDefault="005600FF" w:rsidP="005600FF">
            <w:pPr>
              <w:ind w:firstLine="0"/>
              <w:rPr>
                <w:rFonts w:eastAsia="SimSun"/>
              </w:rPr>
            </w:pPr>
          </w:p>
        </w:tc>
        <w:tc>
          <w:tcPr>
            <w:tcW w:w="514"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715" w:type="pct"/>
            <w:shd w:val="clear" w:color="auto" w:fill="D9D9D9"/>
            <w:vAlign w:val="center"/>
          </w:tcPr>
          <w:p w:rsidR="005600FF" w:rsidRPr="00470E23" w:rsidRDefault="005600FF" w:rsidP="005600FF">
            <w:pPr>
              <w:ind w:firstLine="0"/>
              <w:rPr>
                <w:rFonts w:eastAsia="SimSun"/>
              </w:rPr>
            </w:pPr>
            <w:r w:rsidRPr="00470E23">
              <w:rPr>
                <w:rFonts w:eastAsia="SimSun"/>
              </w:rPr>
              <w:t>MMF30</w:t>
            </w:r>
          </w:p>
        </w:tc>
        <w:tc>
          <w:tcPr>
            <w:tcW w:w="750"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678" w:type="pct"/>
            <w:shd w:val="clear" w:color="auto" w:fill="auto"/>
            <w:vAlign w:val="center"/>
          </w:tcPr>
          <w:p w:rsidR="005600FF" w:rsidRPr="00470E23" w:rsidRDefault="005600FF" w:rsidP="005600FF">
            <w:pPr>
              <w:ind w:firstLine="0"/>
              <w:rPr>
                <w:rFonts w:eastAsia="SimSun"/>
              </w:rPr>
            </w:pPr>
            <w:r w:rsidRPr="00470E23">
              <w:rPr>
                <w:rFonts w:eastAsia="SimSun"/>
              </w:rPr>
              <w:t>5.2.1.5</w:t>
            </w:r>
          </w:p>
        </w:tc>
        <w:tc>
          <w:tcPr>
            <w:tcW w:w="749" w:type="pct"/>
            <w:shd w:val="clear" w:color="auto" w:fill="auto"/>
            <w:vAlign w:val="center"/>
          </w:tcPr>
          <w:p w:rsidR="005600FF" w:rsidRPr="00470E23" w:rsidRDefault="005600FF" w:rsidP="005600FF">
            <w:pPr>
              <w:ind w:firstLine="0"/>
              <w:rPr>
                <w:rFonts w:eastAsia="SimSun"/>
              </w:rPr>
            </w:pPr>
            <w:r w:rsidRPr="00470E23">
              <w:rPr>
                <w:rFonts w:eastAsia="SimSun"/>
              </w:rPr>
              <w:t>5.2.1.9</w:t>
            </w:r>
          </w:p>
        </w:tc>
        <w:tc>
          <w:tcPr>
            <w:tcW w:w="568" w:type="pct"/>
            <w:shd w:val="clear" w:color="auto" w:fill="auto"/>
            <w:vAlign w:val="center"/>
          </w:tcPr>
          <w:p w:rsidR="005600FF" w:rsidRPr="00470E23" w:rsidRDefault="005600FF" w:rsidP="005600FF">
            <w:pPr>
              <w:ind w:firstLine="0"/>
              <w:rPr>
                <w:rFonts w:eastAsia="SimSun"/>
              </w:rPr>
            </w:pPr>
            <w:r w:rsidRPr="00470E23">
              <w:rPr>
                <w:rFonts w:eastAsia="SimSun"/>
              </w:rPr>
              <w:t>-</w:t>
            </w:r>
          </w:p>
        </w:tc>
      </w:tr>
      <w:tr w:rsidR="005600FF" w:rsidRPr="00470E23" w:rsidTr="005600FF">
        <w:trPr>
          <w:cantSplit/>
          <w:trHeight w:val="850"/>
        </w:trPr>
        <w:tc>
          <w:tcPr>
            <w:tcW w:w="549" w:type="pct"/>
            <w:vMerge/>
            <w:tcBorders>
              <w:bottom w:val="single" w:sz="4" w:space="0" w:color="00000A"/>
            </w:tcBorders>
            <w:shd w:val="clear" w:color="auto" w:fill="D9D9D9"/>
            <w:vAlign w:val="center"/>
          </w:tcPr>
          <w:p w:rsidR="005600FF" w:rsidRPr="00470E23" w:rsidRDefault="005600FF" w:rsidP="005600FF">
            <w:pPr>
              <w:ind w:firstLine="0"/>
              <w:rPr>
                <w:rFonts w:eastAsia="SimSun"/>
              </w:rPr>
            </w:pPr>
          </w:p>
        </w:tc>
        <w:tc>
          <w:tcPr>
            <w:tcW w:w="477" w:type="pct"/>
            <w:tcBorders>
              <w:bottom w:val="single" w:sz="4" w:space="0" w:color="00000A"/>
            </w:tcBorders>
            <w:shd w:val="clear" w:color="auto" w:fill="D9D9D9"/>
            <w:vAlign w:val="center"/>
          </w:tcPr>
          <w:p w:rsidR="005600FF" w:rsidRPr="00470E23" w:rsidRDefault="005600FF" w:rsidP="005600FF">
            <w:pPr>
              <w:ind w:firstLine="0"/>
              <w:rPr>
                <w:rFonts w:eastAsia="SimSun"/>
              </w:rPr>
            </w:pPr>
            <w:r w:rsidRPr="00470E23">
              <w:rPr>
                <w:rFonts w:eastAsia="SimSun"/>
              </w:rPr>
              <w:t>Tx</w:t>
            </w:r>
          </w:p>
        </w:tc>
        <w:tc>
          <w:tcPr>
            <w:tcW w:w="514"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715" w:type="pct"/>
            <w:shd w:val="clear" w:color="auto" w:fill="D9D9D9"/>
            <w:vAlign w:val="center"/>
          </w:tcPr>
          <w:p w:rsidR="005600FF" w:rsidRPr="00470E23" w:rsidRDefault="005600FF" w:rsidP="005600FF">
            <w:pPr>
              <w:ind w:firstLine="0"/>
              <w:rPr>
                <w:rFonts w:eastAsia="SimSun"/>
              </w:rPr>
            </w:pPr>
            <w:r w:rsidRPr="00470E23">
              <w:rPr>
                <w:rFonts w:eastAsia="SimSun"/>
              </w:rPr>
              <w:t>MMF30</w:t>
            </w:r>
          </w:p>
        </w:tc>
        <w:tc>
          <w:tcPr>
            <w:tcW w:w="750"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678" w:type="pct"/>
            <w:shd w:val="clear" w:color="auto" w:fill="auto"/>
            <w:vAlign w:val="center"/>
          </w:tcPr>
          <w:p w:rsidR="005600FF" w:rsidRPr="00470E23" w:rsidRDefault="005600FF" w:rsidP="005600FF">
            <w:pPr>
              <w:ind w:firstLine="0"/>
              <w:rPr>
                <w:rFonts w:eastAsia="SimSun"/>
              </w:rPr>
            </w:pPr>
            <w:r w:rsidRPr="00470E23">
              <w:rPr>
                <w:rFonts w:eastAsia="SimSun"/>
              </w:rPr>
              <w:t>5.2.1.4</w:t>
            </w:r>
          </w:p>
        </w:tc>
        <w:tc>
          <w:tcPr>
            <w:tcW w:w="749" w:type="pct"/>
            <w:shd w:val="clear" w:color="auto" w:fill="auto"/>
            <w:vAlign w:val="center"/>
          </w:tcPr>
          <w:p w:rsidR="005600FF" w:rsidRPr="00470E23" w:rsidRDefault="005600FF" w:rsidP="005600FF">
            <w:pPr>
              <w:ind w:firstLine="0"/>
              <w:rPr>
                <w:rFonts w:eastAsia="SimSun"/>
              </w:rPr>
            </w:pPr>
            <w:r w:rsidRPr="00470E23">
              <w:rPr>
                <w:rFonts w:eastAsia="SimSun"/>
              </w:rPr>
              <w:t>5.2.1.8</w:t>
            </w:r>
          </w:p>
        </w:tc>
        <w:tc>
          <w:tcPr>
            <w:tcW w:w="568" w:type="pct"/>
            <w:shd w:val="clear" w:color="auto" w:fill="auto"/>
            <w:vAlign w:val="center"/>
          </w:tcPr>
          <w:p w:rsidR="005600FF" w:rsidRPr="00470E23" w:rsidRDefault="005600FF" w:rsidP="005600FF">
            <w:pPr>
              <w:ind w:firstLine="0"/>
              <w:rPr>
                <w:rFonts w:eastAsia="SimSun"/>
              </w:rPr>
            </w:pPr>
            <w:r w:rsidRPr="00470E23">
              <w:rPr>
                <w:rFonts w:eastAsia="SimSun"/>
              </w:rPr>
              <w:t>5.2.1.11</w:t>
            </w:r>
          </w:p>
        </w:tc>
      </w:tr>
      <w:tr w:rsidR="005600FF" w:rsidRPr="00470E23" w:rsidTr="005600FF">
        <w:trPr>
          <w:cantSplit/>
          <w:trHeight w:val="850"/>
        </w:trPr>
        <w:tc>
          <w:tcPr>
            <w:tcW w:w="549"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477" w:type="pct"/>
            <w:shd w:val="clear" w:color="auto" w:fill="D9D9D9"/>
            <w:vAlign w:val="center"/>
          </w:tcPr>
          <w:p w:rsidR="005600FF" w:rsidRPr="00470E23" w:rsidRDefault="005600FF" w:rsidP="005600FF">
            <w:pPr>
              <w:ind w:firstLine="0"/>
              <w:rPr>
                <w:rFonts w:eastAsia="SimSun"/>
              </w:rPr>
            </w:pPr>
            <w:r w:rsidRPr="00470E23">
              <w:rPr>
                <w:rFonts w:eastAsia="SimSun"/>
              </w:rPr>
              <w:t>Tx</w:t>
            </w:r>
          </w:p>
        </w:tc>
        <w:tc>
          <w:tcPr>
            <w:tcW w:w="514" w:type="pct"/>
            <w:shd w:val="clear" w:color="auto" w:fill="D9D9D9"/>
            <w:vAlign w:val="center"/>
          </w:tcPr>
          <w:p w:rsidR="005600FF" w:rsidRPr="00470E23" w:rsidRDefault="005600FF" w:rsidP="005600FF">
            <w:pPr>
              <w:ind w:firstLine="0"/>
              <w:rPr>
                <w:rFonts w:eastAsia="SimSun"/>
              </w:rPr>
            </w:pPr>
            <w:r w:rsidRPr="00470E23">
              <w:rPr>
                <w:rFonts w:eastAsia="SimSun"/>
              </w:rPr>
              <w:t>-</w:t>
            </w:r>
          </w:p>
        </w:tc>
        <w:tc>
          <w:tcPr>
            <w:tcW w:w="715" w:type="pct"/>
            <w:shd w:val="clear" w:color="auto" w:fill="D9D9D9"/>
            <w:vAlign w:val="center"/>
          </w:tcPr>
          <w:p w:rsidR="005600FF" w:rsidRPr="00470E23" w:rsidRDefault="005600FF" w:rsidP="005600FF">
            <w:pPr>
              <w:ind w:firstLine="0"/>
              <w:rPr>
                <w:rFonts w:eastAsia="SimSun"/>
              </w:rPr>
            </w:pPr>
            <w:r w:rsidRPr="00470E23">
              <w:rPr>
                <w:rFonts w:eastAsia="SimSun"/>
              </w:rPr>
              <w:t>MMF30</w:t>
            </w:r>
          </w:p>
        </w:tc>
        <w:tc>
          <w:tcPr>
            <w:tcW w:w="750" w:type="pct"/>
            <w:shd w:val="clear" w:color="auto" w:fill="auto"/>
            <w:vAlign w:val="center"/>
          </w:tcPr>
          <w:p w:rsidR="005600FF" w:rsidRPr="00470E23" w:rsidRDefault="005600FF" w:rsidP="005600FF">
            <w:pPr>
              <w:ind w:firstLine="0"/>
              <w:rPr>
                <w:rFonts w:eastAsia="SimSun"/>
              </w:rPr>
            </w:pPr>
            <w:r w:rsidRPr="00470E23">
              <w:rPr>
                <w:rFonts w:eastAsia="SimSun"/>
              </w:rPr>
              <w:t>-</w:t>
            </w:r>
          </w:p>
        </w:tc>
        <w:tc>
          <w:tcPr>
            <w:tcW w:w="678" w:type="pct"/>
            <w:shd w:val="clear" w:color="auto" w:fill="auto"/>
            <w:vAlign w:val="center"/>
          </w:tcPr>
          <w:p w:rsidR="005600FF" w:rsidRPr="00470E23" w:rsidRDefault="005600FF" w:rsidP="005600FF">
            <w:pPr>
              <w:ind w:firstLine="0"/>
              <w:rPr>
                <w:rFonts w:eastAsia="SimSun"/>
              </w:rPr>
            </w:pPr>
            <w:r w:rsidRPr="00470E23">
              <w:rPr>
                <w:rFonts w:eastAsia="SimSun"/>
              </w:rPr>
              <w:t>5.2.1.6</w:t>
            </w:r>
          </w:p>
        </w:tc>
        <w:tc>
          <w:tcPr>
            <w:tcW w:w="749" w:type="pct"/>
            <w:shd w:val="clear" w:color="auto" w:fill="auto"/>
            <w:vAlign w:val="center"/>
          </w:tcPr>
          <w:p w:rsidR="005600FF" w:rsidRPr="00470E23" w:rsidRDefault="005600FF" w:rsidP="005600FF">
            <w:pPr>
              <w:ind w:firstLine="0"/>
              <w:rPr>
                <w:rFonts w:eastAsia="SimSun"/>
              </w:rPr>
            </w:pPr>
            <w:r w:rsidRPr="00470E23">
              <w:rPr>
                <w:rFonts w:eastAsia="SimSun"/>
              </w:rPr>
              <w:t>5.2.1.10</w:t>
            </w:r>
          </w:p>
        </w:tc>
        <w:tc>
          <w:tcPr>
            <w:tcW w:w="568" w:type="pct"/>
            <w:shd w:val="clear" w:color="auto" w:fill="auto"/>
            <w:vAlign w:val="center"/>
          </w:tcPr>
          <w:p w:rsidR="005600FF" w:rsidRPr="00470E23" w:rsidRDefault="005600FF" w:rsidP="005600FF">
            <w:pPr>
              <w:ind w:firstLine="0"/>
              <w:rPr>
                <w:rFonts w:eastAsia="SimSun"/>
              </w:rPr>
            </w:pPr>
            <w:r w:rsidRPr="00470E23">
              <w:rPr>
                <w:rFonts w:eastAsia="SimSun"/>
              </w:rPr>
              <w:t>-</w:t>
            </w:r>
          </w:p>
        </w:tc>
      </w:tr>
    </w:tbl>
    <w:p w:rsidR="005600FF" w:rsidRPr="00C07B2E" w:rsidRDefault="005600FF" w:rsidP="005600FF">
      <w:pPr>
        <w:rPr>
          <w:rFonts w:eastAsia="SimSun"/>
        </w:rPr>
      </w:pPr>
    </w:p>
    <w:p w:rsidR="005600FF" w:rsidRPr="00C07B2E" w:rsidRDefault="005600FF" w:rsidP="005600FF">
      <w:pPr>
        <w:rPr>
          <w:rFonts w:eastAsia="SimSun"/>
        </w:rPr>
        <w:sectPr w:rsidR="005600FF" w:rsidRPr="00C07B2E" w:rsidSect="005600FF">
          <w:type w:val="continuous"/>
          <w:pgSz w:w="16839" w:h="11907" w:orient="landscape" w:code="9"/>
          <w:pgMar w:top="1134" w:right="850" w:bottom="1134" w:left="1701" w:header="709" w:footer="567" w:gutter="0"/>
          <w:cols w:space="708"/>
          <w:docGrid w:linePitch="360"/>
        </w:sectPr>
      </w:pPr>
    </w:p>
    <w:p w:rsidR="005600FF" w:rsidRPr="00C07B2E" w:rsidRDefault="005600FF" w:rsidP="005600FF">
      <w:pPr>
        <w:rPr>
          <w:rFonts w:eastAsia="SimSun"/>
        </w:rPr>
      </w:pPr>
    </w:p>
    <w:p w:rsidR="005600FF" w:rsidRPr="00C07B2E" w:rsidRDefault="005600FF" w:rsidP="005600FF">
      <w:pPr>
        <w:rPr>
          <w:rFonts w:eastAsia="SimSun"/>
        </w:rPr>
      </w:pPr>
      <w:bookmarkStart w:id="188" w:name="_Toc44401187"/>
      <w:r w:rsidRPr="00042499">
        <w:rPr>
          <w:rFonts w:eastAsia="SimSun"/>
        </w:rPr>
        <w:t>Таблица</w:t>
      </w:r>
      <w:r w:rsidRPr="00C07B2E">
        <w:rPr>
          <w:rFonts w:eastAsia="SimSun"/>
        </w:rPr>
        <w:t xml:space="preserve"> </w:t>
      </w:r>
      <w:r>
        <w:rPr>
          <w:rFonts w:eastAsia="SimSun"/>
        </w:rPr>
        <w:t>5.</w:t>
      </w:r>
      <w:r w:rsidRPr="00C07B2E">
        <w:rPr>
          <w:rFonts w:eastAsia="SimSun"/>
        </w:rPr>
        <w:t>2.1.1  – Bu12+Cy120 / hATG+CSA+MTX+MMF45</w:t>
      </w:r>
      <w:bookmarkEnd w:id="18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5600FF" w:rsidRPr="00AC3044" w:rsidTr="005600FF">
        <w:trPr>
          <w:cantSplit/>
          <w:trHeight w:val="20"/>
          <w:tblHeader/>
        </w:trPr>
        <w:tc>
          <w:tcPr>
            <w:tcW w:w="1135" w:type="dxa"/>
          </w:tcPr>
          <w:p w:rsidR="005600FF" w:rsidRPr="00470D3D" w:rsidRDefault="005600FF" w:rsidP="005600FF">
            <w:pPr>
              <w:ind w:firstLine="0"/>
              <w:rPr>
                <w:rFonts w:eastAsia="SimSun"/>
              </w:rPr>
            </w:pPr>
          </w:p>
        </w:tc>
        <w:tc>
          <w:tcPr>
            <w:tcW w:w="1701" w:type="dxa"/>
          </w:tcPr>
          <w:p w:rsidR="005600FF" w:rsidRPr="00AC3044" w:rsidRDefault="005600FF" w:rsidP="005600FF">
            <w:pPr>
              <w:ind w:firstLine="0"/>
              <w:rPr>
                <w:rFonts w:eastAsia="SimSun"/>
              </w:rPr>
            </w:pPr>
            <w:r w:rsidRPr="00AC3044">
              <w:rPr>
                <w:rFonts w:eastAsia="SimSun"/>
              </w:rPr>
              <w:t>Препарат</w:t>
            </w:r>
          </w:p>
        </w:tc>
        <w:tc>
          <w:tcPr>
            <w:tcW w:w="1417" w:type="dxa"/>
          </w:tcPr>
          <w:p w:rsidR="005600FF" w:rsidRPr="00AC3044" w:rsidRDefault="005600FF" w:rsidP="005600FF">
            <w:pPr>
              <w:ind w:firstLine="0"/>
              <w:rPr>
                <w:rFonts w:eastAsia="SimSun"/>
              </w:rPr>
            </w:pPr>
            <w:r w:rsidRPr="00AC3044">
              <w:rPr>
                <w:rFonts w:eastAsia="SimSun"/>
              </w:rPr>
              <w:t>Суточная доза</w:t>
            </w:r>
          </w:p>
        </w:tc>
        <w:tc>
          <w:tcPr>
            <w:tcW w:w="1418" w:type="dxa"/>
          </w:tcPr>
          <w:p w:rsidR="005600FF" w:rsidRPr="00AC3044" w:rsidRDefault="005600FF" w:rsidP="005600FF">
            <w:pPr>
              <w:ind w:firstLine="0"/>
              <w:rPr>
                <w:rFonts w:eastAsia="SimSun"/>
              </w:rPr>
            </w:pPr>
            <w:r w:rsidRPr="00AC3044">
              <w:rPr>
                <w:rFonts w:eastAsia="SimSun"/>
              </w:rPr>
              <w:t>Курсовая доза</w:t>
            </w:r>
          </w:p>
        </w:tc>
        <w:tc>
          <w:tcPr>
            <w:tcW w:w="1701" w:type="dxa"/>
          </w:tcPr>
          <w:p w:rsidR="005600FF" w:rsidRPr="00AC3044" w:rsidRDefault="005600FF" w:rsidP="005600FF">
            <w:pPr>
              <w:ind w:firstLine="0"/>
              <w:rPr>
                <w:rFonts w:eastAsia="SimSun"/>
              </w:rPr>
            </w:pPr>
            <w:r w:rsidRPr="00AC3044">
              <w:rPr>
                <w:rFonts w:eastAsia="SimSun"/>
              </w:rPr>
              <w:t>Дни введения</w:t>
            </w:r>
          </w:p>
        </w:tc>
        <w:tc>
          <w:tcPr>
            <w:tcW w:w="2268" w:type="dxa"/>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650"/>
        </w:trPr>
        <w:tc>
          <w:tcPr>
            <w:tcW w:w="1135" w:type="dxa"/>
            <w:vMerge w:val="restart"/>
            <w:textDirection w:val="btLr"/>
          </w:tcPr>
          <w:p w:rsidR="005600FF" w:rsidRPr="00AC3044" w:rsidRDefault="005600FF" w:rsidP="005600FF">
            <w:pPr>
              <w:ind w:firstLine="0"/>
              <w:rPr>
                <w:rFonts w:eastAsia="SimSun"/>
              </w:rPr>
            </w:pPr>
            <w:r w:rsidRPr="00AC3044">
              <w:rPr>
                <w:rFonts w:eastAsia="SimSun"/>
              </w:rPr>
              <w:t>Кондиционирование</w:t>
            </w:r>
          </w:p>
        </w:tc>
        <w:tc>
          <w:tcPr>
            <w:tcW w:w="1701" w:type="dxa"/>
          </w:tcPr>
          <w:p w:rsidR="005600FF" w:rsidRPr="00AC3044" w:rsidRDefault="005600FF" w:rsidP="005600FF">
            <w:pPr>
              <w:ind w:firstLine="0"/>
              <w:rPr>
                <w:rFonts w:eastAsia="SimSun"/>
              </w:rPr>
            </w:pPr>
            <w:r w:rsidRPr="00AC3044">
              <w:rPr>
                <w:rFonts w:eastAsia="SimSun"/>
              </w:rPr>
              <w:t>Бусульфан</w:t>
            </w:r>
          </w:p>
        </w:tc>
        <w:tc>
          <w:tcPr>
            <w:tcW w:w="1417" w:type="dxa"/>
          </w:tcPr>
          <w:p w:rsidR="005600FF" w:rsidRPr="00AC3044" w:rsidRDefault="005600FF" w:rsidP="005600FF">
            <w:pPr>
              <w:ind w:firstLine="0"/>
              <w:rPr>
                <w:rFonts w:eastAsia="SimSun"/>
              </w:rPr>
            </w:pPr>
            <w:r w:rsidRPr="00AC3044">
              <w:rPr>
                <w:rFonts w:eastAsia="SimSun"/>
              </w:rPr>
              <w:t>4 мг/кг</w:t>
            </w:r>
          </w:p>
        </w:tc>
        <w:tc>
          <w:tcPr>
            <w:tcW w:w="1418" w:type="dxa"/>
          </w:tcPr>
          <w:p w:rsidR="005600FF" w:rsidRPr="00AC3044" w:rsidRDefault="005600FF" w:rsidP="005600FF">
            <w:pPr>
              <w:ind w:firstLine="0"/>
              <w:rPr>
                <w:rFonts w:eastAsia="SimSun"/>
              </w:rPr>
            </w:pPr>
            <w:r w:rsidRPr="00AC3044">
              <w:rPr>
                <w:rFonts w:eastAsia="SimSun"/>
              </w:rPr>
              <w:t>12 мг/кг</w:t>
            </w:r>
          </w:p>
        </w:tc>
        <w:tc>
          <w:tcPr>
            <w:tcW w:w="1701" w:type="dxa"/>
          </w:tcPr>
          <w:p w:rsidR="005600FF" w:rsidRPr="00AC3044" w:rsidRDefault="005600FF" w:rsidP="005600FF">
            <w:pPr>
              <w:ind w:firstLine="0"/>
              <w:rPr>
                <w:rFonts w:eastAsia="SimSun"/>
              </w:rPr>
            </w:pPr>
            <w:r w:rsidRPr="00AC3044">
              <w:rPr>
                <w:rFonts w:eastAsia="SimSun"/>
              </w:rPr>
              <w:t>С –6 по –4 день</w:t>
            </w:r>
          </w:p>
        </w:tc>
        <w:tc>
          <w:tcPr>
            <w:tcW w:w="2268" w:type="dxa"/>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418"/>
        </w:trPr>
        <w:tc>
          <w:tcPr>
            <w:tcW w:w="1135" w:type="dxa"/>
            <w:vMerge/>
          </w:tcPr>
          <w:p w:rsidR="005600FF" w:rsidRPr="00AC3044" w:rsidRDefault="005600FF" w:rsidP="005600FF">
            <w:pPr>
              <w:ind w:firstLine="0"/>
              <w:rPr>
                <w:rFonts w:eastAsia="SimSun"/>
              </w:rPr>
            </w:pPr>
          </w:p>
        </w:tc>
        <w:tc>
          <w:tcPr>
            <w:tcW w:w="1701" w:type="dxa"/>
          </w:tcPr>
          <w:p w:rsidR="005600FF" w:rsidRPr="00AC3044" w:rsidRDefault="005600FF" w:rsidP="005600FF">
            <w:pPr>
              <w:ind w:firstLine="0"/>
              <w:rPr>
                <w:rFonts w:eastAsia="SimSun"/>
              </w:rPr>
            </w:pPr>
            <w:r w:rsidRPr="00AC3044">
              <w:rPr>
                <w:rFonts w:eastAsia="SimSun"/>
              </w:rPr>
              <w:t>Циклофосфамид</w:t>
            </w:r>
          </w:p>
        </w:tc>
        <w:tc>
          <w:tcPr>
            <w:tcW w:w="1417" w:type="dxa"/>
          </w:tcPr>
          <w:p w:rsidR="005600FF" w:rsidRPr="00AC3044" w:rsidRDefault="005600FF" w:rsidP="005600FF">
            <w:pPr>
              <w:ind w:firstLine="0"/>
              <w:rPr>
                <w:rFonts w:eastAsia="SimSun"/>
              </w:rPr>
            </w:pPr>
            <w:r w:rsidRPr="00AC3044">
              <w:rPr>
                <w:rFonts w:eastAsia="SimSun"/>
              </w:rPr>
              <w:t>60 мг/кг</w:t>
            </w:r>
          </w:p>
        </w:tc>
        <w:tc>
          <w:tcPr>
            <w:tcW w:w="1418" w:type="dxa"/>
          </w:tcPr>
          <w:p w:rsidR="005600FF" w:rsidRPr="00AC3044" w:rsidRDefault="005600FF" w:rsidP="005600FF">
            <w:pPr>
              <w:ind w:firstLine="0"/>
              <w:rPr>
                <w:rFonts w:eastAsia="SimSun"/>
              </w:rPr>
            </w:pPr>
            <w:r w:rsidRPr="00AC3044">
              <w:rPr>
                <w:rFonts w:eastAsia="SimSun"/>
              </w:rPr>
              <w:t>120 мг/кг</w:t>
            </w:r>
          </w:p>
        </w:tc>
        <w:tc>
          <w:tcPr>
            <w:tcW w:w="1701" w:type="dxa"/>
          </w:tcPr>
          <w:p w:rsidR="005600FF" w:rsidRPr="00AC3044" w:rsidRDefault="005600FF" w:rsidP="005600FF">
            <w:pPr>
              <w:ind w:firstLine="0"/>
              <w:rPr>
                <w:rFonts w:eastAsia="SimSun"/>
              </w:rPr>
            </w:pPr>
            <w:r w:rsidRPr="00AC3044">
              <w:rPr>
                <w:rFonts w:eastAsia="SimSun"/>
              </w:rPr>
              <w:t xml:space="preserve">–3, –2 дни </w:t>
            </w:r>
          </w:p>
        </w:tc>
        <w:tc>
          <w:tcPr>
            <w:tcW w:w="2268" w:type="dxa"/>
          </w:tcPr>
          <w:p w:rsidR="005600FF" w:rsidRPr="00AC3044" w:rsidRDefault="005600FF" w:rsidP="005600FF">
            <w:pPr>
              <w:ind w:firstLine="0"/>
              <w:rPr>
                <w:rFonts w:eastAsia="SimSun"/>
              </w:rPr>
            </w:pPr>
            <w:r w:rsidRPr="00AC3044">
              <w:rPr>
                <w:rFonts w:eastAsia="SimSun"/>
              </w:rPr>
              <w:t xml:space="preserve">В/в, в течение 2 ч </w:t>
            </w:r>
          </w:p>
        </w:tc>
      </w:tr>
      <w:tr w:rsidR="005600FF" w:rsidRPr="00AC3044" w:rsidTr="005600FF">
        <w:trPr>
          <w:cantSplit/>
          <w:trHeight w:val="20"/>
        </w:trPr>
        <w:tc>
          <w:tcPr>
            <w:tcW w:w="1135" w:type="dxa"/>
            <w:vMerge w:val="restart"/>
            <w:textDirection w:val="btLr"/>
          </w:tcPr>
          <w:p w:rsidR="005600FF" w:rsidRPr="00AC3044" w:rsidRDefault="005600FF" w:rsidP="005600FF">
            <w:pPr>
              <w:ind w:firstLine="0"/>
              <w:rPr>
                <w:rFonts w:eastAsia="SimSun"/>
              </w:rPr>
            </w:pPr>
            <w:r w:rsidRPr="00AC3044">
              <w:rPr>
                <w:rFonts w:eastAsia="SimSun"/>
              </w:rPr>
              <w:t>Профилактика РТПХ</w:t>
            </w:r>
          </w:p>
        </w:tc>
        <w:tc>
          <w:tcPr>
            <w:tcW w:w="1701" w:type="dxa"/>
          </w:tcPr>
          <w:p w:rsidR="005600FF" w:rsidRPr="00AC3044" w:rsidRDefault="005600FF" w:rsidP="005600FF">
            <w:pPr>
              <w:ind w:firstLine="0"/>
              <w:rPr>
                <w:rFonts w:eastAsia="SimSun"/>
              </w:rPr>
            </w:pPr>
            <w:r w:rsidRPr="00AC3044">
              <w:rPr>
                <w:rFonts w:eastAsia="SimSun"/>
              </w:rPr>
              <w:t>АТГ (лошадиный)</w:t>
            </w:r>
          </w:p>
        </w:tc>
        <w:tc>
          <w:tcPr>
            <w:tcW w:w="1417" w:type="dxa"/>
          </w:tcPr>
          <w:p w:rsidR="005600FF" w:rsidRPr="00AC3044" w:rsidRDefault="005600FF" w:rsidP="005600FF">
            <w:pPr>
              <w:ind w:firstLine="0"/>
              <w:rPr>
                <w:rFonts w:eastAsia="SimSun"/>
              </w:rPr>
            </w:pPr>
            <w:r w:rsidRPr="00AC3044">
              <w:rPr>
                <w:rFonts w:eastAsia="SimSun"/>
              </w:rPr>
              <w:t>10-15 мг/кг</w:t>
            </w:r>
          </w:p>
        </w:tc>
        <w:tc>
          <w:tcPr>
            <w:tcW w:w="1418" w:type="dxa"/>
          </w:tcPr>
          <w:p w:rsidR="005600FF" w:rsidRPr="00AC3044" w:rsidRDefault="005600FF" w:rsidP="005600FF">
            <w:pPr>
              <w:ind w:firstLine="0"/>
              <w:rPr>
                <w:rFonts w:eastAsia="SimSun"/>
              </w:rPr>
            </w:pPr>
            <w:r w:rsidRPr="00AC3044">
              <w:rPr>
                <w:rFonts w:eastAsia="SimSun"/>
              </w:rPr>
              <w:t>40-60 мг/кг</w:t>
            </w:r>
          </w:p>
        </w:tc>
        <w:tc>
          <w:tcPr>
            <w:tcW w:w="1701" w:type="dxa"/>
          </w:tcPr>
          <w:p w:rsidR="005600FF" w:rsidRPr="00AC3044" w:rsidRDefault="005600FF" w:rsidP="005600FF">
            <w:pPr>
              <w:ind w:firstLine="0"/>
              <w:rPr>
                <w:rFonts w:eastAsia="SimSun"/>
              </w:rPr>
            </w:pPr>
            <w:r w:rsidRPr="00AC3044">
              <w:rPr>
                <w:rFonts w:eastAsia="SimSun"/>
              </w:rPr>
              <w:t>С –4 по –1 день</w:t>
            </w:r>
          </w:p>
        </w:tc>
        <w:tc>
          <w:tcPr>
            <w:tcW w:w="2268" w:type="dxa"/>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701" w:type="dxa"/>
          </w:tcPr>
          <w:p w:rsidR="005600FF" w:rsidRPr="00AC3044" w:rsidRDefault="005600FF" w:rsidP="005600FF">
            <w:pPr>
              <w:ind w:firstLine="0"/>
              <w:rPr>
                <w:rFonts w:eastAsia="SimSun"/>
              </w:rPr>
            </w:pPr>
            <w:r w:rsidRPr="00AC3044">
              <w:rPr>
                <w:rFonts w:eastAsia="SimSun"/>
              </w:rPr>
              <w:t>Циклоспорин</w:t>
            </w:r>
          </w:p>
        </w:tc>
        <w:tc>
          <w:tcPr>
            <w:tcW w:w="1417" w:type="dxa"/>
          </w:tcPr>
          <w:p w:rsidR="005600FF" w:rsidRPr="00AC3044" w:rsidRDefault="005600FF" w:rsidP="005600FF">
            <w:pPr>
              <w:ind w:firstLine="0"/>
              <w:rPr>
                <w:rFonts w:eastAsia="SimSun"/>
              </w:rPr>
            </w:pPr>
            <w:r w:rsidRPr="00AC3044">
              <w:rPr>
                <w:rFonts w:eastAsia="SimSun"/>
              </w:rPr>
              <w:t>3 мг/кг</w:t>
            </w:r>
          </w:p>
        </w:tc>
        <w:tc>
          <w:tcPr>
            <w:tcW w:w="1418" w:type="dxa"/>
          </w:tcPr>
          <w:p w:rsidR="005600FF" w:rsidRPr="00AC3044" w:rsidRDefault="005600FF" w:rsidP="005600FF">
            <w:pPr>
              <w:ind w:firstLine="0"/>
              <w:rPr>
                <w:rFonts w:eastAsia="SimSun"/>
              </w:rPr>
            </w:pPr>
            <w:r w:rsidRPr="00AC3044">
              <w:rPr>
                <w:rFonts w:eastAsia="SimSun"/>
              </w:rPr>
              <w:t>–</w:t>
            </w:r>
          </w:p>
        </w:tc>
        <w:tc>
          <w:tcPr>
            <w:tcW w:w="1701" w:type="dxa"/>
          </w:tcPr>
          <w:p w:rsidR="005600FF" w:rsidRPr="00AC3044" w:rsidRDefault="005600FF" w:rsidP="005600FF">
            <w:pPr>
              <w:ind w:firstLine="0"/>
              <w:rPr>
                <w:rFonts w:eastAsia="SimSun"/>
              </w:rPr>
            </w:pPr>
            <w:r w:rsidRPr="00AC3044">
              <w:rPr>
                <w:rFonts w:eastAsia="SimSun"/>
              </w:rPr>
              <w:t>С –1 по +90 день, затем постепенное снижение к +180 дню</w:t>
            </w:r>
          </w:p>
        </w:tc>
        <w:tc>
          <w:tcPr>
            <w:tcW w:w="2268" w:type="dxa"/>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35" w:type="dxa"/>
            <w:vMerge/>
          </w:tcPr>
          <w:p w:rsidR="005600FF" w:rsidRPr="00AC3044" w:rsidRDefault="005600FF" w:rsidP="005600FF">
            <w:pPr>
              <w:ind w:firstLine="0"/>
              <w:rPr>
                <w:rFonts w:eastAsia="SimSun"/>
              </w:rPr>
            </w:pPr>
          </w:p>
        </w:tc>
        <w:tc>
          <w:tcPr>
            <w:tcW w:w="1701" w:type="dxa"/>
            <w:vMerge w:val="restart"/>
          </w:tcPr>
          <w:p w:rsidR="005600FF" w:rsidRPr="00AC3044" w:rsidRDefault="005600FF" w:rsidP="005600FF">
            <w:pPr>
              <w:ind w:firstLine="0"/>
              <w:rPr>
                <w:rFonts w:eastAsia="SimSun"/>
              </w:rPr>
            </w:pPr>
            <w:r w:rsidRPr="00AC3044">
              <w:rPr>
                <w:rFonts w:eastAsia="SimSun"/>
              </w:rPr>
              <w:t>Метотрексат</w:t>
            </w:r>
          </w:p>
        </w:tc>
        <w:tc>
          <w:tcPr>
            <w:tcW w:w="1417" w:type="dxa"/>
          </w:tcPr>
          <w:p w:rsidR="005600FF" w:rsidRPr="00AC3044" w:rsidRDefault="005600FF" w:rsidP="005600FF">
            <w:pPr>
              <w:ind w:firstLine="0"/>
              <w:rPr>
                <w:rFonts w:eastAsia="SimSun"/>
              </w:rPr>
            </w:pPr>
            <w:r w:rsidRPr="00AC3044">
              <w:rPr>
                <w:rFonts w:eastAsia="SimSun"/>
              </w:rPr>
              <w:t>15 мг/м</w:t>
            </w:r>
            <w:r w:rsidRPr="001E6DBE">
              <w:rPr>
                <w:rFonts w:eastAsia="SimSun"/>
                <w:vertAlign w:val="superscript"/>
              </w:rPr>
              <w:t>2</w:t>
            </w:r>
          </w:p>
        </w:tc>
        <w:tc>
          <w:tcPr>
            <w:tcW w:w="1418" w:type="dxa"/>
          </w:tcPr>
          <w:p w:rsidR="005600FF" w:rsidRPr="00AC3044" w:rsidRDefault="005600FF" w:rsidP="005600FF">
            <w:pPr>
              <w:ind w:firstLine="0"/>
              <w:rPr>
                <w:rFonts w:eastAsia="SimSun"/>
              </w:rPr>
            </w:pPr>
            <w:r w:rsidRPr="00AC3044">
              <w:rPr>
                <w:rFonts w:eastAsia="SimSun"/>
              </w:rPr>
              <w:t>–</w:t>
            </w:r>
          </w:p>
        </w:tc>
        <w:tc>
          <w:tcPr>
            <w:tcW w:w="1701" w:type="dxa"/>
          </w:tcPr>
          <w:p w:rsidR="005600FF" w:rsidRPr="00AC3044" w:rsidRDefault="005600FF" w:rsidP="005600FF">
            <w:pPr>
              <w:ind w:firstLine="0"/>
              <w:rPr>
                <w:rFonts w:eastAsia="SimSun"/>
              </w:rPr>
            </w:pPr>
            <w:r w:rsidRPr="00AC3044">
              <w:rPr>
                <w:rFonts w:eastAsia="SimSun"/>
              </w:rPr>
              <w:t>+1 день</w:t>
            </w:r>
          </w:p>
        </w:tc>
        <w:tc>
          <w:tcPr>
            <w:tcW w:w="2268" w:type="dxa"/>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1135" w:type="dxa"/>
            <w:vMerge/>
          </w:tcPr>
          <w:p w:rsidR="005600FF" w:rsidRPr="00AC3044" w:rsidRDefault="005600FF" w:rsidP="005600FF">
            <w:pPr>
              <w:ind w:firstLine="0"/>
              <w:rPr>
                <w:rFonts w:eastAsia="SimSun"/>
              </w:rPr>
            </w:pPr>
          </w:p>
        </w:tc>
        <w:tc>
          <w:tcPr>
            <w:tcW w:w="1701" w:type="dxa"/>
            <w:vMerge/>
          </w:tcPr>
          <w:p w:rsidR="005600FF" w:rsidRPr="00AC3044" w:rsidRDefault="005600FF" w:rsidP="005600FF">
            <w:pPr>
              <w:ind w:firstLine="0"/>
              <w:rPr>
                <w:rFonts w:eastAsia="SimSun"/>
              </w:rPr>
            </w:pPr>
          </w:p>
        </w:tc>
        <w:tc>
          <w:tcPr>
            <w:tcW w:w="1417" w:type="dxa"/>
          </w:tcPr>
          <w:p w:rsidR="005600FF" w:rsidRPr="00AC3044" w:rsidRDefault="005600FF" w:rsidP="005600FF">
            <w:pPr>
              <w:ind w:firstLine="0"/>
              <w:rPr>
                <w:rFonts w:eastAsia="SimSun"/>
              </w:rPr>
            </w:pPr>
            <w:r w:rsidRPr="00AC3044">
              <w:rPr>
                <w:rFonts w:eastAsia="SimSun"/>
              </w:rPr>
              <w:t>10 мг/м</w:t>
            </w:r>
            <w:r w:rsidRPr="001E6DBE">
              <w:rPr>
                <w:rFonts w:eastAsia="SimSun"/>
                <w:vertAlign w:val="superscript"/>
              </w:rPr>
              <w:t>2</w:t>
            </w:r>
          </w:p>
        </w:tc>
        <w:tc>
          <w:tcPr>
            <w:tcW w:w="1418" w:type="dxa"/>
          </w:tcPr>
          <w:p w:rsidR="005600FF" w:rsidRPr="00AC3044" w:rsidRDefault="005600FF" w:rsidP="005600FF">
            <w:pPr>
              <w:ind w:firstLine="0"/>
              <w:rPr>
                <w:rFonts w:eastAsia="SimSun"/>
              </w:rPr>
            </w:pPr>
            <w:r w:rsidRPr="00AC3044">
              <w:rPr>
                <w:rFonts w:eastAsia="SimSun"/>
              </w:rPr>
              <w:t>–</w:t>
            </w:r>
          </w:p>
        </w:tc>
        <w:tc>
          <w:tcPr>
            <w:tcW w:w="1701" w:type="dxa"/>
          </w:tcPr>
          <w:p w:rsidR="005600FF" w:rsidRPr="00AC3044" w:rsidRDefault="005600FF" w:rsidP="005600FF">
            <w:pPr>
              <w:ind w:firstLine="0"/>
              <w:rPr>
                <w:rFonts w:eastAsia="SimSun"/>
              </w:rPr>
            </w:pPr>
            <w:r w:rsidRPr="00AC3044">
              <w:rPr>
                <w:rFonts w:eastAsia="SimSun"/>
              </w:rPr>
              <w:t>+3, +6, +11 дни</w:t>
            </w:r>
          </w:p>
        </w:tc>
        <w:tc>
          <w:tcPr>
            <w:tcW w:w="2268" w:type="dxa"/>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1135" w:type="dxa"/>
            <w:vMerge/>
          </w:tcPr>
          <w:p w:rsidR="005600FF" w:rsidRPr="00AC3044" w:rsidRDefault="005600FF" w:rsidP="005600FF">
            <w:pPr>
              <w:ind w:firstLine="0"/>
              <w:rPr>
                <w:rFonts w:eastAsia="SimSun"/>
              </w:rPr>
            </w:pPr>
          </w:p>
        </w:tc>
        <w:tc>
          <w:tcPr>
            <w:tcW w:w="1701" w:type="dxa"/>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tcPr>
          <w:p w:rsidR="005600FF" w:rsidRPr="00AC3044" w:rsidRDefault="005600FF" w:rsidP="005600FF">
            <w:pPr>
              <w:ind w:firstLine="0"/>
              <w:rPr>
                <w:rFonts w:eastAsia="SimSun"/>
              </w:rPr>
            </w:pPr>
            <w:r w:rsidRPr="00AC3044">
              <w:rPr>
                <w:rFonts w:eastAsia="SimSun"/>
              </w:rPr>
              <w:t>45 мг/кг</w:t>
            </w:r>
          </w:p>
        </w:tc>
        <w:tc>
          <w:tcPr>
            <w:tcW w:w="1418" w:type="dxa"/>
          </w:tcPr>
          <w:p w:rsidR="005600FF" w:rsidRPr="00AC3044" w:rsidRDefault="005600FF" w:rsidP="005600FF">
            <w:pPr>
              <w:ind w:firstLine="0"/>
              <w:rPr>
                <w:rFonts w:eastAsia="SimSun"/>
              </w:rPr>
            </w:pPr>
            <w:r w:rsidRPr="00AC3044">
              <w:rPr>
                <w:rFonts w:eastAsia="SimSun"/>
              </w:rPr>
              <w:t>–</w:t>
            </w:r>
          </w:p>
        </w:tc>
        <w:tc>
          <w:tcPr>
            <w:tcW w:w="1701" w:type="dxa"/>
          </w:tcPr>
          <w:p w:rsidR="005600FF" w:rsidRPr="00AC3044" w:rsidRDefault="005600FF" w:rsidP="005600FF">
            <w:pPr>
              <w:ind w:firstLine="0"/>
              <w:rPr>
                <w:rFonts w:eastAsia="SimSun"/>
              </w:rPr>
            </w:pPr>
            <w:r w:rsidRPr="00AC3044">
              <w:rPr>
                <w:rFonts w:eastAsia="SimSun"/>
              </w:rPr>
              <w:t>С +1 по +90 день</w:t>
            </w:r>
          </w:p>
        </w:tc>
        <w:tc>
          <w:tcPr>
            <w:tcW w:w="2268" w:type="dxa"/>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189" w:name="_Toc44401188"/>
    </w:p>
    <w:p w:rsidR="005600FF" w:rsidRPr="00391D6D"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2.1.2 – Bu12+Cy120 / rATG+CSA+MTX+MMF45</w:t>
      </w:r>
      <w:bookmarkEnd w:id="18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5600FF" w:rsidRPr="00AC3044" w:rsidTr="005600FF">
        <w:trPr>
          <w:cantSplit/>
          <w:trHeight w:val="20"/>
          <w:tblHeader/>
        </w:trPr>
        <w:tc>
          <w:tcPr>
            <w:tcW w:w="1135"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Default="005600FF" w:rsidP="005600FF">
            <w:pPr>
              <w:ind w:firstLine="0"/>
              <w:rPr>
                <w:rFonts w:eastAsia="SimSun"/>
              </w:rPr>
            </w:pPr>
            <w:r w:rsidRPr="00AC3044">
              <w:rPr>
                <w:rFonts w:eastAsia="SimSun"/>
              </w:rPr>
              <w:t>Порядок введения</w:t>
            </w:r>
          </w:p>
          <w:p w:rsidR="005600FF" w:rsidRPr="001E6DBE" w:rsidRDefault="005600FF" w:rsidP="005600FF">
            <w:pPr>
              <w:rPr>
                <w:rFonts w:eastAsia="SimSun"/>
              </w:rPr>
            </w:pPr>
          </w:p>
          <w:p w:rsidR="005600FF" w:rsidRPr="001E6DBE" w:rsidRDefault="005600FF" w:rsidP="005600FF">
            <w:pPr>
              <w:rPr>
                <w:rFonts w:eastAsia="SimSun"/>
              </w:rPr>
            </w:pPr>
          </w:p>
          <w:p w:rsidR="005600FF" w:rsidRPr="001E6DBE" w:rsidRDefault="005600FF" w:rsidP="005600FF">
            <w:pPr>
              <w:rPr>
                <w:rFonts w:eastAsia="SimSun"/>
              </w:rPr>
            </w:pPr>
          </w:p>
          <w:p w:rsidR="005600FF" w:rsidRDefault="005600FF" w:rsidP="005600FF">
            <w:pPr>
              <w:rPr>
                <w:rFonts w:eastAsia="SimSun"/>
              </w:rPr>
            </w:pPr>
          </w:p>
          <w:p w:rsidR="005600FF" w:rsidRPr="001E6DBE" w:rsidRDefault="005600FF" w:rsidP="005600FF">
            <w:pPr>
              <w:rPr>
                <w:rFonts w:eastAsia="SimSun"/>
              </w:rPr>
            </w:pP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12 мг/кг</w:t>
            </w:r>
          </w:p>
        </w:tc>
        <w:tc>
          <w:tcPr>
            <w:tcW w:w="1701" w:type="dxa"/>
            <w:vAlign w:val="center"/>
          </w:tcPr>
          <w:p w:rsidR="005600FF" w:rsidRPr="00AC3044" w:rsidRDefault="005600FF" w:rsidP="005600FF">
            <w:pPr>
              <w:ind w:firstLine="0"/>
              <w:rPr>
                <w:rFonts w:eastAsia="SimSun"/>
              </w:rPr>
            </w:pPr>
            <w:r w:rsidRPr="00AC3044">
              <w:rPr>
                <w:rFonts w:eastAsia="SimSun"/>
              </w:rPr>
              <w:t>С –6 по –4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038"/>
        </w:trPr>
        <w:tc>
          <w:tcPr>
            <w:tcW w:w="1135"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60 мг/кг</w:t>
            </w:r>
          </w:p>
        </w:tc>
        <w:tc>
          <w:tcPr>
            <w:tcW w:w="1418" w:type="dxa"/>
            <w:vAlign w:val="center"/>
          </w:tcPr>
          <w:p w:rsidR="005600FF" w:rsidRPr="00AC3044" w:rsidRDefault="005600FF" w:rsidP="005600FF">
            <w:pPr>
              <w:ind w:firstLine="0"/>
              <w:rPr>
                <w:rFonts w:eastAsia="SimSun"/>
              </w:rPr>
            </w:pPr>
            <w:r w:rsidRPr="00AC3044">
              <w:rPr>
                <w:rFonts w:eastAsia="SimSun"/>
              </w:rPr>
              <w:t>120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 –2 дни </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течение 2 ч </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(кроличий)</w:t>
            </w:r>
          </w:p>
        </w:tc>
        <w:tc>
          <w:tcPr>
            <w:tcW w:w="1417" w:type="dxa"/>
            <w:vAlign w:val="center"/>
          </w:tcPr>
          <w:p w:rsidR="005600FF" w:rsidRPr="00AC3044" w:rsidRDefault="005600FF" w:rsidP="005600FF">
            <w:pPr>
              <w:ind w:firstLine="0"/>
              <w:rPr>
                <w:rFonts w:eastAsia="SimSun"/>
              </w:rPr>
            </w:pPr>
            <w:r w:rsidRPr="00AC3044">
              <w:rPr>
                <w:rFonts w:eastAsia="SimSun"/>
              </w:rPr>
              <w:t>2,5 мг/кг</w:t>
            </w:r>
          </w:p>
        </w:tc>
        <w:tc>
          <w:tcPr>
            <w:tcW w:w="1418" w:type="dxa"/>
            <w:vAlign w:val="center"/>
          </w:tcPr>
          <w:p w:rsidR="005600FF" w:rsidRPr="00AC3044" w:rsidRDefault="005600FF" w:rsidP="005600FF">
            <w:pPr>
              <w:ind w:firstLine="0"/>
              <w:rPr>
                <w:rFonts w:eastAsia="SimSun"/>
              </w:rPr>
            </w:pPr>
            <w:r w:rsidRPr="00AC3044">
              <w:rPr>
                <w:rFonts w:eastAsia="SimSun"/>
              </w:rPr>
              <w:t>5-7,5 мг/кг</w:t>
            </w:r>
          </w:p>
        </w:tc>
        <w:tc>
          <w:tcPr>
            <w:tcW w:w="1701" w:type="dxa"/>
            <w:vAlign w:val="center"/>
          </w:tcPr>
          <w:p w:rsidR="005600FF" w:rsidRPr="00AC3044" w:rsidRDefault="005600FF" w:rsidP="005600FF">
            <w:pPr>
              <w:ind w:firstLine="0"/>
              <w:rPr>
                <w:rFonts w:eastAsia="SimSun"/>
              </w:rPr>
            </w:pPr>
            <w:r w:rsidRPr="00AC3044">
              <w:rPr>
                <w:rFonts w:eastAsia="SimSun"/>
              </w:rPr>
              <w:t>С –3 по –2 (-1) день</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35" w:type="dxa"/>
            <w:vMerge/>
          </w:tcPr>
          <w:p w:rsidR="005600FF" w:rsidRPr="00AC3044" w:rsidRDefault="005600FF" w:rsidP="005600FF">
            <w:pPr>
              <w:ind w:firstLine="0"/>
              <w:rPr>
                <w:rFonts w:eastAsia="SimSun"/>
              </w:rPr>
            </w:pPr>
          </w:p>
        </w:tc>
        <w:tc>
          <w:tcPr>
            <w:tcW w:w="1701"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417" w:type="dxa"/>
            <w:vAlign w:val="center"/>
          </w:tcPr>
          <w:p w:rsidR="005600FF" w:rsidRPr="00AC3044" w:rsidRDefault="005600FF" w:rsidP="005600FF">
            <w:pPr>
              <w:ind w:firstLine="0"/>
              <w:rPr>
                <w:rFonts w:eastAsia="SimSun"/>
              </w:rPr>
            </w:pPr>
            <w:r w:rsidRPr="00AC3044">
              <w:rPr>
                <w:rFonts w:eastAsia="SimSun"/>
              </w:rPr>
              <w:t>15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1135" w:type="dxa"/>
            <w:vMerge/>
          </w:tcPr>
          <w:p w:rsidR="005600FF" w:rsidRPr="00AC3044" w:rsidRDefault="005600FF" w:rsidP="005600FF">
            <w:pPr>
              <w:ind w:firstLine="0"/>
              <w:rPr>
                <w:rFonts w:eastAsia="SimSun"/>
              </w:rPr>
            </w:pPr>
          </w:p>
        </w:tc>
        <w:tc>
          <w:tcPr>
            <w:tcW w:w="1701" w:type="dxa"/>
            <w:vMerge/>
            <w:vAlign w:val="center"/>
          </w:tcPr>
          <w:p w:rsidR="005600FF" w:rsidRPr="00AC3044" w:rsidRDefault="005600FF" w:rsidP="005600FF">
            <w:pPr>
              <w:ind w:firstLine="0"/>
              <w:rPr>
                <w:rFonts w:eastAsia="SimSun"/>
              </w:rPr>
            </w:pPr>
          </w:p>
        </w:tc>
        <w:tc>
          <w:tcPr>
            <w:tcW w:w="1417" w:type="dxa"/>
            <w:vAlign w:val="center"/>
          </w:tcPr>
          <w:p w:rsidR="005600FF" w:rsidRPr="00AC3044" w:rsidRDefault="005600FF" w:rsidP="005600FF">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дни</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1135"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45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190" w:name="_Toc44401189"/>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2.1.3  – Flu180+Bu12 / PT-Cy</w:t>
      </w:r>
      <w:bookmarkEnd w:id="190"/>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1710"/>
        <w:gridCol w:w="1424"/>
        <w:gridCol w:w="1427"/>
        <w:gridCol w:w="1694"/>
        <w:gridCol w:w="2274"/>
      </w:tblGrid>
      <w:tr w:rsidR="005600FF" w:rsidRPr="00AC3044" w:rsidTr="005600FF">
        <w:trPr>
          <w:cantSplit/>
          <w:trHeight w:val="20"/>
          <w:tblHeader/>
        </w:trPr>
        <w:tc>
          <w:tcPr>
            <w:tcW w:w="1122" w:type="dxa"/>
            <w:vAlign w:val="center"/>
          </w:tcPr>
          <w:p w:rsidR="005600FF" w:rsidRPr="00AC3044" w:rsidRDefault="005600FF" w:rsidP="005600FF">
            <w:pPr>
              <w:ind w:firstLine="0"/>
              <w:rPr>
                <w:rFonts w:eastAsia="SimSun"/>
              </w:rPr>
            </w:pPr>
          </w:p>
        </w:tc>
        <w:tc>
          <w:tcPr>
            <w:tcW w:w="1710" w:type="dxa"/>
            <w:vAlign w:val="center"/>
          </w:tcPr>
          <w:p w:rsidR="005600FF" w:rsidRPr="00AC3044" w:rsidRDefault="005600FF" w:rsidP="005600FF">
            <w:pPr>
              <w:ind w:firstLine="0"/>
              <w:rPr>
                <w:rFonts w:eastAsia="SimSun"/>
              </w:rPr>
            </w:pPr>
            <w:r w:rsidRPr="00AC3044">
              <w:rPr>
                <w:rFonts w:eastAsia="SimSun"/>
              </w:rPr>
              <w:t>Препарат</w:t>
            </w:r>
          </w:p>
        </w:tc>
        <w:tc>
          <w:tcPr>
            <w:tcW w:w="1424"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27"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694" w:type="dxa"/>
            <w:vAlign w:val="center"/>
          </w:tcPr>
          <w:p w:rsidR="005600FF" w:rsidRPr="00AC3044" w:rsidRDefault="005600FF" w:rsidP="005600FF">
            <w:pPr>
              <w:ind w:firstLine="0"/>
              <w:rPr>
                <w:rFonts w:eastAsia="SimSun"/>
              </w:rPr>
            </w:pPr>
            <w:r w:rsidRPr="00AC3044">
              <w:rPr>
                <w:rFonts w:eastAsia="SimSun"/>
              </w:rPr>
              <w:t>Дни введения</w:t>
            </w:r>
          </w:p>
        </w:tc>
        <w:tc>
          <w:tcPr>
            <w:tcW w:w="2274"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22"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10"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24"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427"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694"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74"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688"/>
        </w:trPr>
        <w:tc>
          <w:tcPr>
            <w:tcW w:w="1122" w:type="dxa"/>
            <w:vMerge/>
            <w:vAlign w:val="center"/>
          </w:tcPr>
          <w:p w:rsidR="005600FF" w:rsidRPr="00AC3044" w:rsidRDefault="005600FF" w:rsidP="005600FF">
            <w:pPr>
              <w:ind w:firstLine="0"/>
              <w:rPr>
                <w:rFonts w:eastAsia="SimSun"/>
              </w:rPr>
            </w:pPr>
          </w:p>
        </w:tc>
        <w:tc>
          <w:tcPr>
            <w:tcW w:w="1710" w:type="dxa"/>
            <w:vAlign w:val="center"/>
          </w:tcPr>
          <w:p w:rsidR="005600FF" w:rsidRPr="00AC3044" w:rsidRDefault="005600FF" w:rsidP="005600FF">
            <w:pPr>
              <w:ind w:firstLine="0"/>
              <w:rPr>
                <w:rFonts w:eastAsia="SimSun"/>
              </w:rPr>
            </w:pPr>
            <w:r w:rsidRPr="00AC3044">
              <w:rPr>
                <w:rFonts w:eastAsia="SimSun"/>
              </w:rPr>
              <w:t>Бусульфан</w:t>
            </w:r>
          </w:p>
        </w:tc>
        <w:tc>
          <w:tcPr>
            <w:tcW w:w="1424"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27" w:type="dxa"/>
            <w:vAlign w:val="center"/>
          </w:tcPr>
          <w:p w:rsidR="005600FF" w:rsidRPr="00AC3044" w:rsidRDefault="005600FF" w:rsidP="005600FF">
            <w:pPr>
              <w:ind w:firstLine="0"/>
              <w:rPr>
                <w:rFonts w:eastAsia="SimSun"/>
              </w:rPr>
            </w:pPr>
            <w:r w:rsidRPr="00AC3044">
              <w:rPr>
                <w:rFonts w:eastAsia="SimSun"/>
              </w:rPr>
              <w:t xml:space="preserve">12 мг/кг </w:t>
            </w:r>
          </w:p>
        </w:tc>
        <w:tc>
          <w:tcPr>
            <w:tcW w:w="1694"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74"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980"/>
        </w:trPr>
        <w:tc>
          <w:tcPr>
            <w:tcW w:w="1122"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10"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24" w:type="dxa"/>
            <w:vAlign w:val="center"/>
          </w:tcPr>
          <w:p w:rsidR="005600FF" w:rsidRPr="00AC3044" w:rsidRDefault="005600FF" w:rsidP="005600FF">
            <w:pPr>
              <w:ind w:firstLine="0"/>
              <w:rPr>
                <w:rFonts w:eastAsia="SimSun"/>
              </w:rPr>
            </w:pPr>
            <w:r w:rsidRPr="00AC3044">
              <w:rPr>
                <w:rFonts w:eastAsia="SimSun"/>
              </w:rPr>
              <w:t>50 мг/кг</w:t>
            </w:r>
          </w:p>
        </w:tc>
        <w:tc>
          <w:tcPr>
            <w:tcW w:w="1427" w:type="dxa"/>
            <w:vAlign w:val="center"/>
          </w:tcPr>
          <w:p w:rsidR="005600FF" w:rsidRPr="00AC3044" w:rsidRDefault="005600FF" w:rsidP="005600FF">
            <w:pPr>
              <w:ind w:firstLine="0"/>
              <w:rPr>
                <w:rFonts w:eastAsia="SimSun"/>
              </w:rPr>
            </w:pPr>
            <w:r w:rsidRPr="00AC3044">
              <w:rPr>
                <w:rFonts w:eastAsia="SimSun"/>
              </w:rPr>
              <w:t>100 мг/кг</w:t>
            </w:r>
          </w:p>
        </w:tc>
        <w:tc>
          <w:tcPr>
            <w:tcW w:w="1694"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74" w:type="dxa"/>
            <w:vAlign w:val="center"/>
          </w:tcPr>
          <w:p w:rsidR="005600FF" w:rsidRPr="00AC3044" w:rsidRDefault="005600FF" w:rsidP="005600FF">
            <w:pPr>
              <w:ind w:firstLine="0"/>
              <w:rPr>
                <w:rFonts w:eastAsia="SimSun"/>
              </w:rPr>
            </w:pPr>
            <w:r w:rsidRPr="00AC3044">
              <w:rPr>
                <w:rFonts w:eastAsia="SimSun"/>
              </w:rPr>
              <w:t>В/в, в течение 2 ч</w:t>
            </w:r>
          </w:p>
        </w:tc>
      </w:tr>
    </w:tbl>
    <w:p w:rsidR="005600FF" w:rsidRPr="00C07B2E" w:rsidRDefault="005600FF" w:rsidP="005600FF">
      <w:pPr>
        <w:rPr>
          <w:rFonts w:eastAsia="SimSun"/>
        </w:rPr>
      </w:pPr>
      <w:r w:rsidRPr="00C07B2E">
        <w:rPr>
          <w:rFonts w:eastAsia="SimSun"/>
        </w:rPr>
        <w:tab/>
      </w:r>
    </w:p>
    <w:p w:rsidR="005600FF" w:rsidRPr="00C07B2E" w:rsidRDefault="005600FF" w:rsidP="005600FF">
      <w:pPr>
        <w:rPr>
          <w:rFonts w:eastAsia="SimSun"/>
        </w:rPr>
      </w:pPr>
      <w:bookmarkStart w:id="191" w:name="_Toc44401190"/>
      <w:r w:rsidRPr="00042499">
        <w:rPr>
          <w:rFonts w:eastAsia="SimSun"/>
        </w:rPr>
        <w:t>Таблица</w:t>
      </w:r>
      <w:r w:rsidRPr="00C07B2E">
        <w:rPr>
          <w:rFonts w:eastAsia="SimSun"/>
        </w:rPr>
        <w:t xml:space="preserve"> </w:t>
      </w:r>
      <w:r>
        <w:rPr>
          <w:rFonts w:eastAsia="SimSun"/>
        </w:rPr>
        <w:t>5.</w:t>
      </w:r>
      <w:r w:rsidRPr="00C07B2E">
        <w:rPr>
          <w:rFonts w:eastAsia="SimSun"/>
        </w:rPr>
        <w:t>2.1.4  – Flu180+Bu12 / PT-Cy+Tx+MMF30</w:t>
      </w:r>
      <w:bookmarkEnd w:id="19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5600FF" w:rsidRPr="00AC3044" w:rsidTr="005600FF">
        <w:trPr>
          <w:cantSplit/>
          <w:trHeight w:val="20"/>
          <w:tblHeader/>
        </w:trPr>
        <w:tc>
          <w:tcPr>
            <w:tcW w:w="1135"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135"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12мг/кг </w:t>
            </w:r>
          </w:p>
        </w:tc>
        <w:tc>
          <w:tcPr>
            <w:tcW w:w="1701"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669"/>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7"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486"/>
        </w:trPr>
        <w:tc>
          <w:tcPr>
            <w:tcW w:w="1135"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192" w:name="_Toc44401191"/>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2.1.5  – Flu180+Bu12 / PT-Cy+CSA+MMF30</w:t>
      </w:r>
      <w:bookmarkEnd w:id="19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5600FF" w:rsidRPr="00AC3044" w:rsidTr="005600FF">
        <w:trPr>
          <w:cantSplit/>
          <w:trHeight w:val="20"/>
          <w:tblHeader/>
        </w:trPr>
        <w:tc>
          <w:tcPr>
            <w:tcW w:w="1135"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417"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7"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135"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417"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12 мг/кг </w:t>
            </w:r>
          </w:p>
        </w:tc>
        <w:tc>
          <w:tcPr>
            <w:tcW w:w="1701"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606"/>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7"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В +3 день  и +5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829"/>
        </w:trPr>
        <w:tc>
          <w:tcPr>
            <w:tcW w:w="1135"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7"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+28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 А</w:t>
            </w:r>
          </w:p>
        </w:tc>
        <w:tc>
          <w:tcPr>
            <w:tcW w:w="1417"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+100 день </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rsidR="005600FF" w:rsidRPr="001E6DBE" w:rsidRDefault="005600FF" w:rsidP="005600FF">
      <w:pPr>
        <w:rPr>
          <w:rFonts w:eastAsia="SimSun"/>
        </w:rPr>
      </w:pPr>
    </w:p>
    <w:p w:rsidR="005600FF" w:rsidRPr="00042499" w:rsidRDefault="005600FF" w:rsidP="005600FF">
      <w:pPr>
        <w:rPr>
          <w:rFonts w:eastAsia="SimSun"/>
          <w:lang w:val="en-US"/>
        </w:rPr>
      </w:pPr>
      <w:bookmarkStart w:id="193" w:name="_Toc44401192"/>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2.1.6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 xml:space="preserve">12 / </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93"/>
    </w:p>
    <w:tbl>
      <w:tblPr>
        <w:tblpPr w:leftFromText="180" w:rightFromText="180" w:vertAnchor="text" w:horzAnchor="margin" w:tblpX="6" w:tblpY="38"/>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2"/>
        <w:gridCol w:w="1709"/>
        <w:gridCol w:w="1395"/>
        <w:gridCol w:w="1367"/>
        <w:gridCol w:w="1783"/>
        <w:gridCol w:w="2267"/>
      </w:tblGrid>
      <w:tr w:rsidR="005600FF" w:rsidRPr="00AC3044" w:rsidTr="005600FF">
        <w:trPr>
          <w:cantSplit/>
          <w:trHeight w:val="20"/>
          <w:tblHeader/>
        </w:trPr>
        <w:tc>
          <w:tcPr>
            <w:tcW w:w="1142" w:type="dxa"/>
            <w:vAlign w:val="center"/>
          </w:tcPr>
          <w:p w:rsidR="005600FF" w:rsidRPr="00AC3044" w:rsidRDefault="005600FF" w:rsidP="005600FF">
            <w:pPr>
              <w:ind w:firstLine="0"/>
              <w:rPr>
                <w:rFonts w:eastAsia="SimSun"/>
              </w:rPr>
            </w:pPr>
          </w:p>
        </w:tc>
        <w:tc>
          <w:tcPr>
            <w:tcW w:w="1709" w:type="dxa"/>
            <w:vAlign w:val="center"/>
          </w:tcPr>
          <w:p w:rsidR="005600FF" w:rsidRPr="00AC3044" w:rsidRDefault="005600FF" w:rsidP="005600FF">
            <w:pPr>
              <w:ind w:firstLine="0"/>
              <w:rPr>
                <w:rFonts w:eastAsia="SimSun"/>
              </w:rPr>
            </w:pPr>
            <w:r w:rsidRPr="00AC3044">
              <w:rPr>
                <w:rFonts w:eastAsia="SimSun"/>
              </w:rPr>
              <w:t>Препарат</w:t>
            </w:r>
          </w:p>
        </w:tc>
        <w:tc>
          <w:tcPr>
            <w:tcW w:w="1395"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367"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83"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7"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42"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395" w:type="dxa"/>
            <w:vAlign w:val="center"/>
          </w:tcPr>
          <w:p w:rsidR="005600FF" w:rsidRPr="00AC3044" w:rsidRDefault="005600FF" w:rsidP="005600FF">
            <w:pPr>
              <w:ind w:firstLine="0"/>
              <w:rPr>
                <w:rFonts w:eastAsia="SimSun"/>
              </w:rPr>
            </w:pPr>
            <w:r w:rsidRPr="00AC3044">
              <w:rPr>
                <w:rFonts w:eastAsia="SimSun"/>
              </w:rPr>
              <w:t>30 мг/м</w:t>
            </w:r>
            <w:r w:rsidRPr="001E6DBE">
              <w:rPr>
                <w:rFonts w:eastAsia="SimSun"/>
                <w:vertAlign w:val="superscript"/>
              </w:rPr>
              <w:t>2</w:t>
            </w:r>
          </w:p>
        </w:tc>
        <w:tc>
          <w:tcPr>
            <w:tcW w:w="1367" w:type="dxa"/>
            <w:vAlign w:val="center"/>
          </w:tcPr>
          <w:p w:rsidR="005600FF" w:rsidRPr="00AC3044" w:rsidRDefault="005600FF" w:rsidP="005600FF">
            <w:pPr>
              <w:ind w:firstLine="0"/>
              <w:rPr>
                <w:rFonts w:eastAsia="SimSun"/>
              </w:rPr>
            </w:pPr>
            <w:r w:rsidRPr="00AC3044">
              <w:rPr>
                <w:rFonts w:eastAsia="SimSun"/>
              </w:rPr>
              <w:t>180 мг/м</w:t>
            </w:r>
            <w:r w:rsidRPr="001E6DBE">
              <w:rPr>
                <w:rFonts w:eastAsia="SimSun"/>
                <w:vertAlign w:val="superscript"/>
              </w:rPr>
              <w:t>2</w:t>
            </w:r>
          </w:p>
        </w:tc>
        <w:tc>
          <w:tcPr>
            <w:tcW w:w="1783"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7"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47"/>
        </w:trPr>
        <w:tc>
          <w:tcPr>
            <w:tcW w:w="1142" w:type="dxa"/>
            <w:vMerge/>
            <w:vAlign w:val="center"/>
          </w:tcPr>
          <w:p w:rsidR="005600FF" w:rsidRPr="00AC3044" w:rsidRDefault="005600FF" w:rsidP="005600FF">
            <w:pPr>
              <w:ind w:firstLine="0"/>
              <w:rPr>
                <w:rFonts w:eastAsia="SimSun"/>
              </w:rPr>
            </w:pPr>
          </w:p>
        </w:tc>
        <w:tc>
          <w:tcPr>
            <w:tcW w:w="1709" w:type="dxa"/>
            <w:vAlign w:val="center"/>
          </w:tcPr>
          <w:p w:rsidR="005600FF" w:rsidRPr="00AC3044" w:rsidRDefault="005600FF" w:rsidP="005600FF">
            <w:pPr>
              <w:ind w:firstLine="0"/>
              <w:rPr>
                <w:rFonts w:eastAsia="SimSun"/>
              </w:rPr>
            </w:pPr>
            <w:r w:rsidRPr="00AC3044">
              <w:rPr>
                <w:rFonts w:eastAsia="SimSun"/>
              </w:rPr>
              <w:t>Бусульфан</w:t>
            </w:r>
          </w:p>
        </w:tc>
        <w:tc>
          <w:tcPr>
            <w:tcW w:w="1395"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367" w:type="dxa"/>
            <w:vAlign w:val="center"/>
          </w:tcPr>
          <w:p w:rsidR="005600FF" w:rsidRPr="00AC3044" w:rsidRDefault="005600FF" w:rsidP="005600FF">
            <w:pPr>
              <w:ind w:firstLine="0"/>
              <w:rPr>
                <w:rFonts w:eastAsia="SimSun"/>
              </w:rPr>
            </w:pPr>
            <w:r w:rsidRPr="00AC3044">
              <w:rPr>
                <w:rFonts w:eastAsia="SimSun"/>
              </w:rPr>
              <w:t xml:space="preserve">12 мг/кг </w:t>
            </w:r>
          </w:p>
        </w:tc>
        <w:tc>
          <w:tcPr>
            <w:tcW w:w="1783"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7"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498"/>
        </w:trPr>
        <w:tc>
          <w:tcPr>
            <w:tcW w:w="1142"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395" w:type="dxa"/>
            <w:vAlign w:val="center"/>
          </w:tcPr>
          <w:p w:rsidR="005600FF" w:rsidRPr="00AC3044" w:rsidRDefault="005600FF" w:rsidP="005600FF">
            <w:pPr>
              <w:ind w:firstLine="0"/>
              <w:rPr>
                <w:rFonts w:eastAsia="SimSun"/>
              </w:rPr>
            </w:pPr>
            <w:r w:rsidRPr="00AC3044">
              <w:rPr>
                <w:rFonts w:eastAsia="SimSun"/>
              </w:rPr>
              <w:t>0,03 мг/кг</w:t>
            </w:r>
          </w:p>
        </w:tc>
        <w:tc>
          <w:tcPr>
            <w:tcW w:w="1367" w:type="dxa"/>
            <w:vAlign w:val="center"/>
          </w:tcPr>
          <w:p w:rsidR="005600FF" w:rsidRPr="00AC3044" w:rsidRDefault="005600FF" w:rsidP="005600FF">
            <w:pPr>
              <w:ind w:firstLine="0"/>
              <w:rPr>
                <w:rFonts w:eastAsia="SimSun"/>
              </w:rPr>
            </w:pPr>
            <w:r w:rsidRPr="00AC3044">
              <w:rPr>
                <w:rFonts w:eastAsia="SimSun"/>
              </w:rPr>
              <w:t>–</w:t>
            </w:r>
          </w:p>
        </w:tc>
        <w:tc>
          <w:tcPr>
            <w:tcW w:w="1783"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7"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/л, при</w:t>
            </w:r>
            <w:r>
              <w:rPr>
                <w:rFonts w:eastAsia="SimSun"/>
              </w:rPr>
              <w:t xml:space="preserve"> </w:t>
            </w:r>
            <w:r w:rsidRPr="00AC3044">
              <w:rPr>
                <w:rFonts w:eastAsia="SimSun"/>
              </w:rPr>
              <w:t xml:space="preserve">отсутствии тошноты, рвоты, диареи и возможности приема внутрь. Концентрация Tx 5-15 нг/мл.    </w:t>
            </w:r>
          </w:p>
        </w:tc>
      </w:tr>
      <w:tr w:rsidR="005600FF" w:rsidRPr="00AC3044" w:rsidTr="005600FF">
        <w:trPr>
          <w:cantSplit/>
          <w:trHeight w:val="625"/>
        </w:trPr>
        <w:tc>
          <w:tcPr>
            <w:tcW w:w="1142" w:type="dxa"/>
            <w:vMerge/>
            <w:textDirection w:val="btLr"/>
            <w:vAlign w:val="center"/>
          </w:tcPr>
          <w:p w:rsidR="005600FF" w:rsidRPr="00AC3044" w:rsidRDefault="005600FF" w:rsidP="005600FF">
            <w:pPr>
              <w:ind w:firstLine="0"/>
              <w:rPr>
                <w:rFonts w:eastAsia="SimSun"/>
              </w:rPr>
            </w:pPr>
          </w:p>
        </w:tc>
        <w:tc>
          <w:tcPr>
            <w:tcW w:w="170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395"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367" w:type="dxa"/>
            <w:vAlign w:val="center"/>
          </w:tcPr>
          <w:p w:rsidR="005600FF" w:rsidRPr="00AC3044" w:rsidRDefault="005600FF" w:rsidP="005600FF">
            <w:pPr>
              <w:ind w:firstLine="0"/>
              <w:rPr>
                <w:rFonts w:eastAsia="SimSun"/>
              </w:rPr>
            </w:pPr>
            <w:r w:rsidRPr="00AC3044">
              <w:rPr>
                <w:rFonts w:eastAsia="SimSun"/>
              </w:rPr>
              <w:t>–</w:t>
            </w:r>
          </w:p>
        </w:tc>
        <w:tc>
          <w:tcPr>
            <w:tcW w:w="1783"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7"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194" w:name="_Toc44401193"/>
    </w:p>
    <w:p w:rsidR="005600FF"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2.1.7  – Flu180+Bu14 / PT-Cy</w:t>
      </w:r>
      <w:bookmarkStart w:id="195" w:name="_Toc44401194"/>
      <w:bookmarkEnd w:id="194"/>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6"/>
        <w:gridCol w:w="1731"/>
        <w:gridCol w:w="1399"/>
        <w:gridCol w:w="1272"/>
        <w:gridCol w:w="1760"/>
        <w:gridCol w:w="2234"/>
      </w:tblGrid>
      <w:tr w:rsidR="005600FF" w:rsidRPr="00AC3044" w:rsidTr="005600FF">
        <w:trPr>
          <w:cantSplit/>
          <w:trHeight w:val="20"/>
          <w:tblHeader/>
        </w:trPr>
        <w:tc>
          <w:tcPr>
            <w:tcW w:w="1176" w:type="dxa"/>
            <w:vAlign w:val="center"/>
          </w:tcPr>
          <w:p w:rsidR="005600FF" w:rsidRPr="00AC3044" w:rsidRDefault="005600FF" w:rsidP="005600FF">
            <w:pPr>
              <w:ind w:firstLine="0"/>
              <w:rPr>
                <w:rFonts w:eastAsia="SimSun"/>
              </w:rPr>
            </w:pPr>
            <w:r w:rsidRPr="00AC3044">
              <w:rPr>
                <w:rFonts w:eastAsia="SimSun"/>
              </w:rPr>
              <w:tab/>
            </w:r>
          </w:p>
        </w:tc>
        <w:tc>
          <w:tcPr>
            <w:tcW w:w="1731" w:type="dxa"/>
            <w:vAlign w:val="center"/>
          </w:tcPr>
          <w:p w:rsidR="005600FF" w:rsidRPr="00AC3044" w:rsidRDefault="005600FF" w:rsidP="005600FF">
            <w:pPr>
              <w:ind w:firstLine="0"/>
              <w:rPr>
                <w:rFonts w:eastAsia="SimSun"/>
              </w:rPr>
            </w:pPr>
            <w:r w:rsidRPr="00AC3044">
              <w:rPr>
                <w:rFonts w:eastAsia="SimSun"/>
              </w:rPr>
              <w:t>Препарат</w:t>
            </w:r>
          </w:p>
        </w:tc>
        <w:tc>
          <w:tcPr>
            <w:tcW w:w="139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272"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60" w:type="dxa"/>
            <w:vAlign w:val="center"/>
          </w:tcPr>
          <w:p w:rsidR="005600FF" w:rsidRPr="00AC3044" w:rsidRDefault="005600FF" w:rsidP="005600FF">
            <w:pPr>
              <w:ind w:firstLine="0"/>
              <w:rPr>
                <w:rFonts w:eastAsia="SimSun"/>
              </w:rPr>
            </w:pPr>
            <w:r w:rsidRPr="00AC3044">
              <w:rPr>
                <w:rFonts w:eastAsia="SimSun"/>
              </w:rPr>
              <w:t>Дни введения</w:t>
            </w:r>
          </w:p>
        </w:tc>
        <w:tc>
          <w:tcPr>
            <w:tcW w:w="2234"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76"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3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399"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272" w:type="dxa"/>
            <w:vAlign w:val="center"/>
          </w:tcPr>
          <w:p w:rsidR="005600FF" w:rsidRPr="00AC3044" w:rsidRDefault="005600FF" w:rsidP="005600FF">
            <w:pPr>
              <w:ind w:firstLine="0"/>
              <w:rPr>
                <w:rFonts w:eastAsia="SimSun"/>
              </w:rPr>
            </w:pPr>
            <w:r w:rsidRPr="00AC3044">
              <w:rPr>
                <w:rFonts w:eastAsia="SimSun"/>
              </w:rPr>
              <w:t>180 мг/м</w:t>
            </w:r>
            <w:r w:rsidRPr="00DB259E">
              <w:rPr>
                <w:rFonts w:eastAsia="SimSun"/>
                <w:vertAlign w:val="superscript"/>
              </w:rPr>
              <w:t>2</w:t>
            </w:r>
          </w:p>
        </w:tc>
        <w:tc>
          <w:tcPr>
            <w:tcW w:w="1760"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34"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176" w:type="dxa"/>
            <w:vMerge/>
            <w:vAlign w:val="center"/>
          </w:tcPr>
          <w:p w:rsidR="005600FF" w:rsidRPr="00AC3044" w:rsidRDefault="005600FF" w:rsidP="005600FF">
            <w:pPr>
              <w:ind w:firstLine="0"/>
              <w:rPr>
                <w:rFonts w:eastAsia="SimSun"/>
              </w:rPr>
            </w:pPr>
          </w:p>
        </w:tc>
        <w:tc>
          <w:tcPr>
            <w:tcW w:w="1731" w:type="dxa"/>
            <w:vAlign w:val="center"/>
          </w:tcPr>
          <w:p w:rsidR="005600FF" w:rsidRPr="00AC3044" w:rsidRDefault="005600FF" w:rsidP="005600FF">
            <w:pPr>
              <w:ind w:firstLine="0"/>
              <w:rPr>
                <w:rFonts w:eastAsia="SimSun"/>
              </w:rPr>
            </w:pPr>
            <w:r w:rsidRPr="00AC3044">
              <w:rPr>
                <w:rFonts w:eastAsia="SimSun"/>
              </w:rPr>
              <w:t>Бусульфан</w:t>
            </w:r>
          </w:p>
        </w:tc>
        <w:tc>
          <w:tcPr>
            <w:tcW w:w="139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272" w:type="dxa"/>
            <w:vAlign w:val="center"/>
          </w:tcPr>
          <w:p w:rsidR="005600FF" w:rsidRPr="00AC3044" w:rsidRDefault="005600FF" w:rsidP="005600FF">
            <w:pPr>
              <w:ind w:firstLine="0"/>
              <w:rPr>
                <w:rFonts w:eastAsia="SimSun"/>
              </w:rPr>
            </w:pPr>
            <w:r w:rsidRPr="00AC3044">
              <w:rPr>
                <w:rFonts w:eastAsia="SimSun"/>
              </w:rPr>
              <w:t xml:space="preserve">14 мг/кг </w:t>
            </w:r>
          </w:p>
        </w:tc>
        <w:tc>
          <w:tcPr>
            <w:tcW w:w="1760" w:type="dxa"/>
            <w:vAlign w:val="center"/>
          </w:tcPr>
          <w:p w:rsidR="005600FF" w:rsidRPr="00AC3044" w:rsidRDefault="005600FF" w:rsidP="005600FF">
            <w:pPr>
              <w:ind w:firstLine="0"/>
              <w:rPr>
                <w:rFonts w:eastAsia="SimSun"/>
              </w:rPr>
            </w:pPr>
            <w:r w:rsidRPr="00AC3044">
              <w:rPr>
                <w:rFonts w:eastAsia="SimSun"/>
              </w:rPr>
              <w:t>С -6 дня по -3 день</w:t>
            </w:r>
          </w:p>
        </w:tc>
        <w:tc>
          <w:tcPr>
            <w:tcW w:w="2234"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1274"/>
        </w:trPr>
        <w:tc>
          <w:tcPr>
            <w:tcW w:w="1176"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3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399" w:type="dxa"/>
            <w:vAlign w:val="center"/>
          </w:tcPr>
          <w:p w:rsidR="005600FF" w:rsidRPr="00AC3044" w:rsidRDefault="005600FF" w:rsidP="005600FF">
            <w:pPr>
              <w:ind w:firstLine="0"/>
              <w:rPr>
                <w:rFonts w:eastAsia="SimSun"/>
              </w:rPr>
            </w:pPr>
            <w:r w:rsidRPr="00AC3044">
              <w:rPr>
                <w:rFonts w:eastAsia="SimSun"/>
              </w:rPr>
              <w:t>50 мг/кг</w:t>
            </w:r>
          </w:p>
        </w:tc>
        <w:tc>
          <w:tcPr>
            <w:tcW w:w="1272" w:type="dxa"/>
            <w:vAlign w:val="center"/>
          </w:tcPr>
          <w:p w:rsidR="005600FF" w:rsidRPr="00AC3044" w:rsidRDefault="005600FF" w:rsidP="005600FF">
            <w:pPr>
              <w:ind w:firstLine="0"/>
              <w:rPr>
                <w:rFonts w:eastAsia="SimSun"/>
              </w:rPr>
            </w:pPr>
            <w:r w:rsidRPr="00AC3044">
              <w:rPr>
                <w:rFonts w:eastAsia="SimSun"/>
              </w:rPr>
              <w:t>100 мг/кг</w:t>
            </w:r>
          </w:p>
        </w:tc>
        <w:tc>
          <w:tcPr>
            <w:tcW w:w="1760"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34" w:type="dxa"/>
            <w:vAlign w:val="center"/>
          </w:tcPr>
          <w:p w:rsidR="005600FF" w:rsidRPr="00AC3044" w:rsidRDefault="005600FF" w:rsidP="005600FF">
            <w:pPr>
              <w:ind w:firstLine="0"/>
              <w:rPr>
                <w:rFonts w:eastAsia="SimSun"/>
              </w:rPr>
            </w:pPr>
            <w:r w:rsidRPr="00AC3044">
              <w:rPr>
                <w:rFonts w:eastAsia="SimSun"/>
              </w:rPr>
              <w:t>В/в, в течение 2 ч</w:t>
            </w:r>
          </w:p>
        </w:tc>
      </w:tr>
    </w:tbl>
    <w:p w:rsidR="005600FF" w:rsidRDefault="005600FF" w:rsidP="005600FF">
      <w:pPr>
        <w:rPr>
          <w:rFonts w:eastAsia="SimSun"/>
        </w:rPr>
      </w:pPr>
    </w:p>
    <w:p w:rsidR="005600FF" w:rsidRPr="00C07B2E" w:rsidRDefault="005600FF" w:rsidP="005600FF">
      <w:pPr>
        <w:rPr>
          <w:rFonts w:eastAsia="SimSun"/>
        </w:rPr>
      </w:pPr>
      <w:r w:rsidRPr="00042499">
        <w:rPr>
          <w:rFonts w:eastAsia="SimSun"/>
        </w:rPr>
        <w:t>Таблица</w:t>
      </w:r>
      <w:r w:rsidRPr="00C07B2E">
        <w:rPr>
          <w:rFonts w:eastAsia="SimSun"/>
        </w:rPr>
        <w:t xml:space="preserve"> 4.2.1.8  – Flu180+Bu14 / PT-Cy+Tx+MMF30</w:t>
      </w:r>
      <w:bookmarkEnd w:id="19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5"/>
        <w:gridCol w:w="1702"/>
        <w:gridCol w:w="2268"/>
      </w:tblGrid>
      <w:tr w:rsidR="005600FF" w:rsidRPr="00AC3044" w:rsidTr="005600FF">
        <w:trPr>
          <w:cantSplit/>
          <w:trHeight w:val="20"/>
          <w:tblHeader/>
        </w:trPr>
        <w:tc>
          <w:tcPr>
            <w:tcW w:w="1242"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275"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2"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242"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275" w:type="dxa"/>
            <w:vAlign w:val="center"/>
          </w:tcPr>
          <w:p w:rsidR="005600FF" w:rsidRPr="00AC3044" w:rsidRDefault="005600FF" w:rsidP="005600FF">
            <w:pPr>
              <w:ind w:firstLine="0"/>
              <w:rPr>
                <w:rFonts w:eastAsia="SimSun"/>
              </w:rPr>
            </w:pPr>
            <w:r w:rsidRPr="00AC3044">
              <w:rPr>
                <w:rFonts w:eastAsia="SimSun"/>
              </w:rPr>
              <w:t>180 мг/м</w:t>
            </w:r>
            <w:r w:rsidRPr="00DB259E">
              <w:rPr>
                <w:rFonts w:eastAsia="SimSun"/>
                <w:vertAlign w:val="superscript"/>
              </w:rPr>
              <w:t>2</w:t>
            </w:r>
          </w:p>
        </w:tc>
        <w:tc>
          <w:tcPr>
            <w:tcW w:w="1702"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985"/>
        </w:trPr>
        <w:tc>
          <w:tcPr>
            <w:tcW w:w="1242"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275" w:type="dxa"/>
            <w:vAlign w:val="center"/>
          </w:tcPr>
          <w:p w:rsidR="005600FF" w:rsidRPr="00AC3044" w:rsidRDefault="005600FF" w:rsidP="005600FF">
            <w:pPr>
              <w:ind w:firstLine="0"/>
              <w:rPr>
                <w:rFonts w:eastAsia="SimSun"/>
              </w:rPr>
            </w:pPr>
            <w:r w:rsidRPr="00AC3044">
              <w:rPr>
                <w:rFonts w:eastAsia="SimSun"/>
              </w:rPr>
              <w:t xml:space="preserve">14мг/кг </w:t>
            </w:r>
          </w:p>
        </w:tc>
        <w:tc>
          <w:tcPr>
            <w:tcW w:w="1702" w:type="dxa"/>
            <w:vAlign w:val="center"/>
          </w:tcPr>
          <w:p w:rsidR="005600FF" w:rsidRPr="00AC3044" w:rsidRDefault="005600FF" w:rsidP="005600FF">
            <w:pPr>
              <w:ind w:firstLine="0"/>
              <w:rPr>
                <w:rFonts w:eastAsia="SimSun"/>
              </w:rPr>
            </w:pPr>
            <w:r w:rsidRPr="00AC3044">
              <w:rPr>
                <w:rFonts w:eastAsia="SimSun"/>
              </w:rPr>
              <w:t>С -6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590"/>
        </w:trPr>
        <w:tc>
          <w:tcPr>
            <w:tcW w:w="1242" w:type="dxa"/>
            <w:vMerge w:val="restart"/>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275" w:type="dxa"/>
            <w:vAlign w:val="center"/>
          </w:tcPr>
          <w:p w:rsidR="005600FF" w:rsidRPr="00AC3044" w:rsidRDefault="005600FF" w:rsidP="005600FF">
            <w:pPr>
              <w:ind w:firstLine="0"/>
              <w:rPr>
                <w:rFonts w:eastAsia="SimSun"/>
              </w:rPr>
            </w:pPr>
            <w:r w:rsidRPr="00AC3044">
              <w:rPr>
                <w:rFonts w:eastAsia="SimSun"/>
              </w:rPr>
              <w:t>100 мг/кг</w:t>
            </w:r>
          </w:p>
        </w:tc>
        <w:tc>
          <w:tcPr>
            <w:tcW w:w="1702"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958"/>
        </w:trPr>
        <w:tc>
          <w:tcPr>
            <w:tcW w:w="1242"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275" w:type="dxa"/>
            <w:vAlign w:val="center"/>
          </w:tcPr>
          <w:p w:rsidR="005600FF" w:rsidRPr="00AC3044" w:rsidRDefault="005600FF" w:rsidP="005600FF">
            <w:pPr>
              <w:ind w:firstLine="0"/>
              <w:rPr>
                <w:rFonts w:eastAsia="SimSun"/>
              </w:rPr>
            </w:pPr>
            <w:r w:rsidRPr="00AC3044">
              <w:rPr>
                <w:rFonts w:eastAsia="SimSun"/>
              </w:rPr>
              <w:t>–</w:t>
            </w:r>
          </w:p>
        </w:tc>
        <w:tc>
          <w:tcPr>
            <w:tcW w:w="1702"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08"/>
        </w:trPr>
        <w:tc>
          <w:tcPr>
            <w:tcW w:w="1242"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275" w:type="dxa"/>
            <w:vAlign w:val="center"/>
          </w:tcPr>
          <w:p w:rsidR="005600FF" w:rsidRPr="00AC3044" w:rsidRDefault="005600FF" w:rsidP="005600FF">
            <w:pPr>
              <w:ind w:firstLine="0"/>
              <w:rPr>
                <w:rFonts w:eastAsia="SimSun"/>
              </w:rPr>
            </w:pPr>
            <w:r w:rsidRPr="00AC3044">
              <w:rPr>
                <w:rFonts w:eastAsia="SimSun"/>
              </w:rPr>
              <w:t>–</w:t>
            </w:r>
          </w:p>
        </w:tc>
        <w:tc>
          <w:tcPr>
            <w:tcW w:w="1702"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Pr="00C07B2E" w:rsidRDefault="005600FF" w:rsidP="005600FF">
      <w:pPr>
        <w:rPr>
          <w:rFonts w:eastAsia="SimSun"/>
        </w:rPr>
      </w:pPr>
    </w:p>
    <w:p w:rsidR="005600FF" w:rsidRPr="00C07B2E" w:rsidRDefault="005600FF" w:rsidP="005600FF">
      <w:pPr>
        <w:rPr>
          <w:rFonts w:eastAsia="SimSun"/>
        </w:rPr>
      </w:pPr>
      <w:bookmarkStart w:id="196" w:name="_Toc44401195"/>
      <w:r w:rsidRPr="00042499">
        <w:rPr>
          <w:rFonts w:eastAsia="SimSun"/>
        </w:rPr>
        <w:t>Таблица</w:t>
      </w:r>
      <w:r w:rsidRPr="00C07B2E">
        <w:rPr>
          <w:rFonts w:eastAsia="SimSun"/>
        </w:rPr>
        <w:t xml:space="preserve"> </w:t>
      </w:r>
      <w:r>
        <w:rPr>
          <w:rFonts w:eastAsia="SimSun"/>
        </w:rPr>
        <w:t>5.</w:t>
      </w:r>
      <w:r w:rsidRPr="00C07B2E">
        <w:rPr>
          <w:rFonts w:eastAsia="SimSun"/>
        </w:rPr>
        <w:t>2.1.9  – Flu180+Bu14 / PT-Cy+CSA+MMF30</w:t>
      </w:r>
      <w:bookmarkEnd w:id="19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35"/>
        <w:gridCol w:w="1418"/>
        <w:gridCol w:w="1276"/>
        <w:gridCol w:w="1701"/>
        <w:gridCol w:w="2268"/>
      </w:tblGrid>
      <w:tr w:rsidR="005600FF" w:rsidRPr="00AC3044" w:rsidTr="005600FF">
        <w:trPr>
          <w:cantSplit/>
          <w:trHeight w:val="20"/>
          <w:tblHeader/>
        </w:trPr>
        <w:tc>
          <w:tcPr>
            <w:tcW w:w="1242" w:type="dxa"/>
            <w:vAlign w:val="center"/>
          </w:tcPr>
          <w:p w:rsidR="005600FF" w:rsidRPr="00470D3D" w:rsidRDefault="005600FF" w:rsidP="005600FF">
            <w:pPr>
              <w:ind w:firstLine="0"/>
              <w:rPr>
                <w:rFonts w:eastAsia="SimSun"/>
              </w:rPr>
            </w:pPr>
          </w:p>
        </w:tc>
        <w:tc>
          <w:tcPr>
            <w:tcW w:w="1735"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276"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242"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35"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rsidR="005600FF" w:rsidRPr="00AC3044" w:rsidRDefault="005600FF" w:rsidP="005600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66"/>
        </w:trPr>
        <w:tc>
          <w:tcPr>
            <w:tcW w:w="1242" w:type="dxa"/>
            <w:vMerge/>
            <w:vAlign w:val="center"/>
          </w:tcPr>
          <w:p w:rsidR="005600FF" w:rsidRPr="00AC3044" w:rsidRDefault="005600FF" w:rsidP="005600FF">
            <w:pPr>
              <w:ind w:firstLine="0"/>
              <w:rPr>
                <w:rFonts w:eastAsia="SimSun"/>
              </w:rPr>
            </w:pPr>
          </w:p>
        </w:tc>
        <w:tc>
          <w:tcPr>
            <w:tcW w:w="1735"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276" w:type="dxa"/>
            <w:vAlign w:val="center"/>
          </w:tcPr>
          <w:p w:rsidR="005600FF" w:rsidRPr="00AC3044" w:rsidRDefault="005600FF" w:rsidP="005600FF">
            <w:pPr>
              <w:ind w:firstLine="0"/>
              <w:rPr>
                <w:rFonts w:eastAsia="SimSun"/>
              </w:rPr>
            </w:pPr>
            <w:r w:rsidRPr="00AC3044">
              <w:rPr>
                <w:rFonts w:eastAsia="SimSun"/>
              </w:rPr>
              <w:t xml:space="preserve">14 мг/кг </w:t>
            </w:r>
          </w:p>
        </w:tc>
        <w:tc>
          <w:tcPr>
            <w:tcW w:w="1701" w:type="dxa"/>
            <w:vAlign w:val="center"/>
          </w:tcPr>
          <w:p w:rsidR="005600FF" w:rsidRPr="00AC3044" w:rsidRDefault="005600FF" w:rsidP="005600FF">
            <w:pPr>
              <w:ind w:firstLine="0"/>
              <w:rPr>
                <w:rFonts w:eastAsia="SimSun"/>
              </w:rPr>
            </w:pPr>
            <w:r w:rsidRPr="00AC3044">
              <w:rPr>
                <w:rFonts w:eastAsia="SimSun"/>
              </w:rPr>
              <w:t>С -6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796"/>
        </w:trPr>
        <w:tc>
          <w:tcPr>
            <w:tcW w:w="1242"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35"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276"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В +3 день  и +5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w:t>
            </w:r>
          </w:p>
        </w:tc>
      </w:tr>
      <w:tr w:rsidR="005600FF" w:rsidRPr="00AC3044" w:rsidTr="005600FF">
        <w:trPr>
          <w:cantSplit/>
          <w:trHeight w:val="410"/>
        </w:trPr>
        <w:tc>
          <w:tcPr>
            <w:tcW w:w="1242" w:type="dxa"/>
            <w:vMerge/>
            <w:textDirection w:val="btLr"/>
            <w:vAlign w:val="center"/>
          </w:tcPr>
          <w:p w:rsidR="005600FF" w:rsidRPr="00AC3044" w:rsidRDefault="005600FF" w:rsidP="005600FF">
            <w:pPr>
              <w:ind w:firstLine="0"/>
              <w:rPr>
                <w:rFonts w:eastAsia="SimSun"/>
              </w:rPr>
            </w:pPr>
          </w:p>
        </w:tc>
        <w:tc>
          <w:tcPr>
            <w:tcW w:w="1735"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+28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815"/>
        </w:trPr>
        <w:tc>
          <w:tcPr>
            <w:tcW w:w="1242" w:type="dxa"/>
            <w:vMerge/>
            <w:textDirection w:val="btLr"/>
            <w:vAlign w:val="center"/>
          </w:tcPr>
          <w:p w:rsidR="005600FF" w:rsidRPr="00AC3044" w:rsidRDefault="005600FF" w:rsidP="005600FF">
            <w:pPr>
              <w:ind w:firstLine="0"/>
              <w:rPr>
                <w:rFonts w:eastAsia="SimSun"/>
              </w:rPr>
            </w:pPr>
          </w:p>
        </w:tc>
        <w:tc>
          <w:tcPr>
            <w:tcW w:w="1735" w:type="dxa"/>
            <w:vAlign w:val="center"/>
          </w:tcPr>
          <w:p w:rsidR="005600FF" w:rsidRPr="00AC3044" w:rsidRDefault="005600FF" w:rsidP="005600FF">
            <w:pPr>
              <w:ind w:firstLine="0"/>
              <w:rPr>
                <w:rFonts w:eastAsia="SimSun"/>
              </w:rPr>
            </w:pPr>
            <w:r w:rsidRPr="00AC3044">
              <w:rPr>
                <w:rFonts w:eastAsia="SimSun"/>
              </w:rPr>
              <w:t>Циклоспорин А</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+100 день </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rsidR="005600FF" w:rsidRPr="00C07B2E" w:rsidRDefault="005600FF" w:rsidP="005600FF">
      <w:pPr>
        <w:rPr>
          <w:rFonts w:eastAsia="SimSun"/>
        </w:rPr>
      </w:pPr>
    </w:p>
    <w:p w:rsidR="005600FF" w:rsidRPr="00C07B2E" w:rsidRDefault="005600FF" w:rsidP="005600FF">
      <w:pPr>
        <w:rPr>
          <w:rFonts w:eastAsia="SimSun"/>
        </w:rPr>
      </w:pPr>
      <w:bookmarkStart w:id="197" w:name="_Toc44401196"/>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2.1.10  – Flu180+Bu14 / Tx+MMF30</w:t>
      </w:r>
      <w:bookmarkEnd w:id="19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5600FF" w:rsidRPr="00AC3044" w:rsidTr="005600FF">
        <w:trPr>
          <w:cantSplit/>
          <w:trHeight w:val="20"/>
          <w:tblHeader/>
        </w:trPr>
        <w:tc>
          <w:tcPr>
            <w:tcW w:w="1242"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276"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242"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rsidR="005600FF" w:rsidRPr="00AC3044" w:rsidRDefault="005600FF" w:rsidP="005600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242"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276" w:type="dxa"/>
            <w:vAlign w:val="center"/>
          </w:tcPr>
          <w:p w:rsidR="005600FF" w:rsidRPr="00AC3044" w:rsidRDefault="005600FF" w:rsidP="005600FF">
            <w:pPr>
              <w:ind w:firstLine="0"/>
              <w:rPr>
                <w:rFonts w:eastAsia="SimSun"/>
              </w:rPr>
            </w:pPr>
            <w:r w:rsidRPr="00AC3044">
              <w:rPr>
                <w:rFonts w:eastAsia="SimSun"/>
              </w:rPr>
              <w:t xml:space="preserve">14 мг/кг </w:t>
            </w:r>
          </w:p>
        </w:tc>
        <w:tc>
          <w:tcPr>
            <w:tcW w:w="1701" w:type="dxa"/>
            <w:vAlign w:val="center"/>
          </w:tcPr>
          <w:p w:rsidR="005600FF" w:rsidRPr="00AC3044" w:rsidRDefault="005600FF" w:rsidP="005600FF">
            <w:pPr>
              <w:ind w:firstLine="0"/>
              <w:rPr>
                <w:rFonts w:eastAsia="SimSun"/>
              </w:rPr>
            </w:pPr>
            <w:r w:rsidRPr="00AC3044">
              <w:rPr>
                <w:rFonts w:eastAsia="SimSun"/>
              </w:rPr>
              <w:t>С -6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1498"/>
        </w:trPr>
        <w:tc>
          <w:tcPr>
            <w:tcW w:w="1242"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604"/>
        </w:trPr>
        <w:tc>
          <w:tcPr>
            <w:tcW w:w="1242"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198" w:name="_Toc44401197"/>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2.1.11  – Flu180+Treo42 / PT-Cy+Tx+MMF30</w:t>
      </w:r>
      <w:bookmarkEnd w:id="19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5600FF" w:rsidRPr="00C07B2E" w:rsidTr="005600FF">
        <w:trPr>
          <w:cantSplit/>
          <w:trHeight w:val="20"/>
          <w:tblHeader/>
        </w:trPr>
        <w:tc>
          <w:tcPr>
            <w:tcW w:w="1242" w:type="dxa"/>
            <w:vAlign w:val="center"/>
          </w:tcPr>
          <w:p w:rsidR="005600FF" w:rsidRPr="00470D3D"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Препарат</w:t>
            </w:r>
          </w:p>
        </w:tc>
        <w:tc>
          <w:tcPr>
            <w:tcW w:w="1418" w:type="dxa"/>
            <w:vAlign w:val="center"/>
          </w:tcPr>
          <w:p w:rsidR="005600FF" w:rsidRPr="00C07B2E" w:rsidRDefault="005600FF" w:rsidP="005600FF">
            <w:pPr>
              <w:ind w:firstLine="0"/>
              <w:rPr>
                <w:rFonts w:eastAsia="SimSun"/>
              </w:rPr>
            </w:pPr>
            <w:r w:rsidRPr="00C07B2E">
              <w:rPr>
                <w:rFonts w:eastAsia="SimSun"/>
              </w:rPr>
              <w:t>Суточная доза</w:t>
            </w:r>
          </w:p>
        </w:tc>
        <w:tc>
          <w:tcPr>
            <w:tcW w:w="1276" w:type="dxa"/>
            <w:vAlign w:val="center"/>
          </w:tcPr>
          <w:p w:rsidR="005600FF" w:rsidRPr="00C07B2E" w:rsidRDefault="005600FF" w:rsidP="005600FF">
            <w:pPr>
              <w:ind w:firstLine="0"/>
              <w:rPr>
                <w:rFonts w:eastAsia="SimSun"/>
              </w:rPr>
            </w:pPr>
            <w:r w:rsidRPr="00C07B2E">
              <w:rPr>
                <w:rFonts w:eastAsia="SimSun"/>
              </w:rPr>
              <w:t>Курсовая доза</w:t>
            </w:r>
          </w:p>
        </w:tc>
        <w:tc>
          <w:tcPr>
            <w:tcW w:w="1701" w:type="dxa"/>
            <w:vAlign w:val="center"/>
          </w:tcPr>
          <w:p w:rsidR="005600FF" w:rsidRPr="00C07B2E" w:rsidRDefault="005600FF" w:rsidP="005600FF">
            <w:pPr>
              <w:ind w:firstLine="0"/>
              <w:rPr>
                <w:rFonts w:eastAsia="SimSun"/>
              </w:rPr>
            </w:pPr>
            <w:r w:rsidRPr="00C07B2E">
              <w:rPr>
                <w:rFonts w:eastAsia="SimSun"/>
              </w:rPr>
              <w:t>Дни введения</w:t>
            </w:r>
          </w:p>
        </w:tc>
        <w:tc>
          <w:tcPr>
            <w:tcW w:w="2268" w:type="dxa"/>
            <w:vAlign w:val="center"/>
          </w:tcPr>
          <w:p w:rsidR="005600FF" w:rsidRPr="00C07B2E" w:rsidRDefault="005600FF" w:rsidP="005600FF">
            <w:pPr>
              <w:ind w:firstLine="0"/>
              <w:rPr>
                <w:rFonts w:eastAsia="SimSun"/>
              </w:rPr>
            </w:pPr>
            <w:r w:rsidRPr="00C07B2E">
              <w:rPr>
                <w:rFonts w:eastAsia="SimSun"/>
              </w:rPr>
              <w:t>Порядок введения</w:t>
            </w:r>
          </w:p>
        </w:tc>
      </w:tr>
      <w:tr w:rsidR="005600FF" w:rsidRPr="00C07B2E" w:rsidTr="005600FF">
        <w:trPr>
          <w:cantSplit/>
          <w:trHeight w:val="20"/>
        </w:trPr>
        <w:tc>
          <w:tcPr>
            <w:tcW w:w="1242" w:type="dxa"/>
            <w:vMerge w:val="restart"/>
            <w:textDirection w:val="btLr"/>
            <w:vAlign w:val="center"/>
          </w:tcPr>
          <w:p w:rsidR="005600FF" w:rsidRPr="00C07B2E" w:rsidRDefault="005600FF" w:rsidP="005600FF">
            <w:pPr>
              <w:ind w:firstLine="0"/>
              <w:rPr>
                <w:rFonts w:eastAsia="SimSun"/>
              </w:rPr>
            </w:pPr>
            <w:r w:rsidRPr="00C07B2E">
              <w:rPr>
                <w:rFonts w:eastAsia="SimSun"/>
              </w:rPr>
              <w:t>Кондиционирование</w:t>
            </w:r>
          </w:p>
        </w:tc>
        <w:tc>
          <w:tcPr>
            <w:tcW w:w="1701" w:type="dxa"/>
            <w:vAlign w:val="center"/>
          </w:tcPr>
          <w:p w:rsidR="005600FF" w:rsidRPr="00C07B2E" w:rsidRDefault="005600FF" w:rsidP="005600FF">
            <w:pPr>
              <w:ind w:firstLine="0"/>
              <w:rPr>
                <w:rFonts w:eastAsia="SimSun"/>
              </w:rPr>
            </w:pPr>
            <w:r w:rsidRPr="00C07B2E">
              <w:rPr>
                <w:rFonts w:eastAsia="SimSun"/>
              </w:rPr>
              <w:t xml:space="preserve">Флударабин </w:t>
            </w:r>
          </w:p>
        </w:tc>
        <w:tc>
          <w:tcPr>
            <w:tcW w:w="1418" w:type="dxa"/>
            <w:vAlign w:val="center"/>
          </w:tcPr>
          <w:p w:rsidR="005600FF" w:rsidRPr="00C07B2E" w:rsidRDefault="005600FF" w:rsidP="005600FF">
            <w:pPr>
              <w:ind w:firstLine="0"/>
              <w:rPr>
                <w:rFonts w:eastAsia="SimSun"/>
              </w:rPr>
            </w:pPr>
            <w:r w:rsidRPr="00C07B2E">
              <w:rPr>
                <w:rFonts w:eastAsia="SimSun"/>
              </w:rPr>
              <w:t>30 мг/м</w:t>
            </w:r>
            <w:r w:rsidRPr="00DB259E">
              <w:rPr>
                <w:rFonts w:eastAsia="SimSun"/>
                <w:vertAlign w:val="superscript"/>
              </w:rPr>
              <w:t>2</w:t>
            </w:r>
          </w:p>
        </w:tc>
        <w:tc>
          <w:tcPr>
            <w:tcW w:w="1276" w:type="dxa"/>
            <w:vAlign w:val="center"/>
          </w:tcPr>
          <w:p w:rsidR="005600FF" w:rsidRPr="00C07B2E" w:rsidRDefault="005600FF" w:rsidP="005600FF">
            <w:pPr>
              <w:ind w:firstLine="0"/>
              <w:rPr>
                <w:rFonts w:eastAsia="SimSun"/>
              </w:rPr>
            </w:pPr>
            <w:r w:rsidRPr="00C07B2E">
              <w:rPr>
                <w:rFonts w:eastAsia="SimSun"/>
              </w:rPr>
              <w:t>180 мг/м</w:t>
            </w:r>
            <w:r w:rsidRPr="00DB259E">
              <w:rPr>
                <w:rFonts w:eastAsia="SimSun"/>
                <w:vertAlign w:val="superscript"/>
              </w:rPr>
              <w:t>2</w:t>
            </w:r>
          </w:p>
        </w:tc>
        <w:tc>
          <w:tcPr>
            <w:tcW w:w="1701" w:type="dxa"/>
            <w:vAlign w:val="center"/>
          </w:tcPr>
          <w:p w:rsidR="005600FF" w:rsidRPr="00C07B2E" w:rsidRDefault="005600FF" w:rsidP="005600FF">
            <w:pPr>
              <w:ind w:firstLine="0"/>
              <w:rPr>
                <w:rFonts w:eastAsia="SimSun"/>
              </w:rPr>
            </w:pPr>
            <w:r w:rsidRPr="00C07B2E">
              <w:rPr>
                <w:rFonts w:eastAsia="SimSun"/>
              </w:rPr>
              <w:t>С -7 дня по -2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30 -60 мин</w:t>
            </w:r>
          </w:p>
        </w:tc>
      </w:tr>
      <w:tr w:rsidR="005600FF" w:rsidRPr="00C07B2E" w:rsidTr="005600FF">
        <w:trPr>
          <w:cantSplit/>
          <w:trHeight w:val="872"/>
        </w:trPr>
        <w:tc>
          <w:tcPr>
            <w:tcW w:w="1242" w:type="dxa"/>
            <w:vMerge/>
            <w:vAlign w:val="center"/>
          </w:tcPr>
          <w:p w:rsidR="005600FF" w:rsidRPr="00C07B2E"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 xml:space="preserve">Треосульфан </w:t>
            </w:r>
          </w:p>
        </w:tc>
        <w:tc>
          <w:tcPr>
            <w:tcW w:w="1418" w:type="dxa"/>
            <w:vAlign w:val="center"/>
          </w:tcPr>
          <w:p w:rsidR="005600FF" w:rsidRPr="00C07B2E" w:rsidRDefault="005600FF" w:rsidP="005600FF">
            <w:pPr>
              <w:ind w:firstLine="0"/>
              <w:rPr>
                <w:rFonts w:eastAsia="SimSun"/>
              </w:rPr>
            </w:pPr>
            <w:r w:rsidRPr="00C07B2E">
              <w:rPr>
                <w:rFonts w:eastAsia="SimSun"/>
              </w:rPr>
              <w:t>14 г/кг</w:t>
            </w:r>
          </w:p>
        </w:tc>
        <w:tc>
          <w:tcPr>
            <w:tcW w:w="1276" w:type="dxa"/>
            <w:vAlign w:val="center"/>
          </w:tcPr>
          <w:p w:rsidR="005600FF" w:rsidRPr="00C07B2E" w:rsidRDefault="005600FF" w:rsidP="005600FF">
            <w:pPr>
              <w:ind w:firstLine="0"/>
              <w:rPr>
                <w:rFonts w:eastAsia="SimSun"/>
              </w:rPr>
            </w:pPr>
            <w:r w:rsidRPr="00C07B2E">
              <w:rPr>
                <w:rFonts w:eastAsia="SimSun"/>
                <w:lang w:val="en-US"/>
              </w:rPr>
              <w:t>4</w:t>
            </w:r>
            <w:r w:rsidRPr="00C07B2E">
              <w:rPr>
                <w:rFonts w:eastAsia="SimSun"/>
              </w:rPr>
              <w:t>2 г/кг</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 день </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2 часов</w:t>
            </w:r>
          </w:p>
        </w:tc>
      </w:tr>
      <w:tr w:rsidR="005600FF" w:rsidRPr="00C07B2E" w:rsidTr="005600FF">
        <w:trPr>
          <w:cantSplit/>
          <w:trHeight w:val="1498"/>
        </w:trPr>
        <w:tc>
          <w:tcPr>
            <w:tcW w:w="1242" w:type="dxa"/>
            <w:vMerge w:val="restart"/>
            <w:textDirection w:val="btLr"/>
            <w:vAlign w:val="center"/>
          </w:tcPr>
          <w:p w:rsidR="005600FF" w:rsidRPr="00C07B2E" w:rsidRDefault="005600FF" w:rsidP="005600FF">
            <w:pPr>
              <w:ind w:firstLine="0"/>
              <w:rPr>
                <w:rFonts w:eastAsia="SimSun"/>
              </w:rPr>
            </w:pPr>
            <w:r w:rsidRPr="00C07B2E">
              <w:rPr>
                <w:rFonts w:eastAsia="SimSun"/>
              </w:rPr>
              <w:t>Профилактика РТПХ</w:t>
            </w:r>
          </w:p>
        </w:tc>
        <w:tc>
          <w:tcPr>
            <w:tcW w:w="1701" w:type="dxa"/>
            <w:vAlign w:val="center"/>
          </w:tcPr>
          <w:p w:rsidR="005600FF" w:rsidRPr="00C07B2E" w:rsidRDefault="005600FF" w:rsidP="005600FF">
            <w:pPr>
              <w:ind w:firstLine="0"/>
              <w:rPr>
                <w:rFonts w:eastAsia="SimSun"/>
              </w:rPr>
            </w:pPr>
            <w:r w:rsidRPr="00C07B2E">
              <w:rPr>
                <w:rFonts w:eastAsia="SimSun"/>
              </w:rPr>
              <w:t xml:space="preserve">Такролимус </w:t>
            </w:r>
          </w:p>
        </w:tc>
        <w:tc>
          <w:tcPr>
            <w:tcW w:w="1418" w:type="dxa"/>
            <w:vAlign w:val="center"/>
          </w:tcPr>
          <w:p w:rsidR="005600FF" w:rsidRPr="00C07B2E" w:rsidRDefault="005600FF" w:rsidP="005600FF">
            <w:pPr>
              <w:ind w:firstLine="0"/>
              <w:rPr>
                <w:rFonts w:eastAsia="SimSun"/>
              </w:rPr>
            </w:pPr>
            <w:r w:rsidRPr="00C07B2E">
              <w:rPr>
                <w:rFonts w:eastAsia="SimSun"/>
              </w:rPr>
              <w:t>0,03 мг/кг</w:t>
            </w:r>
          </w:p>
        </w:tc>
        <w:tc>
          <w:tcPr>
            <w:tcW w:w="1276" w:type="dxa"/>
            <w:vAlign w:val="center"/>
          </w:tcPr>
          <w:p w:rsidR="005600FF" w:rsidRPr="00C07B2E" w:rsidRDefault="005600FF" w:rsidP="005600FF">
            <w:pPr>
              <w:ind w:firstLine="0"/>
              <w:rPr>
                <w:rFonts w:eastAsia="SimSun"/>
              </w:rPr>
            </w:pPr>
            <w:r w:rsidRPr="00C07B2E">
              <w:rPr>
                <w:rFonts w:eastAsia="SimSun"/>
                <w:lang w:val="en-US"/>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длительно </w:t>
            </w:r>
          </w:p>
        </w:tc>
        <w:tc>
          <w:tcPr>
            <w:tcW w:w="2268" w:type="dxa"/>
            <w:vAlign w:val="center"/>
          </w:tcPr>
          <w:p w:rsidR="005600FF" w:rsidRPr="00DB259E" w:rsidRDefault="005600FF" w:rsidP="005600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DB259E">
              <w:rPr>
                <w:rFonts w:eastAsia="SimSun"/>
              </w:rPr>
              <w:t>Перевод на прием внутрь при условии восстановления лейкоцитов &gt; 1</w:t>
            </w:r>
            <w:r>
              <w:rPr>
                <w:rFonts w:eastAsia="SimSun"/>
              </w:rPr>
              <w:t xml:space="preserve"> х</w:t>
            </w:r>
            <w:r w:rsidRPr="00DB259E">
              <w:rPr>
                <w:rFonts w:eastAsia="SimSun"/>
              </w:rPr>
              <w:t xml:space="preserve"> 10</w:t>
            </w:r>
            <w:r w:rsidRPr="00DB259E">
              <w:rPr>
                <w:rFonts w:eastAsia="SimSun"/>
                <w:vertAlign w:val="superscript"/>
              </w:rPr>
              <w:t>9</w:t>
            </w:r>
            <w:r w:rsidRPr="00DB259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DB259E">
              <w:rPr>
                <w:rFonts w:eastAsia="SimSun"/>
              </w:rPr>
              <w:t xml:space="preserve"> 5-15 нг/мл.    </w:t>
            </w:r>
          </w:p>
        </w:tc>
      </w:tr>
      <w:tr w:rsidR="005600FF" w:rsidRPr="00C07B2E" w:rsidTr="005600FF">
        <w:trPr>
          <w:cantSplit/>
          <w:trHeight w:val="542"/>
        </w:trPr>
        <w:tc>
          <w:tcPr>
            <w:tcW w:w="1242" w:type="dxa"/>
            <w:vMerge/>
            <w:textDirection w:val="btLr"/>
            <w:vAlign w:val="center"/>
          </w:tcPr>
          <w:p w:rsidR="005600FF" w:rsidRPr="00DB259E"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Микофенолата мофетил</w:t>
            </w:r>
          </w:p>
        </w:tc>
        <w:tc>
          <w:tcPr>
            <w:tcW w:w="1418" w:type="dxa"/>
            <w:vAlign w:val="center"/>
          </w:tcPr>
          <w:p w:rsidR="005600FF" w:rsidRPr="00C07B2E" w:rsidRDefault="005600FF" w:rsidP="005600FF">
            <w:pPr>
              <w:ind w:firstLine="0"/>
              <w:rPr>
                <w:rFonts w:eastAsia="SimSun"/>
              </w:rPr>
            </w:pPr>
            <w:r w:rsidRPr="00C07B2E">
              <w:rPr>
                <w:rFonts w:eastAsia="SimSun"/>
                <w:lang w:val="en-US"/>
              </w:rPr>
              <w:t>30</w:t>
            </w:r>
            <w:r w:rsidRPr="00C07B2E">
              <w:rPr>
                <w:rFonts w:eastAsia="SimSun"/>
              </w:rPr>
              <w:t xml:space="preserve"> мг/кг </w:t>
            </w:r>
          </w:p>
        </w:tc>
        <w:tc>
          <w:tcPr>
            <w:tcW w:w="1276" w:type="dxa"/>
            <w:vAlign w:val="center"/>
          </w:tcPr>
          <w:p w:rsidR="005600FF" w:rsidRPr="00C07B2E" w:rsidRDefault="005600FF" w:rsidP="005600FF">
            <w:pPr>
              <w:ind w:firstLine="0"/>
              <w:rPr>
                <w:rFonts w:eastAsia="SimSun"/>
              </w:rPr>
            </w:pPr>
            <w:r w:rsidRPr="00C07B2E">
              <w:rPr>
                <w:rFonts w:eastAsia="SimSun"/>
              </w:rPr>
              <w:t>–</w:t>
            </w:r>
          </w:p>
        </w:tc>
        <w:tc>
          <w:tcPr>
            <w:tcW w:w="1701" w:type="dxa"/>
            <w:vAlign w:val="center"/>
          </w:tcPr>
          <w:p w:rsidR="005600FF" w:rsidRPr="00C07B2E" w:rsidRDefault="005600FF" w:rsidP="005600FF">
            <w:pPr>
              <w:ind w:firstLine="0"/>
              <w:rPr>
                <w:rFonts w:eastAsia="SimSun"/>
              </w:rPr>
            </w:pPr>
            <w:r w:rsidRPr="00C07B2E">
              <w:rPr>
                <w:rFonts w:eastAsia="SimSun"/>
              </w:rPr>
              <w:t xml:space="preserve">С +5 дня по +35 день </w:t>
            </w:r>
          </w:p>
        </w:tc>
        <w:tc>
          <w:tcPr>
            <w:tcW w:w="2268" w:type="dxa"/>
            <w:vAlign w:val="center"/>
          </w:tcPr>
          <w:p w:rsidR="005600FF" w:rsidRPr="00C07B2E" w:rsidRDefault="005600FF" w:rsidP="005600FF">
            <w:pPr>
              <w:ind w:firstLine="0"/>
              <w:rPr>
                <w:rFonts w:eastAsia="SimSun"/>
              </w:rPr>
            </w:pPr>
            <w:r w:rsidRPr="00C07B2E">
              <w:rPr>
                <w:rFonts w:eastAsia="SimSun"/>
              </w:rPr>
              <w:t xml:space="preserve">Внутрь, суммарная суточная доза разделяется на 2- 4 приема (не более 3г/сут).  </w:t>
            </w:r>
          </w:p>
        </w:tc>
      </w:tr>
      <w:tr w:rsidR="005600FF" w:rsidRPr="00C07B2E" w:rsidTr="005600FF">
        <w:trPr>
          <w:cantSplit/>
          <w:trHeight w:val="508"/>
        </w:trPr>
        <w:tc>
          <w:tcPr>
            <w:tcW w:w="1242" w:type="dxa"/>
            <w:vMerge/>
            <w:textDirection w:val="btLr"/>
            <w:vAlign w:val="center"/>
          </w:tcPr>
          <w:p w:rsidR="005600FF" w:rsidRPr="00C07B2E" w:rsidRDefault="005600FF" w:rsidP="005600FF">
            <w:pPr>
              <w:ind w:firstLine="0"/>
              <w:rPr>
                <w:rFonts w:eastAsia="SimSun"/>
              </w:rPr>
            </w:pPr>
          </w:p>
        </w:tc>
        <w:tc>
          <w:tcPr>
            <w:tcW w:w="1701" w:type="dxa"/>
            <w:vAlign w:val="center"/>
          </w:tcPr>
          <w:p w:rsidR="005600FF" w:rsidRPr="00C07B2E" w:rsidRDefault="005600FF" w:rsidP="005600FF">
            <w:pPr>
              <w:ind w:firstLine="0"/>
              <w:rPr>
                <w:rFonts w:eastAsia="SimSun"/>
              </w:rPr>
            </w:pPr>
            <w:r w:rsidRPr="00C07B2E">
              <w:rPr>
                <w:rFonts w:eastAsia="SimSun"/>
              </w:rPr>
              <w:t xml:space="preserve">Циклофосфамид </w:t>
            </w:r>
          </w:p>
        </w:tc>
        <w:tc>
          <w:tcPr>
            <w:tcW w:w="1418" w:type="dxa"/>
            <w:vAlign w:val="center"/>
          </w:tcPr>
          <w:p w:rsidR="005600FF" w:rsidRPr="00C07B2E" w:rsidRDefault="005600FF" w:rsidP="005600FF">
            <w:pPr>
              <w:ind w:firstLine="0"/>
              <w:rPr>
                <w:rFonts w:eastAsia="SimSun"/>
              </w:rPr>
            </w:pPr>
            <w:r w:rsidRPr="00C07B2E">
              <w:rPr>
                <w:rFonts w:eastAsia="SimSun"/>
              </w:rPr>
              <w:t xml:space="preserve">50 мг/кг </w:t>
            </w:r>
          </w:p>
        </w:tc>
        <w:tc>
          <w:tcPr>
            <w:tcW w:w="1276" w:type="dxa"/>
            <w:vAlign w:val="center"/>
          </w:tcPr>
          <w:p w:rsidR="005600FF" w:rsidRPr="00C07B2E" w:rsidRDefault="005600FF" w:rsidP="005600FF">
            <w:pPr>
              <w:ind w:firstLine="0"/>
              <w:rPr>
                <w:rFonts w:eastAsia="SimSun"/>
              </w:rPr>
            </w:pPr>
            <w:r w:rsidRPr="00C07B2E">
              <w:rPr>
                <w:rFonts w:eastAsia="SimSun"/>
              </w:rPr>
              <w:t>100 мг/кг</w:t>
            </w:r>
          </w:p>
        </w:tc>
        <w:tc>
          <w:tcPr>
            <w:tcW w:w="1701" w:type="dxa"/>
            <w:vAlign w:val="center"/>
          </w:tcPr>
          <w:p w:rsidR="005600FF" w:rsidRPr="00C07B2E" w:rsidRDefault="005600FF" w:rsidP="005600FF">
            <w:pPr>
              <w:ind w:firstLine="0"/>
              <w:rPr>
                <w:rFonts w:eastAsia="SimSun"/>
              </w:rPr>
            </w:pPr>
            <w:r w:rsidRPr="00C07B2E">
              <w:rPr>
                <w:rFonts w:eastAsia="SimSun"/>
              </w:rPr>
              <w:t>С +3 дня по +4 день</w:t>
            </w:r>
          </w:p>
        </w:tc>
        <w:tc>
          <w:tcPr>
            <w:tcW w:w="2268" w:type="dxa"/>
            <w:vAlign w:val="center"/>
          </w:tcPr>
          <w:p w:rsidR="005600FF" w:rsidRPr="00C07B2E" w:rsidRDefault="005600FF" w:rsidP="005600FF">
            <w:pPr>
              <w:ind w:firstLine="0"/>
              <w:rPr>
                <w:rFonts w:eastAsia="SimSun"/>
              </w:rPr>
            </w:pPr>
            <w:r w:rsidRPr="00C07B2E">
              <w:rPr>
                <w:rFonts w:eastAsia="SimSun"/>
              </w:rPr>
              <w:t>В/в, в течение 2 ч</w:t>
            </w:r>
          </w:p>
        </w:tc>
      </w:tr>
    </w:tbl>
    <w:p w:rsidR="005600FF" w:rsidRPr="00C07B2E" w:rsidRDefault="005600FF" w:rsidP="005600FF">
      <w:pPr>
        <w:rPr>
          <w:rFonts w:eastAsia="SimSun"/>
        </w:rPr>
      </w:pPr>
    </w:p>
    <w:p w:rsidR="005600FF" w:rsidRPr="00C07B2E" w:rsidRDefault="005600FF" w:rsidP="005600FF">
      <w:pPr>
        <w:rPr>
          <w:rFonts w:eastAsia="SimSun"/>
        </w:rPr>
        <w:sectPr w:rsidR="005600FF" w:rsidRPr="00C07B2E" w:rsidSect="005600FF">
          <w:footerReference w:type="default" r:id="rId11"/>
          <w:type w:val="continuous"/>
          <w:pgSz w:w="11907" w:h="16839" w:code="9"/>
          <w:pgMar w:top="1134" w:right="850" w:bottom="1134" w:left="1701" w:header="709" w:footer="567" w:gutter="0"/>
          <w:cols w:space="708"/>
          <w:docGrid w:linePitch="360"/>
        </w:sectPr>
      </w:pPr>
      <w:r w:rsidRPr="00C07B2E">
        <w:rPr>
          <w:rFonts w:eastAsia="SimSun"/>
        </w:rPr>
        <w:t xml:space="preserve">Схемы и режимы применения препаратов для </w:t>
      </w:r>
      <w:r w:rsidRPr="00723FEA">
        <w:rPr>
          <w:rFonts w:eastAsia="SimSun"/>
          <w:b/>
        </w:rPr>
        <w:t>кондиционирования в режиме пониженной</w:t>
      </w:r>
      <w:r>
        <w:rPr>
          <w:rFonts w:eastAsia="SimSun"/>
        </w:rPr>
        <w:t xml:space="preserve"> интенсивности</w:t>
      </w:r>
      <w:r w:rsidRPr="00C07B2E">
        <w:rPr>
          <w:rFonts w:eastAsia="SimSun"/>
        </w:rPr>
        <w:t xml:space="preserve"> и профилактики РТПХ указаны в Таблице </w:t>
      </w:r>
      <w:r>
        <w:rPr>
          <w:rFonts w:eastAsia="SimSun"/>
        </w:rPr>
        <w:t>5.</w:t>
      </w:r>
      <w:r w:rsidRPr="00C07B2E">
        <w:rPr>
          <w:rFonts w:eastAsia="SimSun"/>
        </w:rPr>
        <w:t>2.2</w:t>
      </w:r>
    </w:p>
    <w:p w:rsidR="005600FF" w:rsidRPr="00C07B2E" w:rsidRDefault="005600FF" w:rsidP="005600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2.2 Схемы и режимы применения препаратов для кондиционирования и профилактики РТПХ со ссылками на </w:t>
      </w:r>
      <w:r>
        <w:rPr>
          <w:rFonts w:eastAsia="SimSun"/>
        </w:rPr>
        <w:t>таблицы с описанием</w:t>
      </w:r>
    </w:p>
    <w:p w:rsidR="005600FF" w:rsidRPr="00C07B2E" w:rsidRDefault="005600FF" w:rsidP="005600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65"/>
        <w:gridCol w:w="880"/>
        <w:gridCol w:w="1222"/>
        <w:gridCol w:w="1177"/>
        <w:gridCol w:w="1031"/>
        <w:gridCol w:w="1265"/>
        <w:gridCol w:w="1228"/>
        <w:gridCol w:w="902"/>
        <w:gridCol w:w="1356"/>
        <w:gridCol w:w="1091"/>
        <w:gridCol w:w="1142"/>
        <w:gridCol w:w="1125"/>
      </w:tblGrid>
      <w:tr w:rsidR="005600FF" w:rsidRPr="00470E23" w:rsidTr="005600FF">
        <w:trPr>
          <w:cantSplit/>
          <w:trHeight w:val="498"/>
        </w:trPr>
        <w:tc>
          <w:tcPr>
            <w:tcW w:w="1387" w:type="pct"/>
            <w:gridSpan w:val="4"/>
            <w:vMerge w:val="restart"/>
            <w:shd w:val="clear" w:color="auto" w:fill="auto"/>
            <w:vAlign w:val="center"/>
          </w:tcPr>
          <w:p w:rsidR="005600FF" w:rsidRPr="00470E23" w:rsidRDefault="005600FF" w:rsidP="005600FF">
            <w:pPr>
              <w:ind w:firstLine="0"/>
              <w:rPr>
                <w:rFonts w:eastAsia="SimSun"/>
                <w:sz w:val="22"/>
              </w:rPr>
            </w:pPr>
            <w:r w:rsidRPr="00470E23">
              <w:rPr>
                <w:rFonts w:eastAsia="SimSun"/>
                <w:sz w:val="22"/>
              </w:rPr>
              <w:t>Профилактика РТПХ</w:t>
            </w:r>
          </w:p>
        </w:tc>
        <w:tc>
          <w:tcPr>
            <w:tcW w:w="3613" w:type="pct"/>
            <w:gridSpan w:val="9"/>
            <w:shd w:val="clear" w:color="auto" w:fill="auto"/>
            <w:vAlign w:val="center"/>
          </w:tcPr>
          <w:p w:rsidR="005600FF" w:rsidRPr="00470E23" w:rsidRDefault="005600FF" w:rsidP="005600FF">
            <w:pPr>
              <w:ind w:firstLine="0"/>
              <w:rPr>
                <w:rFonts w:eastAsia="SimSun"/>
                <w:sz w:val="22"/>
              </w:rPr>
            </w:pPr>
            <w:r w:rsidRPr="00470E23">
              <w:rPr>
                <w:rFonts w:eastAsia="SimSun"/>
                <w:sz w:val="22"/>
              </w:rPr>
              <w:t>Режим кондиционирования</w:t>
            </w:r>
          </w:p>
        </w:tc>
      </w:tr>
      <w:tr w:rsidR="005600FF" w:rsidRPr="00470E23" w:rsidTr="005600FF">
        <w:trPr>
          <w:cantSplit/>
          <w:trHeight w:val="433"/>
        </w:trPr>
        <w:tc>
          <w:tcPr>
            <w:tcW w:w="1387" w:type="pct"/>
            <w:gridSpan w:val="4"/>
            <w:vMerge/>
            <w:shd w:val="clear" w:color="auto" w:fill="auto"/>
            <w:vAlign w:val="center"/>
          </w:tcPr>
          <w:p w:rsidR="005600FF" w:rsidRPr="00470E23" w:rsidRDefault="005600FF" w:rsidP="005600FF">
            <w:pPr>
              <w:ind w:firstLine="0"/>
              <w:rPr>
                <w:rFonts w:eastAsia="SimSun"/>
                <w:sz w:val="22"/>
              </w:rPr>
            </w:pPr>
          </w:p>
        </w:tc>
        <w:tc>
          <w:tcPr>
            <w:tcW w:w="41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Flu90</w:t>
            </w:r>
          </w:p>
        </w:tc>
        <w:tc>
          <w:tcPr>
            <w:tcW w:w="803" w:type="pct"/>
            <w:gridSpan w:val="2"/>
            <w:tcBorders>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Flu150</w:t>
            </w:r>
          </w:p>
        </w:tc>
        <w:tc>
          <w:tcPr>
            <w:tcW w:w="2398" w:type="pct"/>
            <w:gridSpan w:val="6"/>
            <w:tcBorders>
              <w:lef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Flu180</w:t>
            </w:r>
          </w:p>
        </w:tc>
      </w:tr>
      <w:tr w:rsidR="005600FF" w:rsidRPr="00470E23" w:rsidTr="005600FF">
        <w:trPr>
          <w:cantSplit/>
          <w:trHeight w:val="397"/>
        </w:trPr>
        <w:tc>
          <w:tcPr>
            <w:tcW w:w="1387" w:type="pct"/>
            <w:gridSpan w:val="4"/>
            <w:vMerge/>
            <w:shd w:val="clear" w:color="auto" w:fill="auto"/>
            <w:vAlign w:val="center"/>
          </w:tcPr>
          <w:p w:rsidR="005600FF" w:rsidRPr="00470E23" w:rsidRDefault="005600FF" w:rsidP="005600FF">
            <w:pPr>
              <w:ind w:firstLine="0"/>
              <w:rPr>
                <w:rFonts w:eastAsia="SimSun"/>
                <w:sz w:val="22"/>
              </w:rPr>
            </w:pPr>
          </w:p>
        </w:tc>
        <w:tc>
          <w:tcPr>
            <w:tcW w:w="41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Benda</w:t>
            </w:r>
          </w:p>
        </w:tc>
        <w:tc>
          <w:tcPr>
            <w:tcW w:w="361" w:type="pct"/>
            <w:tcBorders>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43" w:type="pct"/>
            <w:tcBorders>
              <w:left w:val="single" w:sz="4" w:space="0" w:color="00000A"/>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Bu8</w:t>
            </w:r>
          </w:p>
        </w:tc>
        <w:tc>
          <w:tcPr>
            <w:tcW w:w="746" w:type="pct"/>
            <w:gridSpan w:val="2"/>
            <w:shd w:val="clear" w:color="auto" w:fill="D9D9D9"/>
            <w:vAlign w:val="center"/>
          </w:tcPr>
          <w:p w:rsidR="005600FF" w:rsidRPr="00470E23" w:rsidRDefault="005600FF" w:rsidP="005600FF">
            <w:pPr>
              <w:ind w:firstLine="0"/>
              <w:rPr>
                <w:rFonts w:eastAsia="SimSun"/>
                <w:sz w:val="22"/>
              </w:rPr>
            </w:pPr>
            <w:r w:rsidRPr="00470E23">
              <w:rPr>
                <w:rFonts w:eastAsia="SimSun"/>
                <w:sz w:val="22"/>
              </w:rPr>
              <w:t>Bu8</w:t>
            </w:r>
          </w:p>
        </w:tc>
        <w:tc>
          <w:tcPr>
            <w:tcW w:w="47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Bu10</w:t>
            </w:r>
          </w:p>
        </w:tc>
        <w:tc>
          <w:tcPr>
            <w:tcW w:w="38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Treo36</w:t>
            </w:r>
          </w:p>
        </w:tc>
        <w:tc>
          <w:tcPr>
            <w:tcW w:w="400"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Cy1200</w:t>
            </w:r>
          </w:p>
        </w:tc>
        <w:tc>
          <w:tcPr>
            <w:tcW w:w="39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Mel100</w:t>
            </w:r>
          </w:p>
        </w:tc>
      </w:tr>
      <w:tr w:rsidR="005600FF" w:rsidRPr="00470E23" w:rsidTr="005600FF">
        <w:trPr>
          <w:cantSplit/>
          <w:trHeight w:val="417"/>
        </w:trPr>
        <w:tc>
          <w:tcPr>
            <w:tcW w:w="1387" w:type="pct"/>
            <w:gridSpan w:val="4"/>
            <w:vMerge/>
            <w:shd w:val="clear" w:color="auto" w:fill="auto"/>
            <w:vAlign w:val="center"/>
          </w:tcPr>
          <w:p w:rsidR="005600FF" w:rsidRPr="00470E23" w:rsidRDefault="005600FF" w:rsidP="005600FF">
            <w:pPr>
              <w:ind w:firstLine="0"/>
              <w:rPr>
                <w:rFonts w:eastAsia="SimSun"/>
                <w:sz w:val="22"/>
              </w:rPr>
            </w:pPr>
          </w:p>
        </w:tc>
        <w:tc>
          <w:tcPr>
            <w:tcW w:w="41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Thio</w:t>
            </w:r>
          </w:p>
        </w:tc>
        <w:tc>
          <w:tcPr>
            <w:tcW w:w="443" w:type="pct"/>
            <w:tcBorders>
              <w:lef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Thio</w:t>
            </w:r>
          </w:p>
        </w:tc>
        <w:tc>
          <w:tcPr>
            <w:tcW w:w="430" w:type="pct"/>
            <w:tcBorders>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16" w:type="pct"/>
            <w:tcBorders>
              <w:lef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Thio</w:t>
            </w:r>
          </w:p>
        </w:tc>
        <w:tc>
          <w:tcPr>
            <w:tcW w:w="47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8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00" w:type="pct"/>
            <w:shd w:val="clear" w:color="auto" w:fill="D9D9D9"/>
            <w:vAlign w:val="center"/>
          </w:tcPr>
          <w:p w:rsidR="005600FF" w:rsidRPr="00470E23" w:rsidRDefault="005600FF" w:rsidP="005600FF">
            <w:pPr>
              <w:ind w:firstLine="0"/>
              <w:rPr>
                <w:rFonts w:eastAsia="SimSun"/>
                <w:sz w:val="22"/>
              </w:rPr>
            </w:pPr>
          </w:p>
        </w:tc>
        <w:tc>
          <w:tcPr>
            <w:tcW w:w="394" w:type="pct"/>
            <w:shd w:val="clear" w:color="auto" w:fill="D9D9D9"/>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val="restart"/>
            <w:shd w:val="clear" w:color="auto" w:fill="D9D9D9"/>
            <w:vAlign w:val="center"/>
          </w:tcPr>
          <w:p w:rsidR="005600FF" w:rsidRPr="00470E23" w:rsidRDefault="005600FF" w:rsidP="005600FF">
            <w:pPr>
              <w:ind w:firstLine="0"/>
              <w:rPr>
                <w:rFonts w:eastAsia="SimSun"/>
                <w:sz w:val="22"/>
              </w:rPr>
            </w:pPr>
            <w:r w:rsidRPr="00470E23">
              <w:rPr>
                <w:rFonts w:eastAsia="SimSun"/>
                <w:sz w:val="22"/>
              </w:rPr>
              <w:t>hATG</w:t>
            </w: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CSA</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MTX</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MMF45</w:t>
            </w:r>
          </w:p>
        </w:tc>
        <w:tc>
          <w:tcPr>
            <w:tcW w:w="412"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5.2.2.1</w:t>
            </w: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5.2.2.5</w:t>
            </w: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shd w:val="clear" w:color="auto" w:fill="D9D9D9"/>
            <w:vAlign w:val="center"/>
          </w:tcPr>
          <w:p w:rsidR="005600FF" w:rsidRPr="00470E23" w:rsidRDefault="005600FF" w:rsidP="005600FF">
            <w:pPr>
              <w:ind w:firstLine="0"/>
              <w:rPr>
                <w:rFonts w:eastAsia="SimSun"/>
                <w:sz w:val="22"/>
              </w:rPr>
            </w:pP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Tx</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MMF30</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5.2.2.17</w:t>
            </w: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5.2.2.19</w:t>
            </w: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val="restart"/>
            <w:shd w:val="clear" w:color="auto" w:fill="D9D9D9"/>
            <w:vAlign w:val="center"/>
          </w:tcPr>
          <w:p w:rsidR="005600FF" w:rsidRPr="00470E23" w:rsidRDefault="005600FF" w:rsidP="005600FF">
            <w:pPr>
              <w:ind w:firstLine="0"/>
              <w:rPr>
                <w:rFonts w:eastAsia="SimSun"/>
                <w:sz w:val="22"/>
              </w:rPr>
            </w:pPr>
            <w:r w:rsidRPr="00470E23">
              <w:rPr>
                <w:rFonts w:eastAsia="SimSun"/>
                <w:sz w:val="22"/>
              </w:rPr>
              <w:t>rATG</w:t>
            </w: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CSA</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MTX</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MMF45</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5.2.2.2</w:t>
            </w: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5.2.2.6</w:t>
            </w: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shd w:val="clear" w:color="auto" w:fill="D9D9D9"/>
            <w:vAlign w:val="center"/>
          </w:tcPr>
          <w:p w:rsidR="005600FF" w:rsidRPr="00470E23" w:rsidRDefault="005600FF" w:rsidP="005600FF">
            <w:pPr>
              <w:ind w:firstLine="0"/>
              <w:rPr>
                <w:rFonts w:eastAsia="SimSun"/>
                <w:sz w:val="22"/>
              </w:rPr>
            </w:pP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Tx</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MMF30</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5.2.2.20</w:t>
            </w: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val="restart"/>
            <w:shd w:val="clear" w:color="auto" w:fill="D9D9D9"/>
            <w:vAlign w:val="center"/>
          </w:tcPr>
          <w:p w:rsidR="005600FF" w:rsidRPr="00470E23" w:rsidRDefault="005600FF" w:rsidP="005600FF">
            <w:pPr>
              <w:ind w:firstLine="0"/>
              <w:rPr>
                <w:rFonts w:eastAsia="SimSun"/>
                <w:sz w:val="22"/>
              </w:rPr>
            </w:pPr>
            <w:r w:rsidRPr="00470E23">
              <w:rPr>
                <w:rFonts w:eastAsia="SimSun"/>
                <w:sz w:val="22"/>
              </w:rPr>
              <w:t>PT-Cy</w:t>
            </w:r>
          </w:p>
          <w:p w:rsidR="005600FF" w:rsidRPr="00470E23" w:rsidRDefault="005600FF" w:rsidP="005600FF">
            <w:pPr>
              <w:ind w:firstLine="0"/>
              <w:rPr>
                <w:rFonts w:eastAsia="SimSun"/>
                <w:sz w:val="22"/>
              </w:rPr>
            </w:pP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12"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5.2.2.16</w:t>
            </w: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5.2.2.8</w:t>
            </w:r>
          </w:p>
        </w:tc>
        <w:tc>
          <w:tcPr>
            <w:tcW w:w="47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5.2.2.12</w:t>
            </w: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shd w:val="clear" w:color="auto" w:fill="D9D9D9"/>
            <w:vAlign w:val="center"/>
          </w:tcPr>
          <w:p w:rsidR="005600FF" w:rsidRPr="00470E23" w:rsidRDefault="005600FF" w:rsidP="005600FF">
            <w:pPr>
              <w:ind w:firstLine="0"/>
              <w:rPr>
                <w:rFonts w:eastAsia="SimSun"/>
                <w:sz w:val="22"/>
              </w:rPr>
            </w:pPr>
          </w:p>
        </w:tc>
        <w:tc>
          <w:tcPr>
            <w:tcW w:w="303" w:type="pct"/>
            <w:vMerge w:val="restart"/>
            <w:shd w:val="clear" w:color="auto" w:fill="D9D9D9"/>
            <w:vAlign w:val="center"/>
          </w:tcPr>
          <w:p w:rsidR="005600FF" w:rsidRPr="00470E23" w:rsidRDefault="005600FF" w:rsidP="005600FF">
            <w:pPr>
              <w:ind w:firstLine="0"/>
              <w:rPr>
                <w:rFonts w:eastAsia="SimSun"/>
                <w:sz w:val="22"/>
              </w:rPr>
            </w:pPr>
            <w:r w:rsidRPr="00470E23">
              <w:rPr>
                <w:rFonts w:eastAsia="SimSun"/>
                <w:sz w:val="22"/>
              </w:rPr>
              <w:t>CSA</w:t>
            </w:r>
          </w:p>
          <w:p w:rsidR="005600FF" w:rsidRPr="00470E23" w:rsidRDefault="005600FF" w:rsidP="005600FF">
            <w:pPr>
              <w:ind w:firstLine="0"/>
              <w:rPr>
                <w:rFonts w:eastAsia="SimSun"/>
                <w:sz w:val="22"/>
              </w:rPr>
            </w:pP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MMF30</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5.2.2.3</w:t>
            </w: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5.2.2.7/11</w:t>
            </w: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p>
        </w:tc>
        <w:tc>
          <w:tcPr>
            <w:tcW w:w="382"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5.2.2.18</w:t>
            </w: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shd w:val="clear" w:color="auto" w:fill="D9D9D9"/>
            <w:vAlign w:val="center"/>
          </w:tcPr>
          <w:p w:rsidR="005600FF" w:rsidRPr="00470E23" w:rsidRDefault="005600FF" w:rsidP="005600FF">
            <w:pPr>
              <w:ind w:firstLine="0"/>
              <w:rPr>
                <w:rFonts w:eastAsia="SimSun"/>
                <w:sz w:val="22"/>
              </w:rPr>
            </w:pPr>
          </w:p>
        </w:tc>
        <w:tc>
          <w:tcPr>
            <w:tcW w:w="303" w:type="pct"/>
            <w:vMerge/>
            <w:shd w:val="clear" w:color="auto" w:fill="D9D9D9"/>
            <w:vAlign w:val="center"/>
          </w:tcPr>
          <w:p w:rsidR="005600FF" w:rsidRPr="00470E23" w:rsidRDefault="005600FF" w:rsidP="005600FF">
            <w:pPr>
              <w:ind w:firstLine="0"/>
              <w:rPr>
                <w:rFonts w:eastAsia="SimSun"/>
                <w:sz w:val="22"/>
              </w:rPr>
            </w:pP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MMF45</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5.2.2.4</w:t>
            </w: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vMerge/>
            <w:shd w:val="clear" w:color="auto" w:fill="D9D9D9"/>
            <w:vAlign w:val="center"/>
          </w:tcPr>
          <w:p w:rsidR="005600FF" w:rsidRPr="00470E23" w:rsidRDefault="005600FF" w:rsidP="005600FF">
            <w:pPr>
              <w:ind w:firstLine="0"/>
              <w:rPr>
                <w:rFonts w:eastAsia="SimSun"/>
                <w:sz w:val="22"/>
              </w:rPr>
            </w:pP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Tx</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MMF30</w:t>
            </w:r>
          </w:p>
        </w:tc>
        <w:tc>
          <w:tcPr>
            <w:tcW w:w="412"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5.2.2.15</w:t>
            </w: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5.2.2.9</w:t>
            </w: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5.2.2.13</w:t>
            </w: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r w:rsidRPr="00470E23">
              <w:rPr>
                <w:rFonts w:eastAsia="SimSun"/>
                <w:sz w:val="22"/>
              </w:rPr>
              <w:t>5.2.2.21</w:t>
            </w:r>
          </w:p>
        </w:tc>
      </w:tr>
      <w:tr w:rsidR="005600FF" w:rsidRPr="00470E23" w:rsidTr="005600FF">
        <w:trPr>
          <w:cantSplit/>
          <w:trHeight w:val="606"/>
        </w:trPr>
        <w:tc>
          <w:tcPr>
            <w:tcW w:w="348" w:type="pct"/>
            <w:vMerge/>
            <w:shd w:val="clear" w:color="auto" w:fill="D9D9D9"/>
            <w:vAlign w:val="center"/>
          </w:tcPr>
          <w:p w:rsidR="005600FF" w:rsidRPr="00470E23" w:rsidRDefault="005600FF" w:rsidP="005600FF">
            <w:pPr>
              <w:ind w:firstLine="0"/>
              <w:rPr>
                <w:rFonts w:eastAsia="SimSun"/>
                <w:sz w:val="22"/>
              </w:rPr>
            </w:pP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Ruxo</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5.2.2.14</w:t>
            </w: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r w:rsidR="005600FF" w:rsidRPr="00470E23" w:rsidTr="005600FF">
        <w:trPr>
          <w:cantSplit/>
          <w:trHeight w:val="606"/>
        </w:trPr>
        <w:tc>
          <w:tcPr>
            <w:tcW w:w="34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03"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Tx</w:t>
            </w:r>
          </w:p>
        </w:tc>
        <w:tc>
          <w:tcPr>
            <w:tcW w:w="30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8"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MMF30</w:t>
            </w:r>
          </w:p>
        </w:tc>
        <w:tc>
          <w:tcPr>
            <w:tcW w:w="412" w:type="pct"/>
            <w:shd w:val="clear" w:color="auto" w:fill="auto"/>
            <w:vAlign w:val="center"/>
          </w:tcPr>
          <w:p w:rsidR="005600FF" w:rsidRPr="00470E23" w:rsidRDefault="005600FF" w:rsidP="005600FF">
            <w:pPr>
              <w:ind w:firstLine="0"/>
              <w:rPr>
                <w:rFonts w:eastAsia="SimSun"/>
                <w:sz w:val="22"/>
              </w:rPr>
            </w:pPr>
          </w:p>
        </w:tc>
        <w:tc>
          <w:tcPr>
            <w:tcW w:w="361"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3"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30" w:type="pc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5.2.2.10</w:t>
            </w:r>
          </w:p>
        </w:tc>
        <w:tc>
          <w:tcPr>
            <w:tcW w:w="316"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7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5.2.2</w:t>
            </w:r>
          </w:p>
        </w:tc>
        <w:tc>
          <w:tcPr>
            <w:tcW w:w="382" w:type="pct"/>
            <w:shd w:val="clear" w:color="auto" w:fill="auto"/>
            <w:vAlign w:val="center"/>
          </w:tcPr>
          <w:p w:rsidR="005600FF" w:rsidRPr="00470E23" w:rsidRDefault="005600FF" w:rsidP="005600FF">
            <w:pPr>
              <w:ind w:firstLine="0"/>
              <w:rPr>
                <w:rFonts w:eastAsia="SimSun"/>
                <w:sz w:val="22"/>
              </w:rPr>
            </w:pPr>
          </w:p>
        </w:tc>
        <w:tc>
          <w:tcPr>
            <w:tcW w:w="400" w:type="pct"/>
            <w:shd w:val="clear" w:color="auto" w:fill="auto"/>
            <w:vAlign w:val="center"/>
          </w:tcPr>
          <w:p w:rsidR="005600FF" w:rsidRPr="00470E23" w:rsidRDefault="005600FF" w:rsidP="005600FF">
            <w:pPr>
              <w:ind w:firstLine="0"/>
              <w:rPr>
                <w:rFonts w:eastAsia="SimSun"/>
                <w:sz w:val="22"/>
              </w:rPr>
            </w:pPr>
          </w:p>
        </w:tc>
        <w:tc>
          <w:tcPr>
            <w:tcW w:w="394" w:type="pct"/>
            <w:vAlign w:val="center"/>
          </w:tcPr>
          <w:p w:rsidR="005600FF" w:rsidRPr="00470E23" w:rsidRDefault="005600FF" w:rsidP="005600FF">
            <w:pPr>
              <w:ind w:firstLine="0"/>
              <w:rPr>
                <w:rFonts w:eastAsia="SimSun"/>
                <w:sz w:val="22"/>
              </w:rPr>
            </w:pPr>
          </w:p>
        </w:tc>
      </w:tr>
    </w:tbl>
    <w:p w:rsidR="005600FF" w:rsidRPr="00C07B2E" w:rsidRDefault="005600FF" w:rsidP="005600FF">
      <w:pPr>
        <w:rPr>
          <w:rFonts w:eastAsia="SimSun"/>
        </w:rPr>
      </w:pPr>
    </w:p>
    <w:p w:rsidR="005600FF" w:rsidRPr="00C07B2E" w:rsidRDefault="005600FF" w:rsidP="005600FF">
      <w:pPr>
        <w:rPr>
          <w:rFonts w:eastAsia="SimSun"/>
        </w:rPr>
        <w:sectPr w:rsidR="005600FF" w:rsidRPr="00C07B2E" w:rsidSect="005600FF">
          <w:type w:val="continuous"/>
          <w:pgSz w:w="16839" w:h="11907" w:orient="landscape" w:code="9"/>
          <w:pgMar w:top="1134" w:right="850" w:bottom="1134" w:left="1701" w:header="709" w:footer="567" w:gutter="0"/>
          <w:cols w:space="708"/>
          <w:docGrid w:linePitch="360"/>
        </w:sectPr>
      </w:pPr>
    </w:p>
    <w:p w:rsidR="005600FF" w:rsidRPr="00C07B2E" w:rsidRDefault="005600FF" w:rsidP="005600FF">
      <w:pPr>
        <w:rPr>
          <w:rFonts w:eastAsia="SimSun"/>
        </w:rPr>
      </w:pPr>
      <w:bookmarkStart w:id="199" w:name="_Toc44401201"/>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2.2.1  – Flu150+Bu8+Thio / hATG+ CSA+MTX+MMF45</w:t>
      </w:r>
      <w:bookmarkEnd w:id="19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5600FF" w:rsidRPr="00AC3044" w:rsidTr="005600FF">
        <w:trPr>
          <w:cantSplit/>
          <w:trHeight w:val="20"/>
          <w:tblHeader/>
        </w:trPr>
        <w:tc>
          <w:tcPr>
            <w:tcW w:w="993"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20"/>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 –5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559" w:type="dxa"/>
            <w:vAlign w:val="center"/>
          </w:tcPr>
          <w:p w:rsidR="005600FF" w:rsidRPr="00AC3044" w:rsidRDefault="005600FF" w:rsidP="005600FF">
            <w:pPr>
              <w:ind w:firstLine="0"/>
              <w:rPr>
                <w:rFonts w:eastAsia="SimSun"/>
              </w:rPr>
            </w:pPr>
            <w:r w:rsidRPr="00AC3044">
              <w:rPr>
                <w:rFonts w:eastAsia="SimSun"/>
              </w:rPr>
              <w:t>10-15 мг/кг</w:t>
            </w:r>
          </w:p>
        </w:tc>
        <w:tc>
          <w:tcPr>
            <w:tcW w:w="1418" w:type="dxa"/>
            <w:vAlign w:val="center"/>
          </w:tcPr>
          <w:p w:rsidR="005600FF" w:rsidRPr="00AC3044" w:rsidRDefault="005600FF" w:rsidP="005600FF">
            <w:pPr>
              <w:ind w:firstLine="0"/>
              <w:rPr>
                <w:rFonts w:eastAsia="SimSun"/>
              </w:rPr>
            </w:pPr>
            <w:r w:rsidRPr="00AC3044">
              <w:rPr>
                <w:rFonts w:eastAsia="SimSun"/>
              </w:rPr>
              <w:t>40-60 мг/кг</w:t>
            </w:r>
          </w:p>
        </w:tc>
        <w:tc>
          <w:tcPr>
            <w:tcW w:w="1701" w:type="dxa"/>
            <w:vAlign w:val="center"/>
          </w:tcPr>
          <w:p w:rsidR="005600FF" w:rsidRPr="00AC3044" w:rsidRDefault="005600FF" w:rsidP="005600FF">
            <w:pPr>
              <w:ind w:firstLine="0"/>
              <w:rPr>
                <w:rFonts w:eastAsia="SimSun"/>
              </w:rPr>
            </w:pPr>
            <w:r w:rsidRPr="00AC3044">
              <w:rPr>
                <w:rFonts w:eastAsia="SimSun"/>
              </w:rPr>
              <w:t>С –4 по –1 день</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993" w:type="dxa"/>
            <w:vMerge/>
          </w:tcPr>
          <w:p w:rsidR="005600FF" w:rsidRPr="00AC3044" w:rsidRDefault="005600FF" w:rsidP="005600FF">
            <w:pPr>
              <w:ind w:firstLine="0"/>
              <w:rPr>
                <w:rFonts w:eastAsia="SimSun"/>
              </w:rPr>
            </w:pPr>
          </w:p>
        </w:tc>
        <w:tc>
          <w:tcPr>
            <w:tcW w:w="1701"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559" w:type="dxa"/>
            <w:vAlign w:val="center"/>
          </w:tcPr>
          <w:p w:rsidR="005600FF" w:rsidRPr="00AC3044" w:rsidRDefault="005600FF" w:rsidP="005600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В/в, в 20 мл физ. р-ра</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701"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дни</w:t>
            </w:r>
          </w:p>
        </w:tc>
        <w:tc>
          <w:tcPr>
            <w:tcW w:w="2268" w:type="dxa"/>
            <w:vAlign w:val="center"/>
          </w:tcPr>
          <w:p w:rsidR="005600FF" w:rsidRPr="00AC3044" w:rsidRDefault="005600FF" w:rsidP="005600FF">
            <w:pPr>
              <w:ind w:firstLine="0"/>
              <w:rPr>
                <w:rFonts w:eastAsia="SimSun"/>
              </w:rPr>
            </w:pPr>
            <w:r w:rsidRPr="00AC3044">
              <w:rPr>
                <w:rFonts w:eastAsia="SimSun"/>
              </w:rPr>
              <w:t>В/в, в 20 мл физ. р-ра</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45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200" w:name="_Toc44401202"/>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  – Flu150+Bu8+Thio / rATG+ CSA+MTX+MMF45</w:t>
      </w:r>
      <w:bookmarkEnd w:id="20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20"/>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(кроличий)</w:t>
            </w:r>
          </w:p>
        </w:tc>
        <w:tc>
          <w:tcPr>
            <w:tcW w:w="1559" w:type="dxa"/>
            <w:vAlign w:val="center"/>
          </w:tcPr>
          <w:p w:rsidR="005600FF" w:rsidRPr="00AC3044" w:rsidRDefault="005600FF" w:rsidP="005600FF">
            <w:pPr>
              <w:ind w:firstLine="0"/>
              <w:rPr>
                <w:rFonts w:eastAsia="SimSun"/>
              </w:rPr>
            </w:pPr>
            <w:r w:rsidRPr="00AC3044">
              <w:rPr>
                <w:rFonts w:eastAsia="SimSun"/>
              </w:rPr>
              <w:t>2,5 мг/кг</w:t>
            </w:r>
          </w:p>
        </w:tc>
        <w:tc>
          <w:tcPr>
            <w:tcW w:w="1418" w:type="dxa"/>
            <w:vAlign w:val="center"/>
          </w:tcPr>
          <w:p w:rsidR="005600FF" w:rsidRPr="00AC3044" w:rsidRDefault="005600FF" w:rsidP="005600FF">
            <w:pPr>
              <w:ind w:firstLine="0"/>
              <w:rPr>
                <w:rFonts w:eastAsia="SimSun"/>
              </w:rPr>
            </w:pPr>
            <w:r w:rsidRPr="00AC3044">
              <w:rPr>
                <w:rFonts w:eastAsia="SimSun"/>
              </w:rPr>
              <w:t>5-7,5 мг/кг</w:t>
            </w:r>
          </w:p>
        </w:tc>
        <w:tc>
          <w:tcPr>
            <w:tcW w:w="1701" w:type="dxa"/>
            <w:vAlign w:val="center"/>
          </w:tcPr>
          <w:p w:rsidR="005600FF" w:rsidRPr="00AC3044" w:rsidRDefault="005600FF" w:rsidP="005600FF">
            <w:pPr>
              <w:ind w:firstLine="0"/>
              <w:rPr>
                <w:rFonts w:eastAsia="SimSun"/>
              </w:rPr>
            </w:pPr>
            <w:r w:rsidRPr="00AC3044">
              <w:rPr>
                <w:rFonts w:eastAsia="SimSun"/>
              </w:rPr>
              <w:t>С –3 по –2 (-1) день</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С–1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993" w:type="dxa"/>
            <w:vMerge/>
          </w:tcPr>
          <w:p w:rsidR="005600FF" w:rsidRPr="00AC3044" w:rsidRDefault="005600FF" w:rsidP="005600FF">
            <w:pPr>
              <w:ind w:firstLine="0"/>
              <w:rPr>
                <w:rFonts w:eastAsia="SimSun"/>
              </w:rPr>
            </w:pPr>
          </w:p>
        </w:tc>
        <w:tc>
          <w:tcPr>
            <w:tcW w:w="1701"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559" w:type="dxa"/>
            <w:vAlign w:val="center"/>
          </w:tcPr>
          <w:p w:rsidR="005600FF" w:rsidRPr="00AC3044" w:rsidRDefault="005600FF" w:rsidP="005600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701"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дни</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993"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45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201" w:name="_Toc44401203"/>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2.2.3  – Flu150+Bu8+Thio / PT-Cy+ CSA+MMF30</w:t>
      </w:r>
      <w:bookmarkEnd w:id="20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5600FF" w:rsidRPr="00AC3044" w:rsidTr="005600FF">
        <w:trPr>
          <w:cantSplit/>
          <w:trHeight w:val="20"/>
          <w:tblHeader/>
        </w:trPr>
        <w:tc>
          <w:tcPr>
            <w:tcW w:w="993"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60"/>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809"/>
        </w:trPr>
        <w:tc>
          <w:tcPr>
            <w:tcW w:w="993"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133"/>
        </w:trPr>
        <w:tc>
          <w:tcPr>
            <w:tcW w:w="99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30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20"/>
        </w:trPr>
        <w:tc>
          <w:tcPr>
            <w:tcW w:w="993"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Pr="00C07B2E" w:rsidRDefault="005600FF" w:rsidP="005600FF">
      <w:pPr>
        <w:rPr>
          <w:rFonts w:eastAsia="SimSun"/>
        </w:rPr>
      </w:pPr>
    </w:p>
    <w:p w:rsidR="005600FF" w:rsidRPr="00C07B2E" w:rsidRDefault="005600FF" w:rsidP="005600FF">
      <w:pPr>
        <w:rPr>
          <w:rFonts w:eastAsia="SimSun"/>
        </w:rPr>
      </w:pPr>
      <w:bookmarkStart w:id="202" w:name="_Toc44401204"/>
      <w:r w:rsidRPr="00042499">
        <w:rPr>
          <w:rFonts w:eastAsia="SimSun"/>
        </w:rPr>
        <w:t>Таблица</w:t>
      </w:r>
      <w:r w:rsidRPr="00C07B2E">
        <w:rPr>
          <w:rFonts w:eastAsia="SimSun"/>
        </w:rPr>
        <w:t xml:space="preserve"> </w:t>
      </w:r>
      <w:r>
        <w:rPr>
          <w:rFonts w:eastAsia="SimSun"/>
        </w:rPr>
        <w:t>5.</w:t>
      </w:r>
      <w:r w:rsidRPr="00C07B2E">
        <w:rPr>
          <w:rFonts w:eastAsia="SimSun"/>
        </w:rPr>
        <w:t>2.2.4  – Flu150+Bu8+Thio / PT-Cy+ CSA+MMF45</w:t>
      </w:r>
      <w:bookmarkEnd w:id="202"/>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5600FF" w:rsidRPr="00AC3044" w:rsidTr="005600FF">
        <w:trPr>
          <w:cantSplit/>
          <w:trHeight w:val="20"/>
          <w:tblHeader/>
        </w:trPr>
        <w:tc>
          <w:tcPr>
            <w:tcW w:w="851"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015"/>
        </w:trPr>
        <w:tc>
          <w:tcPr>
            <w:tcW w:w="851"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–3, –2 дни</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38"/>
        </w:trPr>
        <w:tc>
          <w:tcPr>
            <w:tcW w:w="851"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464"/>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45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по +90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Pr="00C07B2E" w:rsidRDefault="005600FF" w:rsidP="005600FF">
      <w:pPr>
        <w:rPr>
          <w:rFonts w:eastAsia="SimSun"/>
        </w:rPr>
      </w:pPr>
    </w:p>
    <w:p w:rsidR="005600FF" w:rsidRPr="00C07B2E" w:rsidRDefault="005600FF" w:rsidP="005600FF">
      <w:pPr>
        <w:rPr>
          <w:rFonts w:eastAsia="SimSun"/>
        </w:rPr>
      </w:pPr>
      <w:bookmarkStart w:id="203" w:name="_Toc44401205"/>
      <w:r w:rsidRPr="00042499">
        <w:rPr>
          <w:rFonts w:eastAsia="SimSun"/>
        </w:rPr>
        <w:t>Таблица</w:t>
      </w:r>
      <w:r w:rsidRPr="00C07B2E">
        <w:rPr>
          <w:rFonts w:eastAsia="SimSun"/>
        </w:rPr>
        <w:t xml:space="preserve"> </w:t>
      </w:r>
      <w:r>
        <w:rPr>
          <w:rFonts w:eastAsia="SimSun"/>
        </w:rPr>
        <w:t>5.</w:t>
      </w:r>
      <w:r w:rsidRPr="00C07B2E">
        <w:rPr>
          <w:rFonts w:eastAsia="SimSun"/>
        </w:rPr>
        <w:t>2.2.5  – Flu180+Bu8 / hATG+CSA+MTX+MMF45</w:t>
      </w:r>
      <w:bookmarkEnd w:id="203"/>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5600FF" w:rsidRPr="00AC3044" w:rsidTr="005600FF">
        <w:trPr>
          <w:cantSplit/>
          <w:trHeight w:val="20"/>
          <w:tblHeader/>
        </w:trPr>
        <w:tc>
          <w:tcPr>
            <w:tcW w:w="851"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–10 по –5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20"/>
        </w:trPr>
        <w:tc>
          <w:tcPr>
            <w:tcW w:w="851"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С –6 по –5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559" w:type="dxa"/>
            <w:vAlign w:val="center"/>
          </w:tcPr>
          <w:p w:rsidR="005600FF" w:rsidRPr="00AC3044" w:rsidRDefault="005600FF" w:rsidP="005600FF">
            <w:pPr>
              <w:ind w:firstLine="0"/>
              <w:rPr>
                <w:rFonts w:eastAsia="SimSun"/>
              </w:rPr>
            </w:pPr>
            <w:r w:rsidRPr="00AC3044">
              <w:rPr>
                <w:rFonts w:eastAsia="SimSun"/>
              </w:rPr>
              <w:t>10-15 мг/кг</w:t>
            </w:r>
          </w:p>
        </w:tc>
        <w:tc>
          <w:tcPr>
            <w:tcW w:w="1418" w:type="dxa"/>
            <w:vAlign w:val="center"/>
          </w:tcPr>
          <w:p w:rsidR="005600FF" w:rsidRPr="00AC3044" w:rsidRDefault="005600FF" w:rsidP="005600FF">
            <w:pPr>
              <w:ind w:firstLine="0"/>
              <w:rPr>
                <w:rFonts w:eastAsia="SimSun"/>
              </w:rPr>
            </w:pPr>
            <w:r w:rsidRPr="00AC3044">
              <w:rPr>
                <w:rFonts w:eastAsia="SimSun"/>
              </w:rPr>
              <w:t>40-60 мг/кг</w:t>
            </w:r>
          </w:p>
        </w:tc>
        <w:tc>
          <w:tcPr>
            <w:tcW w:w="1701" w:type="dxa"/>
            <w:vAlign w:val="center"/>
          </w:tcPr>
          <w:p w:rsidR="005600FF" w:rsidRPr="00AC3044" w:rsidRDefault="005600FF" w:rsidP="005600FF">
            <w:pPr>
              <w:ind w:firstLine="0"/>
              <w:rPr>
                <w:rFonts w:eastAsia="SimSun"/>
              </w:rPr>
            </w:pPr>
            <w:r w:rsidRPr="00AC3044">
              <w:rPr>
                <w:rFonts w:eastAsia="SimSun"/>
              </w:rPr>
              <w:t>С –4 по –1 день</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DB259E">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851" w:type="dxa"/>
            <w:vMerge/>
          </w:tcPr>
          <w:p w:rsidR="005600FF" w:rsidRPr="00AC3044" w:rsidRDefault="005600FF" w:rsidP="005600FF">
            <w:pPr>
              <w:ind w:firstLine="0"/>
              <w:rPr>
                <w:rFonts w:eastAsia="SimSun"/>
              </w:rPr>
            </w:pPr>
          </w:p>
        </w:tc>
        <w:tc>
          <w:tcPr>
            <w:tcW w:w="1701"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559" w:type="dxa"/>
            <w:vAlign w:val="center"/>
          </w:tcPr>
          <w:p w:rsidR="005600FF" w:rsidRPr="00AC3044" w:rsidRDefault="005600FF" w:rsidP="005600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851" w:type="dxa"/>
            <w:vMerge/>
          </w:tcPr>
          <w:p w:rsidR="005600FF" w:rsidRPr="00AC3044" w:rsidRDefault="005600FF" w:rsidP="005600FF">
            <w:pPr>
              <w:ind w:firstLine="0"/>
              <w:rPr>
                <w:rFonts w:eastAsia="SimSun"/>
              </w:rPr>
            </w:pPr>
          </w:p>
        </w:tc>
        <w:tc>
          <w:tcPr>
            <w:tcW w:w="1701"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дни</w:t>
            </w:r>
          </w:p>
        </w:tc>
        <w:tc>
          <w:tcPr>
            <w:tcW w:w="2268" w:type="dxa"/>
            <w:vAlign w:val="center"/>
          </w:tcPr>
          <w:p w:rsidR="005600FF" w:rsidRPr="00AC3044" w:rsidRDefault="005600FF" w:rsidP="005600FF">
            <w:pPr>
              <w:ind w:firstLine="0"/>
              <w:rPr>
                <w:rFonts w:eastAsia="SimSun"/>
              </w:rPr>
            </w:pPr>
            <w:r w:rsidRPr="00AC3044">
              <w:rPr>
                <w:rFonts w:eastAsia="SimSun"/>
              </w:rPr>
              <w:t>В/в, в 20 мл физ. р-ра</w:t>
            </w:r>
          </w:p>
        </w:tc>
      </w:tr>
      <w:tr w:rsidR="005600FF" w:rsidRPr="00AC3044" w:rsidTr="005600FF">
        <w:trPr>
          <w:cantSplit/>
          <w:trHeight w:val="464"/>
        </w:trPr>
        <w:tc>
          <w:tcPr>
            <w:tcW w:w="851"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45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204" w:name="_Toc44401206"/>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2.2.6  – Flu180+Bu8 / rATG+CSA+MTX+MMF45</w:t>
      </w:r>
      <w:bookmarkEnd w:id="204"/>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5600FF" w:rsidRPr="00AC3044" w:rsidTr="005600FF">
        <w:trPr>
          <w:cantSplit/>
          <w:trHeight w:val="20"/>
          <w:tblHeader/>
        </w:trPr>
        <w:tc>
          <w:tcPr>
            <w:tcW w:w="851"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–9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20"/>
        </w:trPr>
        <w:tc>
          <w:tcPr>
            <w:tcW w:w="851"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С –5 по –4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(кроличий)</w:t>
            </w:r>
          </w:p>
        </w:tc>
        <w:tc>
          <w:tcPr>
            <w:tcW w:w="1559" w:type="dxa"/>
            <w:vAlign w:val="center"/>
          </w:tcPr>
          <w:p w:rsidR="005600FF" w:rsidRPr="00AC3044" w:rsidRDefault="005600FF" w:rsidP="005600FF">
            <w:pPr>
              <w:ind w:firstLine="0"/>
              <w:rPr>
                <w:rFonts w:eastAsia="SimSun"/>
              </w:rPr>
            </w:pPr>
            <w:r w:rsidRPr="00AC3044">
              <w:rPr>
                <w:rFonts w:eastAsia="SimSun"/>
              </w:rPr>
              <w:t>2,5 мг/кг</w:t>
            </w:r>
          </w:p>
        </w:tc>
        <w:tc>
          <w:tcPr>
            <w:tcW w:w="1418" w:type="dxa"/>
            <w:vAlign w:val="center"/>
          </w:tcPr>
          <w:p w:rsidR="005600FF" w:rsidRPr="00AC3044" w:rsidRDefault="005600FF" w:rsidP="005600FF">
            <w:pPr>
              <w:ind w:firstLine="0"/>
              <w:rPr>
                <w:rFonts w:eastAsia="SimSun"/>
              </w:rPr>
            </w:pPr>
            <w:r w:rsidRPr="00AC3044">
              <w:rPr>
                <w:rFonts w:eastAsia="SimSun"/>
              </w:rPr>
              <w:t>5- 7,5 мг/кг2</w:t>
            </w:r>
          </w:p>
        </w:tc>
        <w:tc>
          <w:tcPr>
            <w:tcW w:w="1701" w:type="dxa"/>
            <w:vAlign w:val="center"/>
          </w:tcPr>
          <w:p w:rsidR="005600FF" w:rsidRPr="00AC3044" w:rsidRDefault="005600FF" w:rsidP="005600FF">
            <w:pPr>
              <w:ind w:firstLine="0"/>
              <w:rPr>
                <w:rFonts w:eastAsia="SimSun"/>
              </w:rPr>
            </w:pPr>
            <w:r w:rsidRPr="00AC3044">
              <w:rPr>
                <w:rFonts w:eastAsia="SimSun"/>
              </w:rPr>
              <w:t>С –3 по –2 (-1) день</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С–1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AC3044">
              <w:rPr>
                <w:rFonts w:eastAsia="SimSun"/>
              </w:rPr>
              <w:t> 109/л,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851" w:type="dxa"/>
            <w:vMerge/>
          </w:tcPr>
          <w:p w:rsidR="005600FF" w:rsidRPr="00AC3044" w:rsidRDefault="005600FF" w:rsidP="005600FF">
            <w:pPr>
              <w:ind w:firstLine="0"/>
              <w:rPr>
                <w:rFonts w:eastAsia="SimSun"/>
              </w:rPr>
            </w:pPr>
          </w:p>
        </w:tc>
        <w:tc>
          <w:tcPr>
            <w:tcW w:w="1701" w:type="dxa"/>
            <w:vMerge w:val="restart"/>
            <w:vAlign w:val="center"/>
          </w:tcPr>
          <w:p w:rsidR="005600FF" w:rsidRPr="00AC3044" w:rsidRDefault="005600FF" w:rsidP="005600FF">
            <w:pPr>
              <w:ind w:firstLine="0"/>
              <w:rPr>
                <w:rFonts w:eastAsia="SimSun"/>
              </w:rPr>
            </w:pPr>
            <w:r w:rsidRPr="00AC3044">
              <w:rPr>
                <w:rFonts w:eastAsia="SimSun"/>
              </w:rPr>
              <w:t>Метотрексат</w:t>
            </w:r>
          </w:p>
        </w:tc>
        <w:tc>
          <w:tcPr>
            <w:tcW w:w="1559" w:type="dxa"/>
            <w:vAlign w:val="center"/>
          </w:tcPr>
          <w:p w:rsidR="005600FF" w:rsidRPr="00AC3044" w:rsidRDefault="005600FF" w:rsidP="005600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+1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851" w:type="dxa"/>
            <w:vMerge/>
          </w:tcPr>
          <w:p w:rsidR="005600FF" w:rsidRPr="00AC3044" w:rsidRDefault="005600FF" w:rsidP="005600FF">
            <w:pPr>
              <w:ind w:firstLine="0"/>
              <w:rPr>
                <w:rFonts w:eastAsia="SimSun"/>
              </w:rPr>
            </w:pPr>
          </w:p>
        </w:tc>
        <w:tc>
          <w:tcPr>
            <w:tcW w:w="1701"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+3, +6, +11 дни</w:t>
            </w:r>
          </w:p>
        </w:tc>
        <w:tc>
          <w:tcPr>
            <w:tcW w:w="2268" w:type="dxa"/>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cantSplit/>
          <w:trHeight w:val="464"/>
        </w:trPr>
        <w:tc>
          <w:tcPr>
            <w:tcW w:w="851" w:type="dxa"/>
            <w:vMerge/>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45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+1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205" w:name="_Toc44401207"/>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2.2.7  – Flu180+Bu8 / PT-Cy+CSA+MMF30</w:t>
      </w:r>
      <w:bookmarkEnd w:id="205"/>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5600FF" w:rsidRPr="00AC3044" w:rsidTr="005600FF">
        <w:trPr>
          <w:cantSplit/>
          <w:trHeight w:val="20"/>
          <w:tblHeader/>
        </w:trPr>
        <w:tc>
          <w:tcPr>
            <w:tcW w:w="851"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–6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72"/>
        </w:trPr>
        <w:tc>
          <w:tcPr>
            <w:tcW w:w="851"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4 мг/кг</w:t>
            </w:r>
          </w:p>
        </w:tc>
        <w:tc>
          <w:tcPr>
            <w:tcW w:w="1418" w:type="dxa"/>
            <w:vAlign w:val="center"/>
          </w:tcPr>
          <w:p w:rsidR="005600FF" w:rsidRPr="00AC3044" w:rsidRDefault="005600FF" w:rsidP="005600FF">
            <w:pPr>
              <w:ind w:firstLine="0"/>
              <w:rPr>
                <w:rFonts w:eastAsia="SimSun"/>
              </w:rPr>
            </w:pPr>
            <w:r w:rsidRPr="00AC3044">
              <w:rPr>
                <w:rFonts w:eastAsia="SimSun"/>
              </w:rPr>
              <w:t>8 мг/кг</w:t>
            </w:r>
          </w:p>
        </w:tc>
        <w:tc>
          <w:tcPr>
            <w:tcW w:w="1701" w:type="dxa"/>
            <w:vAlign w:val="center"/>
          </w:tcPr>
          <w:p w:rsidR="005600FF" w:rsidRPr="00AC3044" w:rsidRDefault="005600FF" w:rsidP="005600FF">
            <w:pPr>
              <w:ind w:firstLine="0"/>
              <w:rPr>
                <w:rFonts w:eastAsia="SimSun"/>
              </w:rPr>
            </w:pPr>
            <w:r w:rsidRPr="00AC3044">
              <w:rPr>
                <w:rFonts w:eastAsia="SimSun"/>
              </w:rPr>
              <w:t>С –5 по –4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337"/>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308"/>
        </w:trPr>
        <w:tc>
          <w:tcPr>
            <w:tcW w:w="851"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30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06" w:name="_Toc44401208"/>
    </w:p>
    <w:p w:rsidR="005600FF" w:rsidRPr="00042499" w:rsidRDefault="005600FF" w:rsidP="005600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2.2.8  – </w:t>
      </w:r>
      <w:r w:rsidRPr="00DF7E85">
        <w:rPr>
          <w:rFonts w:eastAsia="SimSun"/>
          <w:lang w:val="en-US"/>
        </w:rPr>
        <w:t>Flu</w:t>
      </w:r>
      <w:r w:rsidRPr="00042499">
        <w:rPr>
          <w:rFonts w:eastAsia="SimSun"/>
          <w:lang w:val="en-US"/>
        </w:rPr>
        <w:t>180+</w:t>
      </w:r>
      <w:r w:rsidRPr="00DF7E85">
        <w:rPr>
          <w:rFonts w:eastAsia="SimSun"/>
          <w:lang w:val="en-US"/>
        </w:rPr>
        <w:t>Bu</w:t>
      </w:r>
      <w:r w:rsidRPr="00042499">
        <w:rPr>
          <w:rFonts w:eastAsia="SimSun"/>
          <w:lang w:val="en-US"/>
        </w:rPr>
        <w:t>8+</w:t>
      </w:r>
      <w:r w:rsidRPr="00DF7E85">
        <w:rPr>
          <w:rFonts w:eastAsia="SimSun"/>
          <w:lang w:val="en-US"/>
        </w:rPr>
        <w:t>Thio</w:t>
      </w:r>
      <w:r w:rsidRPr="00042499">
        <w:rPr>
          <w:rFonts w:eastAsia="SimSun"/>
          <w:lang w:val="en-US"/>
        </w:rPr>
        <w:t xml:space="preserve"> / </w:t>
      </w:r>
      <w:r w:rsidRPr="00DF7E85">
        <w:rPr>
          <w:rFonts w:eastAsia="SimSun"/>
          <w:lang w:val="en-US"/>
        </w:rPr>
        <w:t>PT</w:t>
      </w:r>
      <w:r w:rsidRPr="00042499">
        <w:rPr>
          <w:rFonts w:eastAsia="SimSun"/>
          <w:lang w:val="en-US"/>
        </w:rPr>
        <w:t>-</w:t>
      </w:r>
      <w:r w:rsidRPr="00DF7E85">
        <w:rPr>
          <w:rFonts w:eastAsia="SimSun"/>
          <w:lang w:val="en-US"/>
        </w:rPr>
        <w:t>Cy</w:t>
      </w:r>
      <w:bookmarkEnd w:id="206"/>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5600FF" w:rsidRPr="00AC3044" w:rsidTr="005600FF">
        <w:trPr>
          <w:cantSplit/>
          <w:trHeight w:val="20"/>
          <w:tblHeader/>
        </w:trPr>
        <w:tc>
          <w:tcPr>
            <w:tcW w:w="851" w:type="dxa"/>
            <w:vAlign w:val="center"/>
          </w:tcPr>
          <w:p w:rsidR="005600FF" w:rsidRPr="00723FEA"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687"/>
        </w:trPr>
        <w:tc>
          <w:tcPr>
            <w:tcW w:w="851"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701"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555"/>
        </w:trPr>
        <w:tc>
          <w:tcPr>
            <w:tcW w:w="851"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-6,-5 дни</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498"/>
        </w:trPr>
        <w:tc>
          <w:tcPr>
            <w:tcW w:w="851"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07" w:name="_Toc44401209"/>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2.2.9 – Flu180+Bu8 / PT-Cy+Tx+MMF30</w:t>
      </w:r>
      <w:bookmarkEnd w:id="20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889"/>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701"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548"/>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109/л, при отсутствии тошноты, рвоты, диареи и возможности приема внутрь. Концентрация Tx 5-15 нг/мл.    </w:t>
            </w:r>
          </w:p>
        </w:tc>
      </w:tr>
      <w:tr w:rsidR="005600FF" w:rsidRPr="00AC3044" w:rsidTr="005600FF">
        <w:trPr>
          <w:cantSplit/>
          <w:trHeight w:val="214"/>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208" w:name="_Toc44401210"/>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2.2.10  – Flu180+Bu8 / Tx+MMF30</w:t>
      </w:r>
      <w:bookmarkEnd w:id="20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701"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498"/>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70"/>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Pr="00C07B2E" w:rsidRDefault="005600FF" w:rsidP="005600FF">
      <w:pPr>
        <w:rPr>
          <w:rFonts w:eastAsia="SimSun"/>
        </w:rPr>
      </w:pPr>
    </w:p>
    <w:p w:rsidR="005600FF" w:rsidRPr="00C07B2E" w:rsidRDefault="005600FF" w:rsidP="005600FF">
      <w:pPr>
        <w:rPr>
          <w:rFonts w:eastAsia="SimSun"/>
        </w:rPr>
      </w:pPr>
      <w:bookmarkStart w:id="209" w:name="_Toc44401211"/>
      <w:r w:rsidRPr="00042499">
        <w:rPr>
          <w:rFonts w:eastAsia="SimSun"/>
        </w:rPr>
        <w:t>Таблица</w:t>
      </w:r>
      <w:r w:rsidRPr="00C07B2E">
        <w:rPr>
          <w:rFonts w:eastAsia="SimSun"/>
        </w:rPr>
        <w:t xml:space="preserve"> </w:t>
      </w:r>
      <w:r>
        <w:rPr>
          <w:rFonts w:eastAsia="SimSun"/>
        </w:rPr>
        <w:t>5.</w:t>
      </w:r>
      <w:r w:rsidRPr="00C07B2E">
        <w:rPr>
          <w:rFonts w:eastAsia="SimSun"/>
        </w:rPr>
        <w:t>2.2.11 – Flu180+Bu8 / PT-Cy+CSA+MMF30</w:t>
      </w:r>
      <w:bookmarkEnd w:id="20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701"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5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В +3 день  и +5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486"/>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+28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Циклоспорин А</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+100 день </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rsidR="005600FF" w:rsidRPr="00C07B2E" w:rsidRDefault="005600FF" w:rsidP="005600FF">
      <w:pPr>
        <w:rPr>
          <w:rFonts w:eastAsia="SimSun"/>
        </w:rPr>
      </w:pPr>
    </w:p>
    <w:p w:rsidR="005600FF" w:rsidRPr="00C07B2E" w:rsidRDefault="005600FF" w:rsidP="005600FF">
      <w:pPr>
        <w:rPr>
          <w:rFonts w:eastAsia="SimSun"/>
        </w:rPr>
      </w:pPr>
      <w:bookmarkStart w:id="210" w:name="_Toc44401212"/>
      <w:r w:rsidRPr="00042499">
        <w:rPr>
          <w:rFonts w:eastAsia="SimSun"/>
        </w:rPr>
        <w:t>Таблица</w:t>
      </w:r>
      <w:r w:rsidRPr="00C07B2E">
        <w:rPr>
          <w:rFonts w:eastAsia="SimSun"/>
        </w:rPr>
        <w:t xml:space="preserve"> </w:t>
      </w:r>
      <w:r>
        <w:rPr>
          <w:rFonts w:eastAsia="SimSun"/>
        </w:rPr>
        <w:t>5.</w:t>
      </w:r>
      <w:r w:rsidRPr="00C07B2E">
        <w:rPr>
          <w:rFonts w:eastAsia="SimSun"/>
        </w:rPr>
        <w:t>2.2.12  – Flu180+Bu10 / PT-Cy</w:t>
      </w:r>
      <w:bookmarkEnd w:id="21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701"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1498"/>
        </w:trPr>
        <w:tc>
          <w:tcPr>
            <w:tcW w:w="817"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11" w:name="_Toc44401213"/>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2.2.13  – Flu180+Bu10 / PT-Cy+Tx+MMF30</w:t>
      </w:r>
      <w:bookmarkEnd w:id="21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701"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368"/>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446"/>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212" w:name="_Toc44401214"/>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2.2.14  – Flu180+Bu10 / PT-Cy+Ruxo</w:t>
      </w:r>
      <w:bookmarkEnd w:id="21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Бусульфан</w:t>
            </w:r>
          </w:p>
        </w:tc>
        <w:tc>
          <w:tcPr>
            <w:tcW w:w="1559"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418"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701"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716"/>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574"/>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Руксолитиниб</w:t>
            </w:r>
          </w:p>
        </w:tc>
        <w:tc>
          <w:tcPr>
            <w:tcW w:w="1559" w:type="dxa"/>
            <w:vAlign w:val="center"/>
          </w:tcPr>
          <w:p w:rsidR="005600FF" w:rsidRPr="00AC3044" w:rsidRDefault="005600FF" w:rsidP="005600FF">
            <w:pPr>
              <w:ind w:firstLine="0"/>
              <w:rPr>
                <w:rFonts w:eastAsia="SimSun"/>
              </w:rPr>
            </w:pPr>
            <w:r w:rsidRPr="00AC3044">
              <w:rPr>
                <w:rFonts w:eastAsia="SimSun"/>
              </w:rPr>
              <w:t>45 мг</w:t>
            </w:r>
          </w:p>
        </w:tc>
        <w:tc>
          <w:tcPr>
            <w:tcW w:w="1418" w:type="dxa"/>
            <w:vAlign w:val="center"/>
          </w:tcPr>
          <w:p w:rsidR="005600FF" w:rsidRPr="00AC3044" w:rsidRDefault="005600FF" w:rsidP="005600FF">
            <w:pPr>
              <w:ind w:firstLine="0"/>
              <w:rPr>
                <w:rFonts w:eastAsia="SimSun"/>
              </w:rPr>
            </w:pPr>
            <w:r w:rsidRPr="00AC3044">
              <w:rPr>
                <w:rFonts w:eastAsia="SimSun"/>
              </w:rPr>
              <w:t>270 мг</w:t>
            </w:r>
          </w:p>
        </w:tc>
        <w:tc>
          <w:tcPr>
            <w:tcW w:w="1701" w:type="dxa"/>
            <w:vAlign w:val="center"/>
          </w:tcPr>
          <w:p w:rsidR="005600FF" w:rsidRPr="00AC3044" w:rsidRDefault="005600FF" w:rsidP="005600FF">
            <w:pPr>
              <w:ind w:firstLine="0"/>
              <w:rPr>
                <w:rFonts w:eastAsia="SimSun"/>
              </w:rPr>
            </w:pPr>
            <w:r w:rsidRPr="00AC3044">
              <w:rPr>
                <w:rFonts w:eastAsia="SimSun"/>
              </w:rPr>
              <w:t xml:space="preserve">С -7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суточную дозу </w:t>
            </w:r>
          </w:p>
          <w:p w:rsidR="005600FF" w:rsidRPr="00AC3044" w:rsidRDefault="005600FF" w:rsidP="005600FF">
            <w:pPr>
              <w:ind w:firstLine="0"/>
              <w:rPr>
                <w:rFonts w:eastAsia="SimSun"/>
              </w:rPr>
            </w:pPr>
            <w:r w:rsidRPr="00AC3044">
              <w:rPr>
                <w:rFonts w:eastAsia="SimSun"/>
              </w:rPr>
              <w:t>за 3 приема</w:t>
            </w:r>
          </w:p>
        </w:tc>
      </w:tr>
      <w:tr w:rsidR="005600FF" w:rsidRPr="00AC3044" w:rsidTr="005600FF">
        <w:trPr>
          <w:cantSplit/>
          <w:trHeight w:val="49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Руксолитиниб </w:t>
            </w:r>
          </w:p>
        </w:tc>
        <w:tc>
          <w:tcPr>
            <w:tcW w:w="1559" w:type="dxa"/>
            <w:vAlign w:val="center"/>
          </w:tcPr>
          <w:p w:rsidR="005600FF" w:rsidRPr="00AC3044" w:rsidRDefault="005600FF" w:rsidP="005600FF">
            <w:pPr>
              <w:ind w:firstLine="0"/>
              <w:rPr>
                <w:rFonts w:eastAsia="SimSun"/>
              </w:rPr>
            </w:pPr>
            <w:r w:rsidRPr="00AC3044">
              <w:rPr>
                <w:rFonts w:eastAsia="SimSun"/>
              </w:rPr>
              <w:t>15 мг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дня по +100 день</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суточную дозу </w:t>
            </w:r>
          </w:p>
          <w:p w:rsidR="005600FF" w:rsidRPr="00AC3044" w:rsidRDefault="005600FF" w:rsidP="005600FF">
            <w:pPr>
              <w:ind w:firstLine="0"/>
              <w:rPr>
                <w:rFonts w:eastAsia="SimSun"/>
              </w:rPr>
            </w:pPr>
            <w:r w:rsidRPr="00AC3044">
              <w:rPr>
                <w:rFonts w:eastAsia="SimSun"/>
              </w:rPr>
              <w:t>за 2 приема</w:t>
            </w:r>
          </w:p>
        </w:tc>
      </w:tr>
    </w:tbl>
    <w:p w:rsidR="005600FF" w:rsidRDefault="005600FF" w:rsidP="005600FF">
      <w:pPr>
        <w:rPr>
          <w:rFonts w:eastAsia="SimSun"/>
        </w:rPr>
      </w:pPr>
      <w:bookmarkStart w:id="213" w:name="_Toc44401215"/>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2.2.15  – Flu90+Benda / PT-Cy+Tx+MMF30</w:t>
      </w:r>
      <w:bookmarkEnd w:id="2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04"/>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Бендамустин</w:t>
            </w:r>
          </w:p>
        </w:tc>
        <w:tc>
          <w:tcPr>
            <w:tcW w:w="1559" w:type="dxa"/>
            <w:vAlign w:val="center"/>
          </w:tcPr>
          <w:p w:rsidR="005600FF" w:rsidRPr="00AC3044" w:rsidRDefault="005600FF" w:rsidP="005600FF">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rsidR="005600FF" w:rsidRPr="00AC3044" w:rsidRDefault="005600FF" w:rsidP="005600F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 xml:space="preserve">  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958"/>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42"/>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В дни +3, +4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550"/>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Pr="0074195F" w:rsidRDefault="005600FF" w:rsidP="005600FF">
      <w:pPr>
        <w:rPr>
          <w:rFonts w:eastAsia="SimSun"/>
        </w:rPr>
      </w:pPr>
      <w:bookmarkStart w:id="214" w:name="_Toc44401216"/>
    </w:p>
    <w:p w:rsidR="005600FF" w:rsidRPr="00042499" w:rsidRDefault="005600FF" w:rsidP="005600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2.2.16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2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942A16"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Бендамустин</w:t>
            </w:r>
          </w:p>
        </w:tc>
        <w:tc>
          <w:tcPr>
            <w:tcW w:w="1559" w:type="dxa"/>
            <w:vAlign w:val="center"/>
          </w:tcPr>
          <w:p w:rsidR="005600FF" w:rsidRPr="00AC3044" w:rsidRDefault="005600FF" w:rsidP="005600FF">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rsidR="005600FF" w:rsidRPr="00AC3044" w:rsidRDefault="005600FF" w:rsidP="005600F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 xml:space="preserve">  С -4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958"/>
        </w:trPr>
        <w:tc>
          <w:tcPr>
            <w:tcW w:w="817" w:type="dxa"/>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В дни +3, +4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15" w:name="_Toc44401217"/>
    </w:p>
    <w:p w:rsidR="005600FF" w:rsidRPr="00042499" w:rsidRDefault="005600FF" w:rsidP="005600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2.2.17  – </w:t>
      </w:r>
      <w:r w:rsidRPr="00DF7E85">
        <w:rPr>
          <w:rFonts w:eastAsia="SimSun"/>
          <w:lang w:val="en-US"/>
        </w:rPr>
        <w:t>Flu</w:t>
      </w:r>
      <w:r w:rsidRPr="00042499">
        <w:rPr>
          <w:rFonts w:eastAsia="SimSun"/>
          <w:lang w:val="en-US"/>
        </w:rPr>
        <w:t>150+</w:t>
      </w:r>
      <w:r w:rsidRPr="00DF7E85">
        <w:rPr>
          <w:rFonts w:eastAsia="SimSun"/>
          <w:lang w:val="en-US"/>
        </w:rPr>
        <w:t>Thio</w:t>
      </w:r>
      <w:r w:rsidRPr="00042499">
        <w:rPr>
          <w:rFonts w:eastAsia="SimSun"/>
          <w:lang w:val="en-US"/>
        </w:rPr>
        <w:t xml:space="preserve"> / </w:t>
      </w:r>
      <w:r w:rsidRPr="00DF7E85">
        <w:rPr>
          <w:rFonts w:eastAsia="SimSun"/>
          <w:lang w:val="en-US"/>
        </w:rPr>
        <w:t>hATG</w:t>
      </w:r>
      <w:r w:rsidRPr="00042499">
        <w:rPr>
          <w:rFonts w:eastAsia="SimSun"/>
          <w:lang w:val="en-US"/>
        </w:rPr>
        <w:t>+</w:t>
      </w:r>
      <w:r w:rsidRPr="00DF7E85">
        <w:rPr>
          <w:rFonts w:eastAsia="SimSun"/>
          <w:lang w:val="en-US"/>
        </w:rPr>
        <w:t>Tx</w:t>
      </w:r>
      <w:r w:rsidRPr="00042499">
        <w:rPr>
          <w:rFonts w:eastAsia="SimSun"/>
          <w:lang w:val="en-US"/>
        </w:rPr>
        <w:t>+</w:t>
      </w:r>
      <w:r w:rsidRPr="00DF7E85">
        <w:rPr>
          <w:rFonts w:eastAsia="SimSun"/>
          <w:lang w:val="en-US"/>
        </w:rPr>
        <w:t>MMF</w:t>
      </w:r>
      <w:r w:rsidRPr="00042499">
        <w:rPr>
          <w:rFonts w:eastAsia="SimSun"/>
          <w:lang w:val="en-US"/>
        </w:rPr>
        <w:t>30</w:t>
      </w:r>
      <w:bookmarkEnd w:id="2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942A16"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-6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10"/>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Тиотепа</w:t>
            </w:r>
          </w:p>
        </w:tc>
        <w:tc>
          <w:tcPr>
            <w:tcW w:w="1559" w:type="dxa"/>
            <w:vAlign w:val="center"/>
          </w:tcPr>
          <w:p w:rsidR="005600FF" w:rsidRPr="00AC3044" w:rsidRDefault="005600FF" w:rsidP="005600FF">
            <w:pPr>
              <w:ind w:firstLine="0"/>
              <w:rPr>
                <w:rFonts w:eastAsia="SimSun"/>
              </w:rPr>
            </w:pPr>
            <w:r w:rsidRPr="00AC3044">
              <w:rPr>
                <w:rFonts w:eastAsia="SimSun"/>
              </w:rPr>
              <w:t>5 мг/м</w:t>
            </w:r>
            <w:r w:rsidRPr="0074195F">
              <w:rPr>
                <w:rFonts w:eastAsia="SimSun"/>
                <w:vertAlign w:val="superscript"/>
              </w:rPr>
              <w:t>2</w:t>
            </w:r>
            <w:r w:rsidRPr="00AC3044">
              <w:rPr>
                <w:rFonts w:eastAsia="SimSun"/>
              </w:rPr>
              <w:t xml:space="preserve"> </w:t>
            </w:r>
          </w:p>
        </w:tc>
        <w:tc>
          <w:tcPr>
            <w:tcW w:w="1418" w:type="dxa"/>
            <w:vAlign w:val="center"/>
          </w:tcPr>
          <w:p w:rsidR="005600FF" w:rsidRPr="00AC3044" w:rsidRDefault="005600FF" w:rsidP="005600F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 xml:space="preserve"> Дни -5; -4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712"/>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559" w:type="dxa"/>
            <w:vAlign w:val="center"/>
          </w:tcPr>
          <w:p w:rsidR="005600FF" w:rsidRPr="00AC3044" w:rsidRDefault="005600FF" w:rsidP="005600FF">
            <w:pPr>
              <w:ind w:firstLine="0"/>
              <w:rPr>
                <w:rFonts w:eastAsia="SimSun"/>
              </w:rPr>
            </w:pPr>
            <w:r w:rsidRPr="00AC3044">
              <w:rPr>
                <w:rFonts w:eastAsia="SimSun"/>
              </w:rPr>
              <w:t>20 мг/кг</w:t>
            </w:r>
          </w:p>
        </w:tc>
        <w:tc>
          <w:tcPr>
            <w:tcW w:w="1418" w:type="dxa"/>
            <w:vAlign w:val="center"/>
          </w:tcPr>
          <w:p w:rsidR="005600FF" w:rsidRPr="00AC3044" w:rsidRDefault="005600FF" w:rsidP="005600FF">
            <w:pPr>
              <w:ind w:firstLine="0"/>
              <w:rPr>
                <w:rFonts w:eastAsia="SimSun"/>
              </w:rPr>
            </w:pPr>
            <w:r w:rsidRPr="00AC3044">
              <w:rPr>
                <w:rFonts w:eastAsia="SimSun"/>
              </w:rPr>
              <w:t>60 мг/кг</w:t>
            </w:r>
          </w:p>
        </w:tc>
        <w:tc>
          <w:tcPr>
            <w:tcW w:w="1701" w:type="dxa"/>
            <w:vAlign w:val="center"/>
          </w:tcPr>
          <w:p w:rsidR="005600FF" w:rsidRPr="00AC3044" w:rsidRDefault="005600FF" w:rsidP="005600FF">
            <w:pPr>
              <w:ind w:firstLine="0"/>
              <w:rPr>
                <w:rFonts w:eastAsia="SimSun"/>
              </w:rPr>
            </w:pPr>
            <w:r w:rsidRPr="00AC3044">
              <w:rPr>
                <w:rFonts w:eastAsia="SimSun"/>
              </w:rPr>
              <w:t>В дни -3, -2, -1</w:t>
            </w:r>
          </w:p>
        </w:tc>
        <w:tc>
          <w:tcPr>
            <w:tcW w:w="2268" w:type="dxa"/>
            <w:vAlign w:val="center"/>
          </w:tcPr>
          <w:p w:rsidR="005600FF" w:rsidRPr="00AC3044" w:rsidRDefault="005600FF" w:rsidP="005600FF">
            <w:pPr>
              <w:ind w:firstLine="0"/>
              <w:rPr>
                <w:rFonts w:eastAsia="SimSun"/>
              </w:rPr>
            </w:pPr>
            <w:r w:rsidRPr="00AC3044">
              <w:rPr>
                <w:rFonts w:eastAsia="SimSun"/>
              </w:rPr>
              <w:t xml:space="preserve"> В/в. Суточная доза разделяется на 2 введения (см. «Инфузия АТГ»)</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362"/>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216" w:name="_Toc44401218"/>
    </w:p>
    <w:p w:rsidR="005600FF" w:rsidRPr="00C07B2E" w:rsidRDefault="005600FF" w:rsidP="005600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2.2.18  – Flu180+Treo36 / PT-Cy+CSA+MMF30</w:t>
      </w:r>
      <w:bookmarkEnd w:id="216"/>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2268"/>
      </w:tblGrid>
      <w:tr w:rsidR="005600FF" w:rsidRPr="00AC3044" w:rsidTr="005600FF">
        <w:trPr>
          <w:cantSplit/>
          <w:trHeight w:val="20"/>
          <w:tblHeader/>
        </w:trPr>
        <w:tc>
          <w:tcPr>
            <w:tcW w:w="709" w:type="dxa"/>
          </w:tcPr>
          <w:p w:rsidR="005600FF" w:rsidRPr="00470D3D"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–6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899"/>
        </w:trPr>
        <w:tc>
          <w:tcPr>
            <w:tcW w:w="709"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Треосульфан</w:t>
            </w:r>
          </w:p>
        </w:tc>
        <w:tc>
          <w:tcPr>
            <w:tcW w:w="1559" w:type="dxa"/>
            <w:vAlign w:val="center"/>
          </w:tcPr>
          <w:p w:rsidR="005600FF" w:rsidRPr="00AC3044" w:rsidRDefault="005600FF" w:rsidP="005600FF">
            <w:pPr>
              <w:ind w:firstLine="0"/>
              <w:rPr>
                <w:rFonts w:eastAsia="SimSun"/>
              </w:rPr>
            </w:pPr>
            <w:r w:rsidRPr="00AC3044">
              <w:rPr>
                <w:rFonts w:eastAsia="SimSun"/>
              </w:rPr>
              <w:t>12 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36 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–6 по –4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394"/>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Циклоспорин</w:t>
            </w:r>
          </w:p>
        </w:tc>
        <w:tc>
          <w:tcPr>
            <w:tcW w:w="1559" w:type="dxa"/>
            <w:vAlign w:val="center"/>
          </w:tcPr>
          <w:p w:rsidR="005600FF" w:rsidRPr="00AC3044" w:rsidRDefault="005600FF" w:rsidP="005600FF">
            <w:pPr>
              <w:ind w:firstLine="0"/>
              <w:rPr>
                <w:rFonts w:eastAsia="SimSun"/>
              </w:rPr>
            </w:pPr>
            <w:r w:rsidRPr="00AC3044">
              <w:rPr>
                <w:rFonts w:eastAsia="SimSun"/>
              </w:rPr>
              <w:t>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74195F">
              <w:rPr>
                <w:rFonts w:eastAsia="SimSun"/>
              </w:rPr>
              <w:t>/</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30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С +5 по +90 день</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17" w:name="_Toc44401219"/>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2.2.19  – Flu180+Cy1200 / hATG+Tx+MMF30</w:t>
      </w:r>
      <w:bookmarkEnd w:id="21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36"/>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rsidR="005600FF" w:rsidRPr="00AC3044" w:rsidRDefault="005600FF" w:rsidP="005600FF">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 xml:space="preserve"> С -5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654"/>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lastRenderedPageBreak/>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 xml:space="preserve">АТГ (лошадиный) </w:t>
            </w:r>
          </w:p>
        </w:tc>
        <w:tc>
          <w:tcPr>
            <w:tcW w:w="1559" w:type="dxa"/>
            <w:vAlign w:val="center"/>
          </w:tcPr>
          <w:p w:rsidR="005600FF" w:rsidRPr="00AC3044" w:rsidRDefault="005600FF" w:rsidP="005600FF">
            <w:pPr>
              <w:ind w:firstLine="0"/>
              <w:rPr>
                <w:rFonts w:eastAsia="SimSun"/>
              </w:rPr>
            </w:pPr>
            <w:r w:rsidRPr="00AC3044">
              <w:rPr>
                <w:rFonts w:eastAsia="SimSun"/>
              </w:rPr>
              <w:t>20 мг/кг</w:t>
            </w:r>
          </w:p>
        </w:tc>
        <w:tc>
          <w:tcPr>
            <w:tcW w:w="1418" w:type="dxa"/>
            <w:vAlign w:val="center"/>
          </w:tcPr>
          <w:p w:rsidR="005600FF" w:rsidRPr="00AC3044" w:rsidRDefault="005600FF" w:rsidP="005600FF">
            <w:pPr>
              <w:ind w:firstLine="0"/>
              <w:rPr>
                <w:rFonts w:eastAsia="SimSun"/>
              </w:rPr>
            </w:pPr>
            <w:r w:rsidRPr="00AC3044">
              <w:rPr>
                <w:rFonts w:eastAsia="SimSun"/>
              </w:rPr>
              <w:t>60 мг/кг</w:t>
            </w:r>
          </w:p>
        </w:tc>
        <w:tc>
          <w:tcPr>
            <w:tcW w:w="1701" w:type="dxa"/>
            <w:vAlign w:val="center"/>
          </w:tcPr>
          <w:p w:rsidR="005600FF" w:rsidRPr="00AC3044" w:rsidRDefault="005600FF" w:rsidP="005600FF">
            <w:pPr>
              <w:ind w:firstLine="0"/>
              <w:rPr>
                <w:rFonts w:eastAsia="SimSun"/>
              </w:rPr>
            </w:pPr>
            <w:r w:rsidRPr="00AC3044">
              <w:rPr>
                <w:rFonts w:eastAsia="SimSun"/>
              </w:rPr>
              <w:t>В дни -3, -2, -1</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 на 2 введения (см. «Инфузия АТГ»)</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392"/>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Pr="0074195F" w:rsidRDefault="005600FF" w:rsidP="005600FF">
      <w:pPr>
        <w:rPr>
          <w:rFonts w:eastAsia="SimSun"/>
        </w:rPr>
      </w:pPr>
      <w:bookmarkStart w:id="218" w:name="_Toc44401220"/>
    </w:p>
    <w:p w:rsidR="005600FF" w:rsidRPr="00EE51B1" w:rsidRDefault="005600FF" w:rsidP="005600FF">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2.2.20  – </w:t>
      </w:r>
      <w:r w:rsidRPr="00DF7E85">
        <w:rPr>
          <w:rFonts w:eastAsia="SimSun"/>
          <w:lang w:val="en-US"/>
        </w:rPr>
        <w:t>Flu</w:t>
      </w:r>
      <w:r w:rsidRPr="00EE51B1">
        <w:rPr>
          <w:rFonts w:eastAsia="SimSun"/>
          <w:lang w:val="en-US"/>
        </w:rPr>
        <w:t>180+</w:t>
      </w:r>
      <w:r w:rsidRPr="00DF7E85">
        <w:rPr>
          <w:rFonts w:eastAsia="SimSun"/>
          <w:lang w:val="en-US"/>
        </w:rPr>
        <w:t>Cy</w:t>
      </w:r>
      <w:r w:rsidRPr="00EE51B1">
        <w:rPr>
          <w:rFonts w:eastAsia="SimSun"/>
          <w:lang w:val="en-US"/>
        </w:rPr>
        <w:t xml:space="preserve">1200 / </w:t>
      </w:r>
      <w:r w:rsidRPr="00DF7E85">
        <w:rPr>
          <w:rFonts w:eastAsia="SimSun"/>
          <w:lang w:val="en-US"/>
        </w:rPr>
        <w:t>rATG</w:t>
      </w:r>
      <w:r w:rsidRPr="00EE51B1">
        <w:rPr>
          <w:rFonts w:eastAsia="SimSun"/>
          <w:lang w:val="en-US"/>
        </w:rPr>
        <w:t>+</w:t>
      </w:r>
      <w:r w:rsidRPr="00DF7E85">
        <w:rPr>
          <w:rFonts w:eastAsia="SimSun"/>
          <w:lang w:val="en-US"/>
        </w:rPr>
        <w:t>Tx</w:t>
      </w:r>
      <w:r w:rsidRPr="00EE51B1">
        <w:rPr>
          <w:rFonts w:eastAsia="SimSun"/>
          <w:lang w:val="en-US"/>
        </w:rPr>
        <w:t>+</w:t>
      </w:r>
      <w:r w:rsidRPr="00DF7E85">
        <w:rPr>
          <w:rFonts w:eastAsia="SimSun"/>
          <w:lang w:val="en-US"/>
        </w:rPr>
        <w:t>MMF</w:t>
      </w:r>
      <w:r w:rsidRPr="00EE51B1">
        <w:rPr>
          <w:rFonts w:eastAsia="SimSun"/>
          <w:lang w:val="en-US"/>
        </w:rPr>
        <w:t>30</w:t>
      </w:r>
      <w:bookmarkEnd w:id="21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AC3044" w:rsidRDefault="005600FF" w:rsidP="005600FF">
            <w:pPr>
              <w:ind w:firstLine="0"/>
              <w:rPr>
                <w:rFonts w:eastAsia="SimSun"/>
                <w:lang w:val="en-US"/>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74195F" w:rsidRDefault="005600FF" w:rsidP="005600FF">
            <w:pPr>
              <w:ind w:firstLine="0"/>
              <w:rPr>
                <w:rFonts w:eastAsia="SimSun"/>
                <w:vertAlign w:val="superscript"/>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721"/>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rsidR="005600FF" w:rsidRPr="00AC3044" w:rsidRDefault="005600FF" w:rsidP="005600FF">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 xml:space="preserve"> С -5 дня по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547"/>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АТГ (кроличий)</w:t>
            </w:r>
          </w:p>
        </w:tc>
        <w:tc>
          <w:tcPr>
            <w:tcW w:w="1559" w:type="dxa"/>
            <w:vAlign w:val="center"/>
          </w:tcPr>
          <w:p w:rsidR="005600FF" w:rsidRPr="00AC3044" w:rsidRDefault="005600FF" w:rsidP="005600FF">
            <w:pPr>
              <w:ind w:firstLine="0"/>
              <w:rPr>
                <w:rFonts w:eastAsia="SimSun"/>
              </w:rPr>
            </w:pPr>
            <w:r w:rsidRPr="00AC3044">
              <w:rPr>
                <w:rFonts w:eastAsia="SimSun"/>
              </w:rPr>
              <w:t>5 мг/кг</w:t>
            </w:r>
          </w:p>
        </w:tc>
        <w:tc>
          <w:tcPr>
            <w:tcW w:w="1418" w:type="dxa"/>
            <w:vAlign w:val="center"/>
          </w:tcPr>
          <w:p w:rsidR="005600FF" w:rsidRPr="00AC3044" w:rsidRDefault="005600FF" w:rsidP="005600FF">
            <w:pPr>
              <w:ind w:firstLine="0"/>
              <w:rPr>
                <w:rFonts w:eastAsia="SimSun"/>
              </w:rPr>
            </w:pPr>
            <w:r w:rsidRPr="00AC3044">
              <w:rPr>
                <w:rFonts w:eastAsia="SimSun"/>
              </w:rPr>
              <w:t>10 мг/кг</w:t>
            </w:r>
          </w:p>
        </w:tc>
        <w:tc>
          <w:tcPr>
            <w:tcW w:w="1701" w:type="dxa"/>
            <w:vAlign w:val="center"/>
          </w:tcPr>
          <w:p w:rsidR="005600FF" w:rsidRPr="00AC3044" w:rsidRDefault="005600FF" w:rsidP="005600FF">
            <w:pPr>
              <w:ind w:firstLine="0"/>
              <w:rPr>
                <w:rFonts w:eastAsia="SimSun"/>
              </w:rPr>
            </w:pPr>
            <w:r w:rsidRPr="00AC3044">
              <w:rPr>
                <w:rFonts w:eastAsia="SimSun"/>
              </w:rPr>
              <w:t>В дни -2, -1</w:t>
            </w:r>
          </w:p>
        </w:tc>
        <w:tc>
          <w:tcPr>
            <w:tcW w:w="2268" w:type="dxa"/>
            <w:vAlign w:val="center"/>
          </w:tcPr>
          <w:p w:rsidR="005600FF" w:rsidRPr="00AC3044" w:rsidRDefault="005600FF" w:rsidP="005600F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654"/>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Pr="00C07B2E" w:rsidRDefault="005600FF" w:rsidP="005600FF">
      <w:pPr>
        <w:rPr>
          <w:rFonts w:eastAsia="SimSun"/>
        </w:rPr>
      </w:pPr>
    </w:p>
    <w:p w:rsidR="005600FF" w:rsidRPr="00C07B2E" w:rsidRDefault="005600FF" w:rsidP="005600FF">
      <w:pPr>
        <w:rPr>
          <w:rFonts w:eastAsia="SimSun"/>
        </w:rPr>
      </w:pPr>
      <w:bookmarkStart w:id="219" w:name="_Toc44401221"/>
      <w:r w:rsidRPr="00EE51B1">
        <w:rPr>
          <w:rFonts w:eastAsia="SimSun"/>
        </w:rPr>
        <w:t>Таблица</w:t>
      </w:r>
      <w:r w:rsidRPr="00C07B2E">
        <w:rPr>
          <w:rFonts w:eastAsia="SimSun"/>
        </w:rPr>
        <w:t xml:space="preserve"> </w:t>
      </w:r>
      <w:r>
        <w:rPr>
          <w:rFonts w:eastAsia="SimSun"/>
        </w:rPr>
        <w:t>5.</w:t>
      </w:r>
      <w:r w:rsidRPr="00C07B2E">
        <w:rPr>
          <w:rFonts w:eastAsia="SimSun"/>
        </w:rPr>
        <w:t>2.2.21 – Flu180+Mel100/ PT-Cy+Tx+MMF30</w:t>
      </w:r>
      <w:bookmarkEnd w:id="2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5600FF" w:rsidRPr="00AC3044" w:rsidTr="005600FF">
        <w:trPr>
          <w:cantSplit/>
          <w:trHeight w:val="20"/>
          <w:tblHeader/>
        </w:trPr>
        <w:tc>
          <w:tcPr>
            <w:tcW w:w="817" w:type="dxa"/>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Препарат</w:t>
            </w:r>
          </w:p>
        </w:tc>
        <w:tc>
          <w:tcPr>
            <w:tcW w:w="1559"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8"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701" w:type="dxa"/>
            <w:vAlign w:val="center"/>
          </w:tcPr>
          <w:p w:rsidR="005600FF" w:rsidRPr="00AC3044" w:rsidRDefault="005600FF" w:rsidP="005600FF">
            <w:pPr>
              <w:ind w:firstLine="0"/>
              <w:rPr>
                <w:rFonts w:eastAsia="SimSun"/>
              </w:rPr>
            </w:pPr>
            <w:r w:rsidRPr="00AC3044">
              <w:rPr>
                <w:rFonts w:eastAsia="SimSun"/>
              </w:rPr>
              <w:t>Дни введения</w:t>
            </w:r>
          </w:p>
        </w:tc>
        <w:tc>
          <w:tcPr>
            <w:tcW w:w="2268"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701"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559"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450"/>
        </w:trPr>
        <w:tc>
          <w:tcPr>
            <w:tcW w:w="817" w:type="dxa"/>
            <w:vMerge/>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Мелфалан</w:t>
            </w:r>
          </w:p>
        </w:tc>
        <w:tc>
          <w:tcPr>
            <w:tcW w:w="1559"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418"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701" w:type="dxa"/>
            <w:vAlign w:val="center"/>
          </w:tcPr>
          <w:p w:rsidR="005600FF" w:rsidRPr="00AC3044" w:rsidRDefault="005600FF" w:rsidP="005600FF">
            <w:pPr>
              <w:ind w:firstLine="0"/>
              <w:rPr>
                <w:rFonts w:eastAsia="SimSun"/>
              </w:rPr>
            </w:pPr>
            <w:r w:rsidRPr="00AC3044">
              <w:rPr>
                <w:rFonts w:eastAsia="SimSun"/>
              </w:rPr>
              <w:t xml:space="preserve">В -2 день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450"/>
        </w:trPr>
        <w:tc>
          <w:tcPr>
            <w:tcW w:w="817"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701"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559" w:type="dxa"/>
            <w:vAlign w:val="center"/>
          </w:tcPr>
          <w:p w:rsidR="005600FF" w:rsidRPr="00AC3044" w:rsidRDefault="005600FF" w:rsidP="005600FF">
            <w:pPr>
              <w:ind w:firstLine="0"/>
              <w:rPr>
                <w:rFonts w:eastAsia="SimSun"/>
              </w:rPr>
            </w:pPr>
            <w:r w:rsidRPr="00AC3044">
              <w:rPr>
                <w:rFonts w:eastAsia="SimSun"/>
              </w:rPr>
              <w:t>50 мг/кг</w:t>
            </w:r>
          </w:p>
        </w:tc>
        <w:tc>
          <w:tcPr>
            <w:tcW w:w="1418" w:type="dxa"/>
            <w:vAlign w:val="center"/>
          </w:tcPr>
          <w:p w:rsidR="005600FF" w:rsidRPr="00AC3044" w:rsidRDefault="005600FF" w:rsidP="005600FF">
            <w:pPr>
              <w:ind w:firstLine="0"/>
              <w:rPr>
                <w:rFonts w:eastAsia="SimSun"/>
              </w:rPr>
            </w:pPr>
            <w:r w:rsidRPr="00AC3044">
              <w:rPr>
                <w:rFonts w:eastAsia="SimSun"/>
              </w:rPr>
              <w:t>100 мг/кг</w:t>
            </w:r>
          </w:p>
        </w:tc>
        <w:tc>
          <w:tcPr>
            <w:tcW w:w="1701"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268"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559" w:type="dxa"/>
            <w:vAlign w:val="center"/>
          </w:tcPr>
          <w:p w:rsidR="005600FF" w:rsidRPr="00AC3044" w:rsidRDefault="005600FF" w:rsidP="005600FF">
            <w:pPr>
              <w:ind w:firstLine="0"/>
              <w:rPr>
                <w:rFonts w:eastAsia="SimSun"/>
              </w:rPr>
            </w:pPr>
            <w:r w:rsidRPr="00AC3044">
              <w:rPr>
                <w:rFonts w:eastAsia="SimSun"/>
              </w:rPr>
              <w:t>0,03 мг/кг</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268"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28"/>
        </w:trPr>
        <w:tc>
          <w:tcPr>
            <w:tcW w:w="817" w:type="dxa"/>
            <w:vMerge/>
            <w:textDirection w:val="btLr"/>
            <w:vAlign w:val="center"/>
          </w:tcPr>
          <w:p w:rsidR="005600FF" w:rsidRPr="00AC3044" w:rsidRDefault="005600FF" w:rsidP="005600FF">
            <w:pPr>
              <w:ind w:firstLine="0"/>
              <w:rPr>
                <w:rFonts w:eastAsia="SimSun"/>
              </w:rPr>
            </w:pPr>
          </w:p>
        </w:tc>
        <w:tc>
          <w:tcPr>
            <w:tcW w:w="1701"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559"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418" w:type="dxa"/>
            <w:vAlign w:val="center"/>
          </w:tcPr>
          <w:p w:rsidR="005600FF" w:rsidRPr="00AC3044" w:rsidRDefault="005600FF" w:rsidP="005600FF">
            <w:pPr>
              <w:ind w:firstLine="0"/>
              <w:rPr>
                <w:rFonts w:eastAsia="SimSun"/>
              </w:rPr>
            </w:pPr>
            <w:r w:rsidRPr="00AC3044">
              <w:rPr>
                <w:rFonts w:eastAsia="SimSun"/>
              </w:rPr>
              <w:t>–</w:t>
            </w:r>
          </w:p>
        </w:tc>
        <w:tc>
          <w:tcPr>
            <w:tcW w:w="1701"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268"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Pr="00C07B2E" w:rsidRDefault="005600FF" w:rsidP="005600FF">
      <w:pPr>
        <w:rPr>
          <w:rFonts w:eastAsia="SimSun"/>
        </w:rPr>
        <w:sectPr w:rsidR="005600FF" w:rsidRPr="00C07B2E" w:rsidSect="005600FF">
          <w:footerReference w:type="default" r:id="rId12"/>
          <w:type w:val="continuous"/>
          <w:pgSz w:w="11907" w:h="16839" w:code="9"/>
          <w:pgMar w:top="1134" w:right="850" w:bottom="1134" w:left="1701" w:header="709" w:footer="567" w:gutter="0"/>
          <w:cols w:space="708"/>
          <w:docGrid w:linePitch="360"/>
        </w:sectPr>
      </w:pPr>
    </w:p>
    <w:p w:rsidR="005600FF" w:rsidRPr="0074195F" w:rsidRDefault="005600FF" w:rsidP="005600FF">
      <w:pPr>
        <w:rPr>
          <w:rFonts w:eastAsia="SimSun"/>
        </w:rPr>
      </w:pPr>
      <w:bookmarkStart w:id="220" w:name="_Toc44401222"/>
    </w:p>
    <w:p w:rsidR="005600FF" w:rsidRPr="00030511" w:rsidRDefault="005600FF" w:rsidP="005600FF">
      <w:pPr>
        <w:rPr>
          <w:rFonts w:eastAsia="SimSun"/>
          <w:i/>
          <w:u w:val="single"/>
        </w:rPr>
      </w:pPr>
      <w:r w:rsidRPr="00030511">
        <w:rPr>
          <w:rFonts w:eastAsia="SimSun"/>
          <w:i/>
          <w:u w:val="single"/>
        </w:rPr>
        <w:t>3. Неродственный частично совместимый или родственный гаплоидентичный донор</w:t>
      </w:r>
      <w:bookmarkEnd w:id="220"/>
    </w:p>
    <w:p w:rsidR="005600FF" w:rsidRDefault="005600FF" w:rsidP="005600FF">
      <w:pPr>
        <w:rPr>
          <w:rFonts w:eastAsia="SimSun"/>
        </w:rPr>
      </w:pPr>
      <w:bookmarkStart w:id="221" w:name="_Toc44401223"/>
    </w:p>
    <w:bookmarkEnd w:id="221"/>
    <w:p w:rsidR="005600FF" w:rsidRDefault="005600FF" w:rsidP="005600FF">
      <w:pPr>
        <w:rPr>
          <w:rFonts w:eastAsia="SimSun"/>
        </w:rPr>
      </w:pPr>
      <w:r w:rsidRPr="00C07B2E">
        <w:rPr>
          <w:rFonts w:eastAsia="SimSun"/>
        </w:rPr>
        <w:t>Схемы и режимы применения препаратов для кондиционирования</w:t>
      </w:r>
      <w:r>
        <w:rPr>
          <w:rFonts w:eastAsia="SimSun"/>
        </w:rPr>
        <w:t xml:space="preserve"> </w:t>
      </w:r>
      <w:r w:rsidRPr="00030511">
        <w:rPr>
          <w:rFonts w:eastAsia="SimSun"/>
        </w:rPr>
        <w:t>в миелоаблативном режиме и режиме пониженной интенсивности</w:t>
      </w:r>
      <w:r w:rsidRPr="00C07B2E">
        <w:rPr>
          <w:rFonts w:eastAsia="SimSun"/>
        </w:rPr>
        <w:t xml:space="preserve"> и профилактики РТПХ со ссылками на приложения указаны в Таблице </w:t>
      </w:r>
      <w:r>
        <w:rPr>
          <w:rFonts w:eastAsia="SimSun"/>
        </w:rPr>
        <w:t>5.</w:t>
      </w:r>
      <w:r w:rsidRPr="00C07B2E">
        <w:rPr>
          <w:rFonts w:eastAsia="SimSun"/>
        </w:rPr>
        <w:t>3.1</w:t>
      </w:r>
    </w:p>
    <w:p w:rsidR="005600FF" w:rsidRPr="00C07B2E" w:rsidRDefault="005600FF" w:rsidP="005600FF">
      <w:pPr>
        <w:rPr>
          <w:rFonts w:eastAsia="SimSun"/>
        </w:rPr>
        <w:sectPr w:rsidR="005600FF" w:rsidRPr="00C07B2E" w:rsidSect="005600FF">
          <w:footerReference w:type="default" r:id="rId13"/>
          <w:type w:val="continuous"/>
          <w:pgSz w:w="11907" w:h="16839" w:code="9"/>
          <w:pgMar w:top="1134" w:right="850" w:bottom="1134" w:left="1701" w:header="709" w:footer="567" w:gutter="0"/>
          <w:cols w:space="708"/>
          <w:docGrid w:linePitch="360"/>
        </w:sectPr>
      </w:pPr>
    </w:p>
    <w:p w:rsidR="005600FF" w:rsidRPr="00C07B2E" w:rsidRDefault="005600FF" w:rsidP="005600FF">
      <w:pPr>
        <w:rPr>
          <w:rFonts w:eastAsia="SimSun"/>
        </w:rPr>
      </w:pPr>
      <w:r w:rsidRPr="00C07B2E">
        <w:rPr>
          <w:rFonts w:eastAsia="SimSun"/>
        </w:rPr>
        <w:lastRenderedPageBreak/>
        <w:t xml:space="preserve">Таблица </w:t>
      </w:r>
      <w:r>
        <w:rPr>
          <w:rFonts w:eastAsia="SimSun"/>
        </w:rPr>
        <w:t>5.</w:t>
      </w:r>
      <w:r w:rsidRPr="00C07B2E">
        <w:rPr>
          <w:rFonts w:eastAsia="SimSun"/>
        </w:rPr>
        <w:t>3.1 Схемы и режимы применения препаратов для кондиционирования и профилактики РТПХ со ссылками на приложения</w:t>
      </w:r>
    </w:p>
    <w:p w:rsidR="005600FF" w:rsidRPr="00C07B2E" w:rsidRDefault="005600FF" w:rsidP="005600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53"/>
        <w:gridCol w:w="917"/>
        <w:gridCol w:w="1302"/>
        <w:gridCol w:w="1268"/>
        <w:gridCol w:w="1154"/>
        <w:gridCol w:w="1331"/>
        <w:gridCol w:w="1268"/>
        <w:gridCol w:w="954"/>
        <w:gridCol w:w="954"/>
        <w:gridCol w:w="954"/>
        <w:gridCol w:w="1214"/>
        <w:gridCol w:w="1202"/>
      </w:tblGrid>
      <w:tr w:rsidR="005600FF" w:rsidRPr="00470E23" w:rsidTr="005600FF">
        <w:trPr>
          <w:cantSplit/>
          <w:trHeight w:val="1020"/>
        </w:trPr>
        <w:tc>
          <w:tcPr>
            <w:tcW w:w="1394" w:type="pct"/>
            <w:gridSpan w:val="4"/>
            <w:vMerge w:val="restart"/>
            <w:tcBorders>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Профилактика РТПХ</w:t>
            </w:r>
          </w:p>
        </w:tc>
        <w:tc>
          <w:tcPr>
            <w:tcW w:w="3606" w:type="pct"/>
            <w:gridSpan w:val="9"/>
            <w:tcBorders>
              <w:left w:val="single" w:sz="4" w:space="0" w:color="00000A"/>
              <w:righ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Режим кондиционирования</w:t>
            </w:r>
          </w:p>
        </w:tc>
      </w:tr>
      <w:tr w:rsidR="005600FF" w:rsidRPr="00470E23" w:rsidTr="005600FF">
        <w:trPr>
          <w:cantSplit/>
          <w:trHeight w:val="1020"/>
        </w:trPr>
        <w:tc>
          <w:tcPr>
            <w:tcW w:w="1394" w:type="pct"/>
            <w:gridSpan w:val="4"/>
            <w:vMerge/>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1314" w:type="pct"/>
            <w:gridSpan w:val="3"/>
            <w:tcBorders>
              <w:left w:val="single" w:sz="4" w:space="0" w:color="00000A"/>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Flu150</w:t>
            </w:r>
          </w:p>
        </w:tc>
        <w:tc>
          <w:tcPr>
            <w:tcW w:w="2293" w:type="pct"/>
            <w:gridSpan w:val="6"/>
            <w:tcBorders>
              <w:left w:val="single" w:sz="4" w:space="0" w:color="00000A"/>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Flu180</w:t>
            </w:r>
          </w:p>
        </w:tc>
      </w:tr>
      <w:tr w:rsidR="005600FF" w:rsidRPr="00470E23" w:rsidTr="005600FF">
        <w:trPr>
          <w:cantSplit/>
          <w:trHeight w:val="1020"/>
        </w:trPr>
        <w:tc>
          <w:tcPr>
            <w:tcW w:w="1394" w:type="pct"/>
            <w:gridSpan w:val="4"/>
            <w:vMerge/>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4" w:type="pct"/>
            <w:tcBorders>
              <w:left w:val="single" w:sz="4" w:space="0" w:color="00000A"/>
              <w:right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Bu8</w:t>
            </w:r>
          </w:p>
        </w:tc>
        <w:tc>
          <w:tcPr>
            <w:tcW w:w="40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Treo36</w:t>
            </w:r>
          </w:p>
        </w:tc>
        <w:tc>
          <w:tcPr>
            <w:tcW w:w="466"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Cy14</w:t>
            </w:r>
          </w:p>
        </w:tc>
        <w:tc>
          <w:tcPr>
            <w:tcW w:w="44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Bu8</w:t>
            </w:r>
          </w:p>
        </w:tc>
        <w:tc>
          <w:tcPr>
            <w:tcW w:w="33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Bu10</w:t>
            </w:r>
          </w:p>
        </w:tc>
        <w:tc>
          <w:tcPr>
            <w:tcW w:w="33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Bu12</w:t>
            </w:r>
          </w:p>
        </w:tc>
        <w:tc>
          <w:tcPr>
            <w:tcW w:w="33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Bu14</w:t>
            </w:r>
          </w:p>
        </w:tc>
        <w:tc>
          <w:tcPr>
            <w:tcW w:w="42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Cy1200</w:t>
            </w:r>
          </w:p>
        </w:tc>
        <w:tc>
          <w:tcPr>
            <w:tcW w:w="42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Mel100</w:t>
            </w:r>
          </w:p>
        </w:tc>
      </w:tr>
      <w:tr w:rsidR="005600FF" w:rsidRPr="00470E23" w:rsidTr="005600FF">
        <w:trPr>
          <w:cantSplit/>
          <w:trHeight w:val="1020"/>
        </w:trPr>
        <w:tc>
          <w:tcPr>
            <w:tcW w:w="1394" w:type="pct"/>
            <w:gridSpan w:val="4"/>
            <w:vMerge/>
            <w:tcBorders>
              <w:right w:val="single" w:sz="4" w:space="0" w:color="00000A"/>
            </w:tcBorders>
            <w:shd w:val="clear" w:color="auto" w:fill="auto"/>
            <w:vAlign w:val="center"/>
          </w:tcPr>
          <w:p w:rsidR="005600FF" w:rsidRPr="00470E23" w:rsidRDefault="005600FF" w:rsidP="005600FF">
            <w:pPr>
              <w:ind w:firstLine="0"/>
              <w:rPr>
                <w:rFonts w:eastAsia="SimSun"/>
                <w:sz w:val="22"/>
              </w:rPr>
            </w:pPr>
          </w:p>
        </w:tc>
        <w:tc>
          <w:tcPr>
            <w:tcW w:w="444" w:type="pct"/>
            <w:tcBorders>
              <w:left w:val="single" w:sz="4" w:space="0" w:color="00000A"/>
            </w:tcBorders>
            <w:shd w:val="clear" w:color="auto" w:fill="D9D9D9"/>
            <w:vAlign w:val="center"/>
          </w:tcPr>
          <w:p w:rsidR="005600FF" w:rsidRPr="00470E23" w:rsidRDefault="005600FF" w:rsidP="005600FF">
            <w:pPr>
              <w:ind w:firstLine="0"/>
              <w:rPr>
                <w:rFonts w:eastAsia="SimSun"/>
                <w:sz w:val="22"/>
              </w:rPr>
            </w:pPr>
          </w:p>
          <w:p w:rsidR="005600FF" w:rsidRPr="00470E23" w:rsidRDefault="005600FF" w:rsidP="005600FF">
            <w:pPr>
              <w:ind w:firstLine="0"/>
              <w:rPr>
                <w:rFonts w:eastAsia="SimSun"/>
                <w:sz w:val="22"/>
              </w:rPr>
            </w:pPr>
            <w:r w:rsidRPr="00470E23">
              <w:rPr>
                <w:rFonts w:eastAsia="SimSun"/>
                <w:sz w:val="22"/>
              </w:rPr>
              <w:t>Thio</w:t>
            </w:r>
          </w:p>
        </w:tc>
        <w:tc>
          <w:tcPr>
            <w:tcW w:w="40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66"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TBI</w:t>
            </w:r>
          </w:p>
        </w:tc>
        <w:tc>
          <w:tcPr>
            <w:tcW w:w="44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422"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r>
      <w:tr w:rsidR="005600FF" w:rsidRPr="00470E23" w:rsidTr="005600FF">
        <w:trPr>
          <w:cantSplit/>
          <w:trHeight w:val="1020"/>
        </w:trPr>
        <w:tc>
          <w:tcPr>
            <w:tcW w:w="248" w:type="pct"/>
            <w:vMerge w:val="restart"/>
            <w:tcBorders>
              <w:top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PT-Cy</w:t>
            </w:r>
          </w:p>
        </w:tc>
        <w:tc>
          <w:tcPr>
            <w:tcW w:w="369"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21"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CSA</w:t>
            </w:r>
          </w:p>
        </w:tc>
        <w:tc>
          <w:tcPr>
            <w:tcW w:w="45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MMF30</w:t>
            </w:r>
          </w:p>
        </w:tc>
        <w:tc>
          <w:tcPr>
            <w:tcW w:w="444"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5.3.1.1</w:t>
            </w:r>
          </w:p>
        </w:tc>
        <w:tc>
          <w:tcPr>
            <w:tcW w:w="40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5.3.1.10</w:t>
            </w:r>
          </w:p>
        </w:tc>
        <w:tc>
          <w:tcPr>
            <w:tcW w:w="466"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4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5.3.1.4</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2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22" w:type="pct"/>
            <w:vAlign w:val="center"/>
          </w:tcPr>
          <w:p w:rsidR="005600FF" w:rsidRPr="00470E23" w:rsidRDefault="005600FF" w:rsidP="005600FF">
            <w:pPr>
              <w:ind w:firstLine="0"/>
              <w:rPr>
                <w:rFonts w:eastAsia="SimSun"/>
                <w:sz w:val="22"/>
              </w:rPr>
            </w:pPr>
          </w:p>
        </w:tc>
      </w:tr>
      <w:tr w:rsidR="005600FF" w:rsidRPr="00470E23" w:rsidTr="005600FF">
        <w:trPr>
          <w:cantSplit/>
          <w:trHeight w:val="1020"/>
        </w:trPr>
        <w:tc>
          <w:tcPr>
            <w:tcW w:w="248" w:type="pct"/>
            <w:vMerge/>
            <w:shd w:val="clear" w:color="auto" w:fill="D9D9D9"/>
            <w:vAlign w:val="center"/>
          </w:tcPr>
          <w:p w:rsidR="005600FF" w:rsidRPr="00470E23" w:rsidRDefault="005600FF" w:rsidP="005600FF">
            <w:pPr>
              <w:ind w:firstLine="0"/>
              <w:rPr>
                <w:rFonts w:eastAsia="SimSun"/>
                <w:sz w:val="22"/>
              </w:rPr>
            </w:pPr>
          </w:p>
        </w:tc>
        <w:tc>
          <w:tcPr>
            <w:tcW w:w="369" w:type="pct"/>
            <w:tcBorders>
              <w:bottom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hATG</w:t>
            </w:r>
          </w:p>
        </w:tc>
        <w:tc>
          <w:tcPr>
            <w:tcW w:w="321" w:type="pct"/>
            <w:tcBorders>
              <w:bottom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CSA</w:t>
            </w:r>
          </w:p>
        </w:tc>
        <w:tc>
          <w:tcPr>
            <w:tcW w:w="45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0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66"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4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5.3.1.3</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2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22" w:type="pct"/>
            <w:vAlign w:val="center"/>
          </w:tcPr>
          <w:p w:rsidR="005600FF" w:rsidRPr="00470E23" w:rsidRDefault="005600FF" w:rsidP="005600FF">
            <w:pPr>
              <w:ind w:firstLine="0"/>
              <w:rPr>
                <w:rFonts w:eastAsia="SimSun"/>
                <w:sz w:val="22"/>
              </w:rPr>
            </w:pPr>
          </w:p>
        </w:tc>
      </w:tr>
      <w:tr w:rsidR="005600FF" w:rsidRPr="00470E23" w:rsidTr="005600FF">
        <w:trPr>
          <w:cantSplit/>
          <w:trHeight w:val="1020"/>
        </w:trPr>
        <w:tc>
          <w:tcPr>
            <w:tcW w:w="248" w:type="pct"/>
            <w:vMerge/>
            <w:shd w:val="clear" w:color="auto" w:fill="D9D9D9"/>
            <w:vAlign w:val="center"/>
          </w:tcPr>
          <w:p w:rsidR="005600FF" w:rsidRPr="00470E23" w:rsidRDefault="005600FF" w:rsidP="005600FF">
            <w:pPr>
              <w:ind w:firstLine="0"/>
              <w:rPr>
                <w:rFonts w:eastAsia="SimSun"/>
                <w:sz w:val="22"/>
              </w:rPr>
            </w:pPr>
          </w:p>
        </w:tc>
        <w:tc>
          <w:tcPr>
            <w:tcW w:w="369" w:type="pct"/>
            <w:tcBorders>
              <w:top w:val="single" w:sz="4" w:space="0" w:color="00000A"/>
              <w:bottom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21" w:type="pct"/>
            <w:tcBorders>
              <w:top w:val="single" w:sz="4" w:space="0" w:color="00000A"/>
              <w:bottom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CSA</w:t>
            </w:r>
          </w:p>
        </w:tc>
        <w:tc>
          <w:tcPr>
            <w:tcW w:w="45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5.3.1.2</w:t>
            </w:r>
          </w:p>
        </w:tc>
        <w:tc>
          <w:tcPr>
            <w:tcW w:w="40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5.3.1.11</w:t>
            </w:r>
          </w:p>
        </w:tc>
        <w:tc>
          <w:tcPr>
            <w:tcW w:w="466"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5.3.1.12</w:t>
            </w:r>
          </w:p>
        </w:tc>
        <w:tc>
          <w:tcPr>
            <w:tcW w:w="44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5.3.1.5</w:t>
            </w:r>
          </w:p>
        </w:tc>
        <w:tc>
          <w:tcPr>
            <w:tcW w:w="334" w:type="pct"/>
            <w:shd w:val="clear" w:color="auto" w:fill="auto"/>
            <w:vAlign w:val="center"/>
          </w:tcPr>
          <w:p w:rsidR="005600FF" w:rsidRPr="00470E23" w:rsidRDefault="005600FF" w:rsidP="005600FF">
            <w:pPr>
              <w:ind w:firstLine="0"/>
              <w:rPr>
                <w:rFonts w:eastAsia="SimSun"/>
                <w:sz w:val="22"/>
              </w:rPr>
            </w:pPr>
          </w:p>
        </w:tc>
        <w:tc>
          <w:tcPr>
            <w:tcW w:w="334" w:type="pct"/>
            <w:shd w:val="clear" w:color="auto" w:fill="auto"/>
            <w:vAlign w:val="center"/>
          </w:tcPr>
          <w:p w:rsidR="005600FF" w:rsidRPr="00470E23" w:rsidRDefault="005600FF" w:rsidP="005600FF">
            <w:pPr>
              <w:ind w:firstLine="0"/>
              <w:rPr>
                <w:rFonts w:eastAsia="SimSun"/>
                <w:sz w:val="22"/>
              </w:rPr>
            </w:pPr>
          </w:p>
        </w:tc>
        <w:tc>
          <w:tcPr>
            <w:tcW w:w="334" w:type="pct"/>
            <w:shd w:val="clear" w:color="auto" w:fill="auto"/>
            <w:vAlign w:val="center"/>
          </w:tcPr>
          <w:p w:rsidR="005600FF" w:rsidRPr="00470E23" w:rsidRDefault="005600FF" w:rsidP="005600FF">
            <w:pPr>
              <w:ind w:firstLine="0"/>
              <w:rPr>
                <w:rFonts w:eastAsia="SimSun"/>
                <w:sz w:val="22"/>
              </w:rPr>
            </w:pPr>
          </w:p>
        </w:tc>
        <w:tc>
          <w:tcPr>
            <w:tcW w:w="425" w:type="pct"/>
            <w:shd w:val="clear" w:color="auto" w:fill="auto"/>
            <w:vAlign w:val="center"/>
          </w:tcPr>
          <w:p w:rsidR="005600FF" w:rsidRPr="00470E23" w:rsidRDefault="005600FF" w:rsidP="005600FF">
            <w:pPr>
              <w:ind w:firstLine="0"/>
              <w:rPr>
                <w:rFonts w:eastAsia="SimSun"/>
                <w:sz w:val="22"/>
              </w:rPr>
            </w:pPr>
          </w:p>
        </w:tc>
        <w:tc>
          <w:tcPr>
            <w:tcW w:w="422" w:type="pct"/>
            <w:vAlign w:val="center"/>
          </w:tcPr>
          <w:p w:rsidR="005600FF" w:rsidRPr="00470E23" w:rsidRDefault="005600FF" w:rsidP="005600FF">
            <w:pPr>
              <w:ind w:firstLine="0"/>
              <w:rPr>
                <w:rFonts w:eastAsia="SimSun"/>
                <w:sz w:val="22"/>
              </w:rPr>
            </w:pPr>
          </w:p>
        </w:tc>
      </w:tr>
      <w:tr w:rsidR="005600FF" w:rsidRPr="00470E23" w:rsidTr="005600FF">
        <w:trPr>
          <w:cantSplit/>
          <w:trHeight w:val="1020"/>
        </w:trPr>
        <w:tc>
          <w:tcPr>
            <w:tcW w:w="248" w:type="pct"/>
            <w:vMerge/>
            <w:tcBorders>
              <w:bottom w:val="single" w:sz="4" w:space="0" w:color="00000A"/>
            </w:tcBorders>
            <w:shd w:val="clear" w:color="auto" w:fill="D9D9D9"/>
            <w:vAlign w:val="center"/>
          </w:tcPr>
          <w:p w:rsidR="005600FF" w:rsidRPr="00470E23" w:rsidRDefault="005600FF" w:rsidP="005600FF">
            <w:pPr>
              <w:ind w:firstLine="0"/>
              <w:rPr>
                <w:rFonts w:eastAsia="SimSun"/>
                <w:sz w:val="22"/>
              </w:rPr>
            </w:pPr>
          </w:p>
        </w:tc>
        <w:tc>
          <w:tcPr>
            <w:tcW w:w="369" w:type="pct"/>
            <w:tcBorders>
              <w:top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w:t>
            </w:r>
          </w:p>
        </w:tc>
        <w:tc>
          <w:tcPr>
            <w:tcW w:w="321" w:type="pct"/>
            <w:tcBorders>
              <w:top w:val="single" w:sz="4" w:space="0" w:color="00000A"/>
            </w:tcBorders>
            <w:shd w:val="clear" w:color="auto" w:fill="D9D9D9"/>
            <w:vAlign w:val="center"/>
          </w:tcPr>
          <w:p w:rsidR="005600FF" w:rsidRPr="00470E23" w:rsidRDefault="005600FF" w:rsidP="005600FF">
            <w:pPr>
              <w:ind w:firstLine="0"/>
              <w:rPr>
                <w:rFonts w:eastAsia="SimSun"/>
                <w:sz w:val="22"/>
              </w:rPr>
            </w:pPr>
            <w:r w:rsidRPr="00470E23">
              <w:rPr>
                <w:rFonts w:eastAsia="SimSun"/>
                <w:sz w:val="22"/>
              </w:rPr>
              <w:t>Tx</w:t>
            </w:r>
          </w:p>
        </w:tc>
        <w:tc>
          <w:tcPr>
            <w:tcW w:w="455" w:type="pct"/>
            <w:shd w:val="clear" w:color="auto" w:fill="D9D9D9"/>
            <w:vAlign w:val="center"/>
          </w:tcPr>
          <w:p w:rsidR="005600FF" w:rsidRPr="00470E23" w:rsidRDefault="005600FF" w:rsidP="005600F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0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66"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w:t>
            </w:r>
          </w:p>
        </w:tc>
        <w:tc>
          <w:tcPr>
            <w:tcW w:w="44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5.3.1.6</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5.3.1.7</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5.3.1.8</w:t>
            </w:r>
          </w:p>
        </w:tc>
        <w:tc>
          <w:tcPr>
            <w:tcW w:w="334"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5.3.1.9</w:t>
            </w:r>
          </w:p>
        </w:tc>
        <w:tc>
          <w:tcPr>
            <w:tcW w:w="425" w:type="pct"/>
            <w:shd w:val="clear" w:color="auto" w:fill="auto"/>
            <w:vAlign w:val="center"/>
          </w:tcPr>
          <w:p w:rsidR="005600FF" w:rsidRPr="00470E23" w:rsidRDefault="005600FF" w:rsidP="005600FF">
            <w:pPr>
              <w:ind w:firstLine="0"/>
              <w:rPr>
                <w:rFonts w:eastAsia="SimSun"/>
                <w:sz w:val="22"/>
              </w:rPr>
            </w:pPr>
            <w:r w:rsidRPr="00470E23">
              <w:rPr>
                <w:rFonts w:eastAsia="SimSun"/>
                <w:sz w:val="22"/>
              </w:rPr>
              <w:t>5.3.1.13</w:t>
            </w:r>
          </w:p>
        </w:tc>
        <w:tc>
          <w:tcPr>
            <w:tcW w:w="422" w:type="pct"/>
            <w:vAlign w:val="center"/>
          </w:tcPr>
          <w:p w:rsidR="005600FF" w:rsidRPr="00470E23" w:rsidRDefault="005600FF" w:rsidP="005600FF">
            <w:pPr>
              <w:ind w:firstLine="0"/>
              <w:rPr>
                <w:rFonts w:eastAsia="SimSun"/>
                <w:sz w:val="22"/>
              </w:rPr>
            </w:pPr>
            <w:r w:rsidRPr="00470E23">
              <w:rPr>
                <w:rFonts w:eastAsia="SimSun"/>
                <w:sz w:val="22"/>
              </w:rPr>
              <w:t>5.3.1.14</w:t>
            </w:r>
          </w:p>
        </w:tc>
      </w:tr>
    </w:tbl>
    <w:p w:rsidR="005600FF" w:rsidRPr="00C07B2E" w:rsidRDefault="005600FF" w:rsidP="005600FF">
      <w:pPr>
        <w:rPr>
          <w:rFonts w:eastAsia="SimSun"/>
        </w:rPr>
      </w:pPr>
    </w:p>
    <w:p w:rsidR="005600FF" w:rsidRPr="00C07B2E" w:rsidRDefault="005600FF" w:rsidP="005600FF">
      <w:pPr>
        <w:rPr>
          <w:rFonts w:eastAsia="SimSun"/>
        </w:rPr>
        <w:sectPr w:rsidR="005600FF" w:rsidRPr="00C07B2E" w:rsidSect="005600FF">
          <w:headerReference w:type="default" r:id="rId14"/>
          <w:footerReference w:type="default" r:id="rId15"/>
          <w:type w:val="continuous"/>
          <w:pgSz w:w="16839" w:h="11907" w:orient="landscape" w:code="9"/>
          <w:pgMar w:top="1134" w:right="850" w:bottom="1134" w:left="1701" w:header="709" w:footer="567" w:gutter="0"/>
          <w:cols w:space="708"/>
          <w:docGrid w:linePitch="360"/>
        </w:sectPr>
      </w:pPr>
    </w:p>
    <w:p w:rsidR="005600FF" w:rsidRPr="00C07B2E" w:rsidRDefault="005600FF" w:rsidP="005600FF">
      <w:pPr>
        <w:rPr>
          <w:rFonts w:eastAsia="SimSun"/>
        </w:rPr>
      </w:pPr>
      <w:bookmarkStart w:id="222" w:name="_Toc44401226"/>
      <w:r w:rsidRPr="00EE51B1">
        <w:rPr>
          <w:rFonts w:eastAsia="SimSun"/>
        </w:rPr>
        <w:lastRenderedPageBreak/>
        <w:t>Таблица</w:t>
      </w:r>
      <w:r w:rsidRPr="00C07B2E">
        <w:rPr>
          <w:rFonts w:eastAsia="SimSun"/>
        </w:rPr>
        <w:t xml:space="preserve"> </w:t>
      </w:r>
      <w:r>
        <w:rPr>
          <w:rFonts w:eastAsia="SimSun"/>
        </w:rPr>
        <w:t>5.</w:t>
      </w:r>
      <w:r w:rsidRPr="00C07B2E">
        <w:rPr>
          <w:rFonts w:eastAsia="SimSun"/>
        </w:rPr>
        <w:t>3.1.1  – Flu150+Bu8+Thio / PT-Cy+CSA+MMF30</w:t>
      </w:r>
      <w:bookmarkEnd w:id="222"/>
    </w:p>
    <w:p w:rsidR="005600FF" w:rsidRPr="00C07B2E" w:rsidRDefault="005600FF" w:rsidP="005600FF">
      <w:pPr>
        <w:rPr>
          <w:rFonts w:eastAsia="SimSu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tcPr>
          <w:p w:rsidR="005600FF" w:rsidRPr="006A5E21" w:rsidRDefault="005600FF" w:rsidP="005600FF">
            <w:pPr>
              <w:ind w:firstLine="0"/>
              <w:rPr>
                <w:rFonts w:eastAsia="SimSun"/>
              </w:rPr>
            </w:pPr>
          </w:p>
        </w:tc>
        <w:tc>
          <w:tcPr>
            <w:tcW w:w="1559" w:type="dxa"/>
          </w:tcPr>
          <w:p w:rsidR="005600FF" w:rsidRPr="00AC3044" w:rsidRDefault="005600FF" w:rsidP="005600FF">
            <w:pPr>
              <w:ind w:firstLine="0"/>
              <w:rPr>
                <w:rFonts w:eastAsia="SimSun"/>
              </w:rPr>
            </w:pPr>
            <w:r w:rsidRPr="00AC3044">
              <w:rPr>
                <w:rFonts w:eastAsia="SimSun"/>
              </w:rPr>
              <w:t>Препарат</w:t>
            </w:r>
          </w:p>
        </w:tc>
        <w:tc>
          <w:tcPr>
            <w:tcW w:w="1418" w:type="dxa"/>
          </w:tcPr>
          <w:p w:rsidR="005600FF" w:rsidRPr="00AC3044" w:rsidRDefault="005600FF" w:rsidP="005600FF">
            <w:pPr>
              <w:ind w:firstLine="0"/>
              <w:rPr>
                <w:rFonts w:eastAsia="SimSun"/>
              </w:rPr>
            </w:pPr>
            <w:r w:rsidRPr="00AC3044">
              <w:rPr>
                <w:rFonts w:eastAsia="SimSun"/>
              </w:rPr>
              <w:t>Суточная доза</w:t>
            </w:r>
          </w:p>
        </w:tc>
        <w:tc>
          <w:tcPr>
            <w:tcW w:w="1559" w:type="dxa"/>
          </w:tcPr>
          <w:p w:rsidR="005600FF" w:rsidRPr="00AC3044" w:rsidRDefault="005600FF" w:rsidP="005600FF">
            <w:pPr>
              <w:ind w:firstLine="0"/>
              <w:rPr>
                <w:rFonts w:eastAsia="SimSun"/>
              </w:rPr>
            </w:pPr>
            <w:r w:rsidRPr="00AC3044">
              <w:rPr>
                <w:rFonts w:eastAsia="SimSun"/>
              </w:rPr>
              <w:t>Курсовая доза</w:t>
            </w:r>
          </w:p>
        </w:tc>
        <w:tc>
          <w:tcPr>
            <w:tcW w:w="1559" w:type="dxa"/>
          </w:tcPr>
          <w:p w:rsidR="005600FF" w:rsidRPr="00AC3044" w:rsidRDefault="005600FF" w:rsidP="005600FF">
            <w:pPr>
              <w:ind w:firstLine="0"/>
              <w:rPr>
                <w:rFonts w:eastAsia="SimSun"/>
              </w:rPr>
            </w:pPr>
            <w:r w:rsidRPr="00AC3044">
              <w:rPr>
                <w:rFonts w:eastAsia="SimSun"/>
              </w:rPr>
              <w:t>Дни введения</w:t>
            </w:r>
          </w:p>
        </w:tc>
        <w:tc>
          <w:tcPr>
            <w:tcW w:w="2410" w:type="dxa"/>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tcPr>
          <w:p w:rsidR="005600FF" w:rsidRPr="00AC3044" w:rsidRDefault="005600FF" w:rsidP="005600FF">
            <w:pPr>
              <w:ind w:firstLine="0"/>
              <w:rPr>
                <w:rFonts w:eastAsia="SimSun"/>
              </w:rPr>
            </w:pPr>
            <w:r w:rsidRPr="00AC3044">
              <w:rPr>
                <w:rFonts w:eastAsia="SimSun"/>
              </w:rPr>
              <w:t>Кондиционирование</w:t>
            </w:r>
          </w:p>
        </w:tc>
        <w:tc>
          <w:tcPr>
            <w:tcW w:w="1559" w:type="dxa"/>
          </w:tcPr>
          <w:p w:rsidR="005600FF" w:rsidRPr="00AC3044" w:rsidRDefault="005600FF" w:rsidP="005600FF">
            <w:pPr>
              <w:ind w:firstLine="0"/>
              <w:rPr>
                <w:rFonts w:eastAsia="SimSun"/>
              </w:rPr>
            </w:pPr>
            <w:r w:rsidRPr="00AC3044">
              <w:rPr>
                <w:rFonts w:eastAsia="SimSun"/>
              </w:rPr>
              <w:t xml:space="preserve">Флударабин </w:t>
            </w:r>
          </w:p>
        </w:tc>
        <w:tc>
          <w:tcPr>
            <w:tcW w:w="1418" w:type="dxa"/>
          </w:tcPr>
          <w:p w:rsidR="005600FF" w:rsidRPr="00AC3044" w:rsidRDefault="005600FF" w:rsidP="005600FF">
            <w:pPr>
              <w:ind w:firstLine="0"/>
              <w:rPr>
                <w:rFonts w:eastAsia="SimSun"/>
              </w:rPr>
            </w:pPr>
            <w:r w:rsidRPr="00AC3044">
              <w:rPr>
                <w:rFonts w:eastAsia="SimSun"/>
              </w:rPr>
              <w:t>50 мг/м</w:t>
            </w:r>
            <w:r w:rsidRPr="0074195F">
              <w:rPr>
                <w:rFonts w:eastAsia="SimSun"/>
                <w:vertAlign w:val="superscript"/>
              </w:rPr>
              <w:t>2</w:t>
            </w:r>
          </w:p>
        </w:tc>
        <w:tc>
          <w:tcPr>
            <w:tcW w:w="1559" w:type="dxa"/>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559" w:type="dxa"/>
          </w:tcPr>
          <w:p w:rsidR="005600FF" w:rsidRPr="00AC3044" w:rsidRDefault="005600FF" w:rsidP="005600FF">
            <w:pPr>
              <w:ind w:firstLine="0"/>
              <w:rPr>
                <w:rFonts w:eastAsia="SimSun"/>
              </w:rPr>
            </w:pPr>
            <w:r w:rsidRPr="00AC3044">
              <w:rPr>
                <w:rFonts w:eastAsia="SimSun"/>
              </w:rPr>
              <w:t>С –4 по –2 день</w:t>
            </w:r>
          </w:p>
        </w:tc>
        <w:tc>
          <w:tcPr>
            <w:tcW w:w="2410" w:type="dxa"/>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642"/>
        </w:trPr>
        <w:tc>
          <w:tcPr>
            <w:tcW w:w="1135" w:type="dxa"/>
            <w:vMerge/>
            <w:textDirection w:val="btLr"/>
          </w:tcPr>
          <w:p w:rsidR="005600FF" w:rsidRPr="00AC3044" w:rsidRDefault="005600FF" w:rsidP="005600FF">
            <w:pPr>
              <w:ind w:firstLine="0"/>
              <w:rPr>
                <w:rFonts w:eastAsia="SimSun"/>
              </w:rPr>
            </w:pPr>
          </w:p>
        </w:tc>
        <w:tc>
          <w:tcPr>
            <w:tcW w:w="1559" w:type="dxa"/>
          </w:tcPr>
          <w:p w:rsidR="005600FF" w:rsidRPr="00AC3044" w:rsidRDefault="005600FF" w:rsidP="005600FF">
            <w:pPr>
              <w:ind w:firstLine="0"/>
              <w:rPr>
                <w:rFonts w:eastAsia="SimSun"/>
              </w:rPr>
            </w:pPr>
            <w:r w:rsidRPr="00AC3044">
              <w:rPr>
                <w:rFonts w:eastAsia="SimSun"/>
              </w:rPr>
              <w:t>Бусульфан</w:t>
            </w:r>
          </w:p>
        </w:tc>
        <w:tc>
          <w:tcPr>
            <w:tcW w:w="1418" w:type="dxa"/>
          </w:tcPr>
          <w:p w:rsidR="005600FF" w:rsidRPr="00AC3044" w:rsidRDefault="005600FF" w:rsidP="005600FF">
            <w:pPr>
              <w:ind w:firstLine="0"/>
              <w:rPr>
                <w:rFonts w:eastAsia="SimSun"/>
              </w:rPr>
            </w:pPr>
            <w:r w:rsidRPr="00AC3044">
              <w:rPr>
                <w:rFonts w:eastAsia="SimSun"/>
              </w:rPr>
              <w:t>4 мг/кг</w:t>
            </w:r>
          </w:p>
        </w:tc>
        <w:tc>
          <w:tcPr>
            <w:tcW w:w="1559" w:type="dxa"/>
          </w:tcPr>
          <w:p w:rsidR="005600FF" w:rsidRPr="00AC3044" w:rsidRDefault="005600FF" w:rsidP="005600FF">
            <w:pPr>
              <w:ind w:firstLine="0"/>
              <w:rPr>
                <w:rFonts w:eastAsia="SimSun"/>
              </w:rPr>
            </w:pPr>
            <w:r w:rsidRPr="00AC3044">
              <w:rPr>
                <w:rFonts w:eastAsia="SimSun"/>
              </w:rPr>
              <w:t>8 мг/кг</w:t>
            </w:r>
          </w:p>
        </w:tc>
        <w:tc>
          <w:tcPr>
            <w:tcW w:w="1559" w:type="dxa"/>
          </w:tcPr>
          <w:p w:rsidR="005600FF" w:rsidRPr="00AC3044" w:rsidRDefault="005600FF" w:rsidP="005600FF">
            <w:pPr>
              <w:ind w:firstLine="0"/>
              <w:rPr>
                <w:rFonts w:eastAsia="SimSun"/>
              </w:rPr>
            </w:pPr>
            <w:r w:rsidRPr="00AC3044">
              <w:rPr>
                <w:rFonts w:eastAsia="SimSun"/>
              </w:rPr>
              <w:t>–3, –2 дни</w:t>
            </w:r>
          </w:p>
        </w:tc>
        <w:tc>
          <w:tcPr>
            <w:tcW w:w="2410" w:type="dxa"/>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552"/>
        </w:trPr>
        <w:tc>
          <w:tcPr>
            <w:tcW w:w="1135" w:type="dxa"/>
            <w:vMerge/>
            <w:textDirection w:val="btLr"/>
          </w:tcPr>
          <w:p w:rsidR="005600FF" w:rsidRPr="00AC3044" w:rsidRDefault="005600FF" w:rsidP="005600FF">
            <w:pPr>
              <w:ind w:firstLine="0"/>
              <w:rPr>
                <w:rFonts w:eastAsia="SimSun"/>
              </w:rPr>
            </w:pPr>
          </w:p>
        </w:tc>
        <w:tc>
          <w:tcPr>
            <w:tcW w:w="1559" w:type="dxa"/>
          </w:tcPr>
          <w:p w:rsidR="005600FF" w:rsidRPr="00AC3044" w:rsidRDefault="005600FF" w:rsidP="005600FF">
            <w:pPr>
              <w:ind w:firstLine="0"/>
              <w:rPr>
                <w:rFonts w:eastAsia="SimSun"/>
              </w:rPr>
            </w:pPr>
            <w:r w:rsidRPr="00AC3044">
              <w:rPr>
                <w:rFonts w:eastAsia="SimSun"/>
              </w:rPr>
              <w:t>Тиотепа</w:t>
            </w:r>
          </w:p>
        </w:tc>
        <w:tc>
          <w:tcPr>
            <w:tcW w:w="1418" w:type="dxa"/>
          </w:tcPr>
          <w:p w:rsidR="005600FF" w:rsidRPr="00AC3044" w:rsidRDefault="005600FF" w:rsidP="005600FF">
            <w:pPr>
              <w:ind w:firstLine="0"/>
              <w:rPr>
                <w:rFonts w:eastAsia="SimSun"/>
              </w:rPr>
            </w:pPr>
            <w:r w:rsidRPr="00AC3044">
              <w:rPr>
                <w:rFonts w:eastAsia="SimSun"/>
              </w:rPr>
              <w:t>5 мг/кг</w:t>
            </w:r>
          </w:p>
        </w:tc>
        <w:tc>
          <w:tcPr>
            <w:tcW w:w="1559" w:type="dxa"/>
          </w:tcPr>
          <w:p w:rsidR="005600FF" w:rsidRPr="00AC3044" w:rsidRDefault="005600FF" w:rsidP="005600FF">
            <w:pPr>
              <w:ind w:firstLine="0"/>
              <w:rPr>
                <w:rFonts w:eastAsia="SimSun"/>
              </w:rPr>
            </w:pPr>
            <w:r w:rsidRPr="00AC3044">
              <w:rPr>
                <w:rFonts w:eastAsia="SimSun"/>
              </w:rPr>
              <w:t>10 мг/кг</w:t>
            </w:r>
          </w:p>
        </w:tc>
        <w:tc>
          <w:tcPr>
            <w:tcW w:w="1559" w:type="dxa"/>
          </w:tcPr>
          <w:p w:rsidR="005600FF" w:rsidRPr="00AC3044" w:rsidRDefault="005600FF" w:rsidP="005600FF">
            <w:pPr>
              <w:ind w:firstLine="0"/>
              <w:rPr>
                <w:rFonts w:eastAsia="SimSun"/>
              </w:rPr>
            </w:pPr>
            <w:r w:rsidRPr="00AC3044">
              <w:rPr>
                <w:rFonts w:eastAsia="SimSun"/>
              </w:rPr>
              <w:t>-6,-5 дни</w:t>
            </w:r>
          </w:p>
        </w:tc>
        <w:tc>
          <w:tcPr>
            <w:tcW w:w="2410" w:type="dxa"/>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357"/>
        </w:trPr>
        <w:tc>
          <w:tcPr>
            <w:tcW w:w="1135" w:type="dxa"/>
            <w:vMerge w:val="restart"/>
            <w:textDirection w:val="btLr"/>
          </w:tcPr>
          <w:p w:rsidR="005600FF" w:rsidRPr="00AC3044" w:rsidRDefault="005600FF" w:rsidP="005600FF">
            <w:pPr>
              <w:ind w:firstLine="0"/>
              <w:rPr>
                <w:rFonts w:eastAsia="SimSun"/>
              </w:rPr>
            </w:pPr>
            <w:r w:rsidRPr="00AC3044">
              <w:rPr>
                <w:rFonts w:eastAsia="SimSun"/>
              </w:rPr>
              <w:t>Профилактика РТПХ</w:t>
            </w:r>
          </w:p>
        </w:tc>
        <w:tc>
          <w:tcPr>
            <w:tcW w:w="1559" w:type="dxa"/>
          </w:tcPr>
          <w:p w:rsidR="005600FF" w:rsidRPr="00AC3044" w:rsidRDefault="005600FF" w:rsidP="005600FF">
            <w:pPr>
              <w:ind w:firstLine="0"/>
              <w:rPr>
                <w:rFonts w:eastAsia="SimSun"/>
              </w:rPr>
            </w:pPr>
            <w:r w:rsidRPr="00AC3044">
              <w:rPr>
                <w:rFonts w:eastAsia="SimSun"/>
              </w:rPr>
              <w:t>Циклоспорин</w:t>
            </w:r>
          </w:p>
        </w:tc>
        <w:tc>
          <w:tcPr>
            <w:tcW w:w="1418" w:type="dxa"/>
          </w:tcPr>
          <w:p w:rsidR="005600FF" w:rsidRPr="00AC3044" w:rsidRDefault="005600FF" w:rsidP="005600FF">
            <w:pPr>
              <w:ind w:firstLine="0"/>
              <w:rPr>
                <w:rFonts w:eastAsia="SimSun"/>
              </w:rPr>
            </w:pPr>
            <w:r w:rsidRPr="00AC3044">
              <w:rPr>
                <w:rFonts w:eastAsia="SimSun"/>
              </w:rPr>
              <w:t>3 мг/кг</w:t>
            </w:r>
          </w:p>
        </w:tc>
        <w:tc>
          <w:tcPr>
            <w:tcW w:w="1559" w:type="dxa"/>
          </w:tcPr>
          <w:p w:rsidR="005600FF" w:rsidRPr="00AC3044" w:rsidRDefault="005600FF" w:rsidP="005600FF">
            <w:pPr>
              <w:ind w:firstLine="0"/>
              <w:rPr>
                <w:rFonts w:eastAsia="SimSun"/>
              </w:rPr>
            </w:pPr>
            <w:r w:rsidRPr="00AC3044">
              <w:rPr>
                <w:rFonts w:eastAsia="SimSun"/>
              </w:rPr>
              <w:t>–</w:t>
            </w:r>
          </w:p>
        </w:tc>
        <w:tc>
          <w:tcPr>
            <w:tcW w:w="1559" w:type="dxa"/>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410" w:type="dxa"/>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tcPr>
          <w:p w:rsidR="005600FF" w:rsidRPr="00AC3044" w:rsidRDefault="005600FF" w:rsidP="005600FF">
            <w:pPr>
              <w:ind w:firstLine="0"/>
              <w:rPr>
                <w:rFonts w:eastAsia="SimSun"/>
              </w:rPr>
            </w:pPr>
            <w:r w:rsidRPr="00AC3044">
              <w:rPr>
                <w:rFonts w:eastAsia="SimSun"/>
              </w:rPr>
              <w:t>30 мг/кг</w:t>
            </w:r>
          </w:p>
        </w:tc>
        <w:tc>
          <w:tcPr>
            <w:tcW w:w="1559" w:type="dxa"/>
          </w:tcPr>
          <w:p w:rsidR="005600FF" w:rsidRPr="00AC3044" w:rsidRDefault="005600FF" w:rsidP="005600FF">
            <w:pPr>
              <w:ind w:firstLine="0"/>
              <w:rPr>
                <w:rFonts w:eastAsia="SimSun"/>
              </w:rPr>
            </w:pPr>
            <w:r w:rsidRPr="00AC3044">
              <w:rPr>
                <w:rFonts w:eastAsia="SimSun"/>
              </w:rPr>
              <w:t>–</w:t>
            </w:r>
          </w:p>
        </w:tc>
        <w:tc>
          <w:tcPr>
            <w:tcW w:w="1559" w:type="dxa"/>
          </w:tcPr>
          <w:p w:rsidR="005600FF" w:rsidRPr="00AC3044" w:rsidRDefault="005600FF" w:rsidP="005600FF">
            <w:pPr>
              <w:ind w:firstLine="0"/>
              <w:rPr>
                <w:rFonts w:eastAsia="SimSun"/>
              </w:rPr>
            </w:pPr>
            <w:r w:rsidRPr="00AC3044">
              <w:rPr>
                <w:rFonts w:eastAsia="SimSun"/>
              </w:rPr>
              <w:t>С +5 по +90 день</w:t>
            </w:r>
          </w:p>
        </w:tc>
        <w:tc>
          <w:tcPr>
            <w:tcW w:w="2410" w:type="dxa"/>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tcPr>
          <w:p w:rsidR="005600FF" w:rsidRPr="00AC3044" w:rsidRDefault="005600FF" w:rsidP="005600FF">
            <w:pPr>
              <w:ind w:firstLine="0"/>
              <w:rPr>
                <w:rFonts w:eastAsia="SimSun"/>
              </w:rPr>
            </w:pPr>
            <w:r w:rsidRPr="00AC3044">
              <w:rPr>
                <w:rFonts w:eastAsia="SimSun"/>
              </w:rPr>
              <w:t>Циклофосфамид</w:t>
            </w:r>
          </w:p>
        </w:tc>
        <w:tc>
          <w:tcPr>
            <w:tcW w:w="1418" w:type="dxa"/>
          </w:tcPr>
          <w:p w:rsidR="005600FF" w:rsidRPr="00AC3044" w:rsidRDefault="005600FF" w:rsidP="005600FF">
            <w:pPr>
              <w:ind w:firstLine="0"/>
              <w:rPr>
                <w:rFonts w:eastAsia="SimSun"/>
              </w:rPr>
            </w:pPr>
            <w:r w:rsidRPr="00AC3044">
              <w:rPr>
                <w:rFonts w:eastAsia="SimSun"/>
              </w:rPr>
              <w:t>50 мг/кг</w:t>
            </w:r>
          </w:p>
        </w:tc>
        <w:tc>
          <w:tcPr>
            <w:tcW w:w="1559" w:type="dxa"/>
          </w:tcPr>
          <w:p w:rsidR="005600FF" w:rsidRPr="00AC3044" w:rsidRDefault="005600FF" w:rsidP="005600FF">
            <w:pPr>
              <w:ind w:firstLine="0"/>
              <w:rPr>
                <w:rFonts w:eastAsia="SimSun"/>
              </w:rPr>
            </w:pPr>
            <w:r w:rsidRPr="00AC3044">
              <w:rPr>
                <w:rFonts w:eastAsia="SimSun"/>
              </w:rPr>
              <w:t>100 мг/кг</w:t>
            </w:r>
          </w:p>
        </w:tc>
        <w:tc>
          <w:tcPr>
            <w:tcW w:w="1559" w:type="dxa"/>
          </w:tcPr>
          <w:p w:rsidR="005600FF" w:rsidRPr="00AC3044" w:rsidRDefault="005600FF" w:rsidP="005600FF">
            <w:pPr>
              <w:ind w:firstLine="0"/>
              <w:rPr>
                <w:rFonts w:eastAsia="SimSun"/>
              </w:rPr>
            </w:pPr>
            <w:r w:rsidRPr="00AC3044">
              <w:rPr>
                <w:rFonts w:eastAsia="SimSun"/>
              </w:rPr>
              <w:t xml:space="preserve">+3,+4 дни </w:t>
            </w:r>
          </w:p>
        </w:tc>
        <w:tc>
          <w:tcPr>
            <w:tcW w:w="2410" w:type="dxa"/>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23" w:name="_Toc44401227"/>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3.1.2  – Flu150+Bu8+Thio / PT-Cy+CSA+MMF45</w:t>
      </w:r>
      <w:bookmarkEnd w:id="22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50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–4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50"/>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4 мг/кг</w:t>
            </w:r>
          </w:p>
        </w:tc>
        <w:tc>
          <w:tcPr>
            <w:tcW w:w="1559" w:type="dxa"/>
            <w:vAlign w:val="center"/>
          </w:tcPr>
          <w:p w:rsidR="005600FF" w:rsidRPr="00AC3044" w:rsidRDefault="005600FF" w:rsidP="005600FF">
            <w:pPr>
              <w:ind w:firstLine="0"/>
              <w:rPr>
                <w:rFonts w:eastAsia="SimSun"/>
              </w:rPr>
            </w:pPr>
            <w:r w:rsidRPr="00AC3044">
              <w:rPr>
                <w:rFonts w:eastAsia="SimSun"/>
              </w:rPr>
              <w:t>8 мг/кг</w:t>
            </w:r>
          </w:p>
        </w:tc>
        <w:tc>
          <w:tcPr>
            <w:tcW w:w="1559" w:type="dxa"/>
            <w:vAlign w:val="center"/>
          </w:tcPr>
          <w:p w:rsidR="005600FF" w:rsidRPr="00AC3044" w:rsidRDefault="005600FF" w:rsidP="005600FF">
            <w:pPr>
              <w:ind w:firstLine="0"/>
              <w:rPr>
                <w:rFonts w:eastAsia="SimSun"/>
              </w:rPr>
            </w:pPr>
            <w:r w:rsidRPr="00AC3044">
              <w:rPr>
                <w:rFonts w:eastAsia="SimSun"/>
              </w:rPr>
              <w:t>–3, –2 дни</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516"/>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Тиотепа</w:t>
            </w:r>
          </w:p>
        </w:tc>
        <w:tc>
          <w:tcPr>
            <w:tcW w:w="1418" w:type="dxa"/>
            <w:vAlign w:val="center"/>
          </w:tcPr>
          <w:p w:rsidR="005600FF" w:rsidRPr="00AC3044" w:rsidRDefault="005600FF" w:rsidP="005600FF">
            <w:pPr>
              <w:ind w:firstLine="0"/>
              <w:rPr>
                <w:rFonts w:eastAsia="SimSun"/>
              </w:rPr>
            </w:pPr>
            <w:r w:rsidRPr="00AC3044">
              <w:rPr>
                <w:rFonts w:eastAsia="SimSun"/>
              </w:rPr>
              <w:t>5 мг/кг</w:t>
            </w:r>
          </w:p>
        </w:tc>
        <w:tc>
          <w:tcPr>
            <w:tcW w:w="1559" w:type="dxa"/>
            <w:vAlign w:val="center"/>
          </w:tcPr>
          <w:p w:rsidR="005600FF" w:rsidRPr="00AC3044" w:rsidRDefault="005600FF" w:rsidP="005600FF">
            <w:pPr>
              <w:ind w:firstLine="0"/>
              <w:rPr>
                <w:rFonts w:eastAsia="SimSun"/>
              </w:rPr>
            </w:pPr>
            <w:r w:rsidRPr="00AC3044">
              <w:rPr>
                <w:rFonts w:eastAsia="SimSun"/>
              </w:rPr>
              <w:t>10 мг/кг</w:t>
            </w:r>
          </w:p>
        </w:tc>
        <w:tc>
          <w:tcPr>
            <w:tcW w:w="1559" w:type="dxa"/>
            <w:vAlign w:val="center"/>
          </w:tcPr>
          <w:p w:rsidR="005600FF" w:rsidRPr="00AC3044" w:rsidRDefault="005600FF" w:rsidP="005600FF">
            <w:pPr>
              <w:ind w:firstLine="0"/>
              <w:rPr>
                <w:rFonts w:eastAsia="SimSun"/>
              </w:rPr>
            </w:pPr>
            <w:r w:rsidRPr="00AC3044">
              <w:rPr>
                <w:rFonts w:eastAsia="SimSun"/>
              </w:rPr>
              <w:t>-6,-5 дни</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558"/>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Циклоспорин</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45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w:t>
            </w:r>
          </w:p>
        </w:tc>
        <w:tc>
          <w:tcPr>
            <w:tcW w:w="2410"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Pr="00C07B2E" w:rsidRDefault="005600FF" w:rsidP="005600FF">
      <w:pPr>
        <w:rPr>
          <w:rFonts w:eastAsia="SimSun"/>
        </w:rPr>
      </w:pPr>
    </w:p>
    <w:p w:rsidR="005600FF" w:rsidRPr="00C07B2E" w:rsidRDefault="005600FF" w:rsidP="005600FF">
      <w:pPr>
        <w:rPr>
          <w:rFonts w:eastAsia="SimSun"/>
        </w:rPr>
      </w:pPr>
      <w:bookmarkStart w:id="224" w:name="_Toc44401228"/>
      <w:r w:rsidRPr="00EE51B1">
        <w:rPr>
          <w:rFonts w:eastAsia="SimSun"/>
        </w:rPr>
        <w:t>Таблица</w:t>
      </w:r>
      <w:r w:rsidRPr="00C07B2E">
        <w:rPr>
          <w:rFonts w:eastAsia="SimSun"/>
        </w:rPr>
        <w:t xml:space="preserve"> </w:t>
      </w:r>
      <w:r>
        <w:rPr>
          <w:rFonts w:eastAsia="SimSun"/>
        </w:rPr>
        <w:t>5.</w:t>
      </w:r>
      <w:r w:rsidRPr="00C07B2E">
        <w:rPr>
          <w:rFonts w:eastAsia="SimSun"/>
        </w:rPr>
        <w:t>3.1.3  – Flu180+Bu8 / PT-Cy+hATG+CSA+MMF45</w:t>
      </w:r>
      <w:bookmarkEnd w:id="224"/>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–10 по –5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2123"/>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4 мг/кг</w:t>
            </w:r>
          </w:p>
        </w:tc>
        <w:tc>
          <w:tcPr>
            <w:tcW w:w="1559" w:type="dxa"/>
            <w:vAlign w:val="center"/>
          </w:tcPr>
          <w:p w:rsidR="005600FF" w:rsidRPr="00AC3044" w:rsidRDefault="005600FF" w:rsidP="005600FF">
            <w:pPr>
              <w:ind w:firstLine="0"/>
              <w:rPr>
                <w:rFonts w:eastAsia="SimSun"/>
              </w:rPr>
            </w:pPr>
            <w:r w:rsidRPr="00AC3044">
              <w:rPr>
                <w:rFonts w:eastAsia="SimSun"/>
              </w:rPr>
              <w:t>8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 –6, –5 дни</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АТГ (лошадиный)</w:t>
            </w:r>
          </w:p>
        </w:tc>
        <w:tc>
          <w:tcPr>
            <w:tcW w:w="1418" w:type="dxa"/>
            <w:vAlign w:val="center"/>
          </w:tcPr>
          <w:p w:rsidR="005600FF" w:rsidRPr="00AC3044" w:rsidRDefault="005600FF" w:rsidP="005600FF">
            <w:pPr>
              <w:ind w:firstLine="0"/>
              <w:rPr>
                <w:rFonts w:eastAsia="SimSun"/>
              </w:rPr>
            </w:pPr>
            <w:r w:rsidRPr="00AC3044">
              <w:rPr>
                <w:rFonts w:eastAsia="SimSun"/>
              </w:rPr>
              <w:t>10-15 мг/кг</w:t>
            </w:r>
          </w:p>
        </w:tc>
        <w:tc>
          <w:tcPr>
            <w:tcW w:w="1559" w:type="dxa"/>
            <w:vAlign w:val="center"/>
          </w:tcPr>
          <w:p w:rsidR="005600FF" w:rsidRPr="00AC3044" w:rsidRDefault="005600FF" w:rsidP="005600FF">
            <w:pPr>
              <w:ind w:firstLine="0"/>
              <w:rPr>
                <w:rFonts w:eastAsia="SimSun"/>
              </w:rPr>
            </w:pPr>
            <w:r w:rsidRPr="00AC3044">
              <w:rPr>
                <w:rFonts w:eastAsia="SimSun"/>
              </w:rPr>
              <w:t>40-60 мг/кг</w:t>
            </w:r>
          </w:p>
        </w:tc>
        <w:tc>
          <w:tcPr>
            <w:tcW w:w="1559" w:type="dxa"/>
            <w:vAlign w:val="center"/>
          </w:tcPr>
          <w:p w:rsidR="005600FF" w:rsidRPr="00AC3044" w:rsidRDefault="005600FF" w:rsidP="005600FF">
            <w:pPr>
              <w:ind w:firstLine="0"/>
              <w:rPr>
                <w:rFonts w:eastAsia="SimSun"/>
              </w:rPr>
            </w:pPr>
            <w:r w:rsidRPr="00AC3044">
              <w:rPr>
                <w:rFonts w:eastAsia="SimSun"/>
              </w:rPr>
              <w:t>С –4 по –1 день</w:t>
            </w:r>
          </w:p>
        </w:tc>
        <w:tc>
          <w:tcPr>
            <w:tcW w:w="2410" w:type="dxa"/>
            <w:vAlign w:val="center"/>
          </w:tcPr>
          <w:p w:rsidR="005600FF" w:rsidRPr="00AC3044" w:rsidRDefault="005600FF" w:rsidP="005600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Циклоспорин</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 затем постепенное снижение к +180 дню</w:t>
            </w:r>
          </w:p>
        </w:tc>
        <w:tc>
          <w:tcPr>
            <w:tcW w:w="2410"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35" w:type="dxa"/>
            <w:vMerge/>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45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w:t>
            </w:r>
          </w:p>
        </w:tc>
        <w:tc>
          <w:tcPr>
            <w:tcW w:w="2410"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464"/>
        </w:trPr>
        <w:tc>
          <w:tcPr>
            <w:tcW w:w="1135" w:type="dxa"/>
            <w:vMerge/>
          </w:tcPr>
          <w:p w:rsidR="005600FF" w:rsidRPr="00AC3044" w:rsidRDefault="005600FF" w:rsidP="005600FF">
            <w:pPr>
              <w:ind w:firstLine="0"/>
              <w:rPr>
                <w:rFonts w:eastAsia="SimSun"/>
              </w:rPr>
            </w:pPr>
            <w:bookmarkStart w:id="225" w:name="_Hlk716839"/>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+3, +4 дни </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26" w:name="_Toc44401229"/>
      <w:bookmarkEnd w:id="225"/>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3.1.4  – Flu180+Bu8 / PT-Cy+CSA+MMF30</w:t>
      </w:r>
      <w:bookmarkEnd w:id="226"/>
    </w:p>
    <w:tbl>
      <w:tblPr>
        <w:tblW w:w="958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559"/>
        <w:gridCol w:w="1418"/>
        <w:gridCol w:w="1559"/>
        <w:gridCol w:w="1559"/>
        <w:gridCol w:w="2410"/>
      </w:tblGrid>
      <w:tr w:rsidR="005600FF" w:rsidRPr="00AC3044" w:rsidTr="005600FF">
        <w:trPr>
          <w:cantSplit/>
          <w:trHeight w:val="20"/>
          <w:tblHeader/>
        </w:trPr>
        <w:tc>
          <w:tcPr>
            <w:tcW w:w="1083" w:type="dxa"/>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08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123"/>
        </w:trPr>
        <w:tc>
          <w:tcPr>
            <w:tcW w:w="1083"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4 мг/кг</w:t>
            </w:r>
          </w:p>
        </w:tc>
        <w:tc>
          <w:tcPr>
            <w:tcW w:w="1559" w:type="dxa"/>
            <w:vAlign w:val="center"/>
          </w:tcPr>
          <w:p w:rsidR="005600FF" w:rsidRPr="00AC3044" w:rsidRDefault="005600FF" w:rsidP="005600FF">
            <w:pPr>
              <w:ind w:firstLine="0"/>
              <w:rPr>
                <w:rFonts w:eastAsia="SimSun"/>
              </w:rPr>
            </w:pPr>
            <w:r w:rsidRPr="00AC3044">
              <w:rPr>
                <w:rFonts w:eastAsia="SimSun"/>
              </w:rPr>
              <w:t>8 мг/кг</w:t>
            </w:r>
          </w:p>
        </w:tc>
        <w:tc>
          <w:tcPr>
            <w:tcW w:w="1559" w:type="dxa"/>
            <w:vAlign w:val="center"/>
          </w:tcPr>
          <w:p w:rsidR="005600FF" w:rsidRPr="00AC3044" w:rsidRDefault="005600FF" w:rsidP="005600FF">
            <w:pPr>
              <w:ind w:firstLine="0"/>
              <w:rPr>
                <w:rFonts w:eastAsia="SimSun"/>
              </w:rPr>
            </w:pPr>
            <w:r w:rsidRPr="00AC3044">
              <w:rPr>
                <w:rFonts w:eastAsia="SimSun"/>
              </w:rPr>
              <w:t>–3, –2 дни</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108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Циклоспорин</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 затем постепенное снижение к +180 дню</w:t>
            </w:r>
          </w:p>
        </w:tc>
        <w:tc>
          <w:tcPr>
            <w:tcW w:w="2410"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083" w:type="dxa"/>
            <w:vMerge/>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30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464"/>
        </w:trPr>
        <w:tc>
          <w:tcPr>
            <w:tcW w:w="1083" w:type="dxa"/>
            <w:vMerge/>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+3, +4 дни </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27" w:name="_Toc44401230"/>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3.1.5  – Flu180+Bu8 / PT-Cy+CSA+MMF45</w:t>
      </w:r>
      <w:bookmarkEnd w:id="227"/>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5600FF" w:rsidRPr="00AC3044" w:rsidTr="005600FF">
        <w:trPr>
          <w:cantSplit/>
          <w:trHeight w:val="20"/>
          <w:tblHeader/>
        </w:trPr>
        <w:tc>
          <w:tcPr>
            <w:tcW w:w="1103" w:type="dxa"/>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0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606"/>
        </w:trPr>
        <w:tc>
          <w:tcPr>
            <w:tcW w:w="1103"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4 мг/кг</w:t>
            </w:r>
          </w:p>
        </w:tc>
        <w:tc>
          <w:tcPr>
            <w:tcW w:w="1559" w:type="dxa"/>
            <w:vAlign w:val="center"/>
          </w:tcPr>
          <w:p w:rsidR="005600FF" w:rsidRPr="00AC3044" w:rsidRDefault="005600FF" w:rsidP="005600FF">
            <w:pPr>
              <w:ind w:firstLine="0"/>
              <w:rPr>
                <w:rFonts w:eastAsia="SimSun"/>
              </w:rPr>
            </w:pPr>
            <w:r w:rsidRPr="00AC3044">
              <w:rPr>
                <w:rFonts w:eastAsia="SimSun"/>
              </w:rPr>
              <w:t>8 мг/кг</w:t>
            </w:r>
          </w:p>
        </w:tc>
        <w:tc>
          <w:tcPr>
            <w:tcW w:w="1559" w:type="dxa"/>
            <w:vAlign w:val="center"/>
          </w:tcPr>
          <w:p w:rsidR="005600FF" w:rsidRPr="00AC3044" w:rsidRDefault="005600FF" w:rsidP="005600FF">
            <w:pPr>
              <w:ind w:firstLine="0"/>
              <w:rPr>
                <w:rFonts w:eastAsia="SimSun"/>
              </w:rPr>
            </w:pPr>
            <w:r w:rsidRPr="00AC3044">
              <w:rPr>
                <w:rFonts w:eastAsia="SimSun"/>
              </w:rPr>
              <w:t>–3, –2 дни</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20"/>
        </w:trPr>
        <w:tc>
          <w:tcPr>
            <w:tcW w:w="110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Циклоспорин</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 затем постепенное снижение к +180 дню</w:t>
            </w:r>
          </w:p>
        </w:tc>
        <w:tc>
          <w:tcPr>
            <w:tcW w:w="2410"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03" w:type="dxa"/>
            <w:vMerge/>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45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464"/>
        </w:trPr>
        <w:tc>
          <w:tcPr>
            <w:tcW w:w="1103" w:type="dxa"/>
            <w:vMerge/>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+3, +4 дни </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28" w:name="_Toc44401231"/>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3.1.6  – Flu180+Bu8 / PT-Cy+Tx+MMF45</w:t>
      </w:r>
      <w:bookmarkEnd w:id="228"/>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vAlign w:val="center"/>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436"/>
        </w:trPr>
        <w:tc>
          <w:tcPr>
            <w:tcW w:w="1135"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8 мг/кг </w:t>
            </w:r>
          </w:p>
        </w:tc>
        <w:tc>
          <w:tcPr>
            <w:tcW w:w="1559" w:type="dxa"/>
            <w:vAlign w:val="center"/>
          </w:tcPr>
          <w:p w:rsidR="005600FF" w:rsidRPr="00AC3044" w:rsidRDefault="005600FF" w:rsidP="005600FF">
            <w:pPr>
              <w:ind w:firstLine="0"/>
              <w:rPr>
                <w:rFonts w:eastAsia="SimSun"/>
              </w:rPr>
            </w:pPr>
            <w:r w:rsidRPr="00AC3044">
              <w:rPr>
                <w:rFonts w:eastAsia="SimSun"/>
              </w:rPr>
              <w:t>С -4 дня по -3 день</w:t>
            </w:r>
          </w:p>
        </w:tc>
        <w:tc>
          <w:tcPr>
            <w:tcW w:w="2410"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p>
        </w:tc>
      </w:tr>
      <w:tr w:rsidR="005600FF" w:rsidRPr="00AC3044" w:rsidTr="005600FF">
        <w:trPr>
          <w:cantSplit/>
          <w:trHeight w:val="416"/>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410"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0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45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410"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Default="005600FF" w:rsidP="005600FF">
      <w:pPr>
        <w:rPr>
          <w:rFonts w:eastAsia="SimSun"/>
        </w:rPr>
      </w:pPr>
      <w:bookmarkStart w:id="229" w:name="_Toc44401232"/>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3.1.7  – Flu180+Bu10 / PT-Cy+Tx+MMF45</w:t>
      </w:r>
      <w:bookmarkEnd w:id="229"/>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vAlign w:val="center"/>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390"/>
        </w:trPr>
        <w:tc>
          <w:tcPr>
            <w:tcW w:w="1135"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10 мг/кг </w:t>
            </w:r>
          </w:p>
        </w:tc>
        <w:tc>
          <w:tcPr>
            <w:tcW w:w="1559"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1498"/>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59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410"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434"/>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45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230" w:name="_Toc44401233"/>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3.1.8  – Flu180+Bu12 / PT-Cy+Tx+MMF45</w:t>
      </w:r>
      <w:bookmarkEnd w:id="230"/>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vAlign w:val="center"/>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135"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12 мг/кг </w:t>
            </w:r>
          </w:p>
        </w:tc>
        <w:tc>
          <w:tcPr>
            <w:tcW w:w="1559" w:type="dxa"/>
            <w:vAlign w:val="center"/>
          </w:tcPr>
          <w:p w:rsidR="005600FF" w:rsidRPr="00AC3044" w:rsidRDefault="005600FF" w:rsidP="005600FF">
            <w:pPr>
              <w:ind w:firstLine="0"/>
              <w:rPr>
                <w:rFonts w:eastAsia="SimSun"/>
              </w:rPr>
            </w:pPr>
            <w:r w:rsidRPr="00AC3044">
              <w:rPr>
                <w:rFonts w:eastAsia="SimSun"/>
              </w:rPr>
              <w:t>С -5 дня по -3 день</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66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410"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bl>
    <w:p w:rsidR="005600FF" w:rsidRDefault="005600FF" w:rsidP="005600FF">
      <w:pPr>
        <w:rPr>
          <w:rFonts w:eastAsia="SimSun"/>
        </w:rPr>
      </w:pPr>
      <w:bookmarkStart w:id="231" w:name="_Toc44401234"/>
    </w:p>
    <w:p w:rsidR="005600FF" w:rsidRPr="00030511" w:rsidRDefault="005600FF" w:rsidP="005600FF">
      <w:pPr>
        <w:rPr>
          <w:rFonts w:eastAsia="SimSun"/>
        </w:rPr>
      </w:pPr>
      <w:r w:rsidRPr="00030511">
        <w:rPr>
          <w:rFonts w:eastAsia="SimSun"/>
        </w:rPr>
        <w:t xml:space="preserve">Таблица 5.3.1.9  – </w:t>
      </w:r>
      <w:r w:rsidRPr="00C07B2E">
        <w:rPr>
          <w:rFonts w:eastAsia="SimSun"/>
        </w:rPr>
        <w:t>Flu</w:t>
      </w:r>
      <w:r w:rsidRPr="00030511">
        <w:rPr>
          <w:rFonts w:eastAsia="SimSun"/>
        </w:rPr>
        <w:t>180+</w:t>
      </w:r>
      <w:r w:rsidRPr="00C07B2E">
        <w:rPr>
          <w:rFonts w:eastAsia="SimSun"/>
        </w:rPr>
        <w:t>Bu</w:t>
      </w:r>
      <w:r w:rsidRPr="00030511">
        <w:rPr>
          <w:rFonts w:eastAsia="SimSun"/>
        </w:rPr>
        <w:t xml:space="preserve">14 / </w:t>
      </w:r>
      <w:r w:rsidRPr="00C07B2E">
        <w:rPr>
          <w:rFonts w:eastAsia="SimSun"/>
        </w:rPr>
        <w:t>PT</w:t>
      </w:r>
      <w:r w:rsidRPr="00030511">
        <w:rPr>
          <w:rFonts w:eastAsia="SimSun"/>
        </w:rPr>
        <w:t>-</w:t>
      </w:r>
      <w:r w:rsidRPr="00C07B2E">
        <w:rPr>
          <w:rFonts w:eastAsia="SimSun"/>
        </w:rPr>
        <w:t>Cy</w:t>
      </w:r>
      <w:r w:rsidRPr="00030511">
        <w:rPr>
          <w:rFonts w:eastAsia="SimSun"/>
        </w:rPr>
        <w:t>+</w:t>
      </w:r>
      <w:r w:rsidRPr="00C07B2E">
        <w:rPr>
          <w:rFonts w:eastAsia="SimSun"/>
        </w:rPr>
        <w:t>Tx</w:t>
      </w:r>
      <w:r w:rsidRPr="00030511">
        <w:rPr>
          <w:rFonts w:eastAsia="SimSun"/>
        </w:rPr>
        <w:t>+</w:t>
      </w:r>
      <w:r w:rsidRPr="00C07B2E">
        <w:rPr>
          <w:rFonts w:eastAsia="SimSun"/>
        </w:rPr>
        <w:t>MMF</w:t>
      </w:r>
      <w:r w:rsidRPr="00030511">
        <w:rPr>
          <w:rFonts w:eastAsia="SimSun"/>
        </w:rPr>
        <w:t>45</w:t>
      </w:r>
      <w:bookmarkEnd w:id="231"/>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45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135"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Бусульфан</w:t>
            </w:r>
          </w:p>
        </w:tc>
        <w:tc>
          <w:tcPr>
            <w:tcW w:w="1418" w:type="dxa"/>
            <w:vAlign w:val="center"/>
          </w:tcPr>
          <w:p w:rsidR="005600FF" w:rsidRPr="00AC3044" w:rsidRDefault="005600FF" w:rsidP="005600FF">
            <w:pPr>
              <w:ind w:firstLine="0"/>
              <w:rPr>
                <w:rFonts w:eastAsia="SimSun"/>
              </w:rPr>
            </w:pPr>
            <w:r w:rsidRPr="00AC3044">
              <w:rPr>
                <w:rFonts w:eastAsia="SimSun"/>
              </w:rPr>
              <w:t xml:space="preserve">4 мг/кг </w:t>
            </w:r>
          </w:p>
        </w:tc>
        <w:tc>
          <w:tcPr>
            <w:tcW w:w="1559" w:type="dxa"/>
            <w:vAlign w:val="center"/>
          </w:tcPr>
          <w:p w:rsidR="005600FF" w:rsidRPr="00AC3044" w:rsidRDefault="005600FF" w:rsidP="005600FF">
            <w:pPr>
              <w:ind w:firstLine="0"/>
              <w:rPr>
                <w:rFonts w:eastAsia="SimSun"/>
              </w:rPr>
            </w:pPr>
            <w:r w:rsidRPr="00AC3044">
              <w:rPr>
                <w:rFonts w:eastAsia="SimSun"/>
              </w:rPr>
              <w:t xml:space="preserve">14 мг/кг </w:t>
            </w:r>
          </w:p>
        </w:tc>
        <w:tc>
          <w:tcPr>
            <w:tcW w:w="1559" w:type="dxa"/>
            <w:vAlign w:val="center"/>
          </w:tcPr>
          <w:p w:rsidR="005600FF" w:rsidRPr="00AC3044" w:rsidRDefault="005600FF" w:rsidP="005600FF">
            <w:pPr>
              <w:ind w:firstLine="0"/>
              <w:rPr>
                <w:rFonts w:eastAsia="SimSun"/>
              </w:rPr>
            </w:pPr>
            <w:r w:rsidRPr="00AC3044">
              <w:rPr>
                <w:rFonts w:eastAsia="SimSun"/>
              </w:rPr>
              <w:t>С -6 дня по -3 день</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5600FF" w:rsidRPr="00AC3044" w:rsidTr="005600FF">
        <w:trPr>
          <w:cantSplit/>
          <w:trHeight w:val="606"/>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410"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576"/>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45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410"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rsidR="005600FF" w:rsidRPr="00C07B2E" w:rsidRDefault="005600FF" w:rsidP="005600FF">
      <w:pPr>
        <w:rPr>
          <w:rFonts w:eastAsia="SimSun"/>
        </w:rPr>
      </w:pPr>
    </w:p>
    <w:p w:rsidR="005600FF" w:rsidRPr="00C07B2E" w:rsidRDefault="005600FF" w:rsidP="005600FF">
      <w:pPr>
        <w:rPr>
          <w:rFonts w:eastAsia="SimSun"/>
        </w:rPr>
      </w:pPr>
      <w:bookmarkStart w:id="232" w:name="_Toc44401235"/>
      <w:r w:rsidRPr="00EE51B1">
        <w:rPr>
          <w:rFonts w:eastAsia="SimSun"/>
        </w:rPr>
        <w:t>Таблица</w:t>
      </w:r>
      <w:r w:rsidRPr="00C07B2E">
        <w:rPr>
          <w:rFonts w:eastAsia="SimSun"/>
        </w:rPr>
        <w:t xml:space="preserve"> </w:t>
      </w:r>
      <w:r>
        <w:rPr>
          <w:rFonts w:eastAsia="SimSun"/>
        </w:rPr>
        <w:t>5.</w:t>
      </w:r>
      <w:r w:rsidRPr="00C07B2E">
        <w:rPr>
          <w:rFonts w:eastAsia="SimSun"/>
        </w:rPr>
        <w:t>3.1.10  – Flu150+Treo36 / PT-Cy+CSA+MMF30</w:t>
      </w:r>
      <w:bookmarkEnd w:id="232"/>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5600FF" w:rsidRPr="00AC3044" w:rsidTr="005600FF">
        <w:trPr>
          <w:cantSplit/>
          <w:trHeight w:val="20"/>
          <w:tblHeader/>
        </w:trPr>
        <w:tc>
          <w:tcPr>
            <w:tcW w:w="1103" w:type="dxa"/>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03"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мг/м2</w:t>
            </w:r>
          </w:p>
        </w:tc>
        <w:tc>
          <w:tcPr>
            <w:tcW w:w="1559"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–6 по –2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879"/>
        </w:trPr>
        <w:tc>
          <w:tcPr>
            <w:tcW w:w="1103"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Треосульфан</w:t>
            </w:r>
          </w:p>
        </w:tc>
        <w:tc>
          <w:tcPr>
            <w:tcW w:w="1418" w:type="dxa"/>
            <w:vAlign w:val="center"/>
          </w:tcPr>
          <w:p w:rsidR="005600FF" w:rsidRPr="00AC3044" w:rsidRDefault="005600FF" w:rsidP="005600FF">
            <w:pPr>
              <w:ind w:firstLine="0"/>
              <w:rPr>
                <w:rFonts w:eastAsia="SimSun"/>
              </w:rPr>
            </w:pPr>
            <w:r w:rsidRPr="00AC3044">
              <w:rPr>
                <w:rFonts w:eastAsia="SimSun"/>
              </w:rPr>
              <w:t>12 г/м2</w:t>
            </w:r>
          </w:p>
        </w:tc>
        <w:tc>
          <w:tcPr>
            <w:tcW w:w="1559" w:type="dxa"/>
            <w:vAlign w:val="center"/>
          </w:tcPr>
          <w:p w:rsidR="005600FF" w:rsidRPr="00AC3044" w:rsidRDefault="005600FF" w:rsidP="005600FF">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–6 по –4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534"/>
        </w:trPr>
        <w:tc>
          <w:tcPr>
            <w:tcW w:w="1103"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Циклоспорин</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03"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30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w:t>
            </w:r>
          </w:p>
        </w:tc>
        <w:tc>
          <w:tcPr>
            <w:tcW w:w="2410"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5600FF" w:rsidRPr="00AC3044" w:rsidTr="005600FF">
        <w:trPr>
          <w:cantSplit/>
          <w:trHeight w:val="20"/>
        </w:trPr>
        <w:tc>
          <w:tcPr>
            <w:tcW w:w="1103"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Default="005600FF" w:rsidP="005600FF">
      <w:pPr>
        <w:rPr>
          <w:rFonts w:eastAsia="SimSun"/>
        </w:rPr>
      </w:pPr>
      <w:bookmarkStart w:id="233" w:name="_Toc44401236"/>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3.1.11  – Flu150+Treo36 / PT-Cy+CSA+MMF45</w:t>
      </w:r>
      <w:bookmarkEnd w:id="23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5600FF" w:rsidRPr="00AC3044" w:rsidTr="005600FF">
        <w:trPr>
          <w:cantSplit/>
          <w:trHeight w:val="20"/>
          <w:tblHeader/>
        </w:trPr>
        <w:tc>
          <w:tcPr>
            <w:tcW w:w="1135" w:type="dxa"/>
          </w:tcPr>
          <w:p w:rsidR="005600FF" w:rsidRPr="006A5E21"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559" w:type="dxa"/>
            <w:vAlign w:val="center"/>
          </w:tcPr>
          <w:p w:rsidR="005600FF" w:rsidRPr="00AC3044" w:rsidRDefault="005600FF" w:rsidP="005600FF">
            <w:pPr>
              <w:ind w:firstLine="0"/>
              <w:rPr>
                <w:rFonts w:eastAsia="SimSun"/>
              </w:rPr>
            </w:pPr>
            <w:r w:rsidRPr="00AC3044">
              <w:rPr>
                <w:rFonts w:eastAsia="SimSun"/>
              </w:rPr>
              <w:t>Дни введения</w:t>
            </w:r>
          </w:p>
        </w:tc>
        <w:tc>
          <w:tcPr>
            <w:tcW w:w="2410"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–6 по –2 день</w:t>
            </w:r>
          </w:p>
        </w:tc>
        <w:tc>
          <w:tcPr>
            <w:tcW w:w="2410" w:type="dxa"/>
            <w:vAlign w:val="center"/>
          </w:tcPr>
          <w:p w:rsidR="005600FF" w:rsidRPr="00AC3044" w:rsidRDefault="005600FF" w:rsidP="005600FF">
            <w:pPr>
              <w:ind w:firstLine="0"/>
              <w:rPr>
                <w:rFonts w:eastAsia="SimSun"/>
              </w:rPr>
            </w:pPr>
            <w:r w:rsidRPr="00AC3044">
              <w:rPr>
                <w:rFonts w:eastAsia="SimSun"/>
              </w:rPr>
              <w:t xml:space="preserve"> В/в, в течение 30 -60 мин</w:t>
            </w:r>
          </w:p>
        </w:tc>
      </w:tr>
      <w:tr w:rsidR="005600FF" w:rsidRPr="00AC3044" w:rsidTr="005600FF">
        <w:trPr>
          <w:cantSplit/>
          <w:trHeight w:val="985"/>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Треосульфан</w:t>
            </w:r>
          </w:p>
        </w:tc>
        <w:tc>
          <w:tcPr>
            <w:tcW w:w="1418" w:type="dxa"/>
            <w:vAlign w:val="center"/>
          </w:tcPr>
          <w:p w:rsidR="005600FF" w:rsidRPr="00AC3044" w:rsidRDefault="005600FF" w:rsidP="005600FF">
            <w:pPr>
              <w:ind w:firstLine="0"/>
              <w:rPr>
                <w:rFonts w:eastAsia="SimSun"/>
              </w:rPr>
            </w:pPr>
            <w:r w:rsidRPr="00AC3044">
              <w:rPr>
                <w:rFonts w:eastAsia="SimSun"/>
              </w:rPr>
              <w:t>12 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С –6 по –4 день</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168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Циклоспорин</w:t>
            </w:r>
          </w:p>
        </w:tc>
        <w:tc>
          <w:tcPr>
            <w:tcW w:w="1418" w:type="dxa"/>
            <w:vAlign w:val="center"/>
          </w:tcPr>
          <w:p w:rsidR="005600FF" w:rsidRPr="00AC3044" w:rsidRDefault="005600FF" w:rsidP="005600FF">
            <w:pPr>
              <w:ind w:firstLine="0"/>
              <w:rPr>
                <w:rFonts w:eastAsia="SimSun"/>
              </w:rPr>
            </w:pPr>
            <w:r w:rsidRPr="00AC3044">
              <w:rPr>
                <w:rFonts w:eastAsia="SimSun"/>
              </w:rPr>
              <w:t>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45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559" w:type="dxa"/>
            <w:vAlign w:val="center"/>
          </w:tcPr>
          <w:p w:rsidR="005600FF" w:rsidRPr="00AC3044" w:rsidRDefault="005600FF" w:rsidP="005600FF">
            <w:pPr>
              <w:ind w:firstLine="0"/>
              <w:rPr>
                <w:rFonts w:eastAsia="SimSun"/>
              </w:rPr>
            </w:pPr>
            <w:r w:rsidRPr="00AC3044">
              <w:rPr>
                <w:rFonts w:eastAsia="SimSun"/>
              </w:rPr>
              <w:t>С +5 по +90 день</w:t>
            </w:r>
          </w:p>
        </w:tc>
        <w:tc>
          <w:tcPr>
            <w:tcW w:w="2410"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20"/>
        </w:trPr>
        <w:tc>
          <w:tcPr>
            <w:tcW w:w="1135" w:type="dxa"/>
            <w:vMerge/>
            <w:textDirection w:val="btL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559"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410" w:type="dxa"/>
            <w:vAlign w:val="center"/>
          </w:tcPr>
          <w:p w:rsidR="005600FF" w:rsidRPr="00AC3044" w:rsidRDefault="005600FF" w:rsidP="005600FF">
            <w:pPr>
              <w:ind w:firstLine="0"/>
              <w:rPr>
                <w:rFonts w:eastAsia="SimSun"/>
              </w:rPr>
            </w:pPr>
            <w:r w:rsidRPr="00AC3044">
              <w:rPr>
                <w:rFonts w:eastAsia="SimSun"/>
              </w:rPr>
              <w:t>В/в, в течение 2 часов</w:t>
            </w:r>
          </w:p>
        </w:tc>
      </w:tr>
    </w:tbl>
    <w:p w:rsidR="005600FF" w:rsidRPr="00C07B2E" w:rsidRDefault="005600FF" w:rsidP="005600FF">
      <w:pPr>
        <w:rPr>
          <w:rFonts w:eastAsia="SimSun"/>
        </w:rPr>
      </w:pPr>
    </w:p>
    <w:p w:rsidR="005600FF" w:rsidRPr="00C07B2E" w:rsidRDefault="005600FF" w:rsidP="005600FF">
      <w:pPr>
        <w:rPr>
          <w:rFonts w:eastAsia="SimSun"/>
        </w:rPr>
      </w:pPr>
    </w:p>
    <w:p w:rsidR="005600FF" w:rsidRPr="00C07B2E" w:rsidRDefault="005600FF" w:rsidP="005600FF">
      <w:pPr>
        <w:rPr>
          <w:rFonts w:eastAsia="SimSun"/>
        </w:rPr>
      </w:pPr>
      <w:bookmarkStart w:id="234" w:name="_Toc44401237"/>
      <w:r>
        <w:rPr>
          <w:rFonts w:eastAsia="SimSun"/>
        </w:rPr>
        <w:lastRenderedPageBreak/>
        <w:t>Таблица</w:t>
      </w:r>
      <w:r w:rsidRPr="00C07B2E">
        <w:rPr>
          <w:rFonts w:eastAsia="SimSun"/>
        </w:rPr>
        <w:t xml:space="preserve"> </w:t>
      </w:r>
      <w:r>
        <w:rPr>
          <w:rFonts w:eastAsia="SimSun"/>
        </w:rPr>
        <w:t>5.</w:t>
      </w:r>
      <w:r w:rsidRPr="00C07B2E">
        <w:rPr>
          <w:rFonts w:eastAsia="SimSun"/>
        </w:rPr>
        <w:t>3.1. 12 – Flu150+Cy29+TBI / PT-Cy+CSA+MMF45</w:t>
      </w:r>
      <w:bookmarkEnd w:id="234"/>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3"/>
        <w:gridCol w:w="1524"/>
        <w:gridCol w:w="1387"/>
        <w:gridCol w:w="1519"/>
        <w:gridCol w:w="1382"/>
        <w:gridCol w:w="2478"/>
      </w:tblGrid>
      <w:tr w:rsidR="005600FF" w:rsidRPr="00AC3044" w:rsidTr="005600FF">
        <w:trPr>
          <w:cantSplit/>
          <w:trHeight w:val="20"/>
          <w:tblHeader/>
        </w:trPr>
        <w:tc>
          <w:tcPr>
            <w:tcW w:w="596" w:type="pct"/>
            <w:vAlign w:val="center"/>
          </w:tcPr>
          <w:p w:rsidR="005600FF" w:rsidRPr="00AC3044" w:rsidRDefault="005600FF" w:rsidP="005600FF">
            <w:pPr>
              <w:ind w:firstLine="0"/>
              <w:rPr>
                <w:rFonts w:eastAsia="SimSun"/>
              </w:rPr>
            </w:pPr>
          </w:p>
        </w:tc>
        <w:tc>
          <w:tcPr>
            <w:tcW w:w="809" w:type="pct"/>
            <w:vAlign w:val="center"/>
          </w:tcPr>
          <w:p w:rsidR="005600FF" w:rsidRPr="00AC3044" w:rsidRDefault="005600FF" w:rsidP="005600FF">
            <w:pPr>
              <w:ind w:firstLine="0"/>
              <w:rPr>
                <w:rFonts w:eastAsia="SimSun"/>
              </w:rPr>
            </w:pPr>
            <w:r w:rsidRPr="00AC3044">
              <w:rPr>
                <w:rFonts w:eastAsia="SimSun"/>
              </w:rPr>
              <w:t>Препарат</w:t>
            </w:r>
          </w:p>
        </w:tc>
        <w:tc>
          <w:tcPr>
            <w:tcW w:w="737" w:type="pct"/>
            <w:vAlign w:val="center"/>
          </w:tcPr>
          <w:p w:rsidR="005600FF" w:rsidRPr="00AC3044" w:rsidRDefault="005600FF" w:rsidP="005600FF">
            <w:pPr>
              <w:ind w:firstLine="0"/>
              <w:rPr>
                <w:rFonts w:eastAsia="SimSun"/>
              </w:rPr>
            </w:pPr>
            <w:r w:rsidRPr="00AC3044">
              <w:rPr>
                <w:rFonts w:eastAsia="SimSun"/>
              </w:rPr>
              <w:t>Суточная доза</w:t>
            </w:r>
          </w:p>
        </w:tc>
        <w:tc>
          <w:tcPr>
            <w:tcW w:w="807" w:type="pct"/>
            <w:vAlign w:val="center"/>
          </w:tcPr>
          <w:p w:rsidR="005600FF" w:rsidRPr="00AC3044" w:rsidRDefault="005600FF" w:rsidP="005600FF">
            <w:pPr>
              <w:ind w:firstLine="0"/>
              <w:rPr>
                <w:rFonts w:eastAsia="SimSun"/>
              </w:rPr>
            </w:pPr>
            <w:r w:rsidRPr="00AC3044">
              <w:rPr>
                <w:rFonts w:eastAsia="SimSun"/>
              </w:rPr>
              <w:t>Курсовая доза</w:t>
            </w:r>
          </w:p>
        </w:tc>
        <w:tc>
          <w:tcPr>
            <w:tcW w:w="734" w:type="pct"/>
            <w:vAlign w:val="center"/>
          </w:tcPr>
          <w:p w:rsidR="005600FF" w:rsidRPr="00AC3044" w:rsidRDefault="005600FF" w:rsidP="005600FF">
            <w:pPr>
              <w:ind w:firstLine="0"/>
              <w:rPr>
                <w:rFonts w:eastAsia="SimSun"/>
              </w:rPr>
            </w:pPr>
            <w:r w:rsidRPr="00AC3044">
              <w:rPr>
                <w:rFonts w:eastAsia="SimSun"/>
              </w:rPr>
              <w:t>Дни введения</w:t>
            </w:r>
          </w:p>
        </w:tc>
        <w:tc>
          <w:tcPr>
            <w:tcW w:w="1316" w:type="pct"/>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596" w:type="pct"/>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809" w:type="pct"/>
          </w:tcPr>
          <w:p w:rsidR="005600FF" w:rsidRPr="00AC3044" w:rsidRDefault="005600FF" w:rsidP="005600FF">
            <w:pPr>
              <w:ind w:firstLine="0"/>
              <w:rPr>
                <w:rFonts w:eastAsia="SimSun"/>
              </w:rPr>
            </w:pPr>
            <w:r w:rsidRPr="00AC3044">
              <w:rPr>
                <w:rFonts w:eastAsia="SimSun"/>
              </w:rPr>
              <w:t xml:space="preserve">Флударабин </w:t>
            </w:r>
          </w:p>
        </w:tc>
        <w:tc>
          <w:tcPr>
            <w:tcW w:w="737" w:type="pct"/>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807" w:type="pct"/>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734" w:type="pct"/>
          </w:tcPr>
          <w:p w:rsidR="005600FF" w:rsidRPr="00AC3044" w:rsidRDefault="005600FF" w:rsidP="005600FF">
            <w:pPr>
              <w:ind w:firstLine="0"/>
              <w:rPr>
                <w:rFonts w:eastAsia="SimSun"/>
              </w:rPr>
            </w:pPr>
            <w:r w:rsidRPr="00AC3044">
              <w:rPr>
                <w:rFonts w:eastAsia="SimSun"/>
              </w:rPr>
              <w:t>С –6 по –2 день</w:t>
            </w:r>
          </w:p>
        </w:tc>
        <w:tc>
          <w:tcPr>
            <w:tcW w:w="1316" w:type="pct"/>
          </w:tcPr>
          <w:p w:rsidR="005600FF" w:rsidRPr="00AC3044" w:rsidRDefault="005600FF" w:rsidP="005600FF">
            <w:pPr>
              <w:ind w:firstLine="0"/>
              <w:rPr>
                <w:rFonts w:eastAsia="SimSun"/>
              </w:rPr>
            </w:pPr>
            <w:r w:rsidRPr="00C07B2E">
              <w:rPr>
                <w:rFonts w:eastAsia="SimSun"/>
              </w:rPr>
              <w:t>В/в, в течение 30 -60 мин</w:t>
            </w:r>
          </w:p>
        </w:tc>
      </w:tr>
      <w:tr w:rsidR="005600FF" w:rsidRPr="00AC3044" w:rsidTr="005600FF">
        <w:trPr>
          <w:cantSplit/>
          <w:trHeight w:val="586"/>
        </w:trPr>
        <w:tc>
          <w:tcPr>
            <w:tcW w:w="596" w:type="pct"/>
            <w:vMerge/>
            <w:vAlign w:val="center"/>
          </w:tcPr>
          <w:p w:rsidR="005600FF" w:rsidRPr="00AC3044" w:rsidRDefault="005600FF" w:rsidP="005600FF">
            <w:pPr>
              <w:ind w:firstLine="0"/>
              <w:rPr>
                <w:rFonts w:eastAsia="SimSun"/>
              </w:rPr>
            </w:pPr>
          </w:p>
        </w:tc>
        <w:tc>
          <w:tcPr>
            <w:tcW w:w="809" w:type="pct"/>
            <w:vAlign w:val="center"/>
          </w:tcPr>
          <w:p w:rsidR="005600FF" w:rsidRPr="00AC3044" w:rsidRDefault="005600FF" w:rsidP="005600FF">
            <w:pPr>
              <w:ind w:firstLine="0"/>
              <w:rPr>
                <w:rFonts w:eastAsia="SimSun"/>
              </w:rPr>
            </w:pPr>
            <w:r w:rsidRPr="00AC3044">
              <w:rPr>
                <w:rFonts w:eastAsia="SimSun"/>
              </w:rPr>
              <w:t>Циклофосфамид</w:t>
            </w:r>
          </w:p>
        </w:tc>
        <w:tc>
          <w:tcPr>
            <w:tcW w:w="737" w:type="pct"/>
            <w:vAlign w:val="center"/>
          </w:tcPr>
          <w:p w:rsidR="005600FF" w:rsidRPr="00AC3044" w:rsidRDefault="005600FF" w:rsidP="005600FF">
            <w:pPr>
              <w:ind w:firstLine="0"/>
              <w:rPr>
                <w:rFonts w:eastAsia="SimSun"/>
              </w:rPr>
            </w:pPr>
            <w:r w:rsidRPr="00AC3044">
              <w:rPr>
                <w:rFonts w:eastAsia="SimSun"/>
              </w:rPr>
              <w:t>14,5 мг/кг</w:t>
            </w:r>
          </w:p>
        </w:tc>
        <w:tc>
          <w:tcPr>
            <w:tcW w:w="807" w:type="pct"/>
            <w:vAlign w:val="center"/>
          </w:tcPr>
          <w:p w:rsidR="005600FF" w:rsidRPr="00AC3044" w:rsidRDefault="005600FF" w:rsidP="005600FF">
            <w:pPr>
              <w:ind w:firstLine="0"/>
              <w:rPr>
                <w:rFonts w:eastAsia="SimSun"/>
              </w:rPr>
            </w:pPr>
            <w:r w:rsidRPr="00AC3044">
              <w:rPr>
                <w:rFonts w:eastAsia="SimSun"/>
              </w:rPr>
              <w:t>29 мг/кг</w:t>
            </w:r>
          </w:p>
        </w:tc>
        <w:tc>
          <w:tcPr>
            <w:tcW w:w="734" w:type="pct"/>
            <w:vAlign w:val="center"/>
          </w:tcPr>
          <w:p w:rsidR="005600FF" w:rsidRPr="00AC3044" w:rsidRDefault="005600FF" w:rsidP="005600FF">
            <w:pPr>
              <w:ind w:firstLine="0"/>
              <w:rPr>
                <w:rFonts w:eastAsia="SimSun"/>
              </w:rPr>
            </w:pPr>
            <w:r w:rsidRPr="00AC3044">
              <w:rPr>
                <w:rFonts w:eastAsia="SimSun"/>
              </w:rPr>
              <w:t xml:space="preserve">–6, –5 дни </w:t>
            </w:r>
          </w:p>
        </w:tc>
        <w:tc>
          <w:tcPr>
            <w:tcW w:w="1316" w:type="pct"/>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566"/>
        </w:trPr>
        <w:tc>
          <w:tcPr>
            <w:tcW w:w="596" w:type="pct"/>
            <w:vMerge/>
            <w:vAlign w:val="center"/>
          </w:tcPr>
          <w:p w:rsidR="005600FF" w:rsidRPr="00AC3044" w:rsidRDefault="005600FF" w:rsidP="005600FF">
            <w:pPr>
              <w:ind w:firstLine="0"/>
              <w:rPr>
                <w:rFonts w:eastAsia="SimSun"/>
              </w:rPr>
            </w:pPr>
          </w:p>
        </w:tc>
        <w:tc>
          <w:tcPr>
            <w:tcW w:w="809" w:type="pct"/>
            <w:vAlign w:val="center"/>
          </w:tcPr>
          <w:p w:rsidR="005600FF" w:rsidRPr="00AC3044" w:rsidRDefault="005600FF" w:rsidP="005600FF">
            <w:pPr>
              <w:ind w:firstLine="0"/>
              <w:rPr>
                <w:rFonts w:eastAsia="SimSun"/>
              </w:rPr>
            </w:pPr>
            <w:r w:rsidRPr="00AC3044">
              <w:rPr>
                <w:rFonts w:eastAsia="SimSun"/>
              </w:rPr>
              <w:t>ТТО</w:t>
            </w:r>
          </w:p>
        </w:tc>
        <w:tc>
          <w:tcPr>
            <w:tcW w:w="737" w:type="pct"/>
            <w:vAlign w:val="center"/>
          </w:tcPr>
          <w:p w:rsidR="005600FF" w:rsidRPr="00AC3044" w:rsidRDefault="005600FF" w:rsidP="005600FF">
            <w:pPr>
              <w:ind w:firstLine="0"/>
              <w:rPr>
                <w:rFonts w:eastAsia="SimSun"/>
              </w:rPr>
            </w:pPr>
            <w:r w:rsidRPr="00AC3044">
              <w:rPr>
                <w:rFonts w:eastAsia="SimSun"/>
              </w:rPr>
              <w:t>2 Гр</w:t>
            </w:r>
          </w:p>
        </w:tc>
        <w:tc>
          <w:tcPr>
            <w:tcW w:w="807" w:type="pct"/>
            <w:vAlign w:val="center"/>
          </w:tcPr>
          <w:p w:rsidR="005600FF" w:rsidRPr="00AC3044" w:rsidRDefault="005600FF" w:rsidP="005600FF">
            <w:pPr>
              <w:ind w:firstLine="0"/>
              <w:rPr>
                <w:rFonts w:eastAsia="SimSun"/>
              </w:rPr>
            </w:pPr>
            <w:r w:rsidRPr="00AC3044">
              <w:rPr>
                <w:rFonts w:eastAsia="SimSun"/>
              </w:rPr>
              <w:t>2 Гр</w:t>
            </w:r>
          </w:p>
        </w:tc>
        <w:tc>
          <w:tcPr>
            <w:tcW w:w="734" w:type="pct"/>
            <w:vAlign w:val="center"/>
          </w:tcPr>
          <w:p w:rsidR="005600FF" w:rsidRPr="00AC3044" w:rsidRDefault="005600FF" w:rsidP="005600FF">
            <w:pPr>
              <w:ind w:firstLine="0"/>
              <w:rPr>
                <w:rFonts w:eastAsia="SimSun"/>
              </w:rPr>
            </w:pPr>
            <w:r w:rsidRPr="00AC3044">
              <w:rPr>
                <w:rFonts w:eastAsia="SimSun"/>
              </w:rPr>
              <w:t xml:space="preserve">Д-1 </w:t>
            </w:r>
          </w:p>
        </w:tc>
        <w:tc>
          <w:tcPr>
            <w:tcW w:w="1316" w:type="pct"/>
            <w:vAlign w:val="center"/>
          </w:tcPr>
          <w:p w:rsidR="005600FF" w:rsidRPr="00AC3044" w:rsidRDefault="005600FF" w:rsidP="005600FF">
            <w:pPr>
              <w:ind w:firstLine="0"/>
              <w:rPr>
                <w:rFonts w:eastAsia="SimSun"/>
              </w:rPr>
            </w:pPr>
            <w:r w:rsidRPr="00AC3044">
              <w:rPr>
                <w:rFonts w:eastAsia="SimSun"/>
              </w:rPr>
              <w:t>1 фракция 2 Гр за 2 часа  без экранированиия легких</w:t>
            </w:r>
          </w:p>
        </w:tc>
      </w:tr>
      <w:tr w:rsidR="005600FF" w:rsidRPr="00AC3044" w:rsidTr="005600FF">
        <w:trPr>
          <w:cantSplit/>
          <w:trHeight w:val="20"/>
        </w:trPr>
        <w:tc>
          <w:tcPr>
            <w:tcW w:w="596" w:type="pct"/>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809" w:type="pct"/>
          </w:tcPr>
          <w:p w:rsidR="005600FF" w:rsidRPr="00AC3044" w:rsidRDefault="005600FF" w:rsidP="005600FF">
            <w:pPr>
              <w:ind w:firstLine="0"/>
              <w:rPr>
                <w:rFonts w:eastAsia="SimSun"/>
              </w:rPr>
            </w:pPr>
            <w:r w:rsidRPr="00AC3044">
              <w:rPr>
                <w:rFonts w:eastAsia="SimSun"/>
              </w:rPr>
              <w:t>Циклофосфамид</w:t>
            </w:r>
          </w:p>
        </w:tc>
        <w:tc>
          <w:tcPr>
            <w:tcW w:w="737" w:type="pct"/>
          </w:tcPr>
          <w:p w:rsidR="005600FF" w:rsidRPr="00AC3044" w:rsidRDefault="005600FF" w:rsidP="005600FF">
            <w:pPr>
              <w:ind w:firstLine="0"/>
              <w:rPr>
                <w:rFonts w:eastAsia="SimSun"/>
              </w:rPr>
            </w:pPr>
            <w:r w:rsidRPr="00AC3044">
              <w:rPr>
                <w:rFonts w:eastAsia="SimSun"/>
              </w:rPr>
              <w:t>50 мг/кг</w:t>
            </w:r>
          </w:p>
        </w:tc>
        <w:tc>
          <w:tcPr>
            <w:tcW w:w="807" w:type="pct"/>
          </w:tcPr>
          <w:p w:rsidR="005600FF" w:rsidRPr="00AC3044" w:rsidRDefault="005600FF" w:rsidP="005600FF">
            <w:pPr>
              <w:ind w:firstLine="0"/>
              <w:rPr>
                <w:rFonts w:eastAsia="SimSun"/>
              </w:rPr>
            </w:pPr>
            <w:r w:rsidRPr="00AC3044">
              <w:rPr>
                <w:rFonts w:eastAsia="SimSun"/>
              </w:rPr>
              <w:t>100 мг/кг</w:t>
            </w:r>
          </w:p>
        </w:tc>
        <w:tc>
          <w:tcPr>
            <w:tcW w:w="734" w:type="pct"/>
          </w:tcPr>
          <w:p w:rsidR="005600FF" w:rsidRPr="00AC3044" w:rsidRDefault="005600FF" w:rsidP="005600FF">
            <w:pPr>
              <w:ind w:firstLine="0"/>
              <w:rPr>
                <w:rFonts w:eastAsia="SimSun"/>
              </w:rPr>
            </w:pPr>
            <w:r w:rsidRPr="00AC3044">
              <w:rPr>
                <w:rFonts w:eastAsia="SimSun"/>
              </w:rPr>
              <w:t xml:space="preserve">+3,+4 дни </w:t>
            </w:r>
          </w:p>
        </w:tc>
        <w:tc>
          <w:tcPr>
            <w:tcW w:w="1316" w:type="pct"/>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596" w:type="pct"/>
            <w:vMerge/>
          </w:tcPr>
          <w:p w:rsidR="005600FF" w:rsidRPr="00AC3044" w:rsidRDefault="005600FF" w:rsidP="005600FF">
            <w:pPr>
              <w:ind w:firstLine="0"/>
              <w:rPr>
                <w:rFonts w:eastAsia="SimSun"/>
              </w:rPr>
            </w:pPr>
          </w:p>
        </w:tc>
        <w:tc>
          <w:tcPr>
            <w:tcW w:w="809" w:type="pct"/>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737" w:type="pct"/>
            <w:vAlign w:val="center"/>
          </w:tcPr>
          <w:p w:rsidR="005600FF" w:rsidRPr="00AC3044" w:rsidRDefault="005600FF" w:rsidP="005600FF">
            <w:pPr>
              <w:ind w:firstLine="0"/>
              <w:rPr>
                <w:rFonts w:eastAsia="SimSun"/>
              </w:rPr>
            </w:pPr>
            <w:r w:rsidRPr="00AC3044">
              <w:rPr>
                <w:rFonts w:eastAsia="SimSun"/>
              </w:rPr>
              <w:t>0,03 мг/кг</w:t>
            </w:r>
          </w:p>
        </w:tc>
        <w:tc>
          <w:tcPr>
            <w:tcW w:w="807" w:type="pct"/>
            <w:vAlign w:val="center"/>
          </w:tcPr>
          <w:p w:rsidR="005600FF" w:rsidRPr="00AC3044" w:rsidRDefault="005600FF" w:rsidP="005600FF">
            <w:pPr>
              <w:ind w:firstLine="0"/>
              <w:rPr>
                <w:rFonts w:eastAsia="SimSun"/>
              </w:rPr>
            </w:pPr>
            <w:r w:rsidRPr="00AC3044">
              <w:rPr>
                <w:rFonts w:eastAsia="SimSun"/>
              </w:rPr>
              <w:t>–</w:t>
            </w:r>
          </w:p>
        </w:tc>
        <w:tc>
          <w:tcPr>
            <w:tcW w:w="734" w:type="pct"/>
            <w:vAlign w:val="center"/>
          </w:tcPr>
          <w:p w:rsidR="005600FF" w:rsidRPr="00AC3044" w:rsidRDefault="005600FF" w:rsidP="005600FF">
            <w:pPr>
              <w:ind w:firstLine="0"/>
              <w:rPr>
                <w:rFonts w:eastAsia="SimSun"/>
              </w:rPr>
            </w:pPr>
            <w:r w:rsidRPr="00AC3044">
              <w:rPr>
                <w:rFonts w:eastAsia="SimSun"/>
              </w:rPr>
              <w:t>С +5 по +100 день, затем постепенное снижение к +180 дню</w:t>
            </w:r>
          </w:p>
        </w:tc>
        <w:tc>
          <w:tcPr>
            <w:tcW w:w="1316" w:type="pct"/>
            <w:vAlign w:val="center"/>
          </w:tcPr>
          <w:p w:rsidR="005600FF" w:rsidRPr="00AC3044" w:rsidRDefault="005600FF" w:rsidP="005600FF">
            <w:pPr>
              <w:ind w:firstLine="0"/>
              <w:rPr>
                <w:rFonts w:eastAsia="SimSun"/>
              </w:rPr>
            </w:pPr>
            <w:r w:rsidRPr="00C07B2E">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C07B2E">
              <w:rPr>
                <w:rFonts w:eastAsia="SimSun"/>
              </w:rPr>
              <w:t>10</w:t>
            </w:r>
            <w:r w:rsidRPr="0074195F">
              <w:rPr>
                <w:rFonts w:eastAsia="SimSun"/>
                <w:vertAlign w:val="superscript"/>
              </w:rPr>
              <w:t>9</w:t>
            </w:r>
            <w:r w:rsidRPr="00C07B2E">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464"/>
        </w:trPr>
        <w:tc>
          <w:tcPr>
            <w:tcW w:w="596" w:type="pct"/>
            <w:vMerge/>
          </w:tcPr>
          <w:p w:rsidR="005600FF" w:rsidRPr="00AC3044" w:rsidRDefault="005600FF" w:rsidP="005600FF">
            <w:pPr>
              <w:ind w:firstLine="0"/>
              <w:rPr>
                <w:rFonts w:eastAsia="SimSun"/>
              </w:rPr>
            </w:pPr>
          </w:p>
        </w:tc>
        <w:tc>
          <w:tcPr>
            <w:tcW w:w="809" w:type="pct"/>
          </w:tcPr>
          <w:p w:rsidR="005600FF" w:rsidRPr="00AC3044" w:rsidRDefault="005600FF" w:rsidP="005600FF">
            <w:pPr>
              <w:ind w:firstLine="0"/>
              <w:rPr>
                <w:rFonts w:eastAsia="SimSun"/>
              </w:rPr>
            </w:pPr>
            <w:r w:rsidRPr="00AC3044">
              <w:rPr>
                <w:rFonts w:eastAsia="SimSun"/>
              </w:rPr>
              <w:t>Микофенолата мофетил</w:t>
            </w:r>
          </w:p>
        </w:tc>
        <w:tc>
          <w:tcPr>
            <w:tcW w:w="737" w:type="pct"/>
          </w:tcPr>
          <w:p w:rsidR="005600FF" w:rsidRPr="00AC3044" w:rsidRDefault="005600FF" w:rsidP="005600FF">
            <w:pPr>
              <w:ind w:firstLine="0"/>
              <w:rPr>
                <w:rFonts w:eastAsia="SimSun"/>
              </w:rPr>
            </w:pPr>
            <w:r w:rsidRPr="00AC3044">
              <w:rPr>
                <w:rFonts w:eastAsia="SimSun"/>
              </w:rPr>
              <w:t>45мг/кг</w:t>
            </w:r>
          </w:p>
        </w:tc>
        <w:tc>
          <w:tcPr>
            <w:tcW w:w="807" w:type="pct"/>
          </w:tcPr>
          <w:p w:rsidR="005600FF" w:rsidRPr="00AC3044" w:rsidRDefault="005600FF" w:rsidP="005600FF">
            <w:pPr>
              <w:ind w:firstLine="0"/>
              <w:rPr>
                <w:rFonts w:eastAsia="SimSun"/>
              </w:rPr>
            </w:pPr>
            <w:r w:rsidRPr="00AC3044">
              <w:rPr>
                <w:rFonts w:eastAsia="SimSun"/>
              </w:rPr>
              <w:t>–</w:t>
            </w:r>
          </w:p>
        </w:tc>
        <w:tc>
          <w:tcPr>
            <w:tcW w:w="734" w:type="pct"/>
          </w:tcPr>
          <w:p w:rsidR="005600FF" w:rsidRPr="00AC3044" w:rsidRDefault="005600FF" w:rsidP="005600FF">
            <w:pPr>
              <w:ind w:firstLine="0"/>
              <w:rPr>
                <w:rFonts w:eastAsia="SimSun"/>
              </w:rPr>
            </w:pPr>
            <w:r w:rsidRPr="00AC3044">
              <w:rPr>
                <w:rFonts w:eastAsia="SimSun"/>
              </w:rPr>
              <w:t>С +5 по +35 день</w:t>
            </w:r>
          </w:p>
        </w:tc>
        <w:tc>
          <w:tcPr>
            <w:tcW w:w="1316" w:type="pct"/>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235" w:name="_Toc44401238"/>
    </w:p>
    <w:p w:rsidR="005600FF" w:rsidRPr="00C07B2E" w:rsidRDefault="005600FF" w:rsidP="005600FF">
      <w:pPr>
        <w:rPr>
          <w:rFonts w:eastAsia="SimSun"/>
        </w:rPr>
      </w:pPr>
      <w:r w:rsidRPr="00EE51B1">
        <w:rPr>
          <w:rFonts w:eastAsia="SimSun"/>
        </w:rPr>
        <w:lastRenderedPageBreak/>
        <w:t>Таблица</w:t>
      </w:r>
      <w:r w:rsidRPr="00C07B2E">
        <w:rPr>
          <w:rFonts w:eastAsia="SimSun"/>
        </w:rPr>
        <w:t xml:space="preserve"> </w:t>
      </w:r>
      <w:r>
        <w:rPr>
          <w:rFonts w:eastAsia="SimSun"/>
        </w:rPr>
        <w:t>5.</w:t>
      </w:r>
      <w:r w:rsidRPr="00C07B2E">
        <w:rPr>
          <w:rFonts w:eastAsia="SimSun"/>
        </w:rPr>
        <w:t>3.1.13  – Flu180+Cy1200 / PT-Cy+Tx+MMF45</w:t>
      </w:r>
      <w:bookmarkEnd w:id="235"/>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5600FF" w:rsidRPr="00AC3044" w:rsidTr="005600FF">
        <w:trPr>
          <w:cantSplit/>
          <w:trHeight w:val="20"/>
          <w:tblHeader/>
        </w:trPr>
        <w:tc>
          <w:tcPr>
            <w:tcW w:w="1135" w:type="dxa"/>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7" w:type="dxa"/>
            <w:vAlign w:val="center"/>
          </w:tcPr>
          <w:p w:rsidR="005600FF" w:rsidRPr="00AC3044" w:rsidRDefault="005600FF" w:rsidP="005600FF">
            <w:pPr>
              <w:ind w:firstLine="0"/>
              <w:rPr>
                <w:rFonts w:eastAsia="SimSun"/>
              </w:rPr>
            </w:pPr>
            <w:r w:rsidRPr="00AC3044">
              <w:rPr>
                <w:rFonts w:eastAsia="SimSun"/>
              </w:rPr>
              <w:t>Дни введения</w:t>
            </w:r>
          </w:p>
        </w:tc>
        <w:tc>
          <w:tcPr>
            <w:tcW w:w="2552"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120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С -5 дня по -2 день</w:t>
            </w:r>
          </w:p>
        </w:tc>
        <w:tc>
          <w:tcPr>
            <w:tcW w:w="2552"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855"/>
        </w:trPr>
        <w:tc>
          <w:tcPr>
            <w:tcW w:w="1135"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559" w:type="dxa"/>
            <w:vAlign w:val="center"/>
          </w:tcPr>
          <w:p w:rsidR="005600FF" w:rsidRPr="00AC3044" w:rsidRDefault="005600FF" w:rsidP="005600FF">
            <w:pPr>
              <w:ind w:firstLine="0"/>
              <w:rPr>
                <w:rFonts w:eastAsia="SimSun"/>
              </w:rPr>
            </w:pPr>
            <w:r w:rsidRPr="00AC3044">
              <w:rPr>
                <w:rFonts w:eastAsia="SimSun"/>
              </w:rPr>
              <w:t>1200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 xml:space="preserve"> С -5 дня по -2 день </w:t>
            </w:r>
          </w:p>
        </w:tc>
        <w:tc>
          <w:tcPr>
            <w:tcW w:w="2552"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556"/>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417" w:type="dxa"/>
            <w:vAlign w:val="center"/>
          </w:tcPr>
          <w:p w:rsidR="005600FF" w:rsidRPr="00AC3044" w:rsidRDefault="005600FF" w:rsidP="005600FF">
            <w:pPr>
              <w:ind w:firstLine="0"/>
              <w:rPr>
                <w:rFonts w:eastAsia="SimSun"/>
              </w:rPr>
            </w:pPr>
            <w:r w:rsidRPr="00AC3044">
              <w:rPr>
                <w:rFonts w:eastAsia="SimSun"/>
              </w:rPr>
              <w:t>С +3 дня по +4 день</w:t>
            </w:r>
          </w:p>
        </w:tc>
        <w:tc>
          <w:tcPr>
            <w:tcW w:w="2552"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 xml:space="preserve">С +5 дня длительно </w:t>
            </w:r>
          </w:p>
        </w:tc>
        <w:tc>
          <w:tcPr>
            <w:tcW w:w="2552"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491"/>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45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 xml:space="preserve">С +5 дня по +35 день </w:t>
            </w:r>
          </w:p>
        </w:tc>
        <w:tc>
          <w:tcPr>
            <w:tcW w:w="2552"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Default="005600FF" w:rsidP="005600FF">
      <w:pPr>
        <w:rPr>
          <w:rFonts w:eastAsia="SimSun"/>
        </w:rPr>
      </w:pPr>
      <w:bookmarkStart w:id="236" w:name="_Toc44401239"/>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3.1.14  – Flu180+Mel100 / PT-Cy+Tx+MMF45</w:t>
      </w:r>
      <w:bookmarkEnd w:id="236"/>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5600FF" w:rsidRPr="00AC3044" w:rsidTr="005600FF">
        <w:trPr>
          <w:cantSplit/>
          <w:trHeight w:val="20"/>
          <w:tblHeader/>
        </w:trPr>
        <w:tc>
          <w:tcPr>
            <w:tcW w:w="1135" w:type="dxa"/>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Препарат</w:t>
            </w:r>
          </w:p>
        </w:tc>
        <w:tc>
          <w:tcPr>
            <w:tcW w:w="1418"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559"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417" w:type="dxa"/>
            <w:vAlign w:val="center"/>
          </w:tcPr>
          <w:p w:rsidR="005600FF" w:rsidRPr="00AC3044" w:rsidRDefault="005600FF" w:rsidP="005600FF">
            <w:pPr>
              <w:ind w:firstLine="0"/>
              <w:rPr>
                <w:rFonts w:eastAsia="SimSun"/>
              </w:rPr>
            </w:pPr>
            <w:r w:rsidRPr="00AC3044">
              <w:rPr>
                <w:rFonts w:eastAsia="SimSun"/>
              </w:rPr>
              <w:t>Дни введения</w:t>
            </w:r>
          </w:p>
        </w:tc>
        <w:tc>
          <w:tcPr>
            <w:tcW w:w="2552"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1559" w:type="dxa"/>
            <w:vAlign w:val="center"/>
          </w:tcPr>
          <w:p w:rsidR="005600FF" w:rsidRPr="00AC3044" w:rsidRDefault="005600FF" w:rsidP="005600FF">
            <w:pPr>
              <w:ind w:firstLine="0"/>
              <w:rPr>
                <w:rFonts w:eastAsia="SimSun"/>
              </w:rPr>
            </w:pPr>
            <w:r w:rsidRPr="00AC3044">
              <w:rPr>
                <w:rFonts w:eastAsia="SimSun"/>
              </w:rPr>
              <w:t xml:space="preserve">Флударабин </w:t>
            </w:r>
          </w:p>
        </w:tc>
        <w:tc>
          <w:tcPr>
            <w:tcW w:w="1418"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rsidR="005600FF" w:rsidRPr="00AC3044" w:rsidRDefault="005600FF" w:rsidP="005600FF">
            <w:pPr>
              <w:ind w:firstLine="0"/>
              <w:rPr>
                <w:rFonts w:eastAsia="SimSun"/>
              </w:rPr>
            </w:pPr>
            <w:r w:rsidRPr="00AC3044">
              <w:rPr>
                <w:rFonts w:eastAsia="SimSun"/>
              </w:rPr>
              <w:t>180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С -7 дня по -2 день</w:t>
            </w:r>
          </w:p>
        </w:tc>
        <w:tc>
          <w:tcPr>
            <w:tcW w:w="2552"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1207"/>
        </w:trPr>
        <w:tc>
          <w:tcPr>
            <w:tcW w:w="1135" w:type="dxa"/>
            <w:vMerge/>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Мелфалан</w:t>
            </w:r>
          </w:p>
        </w:tc>
        <w:tc>
          <w:tcPr>
            <w:tcW w:w="1418"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559"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 xml:space="preserve">В -2 день </w:t>
            </w:r>
          </w:p>
        </w:tc>
        <w:tc>
          <w:tcPr>
            <w:tcW w:w="2552"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606"/>
        </w:trPr>
        <w:tc>
          <w:tcPr>
            <w:tcW w:w="1135"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559" w:type="dxa"/>
            <w:vAlign w:val="center"/>
          </w:tcPr>
          <w:p w:rsidR="005600FF" w:rsidRPr="00AC3044" w:rsidRDefault="005600FF" w:rsidP="005600FF">
            <w:pPr>
              <w:ind w:firstLine="0"/>
              <w:rPr>
                <w:rFonts w:eastAsia="SimSun"/>
              </w:rPr>
            </w:pPr>
            <w:r w:rsidRPr="00AC3044">
              <w:rPr>
                <w:rFonts w:eastAsia="SimSun"/>
              </w:rPr>
              <w:t>Циклофосфамид</w:t>
            </w:r>
          </w:p>
        </w:tc>
        <w:tc>
          <w:tcPr>
            <w:tcW w:w="1418" w:type="dxa"/>
            <w:vAlign w:val="center"/>
          </w:tcPr>
          <w:p w:rsidR="005600FF" w:rsidRPr="00AC3044" w:rsidRDefault="005600FF" w:rsidP="005600FF">
            <w:pPr>
              <w:ind w:firstLine="0"/>
              <w:rPr>
                <w:rFonts w:eastAsia="SimSun"/>
              </w:rPr>
            </w:pPr>
            <w:r w:rsidRPr="00AC3044">
              <w:rPr>
                <w:rFonts w:eastAsia="SimSun"/>
              </w:rPr>
              <w:t>50 мг/кг</w:t>
            </w:r>
          </w:p>
        </w:tc>
        <w:tc>
          <w:tcPr>
            <w:tcW w:w="1559" w:type="dxa"/>
            <w:vAlign w:val="center"/>
          </w:tcPr>
          <w:p w:rsidR="005600FF" w:rsidRPr="00AC3044" w:rsidRDefault="005600FF" w:rsidP="005600FF">
            <w:pPr>
              <w:ind w:firstLine="0"/>
              <w:rPr>
                <w:rFonts w:eastAsia="SimSun"/>
              </w:rPr>
            </w:pPr>
            <w:r w:rsidRPr="00AC3044">
              <w:rPr>
                <w:rFonts w:eastAsia="SimSun"/>
              </w:rPr>
              <w:t>100 мг/кг</w:t>
            </w:r>
          </w:p>
        </w:tc>
        <w:tc>
          <w:tcPr>
            <w:tcW w:w="1417" w:type="dxa"/>
            <w:vAlign w:val="center"/>
          </w:tcPr>
          <w:p w:rsidR="005600FF" w:rsidRPr="00AC3044" w:rsidRDefault="005600FF" w:rsidP="005600FF">
            <w:pPr>
              <w:ind w:firstLine="0"/>
              <w:rPr>
                <w:rFonts w:eastAsia="SimSun"/>
              </w:rPr>
            </w:pPr>
            <w:r w:rsidRPr="00AC3044">
              <w:rPr>
                <w:rFonts w:eastAsia="SimSun"/>
              </w:rPr>
              <w:t xml:space="preserve">+3,+4 дни </w:t>
            </w:r>
          </w:p>
        </w:tc>
        <w:tc>
          <w:tcPr>
            <w:tcW w:w="2552"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958"/>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 xml:space="preserve">Такролимус </w:t>
            </w:r>
          </w:p>
        </w:tc>
        <w:tc>
          <w:tcPr>
            <w:tcW w:w="1418" w:type="dxa"/>
            <w:vAlign w:val="center"/>
          </w:tcPr>
          <w:p w:rsidR="005600FF" w:rsidRPr="00AC3044" w:rsidRDefault="005600FF" w:rsidP="005600FF">
            <w:pPr>
              <w:ind w:firstLine="0"/>
              <w:rPr>
                <w:rFonts w:eastAsia="SimSun"/>
              </w:rPr>
            </w:pPr>
            <w:r w:rsidRPr="00AC3044">
              <w:rPr>
                <w:rFonts w:eastAsia="SimSun"/>
              </w:rPr>
              <w:t>0,03 мг/кг</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 xml:space="preserve">С -1 дня длительно </w:t>
            </w:r>
          </w:p>
        </w:tc>
        <w:tc>
          <w:tcPr>
            <w:tcW w:w="2552" w:type="dxa"/>
            <w:vAlign w:val="center"/>
          </w:tcPr>
          <w:p w:rsidR="005600FF" w:rsidRPr="00AC3044" w:rsidRDefault="005600FF" w:rsidP="005600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5600FF" w:rsidRPr="00AC3044" w:rsidTr="005600FF">
        <w:trPr>
          <w:cantSplit/>
          <w:trHeight w:val="386"/>
        </w:trPr>
        <w:tc>
          <w:tcPr>
            <w:tcW w:w="1135" w:type="dxa"/>
            <w:vMerge/>
            <w:textDirection w:val="btLr"/>
            <w:vAlign w:val="center"/>
          </w:tcPr>
          <w:p w:rsidR="005600FF" w:rsidRPr="00AC3044" w:rsidRDefault="005600FF" w:rsidP="005600FF">
            <w:pPr>
              <w:ind w:firstLine="0"/>
              <w:rPr>
                <w:rFonts w:eastAsia="SimSun"/>
              </w:rPr>
            </w:pPr>
          </w:p>
        </w:tc>
        <w:tc>
          <w:tcPr>
            <w:tcW w:w="1559"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418" w:type="dxa"/>
            <w:vAlign w:val="center"/>
          </w:tcPr>
          <w:p w:rsidR="005600FF" w:rsidRPr="00AC3044" w:rsidRDefault="005600FF" w:rsidP="005600FF">
            <w:pPr>
              <w:ind w:firstLine="0"/>
              <w:rPr>
                <w:rFonts w:eastAsia="SimSun"/>
              </w:rPr>
            </w:pPr>
            <w:r w:rsidRPr="00AC3044">
              <w:rPr>
                <w:rFonts w:eastAsia="SimSun"/>
              </w:rPr>
              <w:t xml:space="preserve">30 мг/кг </w:t>
            </w:r>
          </w:p>
        </w:tc>
        <w:tc>
          <w:tcPr>
            <w:tcW w:w="1559"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 xml:space="preserve">С -1 дня по +30 день </w:t>
            </w:r>
          </w:p>
        </w:tc>
        <w:tc>
          <w:tcPr>
            <w:tcW w:w="2552" w:type="dxa"/>
            <w:vAlign w:val="center"/>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rsidR="005600FF" w:rsidRPr="00C07B2E" w:rsidRDefault="005600FF" w:rsidP="005600FF">
      <w:pPr>
        <w:rPr>
          <w:rFonts w:eastAsia="SimSun"/>
        </w:rPr>
      </w:pPr>
    </w:p>
    <w:p w:rsidR="005600FF" w:rsidRPr="000F445E" w:rsidRDefault="005600FF" w:rsidP="005600FF">
      <w:pPr>
        <w:rPr>
          <w:rFonts w:eastAsia="SimSun"/>
          <w:i/>
          <w:u w:val="single"/>
        </w:rPr>
      </w:pPr>
      <w:bookmarkStart w:id="237" w:name="_Toc44401240"/>
      <w:r w:rsidRPr="000F445E">
        <w:rPr>
          <w:rFonts w:eastAsia="SimSun"/>
          <w:i/>
          <w:u w:val="single"/>
        </w:rPr>
        <w:t>4.  Алло-ТГСК с использованием манипулированных  трансплантатов (ex vivo Т-клеточная деплеция, позитивная CD34+ селекция)</w:t>
      </w:r>
      <w:bookmarkEnd w:id="237"/>
      <w:r w:rsidRPr="000F445E">
        <w:rPr>
          <w:rFonts w:eastAsia="SimSun"/>
          <w:i/>
          <w:u w:val="single"/>
        </w:rPr>
        <w:t xml:space="preserve"> </w:t>
      </w:r>
    </w:p>
    <w:p w:rsidR="005600FF" w:rsidRDefault="005600FF" w:rsidP="005600FF">
      <w:pPr>
        <w:rPr>
          <w:rFonts w:eastAsia="SimSun"/>
        </w:rPr>
      </w:pPr>
      <w:bookmarkStart w:id="238" w:name="_Toc44401242"/>
    </w:p>
    <w:bookmarkEnd w:id="238"/>
    <w:p w:rsidR="005600FF" w:rsidRPr="00C07B2E" w:rsidRDefault="005600FF" w:rsidP="005600FF">
      <w:pPr>
        <w:rPr>
          <w:rFonts w:eastAsia="SimSun"/>
        </w:rPr>
      </w:pPr>
      <w:r w:rsidRPr="00C07B2E">
        <w:rPr>
          <w:rFonts w:eastAsia="SimSun"/>
        </w:rPr>
        <w:t xml:space="preserve">Схема и режим применения препаратов для кондиционирования и профилактики РТПХ приведены в </w:t>
      </w:r>
      <w:r>
        <w:rPr>
          <w:rFonts w:eastAsia="SimSun"/>
        </w:rPr>
        <w:t>Таблицах</w:t>
      </w:r>
      <w:r w:rsidRPr="00C07B2E">
        <w:rPr>
          <w:rFonts w:eastAsia="SimSun"/>
        </w:rPr>
        <w:t xml:space="preserve"> </w:t>
      </w:r>
      <w:r>
        <w:rPr>
          <w:rFonts w:eastAsia="SimSun"/>
        </w:rPr>
        <w:t>5.</w:t>
      </w:r>
      <w:r w:rsidRPr="00C07B2E">
        <w:rPr>
          <w:rFonts w:eastAsia="SimSun"/>
        </w:rPr>
        <w:t xml:space="preserve">4.1, </w:t>
      </w:r>
      <w:r>
        <w:rPr>
          <w:rFonts w:eastAsia="SimSun"/>
        </w:rPr>
        <w:t>5.</w:t>
      </w:r>
      <w:r w:rsidRPr="00C07B2E">
        <w:rPr>
          <w:rFonts w:eastAsia="SimSun"/>
        </w:rPr>
        <w:t xml:space="preserve">4.2 и </w:t>
      </w:r>
      <w:r>
        <w:rPr>
          <w:rFonts w:eastAsia="SimSun"/>
        </w:rPr>
        <w:t>5.</w:t>
      </w:r>
      <w:r w:rsidRPr="00C07B2E">
        <w:rPr>
          <w:rFonts w:eastAsia="SimSun"/>
        </w:rPr>
        <w:t xml:space="preserve">4.3. </w:t>
      </w:r>
    </w:p>
    <w:p w:rsidR="005600FF" w:rsidRDefault="005600FF" w:rsidP="005600FF">
      <w:pPr>
        <w:rPr>
          <w:rFonts w:eastAsia="SimSun"/>
        </w:rPr>
      </w:pPr>
      <w:bookmarkStart w:id="239" w:name="_Toc44401243"/>
    </w:p>
    <w:p w:rsidR="005600FF" w:rsidRPr="00EE51B1" w:rsidRDefault="005600FF" w:rsidP="005600FF">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4.1  – </w:t>
      </w:r>
      <w:r w:rsidRPr="00DF7E85">
        <w:rPr>
          <w:rFonts w:eastAsia="SimSun"/>
          <w:lang w:val="en-US"/>
        </w:rPr>
        <w:t>Flu</w:t>
      </w:r>
      <w:r w:rsidRPr="00EE51B1">
        <w:rPr>
          <w:rFonts w:eastAsia="SimSun"/>
          <w:lang w:val="en-US"/>
        </w:rPr>
        <w:t>150+</w:t>
      </w:r>
      <w:r w:rsidRPr="00DF7E85">
        <w:rPr>
          <w:rFonts w:eastAsia="SimSun"/>
          <w:lang w:val="en-US"/>
        </w:rPr>
        <w:t>Treo</w:t>
      </w:r>
      <w:r w:rsidRPr="00EE51B1">
        <w:rPr>
          <w:rFonts w:eastAsia="SimSun"/>
          <w:lang w:val="en-US"/>
        </w:rPr>
        <w:t>42+</w:t>
      </w:r>
      <w:r w:rsidRPr="00DF7E85">
        <w:rPr>
          <w:rFonts w:eastAsia="SimSun"/>
          <w:lang w:val="en-US"/>
        </w:rPr>
        <w:t>Thio</w:t>
      </w:r>
      <w:r w:rsidRPr="00EE51B1">
        <w:rPr>
          <w:rFonts w:eastAsia="SimSun"/>
          <w:lang w:val="en-US"/>
        </w:rPr>
        <w:t xml:space="preserve"> / </w:t>
      </w:r>
      <w:r w:rsidRPr="00DF7E85">
        <w:rPr>
          <w:rFonts w:eastAsia="SimSun"/>
          <w:lang w:val="en-US"/>
        </w:rPr>
        <w:t>TCR</w:t>
      </w:r>
      <w:r w:rsidRPr="00C07B2E">
        <w:rPr>
          <w:rFonts w:eastAsia="SimSun"/>
        </w:rPr>
        <w:t>αβ</w:t>
      </w:r>
      <w:r w:rsidRPr="00EE51B1">
        <w:rPr>
          <w:rFonts w:eastAsia="SimSun"/>
          <w:lang w:val="en-US"/>
        </w:rPr>
        <w:t>-</w:t>
      </w:r>
      <w:r w:rsidRPr="00DF7E85">
        <w:rPr>
          <w:rFonts w:eastAsia="SimSun"/>
          <w:lang w:val="en-US"/>
        </w:rPr>
        <w:t>CD</w:t>
      </w:r>
      <w:r w:rsidRPr="00EE51B1">
        <w:rPr>
          <w:rFonts w:eastAsia="SimSun"/>
          <w:lang w:val="en-US"/>
        </w:rPr>
        <w:t>19</w:t>
      </w:r>
      <w:bookmarkEnd w:id="239"/>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276"/>
        <w:gridCol w:w="1417"/>
        <w:gridCol w:w="1843"/>
        <w:gridCol w:w="2835"/>
      </w:tblGrid>
      <w:tr w:rsidR="005600FF" w:rsidRPr="00AC3044" w:rsidTr="005600FF">
        <w:trPr>
          <w:cantSplit/>
          <w:trHeight w:val="20"/>
          <w:tblHeader/>
        </w:trPr>
        <w:tc>
          <w:tcPr>
            <w:tcW w:w="851" w:type="dxa"/>
          </w:tcPr>
          <w:p w:rsidR="005600FF" w:rsidRPr="000F445E" w:rsidRDefault="005600FF" w:rsidP="005600FF">
            <w:pPr>
              <w:ind w:firstLine="0"/>
              <w:rPr>
                <w:rFonts w:eastAsia="SimSun"/>
                <w:lang w:val="en-US"/>
              </w:rPr>
            </w:pPr>
          </w:p>
        </w:tc>
        <w:tc>
          <w:tcPr>
            <w:tcW w:w="2268" w:type="dxa"/>
            <w:vAlign w:val="center"/>
          </w:tcPr>
          <w:p w:rsidR="005600FF" w:rsidRPr="00AC3044" w:rsidRDefault="005600FF" w:rsidP="005600FF">
            <w:pPr>
              <w:ind w:firstLine="0"/>
              <w:rPr>
                <w:rFonts w:eastAsia="SimSun"/>
              </w:rPr>
            </w:pPr>
            <w:r w:rsidRPr="00AC3044">
              <w:rPr>
                <w:rFonts w:eastAsia="SimSun"/>
              </w:rPr>
              <w:t>Препарат</w:t>
            </w:r>
          </w:p>
        </w:tc>
        <w:tc>
          <w:tcPr>
            <w:tcW w:w="1276"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7"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843" w:type="dxa"/>
            <w:vAlign w:val="center"/>
          </w:tcPr>
          <w:p w:rsidR="005600FF" w:rsidRPr="00AC3044" w:rsidRDefault="005600FF" w:rsidP="005600FF">
            <w:pPr>
              <w:ind w:firstLine="0"/>
              <w:rPr>
                <w:rFonts w:eastAsia="SimSun"/>
              </w:rPr>
            </w:pPr>
            <w:r w:rsidRPr="00AC3044">
              <w:rPr>
                <w:rFonts w:eastAsia="SimSun"/>
              </w:rPr>
              <w:t>Дни введения</w:t>
            </w:r>
          </w:p>
        </w:tc>
        <w:tc>
          <w:tcPr>
            <w:tcW w:w="2835"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2268" w:type="dxa"/>
            <w:vAlign w:val="center"/>
          </w:tcPr>
          <w:p w:rsidR="005600FF" w:rsidRPr="00AC3044" w:rsidRDefault="005600FF" w:rsidP="005600FF">
            <w:pPr>
              <w:ind w:firstLine="0"/>
              <w:rPr>
                <w:rFonts w:eastAsia="SimSun"/>
              </w:rPr>
            </w:pPr>
            <w:r w:rsidRPr="00AC3044">
              <w:rPr>
                <w:rFonts w:eastAsia="SimSun"/>
              </w:rPr>
              <w:t>Треосульфан</w:t>
            </w:r>
          </w:p>
        </w:tc>
        <w:tc>
          <w:tcPr>
            <w:tcW w:w="1276" w:type="dxa"/>
            <w:vAlign w:val="center"/>
          </w:tcPr>
          <w:p w:rsidR="005600FF" w:rsidRPr="00AC3044" w:rsidRDefault="005600FF" w:rsidP="005600FF">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–5,–4,–3</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457"/>
        </w:trPr>
        <w:tc>
          <w:tcPr>
            <w:tcW w:w="851" w:type="dxa"/>
            <w:vMerge/>
            <w:textDirection w:val="btLr"/>
            <w:vAlign w:val="center"/>
          </w:tcPr>
          <w:p w:rsidR="005600FF" w:rsidRPr="00AC3044" w:rsidRDefault="005600FF" w:rsidP="005600FF">
            <w:pPr>
              <w:ind w:firstLine="0"/>
              <w:rPr>
                <w:rFonts w:eastAsia="SimSun"/>
              </w:rPr>
            </w:pPr>
          </w:p>
        </w:tc>
        <w:tc>
          <w:tcPr>
            <w:tcW w:w="2268" w:type="dxa"/>
            <w:vAlign w:val="center"/>
          </w:tcPr>
          <w:p w:rsidR="005600FF" w:rsidRPr="00AC3044" w:rsidRDefault="005600FF" w:rsidP="005600FF">
            <w:pPr>
              <w:ind w:firstLine="0"/>
              <w:rPr>
                <w:rFonts w:eastAsia="SimSun"/>
              </w:rPr>
            </w:pPr>
            <w:r w:rsidRPr="00AC3044">
              <w:rPr>
                <w:rFonts w:eastAsia="SimSun"/>
              </w:rPr>
              <w:t>Тиотепа</w:t>
            </w:r>
          </w:p>
        </w:tc>
        <w:tc>
          <w:tcPr>
            <w:tcW w:w="1276" w:type="dxa"/>
            <w:vAlign w:val="center"/>
          </w:tcPr>
          <w:p w:rsidR="005600FF" w:rsidRPr="00AC3044" w:rsidRDefault="005600FF" w:rsidP="005600FF">
            <w:pPr>
              <w:ind w:firstLine="0"/>
              <w:rPr>
                <w:rFonts w:eastAsia="SimSun"/>
              </w:rPr>
            </w:pPr>
            <w:r w:rsidRPr="00AC3044">
              <w:rPr>
                <w:rFonts w:eastAsia="SimSun"/>
              </w:rPr>
              <w:t xml:space="preserve">5мг/кг </w:t>
            </w:r>
          </w:p>
        </w:tc>
        <w:tc>
          <w:tcPr>
            <w:tcW w:w="1417" w:type="dxa"/>
            <w:vAlign w:val="center"/>
          </w:tcPr>
          <w:p w:rsidR="005600FF" w:rsidRPr="00AC3044" w:rsidRDefault="005600FF" w:rsidP="005600FF">
            <w:pPr>
              <w:ind w:firstLine="0"/>
              <w:rPr>
                <w:rFonts w:eastAsia="SimSun"/>
              </w:rPr>
            </w:pPr>
            <w:r w:rsidRPr="00AC3044">
              <w:rPr>
                <w:rFonts w:eastAsia="SimSun"/>
              </w:rPr>
              <w:t>10 мг/кг</w:t>
            </w:r>
          </w:p>
        </w:tc>
        <w:tc>
          <w:tcPr>
            <w:tcW w:w="1843" w:type="dxa"/>
            <w:vAlign w:val="center"/>
          </w:tcPr>
          <w:p w:rsidR="005600FF" w:rsidRPr="00AC3044" w:rsidRDefault="005600FF" w:rsidP="005600FF">
            <w:pPr>
              <w:ind w:firstLine="0"/>
              <w:rPr>
                <w:rFonts w:eastAsia="SimSun"/>
              </w:rPr>
            </w:pPr>
            <w:r w:rsidRPr="00AC3044">
              <w:rPr>
                <w:rFonts w:eastAsia="SimSun"/>
              </w:rPr>
              <w:t>–6,–5</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62"/>
        </w:trPr>
        <w:tc>
          <w:tcPr>
            <w:tcW w:w="851" w:type="dxa"/>
            <w:vMerge/>
            <w:textDirection w:val="btLr"/>
            <w:vAlign w:val="center"/>
          </w:tcPr>
          <w:p w:rsidR="005600FF" w:rsidRPr="00AC3044" w:rsidRDefault="005600FF" w:rsidP="005600FF">
            <w:pPr>
              <w:ind w:firstLine="0"/>
              <w:rPr>
                <w:rFonts w:eastAsia="SimSun"/>
              </w:rPr>
            </w:pPr>
          </w:p>
        </w:tc>
        <w:tc>
          <w:tcPr>
            <w:tcW w:w="2268" w:type="dxa"/>
            <w:vAlign w:val="center"/>
          </w:tcPr>
          <w:p w:rsidR="005600FF" w:rsidRPr="00AC3044" w:rsidRDefault="005600FF" w:rsidP="005600FF">
            <w:pPr>
              <w:ind w:firstLine="0"/>
              <w:rPr>
                <w:rFonts w:eastAsia="SimSun"/>
              </w:rPr>
            </w:pPr>
            <w:r w:rsidRPr="00AC3044">
              <w:rPr>
                <w:rFonts w:eastAsia="SimSun"/>
              </w:rPr>
              <w:t>Флударабин</w:t>
            </w:r>
          </w:p>
        </w:tc>
        <w:tc>
          <w:tcPr>
            <w:tcW w:w="1276"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–6,–5,–4, –3, –2</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388"/>
        </w:trPr>
        <w:tc>
          <w:tcPr>
            <w:tcW w:w="851"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2268" w:type="dxa"/>
            <w:vAlign w:val="center"/>
          </w:tcPr>
          <w:p w:rsidR="005600FF" w:rsidRPr="00AC3044" w:rsidRDefault="005600FF" w:rsidP="005600FF">
            <w:pPr>
              <w:ind w:firstLine="0"/>
              <w:rPr>
                <w:rFonts w:eastAsia="SimSun"/>
              </w:rPr>
            </w:pPr>
            <w:r w:rsidRPr="00AC3044">
              <w:rPr>
                <w:rFonts w:eastAsia="SimSun"/>
              </w:rPr>
              <w:t>Ритуксимаб</w:t>
            </w:r>
          </w:p>
        </w:tc>
        <w:tc>
          <w:tcPr>
            <w:tcW w:w="1276"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–1</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2268" w:type="dxa"/>
            <w:vAlign w:val="center"/>
          </w:tcPr>
          <w:p w:rsidR="005600FF" w:rsidRPr="00AC3044" w:rsidRDefault="005600FF" w:rsidP="005600FF">
            <w:pPr>
              <w:ind w:firstLine="0"/>
              <w:rPr>
                <w:rFonts w:eastAsia="SimSun"/>
              </w:rPr>
            </w:pPr>
            <w:r w:rsidRPr="00AC3044">
              <w:rPr>
                <w:rFonts w:eastAsia="SimSun"/>
              </w:rPr>
              <w:t>Тоцилизумаб</w:t>
            </w:r>
          </w:p>
        </w:tc>
        <w:tc>
          <w:tcPr>
            <w:tcW w:w="1276" w:type="dxa"/>
            <w:vAlign w:val="center"/>
          </w:tcPr>
          <w:p w:rsidR="005600FF" w:rsidRPr="00AC3044" w:rsidRDefault="005600FF" w:rsidP="005600FF">
            <w:pPr>
              <w:ind w:firstLine="0"/>
              <w:rPr>
                <w:rFonts w:eastAsia="SimSun"/>
              </w:rPr>
            </w:pPr>
            <w:r w:rsidRPr="00AC3044">
              <w:rPr>
                <w:rFonts w:eastAsia="SimSun"/>
              </w:rPr>
              <w:t>8 мг/кг</w:t>
            </w:r>
          </w:p>
        </w:tc>
        <w:tc>
          <w:tcPr>
            <w:tcW w:w="1417" w:type="dxa"/>
            <w:vAlign w:val="center"/>
          </w:tcPr>
          <w:p w:rsidR="005600FF" w:rsidRPr="00AC3044" w:rsidRDefault="005600FF" w:rsidP="005600FF">
            <w:pPr>
              <w:ind w:firstLine="0"/>
              <w:rPr>
                <w:rFonts w:eastAsia="SimSun"/>
              </w:rPr>
            </w:pPr>
            <w:r w:rsidRPr="00AC3044">
              <w:rPr>
                <w:rFonts w:eastAsia="SimSun"/>
              </w:rPr>
              <w:t>8 мг/кг</w:t>
            </w:r>
          </w:p>
        </w:tc>
        <w:tc>
          <w:tcPr>
            <w:tcW w:w="1843" w:type="dxa"/>
            <w:vAlign w:val="center"/>
          </w:tcPr>
          <w:p w:rsidR="005600FF" w:rsidRPr="00AC3044" w:rsidRDefault="005600FF" w:rsidP="005600FF">
            <w:pPr>
              <w:ind w:firstLine="0"/>
              <w:rPr>
                <w:rFonts w:eastAsia="SimSun"/>
              </w:rPr>
            </w:pPr>
            <w:r w:rsidRPr="00AC3044">
              <w:rPr>
                <w:rFonts w:eastAsia="SimSun"/>
              </w:rPr>
              <w:t>–1, +21</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20"/>
        </w:trPr>
        <w:tc>
          <w:tcPr>
            <w:tcW w:w="851" w:type="dxa"/>
            <w:vMerge/>
            <w:textDirection w:val="btLr"/>
          </w:tcPr>
          <w:p w:rsidR="005600FF" w:rsidRPr="00AC3044" w:rsidRDefault="005600FF" w:rsidP="005600FF">
            <w:pPr>
              <w:ind w:firstLine="0"/>
              <w:rPr>
                <w:rFonts w:eastAsia="SimSun"/>
              </w:rPr>
            </w:pPr>
          </w:p>
        </w:tc>
        <w:tc>
          <w:tcPr>
            <w:tcW w:w="2268" w:type="dxa"/>
            <w:vAlign w:val="center"/>
          </w:tcPr>
          <w:p w:rsidR="005600FF" w:rsidRPr="00AC3044" w:rsidRDefault="005600FF" w:rsidP="005600FF">
            <w:pPr>
              <w:ind w:firstLine="0"/>
              <w:rPr>
                <w:rFonts w:eastAsia="SimSun"/>
              </w:rPr>
            </w:pPr>
            <w:r w:rsidRPr="00AC3044">
              <w:rPr>
                <w:rFonts w:eastAsia="SimSun"/>
              </w:rPr>
              <w:t>Абатацепт1</w:t>
            </w:r>
          </w:p>
        </w:tc>
        <w:tc>
          <w:tcPr>
            <w:tcW w:w="1276" w:type="dxa"/>
            <w:vAlign w:val="center"/>
          </w:tcPr>
          <w:p w:rsidR="005600FF" w:rsidRPr="00AC3044" w:rsidRDefault="005600FF" w:rsidP="005600FF">
            <w:pPr>
              <w:ind w:firstLine="0"/>
              <w:rPr>
                <w:rFonts w:eastAsia="SimSun"/>
              </w:rPr>
            </w:pPr>
            <w:r w:rsidRPr="00AC3044">
              <w:rPr>
                <w:rFonts w:eastAsia="SimSun"/>
              </w:rPr>
              <w:t>10 мг/кг</w:t>
            </w:r>
          </w:p>
        </w:tc>
        <w:tc>
          <w:tcPr>
            <w:tcW w:w="1417" w:type="dxa"/>
            <w:vAlign w:val="center"/>
          </w:tcPr>
          <w:p w:rsidR="005600FF" w:rsidRPr="00AC3044" w:rsidRDefault="005600FF" w:rsidP="005600FF">
            <w:pPr>
              <w:ind w:firstLine="0"/>
              <w:rPr>
                <w:rFonts w:eastAsia="SimSun"/>
              </w:rPr>
            </w:pPr>
            <w:r w:rsidRPr="00AC3044">
              <w:rPr>
                <w:rFonts w:eastAsia="SimSun"/>
              </w:rPr>
              <w:t>40 мг/кг</w:t>
            </w:r>
          </w:p>
        </w:tc>
        <w:tc>
          <w:tcPr>
            <w:tcW w:w="1843" w:type="dxa"/>
            <w:vAlign w:val="center"/>
          </w:tcPr>
          <w:p w:rsidR="005600FF" w:rsidRPr="00AC3044" w:rsidRDefault="005600FF" w:rsidP="005600FF">
            <w:pPr>
              <w:ind w:firstLine="0"/>
              <w:rPr>
                <w:rFonts w:eastAsia="SimSun"/>
              </w:rPr>
            </w:pPr>
            <w:r w:rsidRPr="00AC3044">
              <w:rPr>
                <w:rFonts w:eastAsia="SimSun"/>
              </w:rPr>
              <w:t>–1,+7,+14,+28</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30 мин</w:t>
            </w:r>
          </w:p>
        </w:tc>
      </w:tr>
      <w:tr w:rsidR="005600FF" w:rsidRPr="00AC3044" w:rsidTr="005600FF">
        <w:trPr>
          <w:cantSplit/>
          <w:trHeight w:val="1482"/>
        </w:trPr>
        <w:tc>
          <w:tcPr>
            <w:tcW w:w="851" w:type="dxa"/>
            <w:textDirection w:val="btLr"/>
            <w:vAlign w:val="center"/>
          </w:tcPr>
          <w:p w:rsidR="005600FF" w:rsidRPr="00AC3044" w:rsidRDefault="005600FF" w:rsidP="005600FF">
            <w:pPr>
              <w:ind w:firstLine="0"/>
              <w:rPr>
                <w:rFonts w:eastAsia="SimSun"/>
              </w:rPr>
            </w:pPr>
            <w:r w:rsidRPr="00AC3044">
              <w:rPr>
                <w:rFonts w:eastAsia="SimSun"/>
              </w:rPr>
              <w:t xml:space="preserve">Ex vivo манипуляция с трансплантатом </w:t>
            </w:r>
          </w:p>
        </w:tc>
        <w:tc>
          <w:tcPr>
            <w:tcW w:w="2268" w:type="dxa"/>
            <w:vAlign w:val="center"/>
          </w:tcPr>
          <w:p w:rsidR="005600FF" w:rsidRPr="00AC3044" w:rsidRDefault="005600FF" w:rsidP="005600FF">
            <w:pPr>
              <w:ind w:firstLine="0"/>
              <w:rPr>
                <w:rFonts w:eastAsia="SimSun"/>
              </w:rPr>
            </w:pPr>
            <w:r w:rsidRPr="00AC3044">
              <w:rPr>
                <w:rFonts w:eastAsia="SimSun"/>
              </w:rPr>
              <w:t>Комплексная услуга TCRαβ/CD19 деплеция</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0</w:t>
            </w:r>
          </w:p>
        </w:tc>
        <w:tc>
          <w:tcPr>
            <w:tcW w:w="2835" w:type="dxa"/>
            <w:vAlign w:val="center"/>
          </w:tcPr>
          <w:p w:rsidR="005600FF" w:rsidRPr="00AC3044" w:rsidRDefault="005600FF" w:rsidP="005600FF">
            <w:pPr>
              <w:ind w:firstLine="0"/>
              <w:rPr>
                <w:rFonts w:eastAsia="SimSun"/>
              </w:rPr>
            </w:pPr>
            <w:r w:rsidRPr="00AC3044">
              <w:rPr>
                <w:rFonts w:eastAsia="SimSun"/>
              </w:rPr>
              <w:t>-</w:t>
            </w:r>
          </w:p>
        </w:tc>
      </w:tr>
      <w:tr w:rsidR="005600FF" w:rsidRPr="00AC3044" w:rsidTr="005600FF">
        <w:trPr>
          <w:trHeight w:val="20"/>
        </w:trPr>
        <w:tc>
          <w:tcPr>
            <w:tcW w:w="10490" w:type="dxa"/>
            <w:gridSpan w:val="6"/>
          </w:tcPr>
          <w:p w:rsidR="005600FF" w:rsidRPr="00AC3044" w:rsidRDefault="005600FF" w:rsidP="005600F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rsidR="005600FF" w:rsidRPr="00AC3044" w:rsidRDefault="005600FF" w:rsidP="005600FF">
            <w:pPr>
              <w:ind w:firstLine="0"/>
              <w:rPr>
                <w:rFonts w:eastAsia="SimSun"/>
              </w:rPr>
            </w:pPr>
          </w:p>
        </w:tc>
      </w:tr>
    </w:tbl>
    <w:p w:rsidR="005600FF" w:rsidRPr="00C07B2E" w:rsidRDefault="005600FF" w:rsidP="005600FF">
      <w:pPr>
        <w:rPr>
          <w:rFonts w:eastAsia="SimSun"/>
        </w:rPr>
      </w:pPr>
    </w:p>
    <w:p w:rsidR="005600FF" w:rsidRPr="00DF7E85" w:rsidRDefault="005600FF" w:rsidP="005600FF">
      <w:pPr>
        <w:rPr>
          <w:rFonts w:eastAsia="SimSun"/>
          <w:lang w:val="en-US"/>
        </w:rPr>
      </w:pPr>
      <w:bookmarkStart w:id="240" w:name="_Toc44401244"/>
      <w:r>
        <w:rPr>
          <w:rFonts w:eastAsia="SimSun"/>
        </w:rPr>
        <w:t>Таблица</w:t>
      </w:r>
      <w:r w:rsidRPr="00DF7E85">
        <w:rPr>
          <w:rFonts w:eastAsia="SimSun"/>
          <w:lang w:val="en-US"/>
        </w:rPr>
        <w:t xml:space="preserve"> 5.4.2.  – Flu150+Treo42+Mel140 / TCR</w:t>
      </w:r>
      <w:r w:rsidRPr="00C07B2E">
        <w:rPr>
          <w:rFonts w:eastAsia="SimSun"/>
        </w:rPr>
        <w:t>αβ</w:t>
      </w:r>
      <w:r w:rsidRPr="00DF7E85">
        <w:rPr>
          <w:rFonts w:eastAsia="SimSun"/>
          <w:lang w:val="en-US"/>
        </w:rPr>
        <w:t>-CD19</w:t>
      </w:r>
      <w:bookmarkEnd w:id="240"/>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5600FF" w:rsidRPr="00AC3044" w:rsidTr="005600FF">
        <w:trPr>
          <w:cantSplit/>
          <w:trHeight w:val="20"/>
          <w:tblHeader/>
        </w:trPr>
        <w:tc>
          <w:tcPr>
            <w:tcW w:w="709" w:type="dxa"/>
          </w:tcPr>
          <w:p w:rsidR="005600FF" w:rsidRPr="00DF7E85" w:rsidRDefault="005600FF" w:rsidP="005600FF">
            <w:pPr>
              <w:ind w:firstLine="0"/>
              <w:rPr>
                <w:rFonts w:eastAsia="SimSun"/>
                <w:lang w:val="en-US"/>
              </w:rPr>
            </w:pPr>
          </w:p>
        </w:tc>
        <w:tc>
          <w:tcPr>
            <w:tcW w:w="2410" w:type="dxa"/>
            <w:vAlign w:val="center"/>
          </w:tcPr>
          <w:p w:rsidR="005600FF" w:rsidRPr="00AC3044" w:rsidRDefault="005600FF" w:rsidP="005600FF">
            <w:pPr>
              <w:ind w:firstLine="0"/>
              <w:rPr>
                <w:rFonts w:eastAsia="SimSun"/>
              </w:rPr>
            </w:pPr>
            <w:r w:rsidRPr="00AC3044">
              <w:rPr>
                <w:rFonts w:eastAsia="SimSun"/>
              </w:rPr>
              <w:t>Препарат</w:t>
            </w:r>
          </w:p>
        </w:tc>
        <w:tc>
          <w:tcPr>
            <w:tcW w:w="1276"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7"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843" w:type="dxa"/>
            <w:vAlign w:val="center"/>
          </w:tcPr>
          <w:p w:rsidR="005600FF" w:rsidRPr="00AC3044" w:rsidRDefault="005600FF" w:rsidP="005600FF">
            <w:pPr>
              <w:ind w:firstLine="0"/>
              <w:rPr>
                <w:rFonts w:eastAsia="SimSun"/>
              </w:rPr>
            </w:pPr>
            <w:r w:rsidRPr="00AC3044">
              <w:rPr>
                <w:rFonts w:eastAsia="SimSun"/>
              </w:rPr>
              <w:t>Дни введения</w:t>
            </w:r>
          </w:p>
        </w:tc>
        <w:tc>
          <w:tcPr>
            <w:tcW w:w="2835"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2410" w:type="dxa"/>
          </w:tcPr>
          <w:p w:rsidR="005600FF" w:rsidRPr="00AC3044" w:rsidRDefault="005600FF" w:rsidP="005600FF">
            <w:pPr>
              <w:ind w:firstLine="0"/>
              <w:rPr>
                <w:rFonts w:eastAsia="SimSun"/>
              </w:rPr>
            </w:pPr>
            <w:r w:rsidRPr="00AC3044">
              <w:rPr>
                <w:rFonts w:eastAsia="SimSun"/>
              </w:rPr>
              <w:t>Треосульфан</w:t>
            </w:r>
          </w:p>
        </w:tc>
        <w:tc>
          <w:tcPr>
            <w:tcW w:w="1276" w:type="dxa"/>
            <w:vAlign w:val="center"/>
          </w:tcPr>
          <w:p w:rsidR="005600FF" w:rsidRPr="00AC3044" w:rsidRDefault="005600FF" w:rsidP="005600FF">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–5,–4,–3</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785"/>
        </w:trPr>
        <w:tc>
          <w:tcPr>
            <w:tcW w:w="709" w:type="dxa"/>
            <w:vMerge/>
            <w:textDirection w:val="btLr"/>
            <w:vAlign w:val="center"/>
          </w:tcPr>
          <w:p w:rsidR="005600FF" w:rsidRPr="00AC3044" w:rsidRDefault="005600FF" w:rsidP="005600FF">
            <w:pPr>
              <w:ind w:firstLine="0"/>
              <w:rPr>
                <w:rFonts w:eastAsia="SimSun"/>
              </w:rPr>
            </w:pPr>
          </w:p>
        </w:tc>
        <w:tc>
          <w:tcPr>
            <w:tcW w:w="2410" w:type="dxa"/>
          </w:tcPr>
          <w:p w:rsidR="005600FF" w:rsidRPr="00AC3044" w:rsidRDefault="005600FF" w:rsidP="005600FF">
            <w:pPr>
              <w:ind w:firstLine="0"/>
              <w:rPr>
                <w:rFonts w:eastAsia="SimSun"/>
              </w:rPr>
            </w:pPr>
            <w:r w:rsidRPr="00AC3044">
              <w:rPr>
                <w:rFonts w:eastAsia="SimSun"/>
              </w:rPr>
              <w:t>Мелфалан</w:t>
            </w:r>
          </w:p>
        </w:tc>
        <w:tc>
          <w:tcPr>
            <w:tcW w:w="1276" w:type="dxa"/>
          </w:tcPr>
          <w:p w:rsidR="005600FF" w:rsidRPr="00AC3044" w:rsidRDefault="005600FF" w:rsidP="005600FF">
            <w:pPr>
              <w:ind w:firstLine="0"/>
              <w:rPr>
                <w:rFonts w:eastAsia="SimSun"/>
              </w:rPr>
            </w:pPr>
            <w:r w:rsidRPr="00AC3044">
              <w:rPr>
                <w:rFonts w:eastAsia="SimSun"/>
              </w:rPr>
              <w:t>70 мг/м</w:t>
            </w:r>
            <w:r w:rsidRPr="0074195F">
              <w:rPr>
                <w:rFonts w:eastAsia="SimSun"/>
                <w:vertAlign w:val="superscript"/>
              </w:rPr>
              <w:t>2</w:t>
            </w:r>
          </w:p>
        </w:tc>
        <w:tc>
          <w:tcPr>
            <w:tcW w:w="1417" w:type="dxa"/>
          </w:tcPr>
          <w:p w:rsidR="005600FF" w:rsidRPr="00AC3044" w:rsidRDefault="005600FF" w:rsidP="005600FF">
            <w:pPr>
              <w:ind w:firstLine="0"/>
              <w:rPr>
                <w:rFonts w:eastAsia="SimSun"/>
              </w:rPr>
            </w:pPr>
            <w:r w:rsidRPr="00AC3044">
              <w:rPr>
                <w:rFonts w:eastAsia="SimSun"/>
              </w:rPr>
              <w:t>140 мг/м</w:t>
            </w:r>
            <w:r w:rsidRPr="0074195F">
              <w:rPr>
                <w:rFonts w:eastAsia="SimSun"/>
                <w:vertAlign w:val="superscript"/>
              </w:rPr>
              <w:t>2</w:t>
            </w:r>
          </w:p>
        </w:tc>
        <w:tc>
          <w:tcPr>
            <w:tcW w:w="1843" w:type="dxa"/>
          </w:tcPr>
          <w:p w:rsidR="005600FF" w:rsidRPr="00AC3044" w:rsidRDefault="005600FF" w:rsidP="005600FF">
            <w:pPr>
              <w:ind w:firstLine="0"/>
              <w:rPr>
                <w:rFonts w:eastAsia="SimSun"/>
              </w:rPr>
            </w:pPr>
            <w:r w:rsidRPr="00AC3044">
              <w:rPr>
                <w:rFonts w:eastAsia="SimSun"/>
              </w:rPr>
              <w:t>–3, –2</w:t>
            </w:r>
          </w:p>
        </w:tc>
        <w:tc>
          <w:tcPr>
            <w:tcW w:w="2835" w:type="dxa"/>
          </w:tcPr>
          <w:p w:rsidR="005600FF" w:rsidRPr="00AC3044" w:rsidRDefault="005600FF" w:rsidP="005600FF">
            <w:pPr>
              <w:ind w:firstLine="0"/>
              <w:rPr>
                <w:rFonts w:eastAsia="SimSun"/>
              </w:rPr>
            </w:pPr>
            <w:r w:rsidRPr="00AC3044">
              <w:rPr>
                <w:rFonts w:eastAsia="SimSun"/>
              </w:rPr>
              <w:t>В/в, в течение 1 часа, через 2 часа после введения флударабина</w:t>
            </w:r>
          </w:p>
        </w:tc>
      </w:tr>
      <w:tr w:rsidR="005600FF" w:rsidRPr="00AC3044" w:rsidTr="005600FF">
        <w:trPr>
          <w:cantSplit/>
          <w:trHeight w:val="56"/>
        </w:trPr>
        <w:tc>
          <w:tcPr>
            <w:tcW w:w="709" w:type="dxa"/>
            <w:vMerge/>
            <w:textDirection w:val="btLr"/>
            <w:vAlign w:val="cente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Флударабин</w:t>
            </w:r>
          </w:p>
        </w:tc>
        <w:tc>
          <w:tcPr>
            <w:tcW w:w="1276"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–6,–5,–4, –3, –2</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548"/>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2410" w:type="dxa"/>
            <w:vAlign w:val="center"/>
          </w:tcPr>
          <w:p w:rsidR="005600FF" w:rsidRPr="00AC3044" w:rsidRDefault="005600FF" w:rsidP="005600FF">
            <w:pPr>
              <w:ind w:firstLine="0"/>
              <w:rPr>
                <w:rFonts w:eastAsia="SimSun"/>
              </w:rPr>
            </w:pPr>
            <w:r w:rsidRPr="00AC3044">
              <w:rPr>
                <w:rFonts w:eastAsia="SimSun"/>
              </w:rPr>
              <w:t>Ритуксимаб</w:t>
            </w:r>
          </w:p>
        </w:tc>
        <w:tc>
          <w:tcPr>
            <w:tcW w:w="1276"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–1</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Тоцилизумаб</w:t>
            </w:r>
          </w:p>
        </w:tc>
        <w:tc>
          <w:tcPr>
            <w:tcW w:w="1276" w:type="dxa"/>
            <w:vAlign w:val="center"/>
          </w:tcPr>
          <w:p w:rsidR="005600FF" w:rsidRPr="00AC3044" w:rsidRDefault="005600FF" w:rsidP="005600FF">
            <w:pPr>
              <w:ind w:firstLine="0"/>
              <w:rPr>
                <w:rFonts w:eastAsia="SimSun"/>
              </w:rPr>
            </w:pPr>
            <w:r w:rsidRPr="00AC3044">
              <w:rPr>
                <w:rFonts w:eastAsia="SimSun"/>
              </w:rPr>
              <w:t>8 мг/кг</w:t>
            </w:r>
          </w:p>
        </w:tc>
        <w:tc>
          <w:tcPr>
            <w:tcW w:w="1417" w:type="dxa"/>
            <w:vAlign w:val="center"/>
          </w:tcPr>
          <w:p w:rsidR="005600FF" w:rsidRPr="00AC3044" w:rsidRDefault="005600FF" w:rsidP="005600FF">
            <w:pPr>
              <w:ind w:firstLine="0"/>
              <w:rPr>
                <w:rFonts w:eastAsia="SimSun"/>
              </w:rPr>
            </w:pPr>
            <w:r w:rsidRPr="00AC3044">
              <w:rPr>
                <w:rFonts w:eastAsia="SimSun"/>
              </w:rPr>
              <w:t>8 мг/кг</w:t>
            </w:r>
          </w:p>
        </w:tc>
        <w:tc>
          <w:tcPr>
            <w:tcW w:w="1843" w:type="dxa"/>
            <w:vAlign w:val="center"/>
          </w:tcPr>
          <w:p w:rsidR="005600FF" w:rsidRPr="00AC3044" w:rsidRDefault="005600FF" w:rsidP="005600FF">
            <w:pPr>
              <w:ind w:firstLine="0"/>
              <w:rPr>
                <w:rFonts w:eastAsia="SimSun"/>
              </w:rPr>
            </w:pPr>
            <w:r w:rsidRPr="00AC3044">
              <w:rPr>
                <w:rFonts w:eastAsia="SimSun"/>
              </w:rPr>
              <w:t>–1, +21</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Абатацепт1</w:t>
            </w:r>
          </w:p>
        </w:tc>
        <w:tc>
          <w:tcPr>
            <w:tcW w:w="1276" w:type="dxa"/>
            <w:vAlign w:val="center"/>
          </w:tcPr>
          <w:p w:rsidR="005600FF" w:rsidRPr="00AC3044" w:rsidRDefault="005600FF" w:rsidP="005600FF">
            <w:pPr>
              <w:ind w:firstLine="0"/>
              <w:rPr>
                <w:rFonts w:eastAsia="SimSun"/>
              </w:rPr>
            </w:pPr>
            <w:r w:rsidRPr="00AC3044">
              <w:rPr>
                <w:rFonts w:eastAsia="SimSun"/>
              </w:rPr>
              <w:t>10 мг/кг</w:t>
            </w:r>
          </w:p>
        </w:tc>
        <w:tc>
          <w:tcPr>
            <w:tcW w:w="1417" w:type="dxa"/>
            <w:vAlign w:val="center"/>
          </w:tcPr>
          <w:p w:rsidR="005600FF" w:rsidRPr="00AC3044" w:rsidRDefault="005600FF" w:rsidP="005600FF">
            <w:pPr>
              <w:ind w:firstLine="0"/>
              <w:rPr>
                <w:rFonts w:eastAsia="SimSun"/>
              </w:rPr>
            </w:pPr>
            <w:r w:rsidRPr="00AC3044">
              <w:rPr>
                <w:rFonts w:eastAsia="SimSun"/>
              </w:rPr>
              <w:t>40 мг/кг</w:t>
            </w:r>
          </w:p>
        </w:tc>
        <w:tc>
          <w:tcPr>
            <w:tcW w:w="1843" w:type="dxa"/>
            <w:vAlign w:val="center"/>
          </w:tcPr>
          <w:p w:rsidR="005600FF" w:rsidRPr="00AC3044" w:rsidRDefault="005600FF" w:rsidP="005600FF">
            <w:pPr>
              <w:ind w:firstLine="0"/>
              <w:rPr>
                <w:rFonts w:eastAsia="SimSun"/>
              </w:rPr>
            </w:pPr>
            <w:r w:rsidRPr="00AC3044">
              <w:rPr>
                <w:rFonts w:eastAsia="SimSun"/>
              </w:rPr>
              <w:t>–1,+7,+14,+28</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30 мин</w:t>
            </w:r>
          </w:p>
        </w:tc>
      </w:tr>
      <w:tr w:rsidR="005600FF" w:rsidRPr="00AC3044" w:rsidTr="005600FF">
        <w:trPr>
          <w:cantSplit/>
          <w:trHeight w:val="1797"/>
        </w:trPr>
        <w:tc>
          <w:tcPr>
            <w:tcW w:w="709" w:type="dxa"/>
            <w:textDirection w:val="btLr"/>
            <w:vAlign w:val="center"/>
          </w:tcPr>
          <w:p w:rsidR="005600FF" w:rsidRPr="00AC3044" w:rsidRDefault="005600FF" w:rsidP="005600FF">
            <w:pPr>
              <w:ind w:firstLine="0"/>
              <w:rPr>
                <w:rFonts w:eastAsia="SimSun"/>
              </w:rPr>
            </w:pPr>
            <w:r w:rsidRPr="00AC3044">
              <w:rPr>
                <w:rFonts w:eastAsia="SimSun"/>
              </w:rPr>
              <w:lastRenderedPageBreak/>
              <w:t>Ex vivo манипуляция  с трансплантатом</w:t>
            </w:r>
          </w:p>
        </w:tc>
        <w:tc>
          <w:tcPr>
            <w:tcW w:w="2410" w:type="dxa"/>
            <w:vAlign w:val="center"/>
          </w:tcPr>
          <w:p w:rsidR="005600FF" w:rsidRPr="00AC3044" w:rsidRDefault="005600FF" w:rsidP="005600FF">
            <w:pPr>
              <w:ind w:firstLine="0"/>
              <w:rPr>
                <w:rFonts w:eastAsia="SimSun"/>
              </w:rPr>
            </w:pPr>
            <w:r w:rsidRPr="00AC3044">
              <w:rPr>
                <w:rFonts w:eastAsia="SimSun"/>
              </w:rPr>
              <w:t>Комплексная услуга TCRαβ/CD19 деплеция</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0</w:t>
            </w:r>
          </w:p>
        </w:tc>
        <w:tc>
          <w:tcPr>
            <w:tcW w:w="2835" w:type="dxa"/>
            <w:vAlign w:val="center"/>
          </w:tcPr>
          <w:p w:rsidR="005600FF" w:rsidRPr="00AC3044" w:rsidRDefault="005600FF" w:rsidP="005600FF">
            <w:pPr>
              <w:ind w:firstLine="0"/>
              <w:rPr>
                <w:rFonts w:eastAsia="SimSun"/>
              </w:rPr>
            </w:pPr>
            <w:r w:rsidRPr="00AC3044">
              <w:rPr>
                <w:rFonts w:eastAsia="SimSun"/>
              </w:rPr>
              <w:t>-</w:t>
            </w:r>
          </w:p>
        </w:tc>
      </w:tr>
      <w:tr w:rsidR="005600FF" w:rsidRPr="00AC3044" w:rsidTr="005600FF">
        <w:trPr>
          <w:trHeight w:val="20"/>
        </w:trPr>
        <w:tc>
          <w:tcPr>
            <w:tcW w:w="10490" w:type="dxa"/>
            <w:gridSpan w:val="6"/>
          </w:tcPr>
          <w:p w:rsidR="005600FF" w:rsidRPr="00AC3044" w:rsidRDefault="005600FF" w:rsidP="005600F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rsidR="005600FF" w:rsidRPr="00AC3044" w:rsidRDefault="005600FF" w:rsidP="005600FF">
            <w:pPr>
              <w:ind w:firstLine="0"/>
              <w:rPr>
                <w:rFonts w:eastAsia="SimSun"/>
              </w:rPr>
            </w:pPr>
          </w:p>
        </w:tc>
      </w:tr>
    </w:tbl>
    <w:p w:rsidR="005600FF" w:rsidRDefault="005600FF" w:rsidP="005600FF">
      <w:pPr>
        <w:rPr>
          <w:rFonts w:eastAsia="SimSun"/>
        </w:rPr>
      </w:pPr>
      <w:bookmarkStart w:id="241" w:name="_Toc44401245"/>
    </w:p>
    <w:p w:rsidR="005600FF" w:rsidRPr="00C07B2E" w:rsidRDefault="005600FF" w:rsidP="005600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4.3  – Flu150+Bu12+Thio / TCRαβ-CD19</w:t>
      </w:r>
      <w:bookmarkEnd w:id="241"/>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5600FF" w:rsidRPr="00AC3044" w:rsidTr="005600FF">
        <w:trPr>
          <w:cantSplit/>
          <w:trHeight w:val="20"/>
          <w:tblHeader/>
        </w:trPr>
        <w:tc>
          <w:tcPr>
            <w:tcW w:w="709" w:type="dxa"/>
          </w:tcPr>
          <w:p w:rsidR="005600FF" w:rsidRPr="006A5E21"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Препарат</w:t>
            </w:r>
          </w:p>
        </w:tc>
        <w:tc>
          <w:tcPr>
            <w:tcW w:w="1276"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7"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843" w:type="dxa"/>
            <w:vAlign w:val="center"/>
          </w:tcPr>
          <w:p w:rsidR="005600FF" w:rsidRPr="00AC3044" w:rsidRDefault="005600FF" w:rsidP="005600FF">
            <w:pPr>
              <w:ind w:firstLine="0"/>
              <w:rPr>
                <w:rFonts w:eastAsia="SimSun"/>
              </w:rPr>
            </w:pPr>
            <w:r w:rsidRPr="00AC3044">
              <w:rPr>
                <w:rFonts w:eastAsia="SimSun"/>
              </w:rPr>
              <w:t>Дни введения</w:t>
            </w:r>
          </w:p>
        </w:tc>
        <w:tc>
          <w:tcPr>
            <w:tcW w:w="2835"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20"/>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2410" w:type="dxa"/>
          </w:tcPr>
          <w:p w:rsidR="005600FF" w:rsidRPr="00AC3044" w:rsidRDefault="005600FF" w:rsidP="005600FF">
            <w:pPr>
              <w:ind w:firstLine="0"/>
              <w:rPr>
                <w:rFonts w:eastAsia="SimSun"/>
              </w:rPr>
            </w:pPr>
            <w:r w:rsidRPr="00AC3044">
              <w:rPr>
                <w:rFonts w:eastAsia="SimSun"/>
              </w:rPr>
              <w:t>Бусульфан</w:t>
            </w:r>
          </w:p>
        </w:tc>
        <w:tc>
          <w:tcPr>
            <w:tcW w:w="1276" w:type="dxa"/>
          </w:tcPr>
          <w:p w:rsidR="005600FF" w:rsidRPr="00AC3044" w:rsidRDefault="005600FF" w:rsidP="005600FF">
            <w:pPr>
              <w:ind w:firstLine="0"/>
              <w:rPr>
                <w:rFonts w:eastAsia="SimSun"/>
              </w:rPr>
            </w:pPr>
            <w:r w:rsidRPr="00AC3044">
              <w:rPr>
                <w:rFonts w:eastAsia="SimSun"/>
              </w:rPr>
              <w:t>4 мг/кг</w:t>
            </w:r>
          </w:p>
        </w:tc>
        <w:tc>
          <w:tcPr>
            <w:tcW w:w="1417" w:type="dxa"/>
          </w:tcPr>
          <w:p w:rsidR="005600FF" w:rsidRPr="00AC3044" w:rsidRDefault="005600FF" w:rsidP="005600FF">
            <w:pPr>
              <w:ind w:firstLine="0"/>
              <w:rPr>
                <w:rFonts w:eastAsia="SimSun"/>
              </w:rPr>
            </w:pPr>
            <w:r w:rsidRPr="00AC3044">
              <w:rPr>
                <w:rFonts w:eastAsia="SimSun"/>
              </w:rPr>
              <w:t>12мг/кг</w:t>
            </w:r>
          </w:p>
        </w:tc>
        <w:tc>
          <w:tcPr>
            <w:tcW w:w="1843" w:type="dxa"/>
          </w:tcPr>
          <w:p w:rsidR="005600FF" w:rsidRPr="00AC3044" w:rsidRDefault="005600FF" w:rsidP="005600FF">
            <w:pPr>
              <w:ind w:firstLine="0"/>
              <w:rPr>
                <w:rFonts w:eastAsia="SimSun"/>
              </w:rPr>
            </w:pPr>
            <w:r w:rsidRPr="00AC3044">
              <w:rPr>
                <w:rFonts w:eastAsia="SimSun"/>
              </w:rPr>
              <w:t>–5,–4,–3</w:t>
            </w:r>
          </w:p>
        </w:tc>
        <w:tc>
          <w:tcPr>
            <w:tcW w:w="2835" w:type="dxa"/>
          </w:tcPr>
          <w:p w:rsidR="005600FF" w:rsidRPr="00AC3044" w:rsidRDefault="005600FF" w:rsidP="005600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5600FF" w:rsidRPr="00AC3044" w:rsidTr="005600FF">
        <w:trPr>
          <w:cantSplit/>
          <w:trHeight w:val="458"/>
        </w:trPr>
        <w:tc>
          <w:tcPr>
            <w:tcW w:w="709" w:type="dxa"/>
            <w:vMerge/>
            <w:textDirection w:val="btLr"/>
            <w:vAlign w:val="cente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Тиотепа</w:t>
            </w:r>
          </w:p>
        </w:tc>
        <w:tc>
          <w:tcPr>
            <w:tcW w:w="1276" w:type="dxa"/>
            <w:vAlign w:val="center"/>
          </w:tcPr>
          <w:p w:rsidR="005600FF" w:rsidRPr="00AC3044" w:rsidRDefault="005600FF" w:rsidP="005600FF">
            <w:pPr>
              <w:ind w:firstLine="0"/>
              <w:rPr>
                <w:rFonts w:eastAsia="SimSun"/>
              </w:rPr>
            </w:pPr>
            <w:r w:rsidRPr="00AC3044">
              <w:rPr>
                <w:rFonts w:eastAsia="SimSun"/>
              </w:rPr>
              <w:t xml:space="preserve">5мг/кг </w:t>
            </w:r>
          </w:p>
        </w:tc>
        <w:tc>
          <w:tcPr>
            <w:tcW w:w="1417" w:type="dxa"/>
            <w:vAlign w:val="center"/>
          </w:tcPr>
          <w:p w:rsidR="005600FF" w:rsidRPr="00AC3044" w:rsidRDefault="005600FF" w:rsidP="005600FF">
            <w:pPr>
              <w:ind w:firstLine="0"/>
              <w:rPr>
                <w:rFonts w:eastAsia="SimSun"/>
              </w:rPr>
            </w:pPr>
            <w:r w:rsidRPr="00AC3044">
              <w:rPr>
                <w:rFonts w:eastAsia="SimSun"/>
              </w:rPr>
              <w:t>10 мг/кг</w:t>
            </w:r>
          </w:p>
        </w:tc>
        <w:tc>
          <w:tcPr>
            <w:tcW w:w="1843" w:type="dxa"/>
            <w:vAlign w:val="center"/>
          </w:tcPr>
          <w:p w:rsidR="005600FF" w:rsidRPr="00AC3044" w:rsidRDefault="005600FF" w:rsidP="005600FF">
            <w:pPr>
              <w:ind w:firstLine="0"/>
              <w:rPr>
                <w:rFonts w:eastAsia="SimSun"/>
              </w:rPr>
            </w:pPr>
            <w:r w:rsidRPr="00AC3044">
              <w:rPr>
                <w:rFonts w:eastAsia="SimSun"/>
              </w:rPr>
              <w:t>–6,–5</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550"/>
        </w:trPr>
        <w:tc>
          <w:tcPr>
            <w:tcW w:w="709" w:type="dxa"/>
            <w:vMerge/>
            <w:textDirection w:val="btLr"/>
            <w:vAlign w:val="cente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Флударабин</w:t>
            </w:r>
          </w:p>
        </w:tc>
        <w:tc>
          <w:tcPr>
            <w:tcW w:w="1276" w:type="dxa"/>
            <w:vAlign w:val="center"/>
          </w:tcPr>
          <w:p w:rsidR="005600FF" w:rsidRPr="00AC3044" w:rsidRDefault="005600FF" w:rsidP="005600F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–6,–5,–4, –3, –2</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30 -60 мин</w:t>
            </w:r>
          </w:p>
        </w:tc>
      </w:tr>
      <w:tr w:rsidR="005600FF" w:rsidRPr="00AC3044" w:rsidTr="005600FF">
        <w:trPr>
          <w:cantSplit/>
          <w:trHeight w:val="416"/>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2410" w:type="dxa"/>
            <w:vAlign w:val="center"/>
          </w:tcPr>
          <w:p w:rsidR="005600FF" w:rsidRPr="00AC3044" w:rsidRDefault="005600FF" w:rsidP="005600FF">
            <w:pPr>
              <w:ind w:firstLine="0"/>
              <w:rPr>
                <w:rFonts w:eastAsia="SimSun"/>
              </w:rPr>
            </w:pPr>
            <w:r w:rsidRPr="00AC3044">
              <w:rPr>
                <w:rFonts w:eastAsia="SimSun"/>
              </w:rPr>
              <w:t>Ритуксимаб</w:t>
            </w:r>
          </w:p>
        </w:tc>
        <w:tc>
          <w:tcPr>
            <w:tcW w:w="1276"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rsidR="005600FF" w:rsidRPr="00AC3044" w:rsidRDefault="005600FF" w:rsidP="005600F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rsidR="005600FF" w:rsidRPr="00AC3044" w:rsidRDefault="005600FF" w:rsidP="005600FF">
            <w:pPr>
              <w:ind w:firstLine="0"/>
              <w:rPr>
                <w:rFonts w:eastAsia="SimSun"/>
              </w:rPr>
            </w:pPr>
            <w:r w:rsidRPr="00AC3044">
              <w:rPr>
                <w:rFonts w:eastAsia="SimSun"/>
              </w:rPr>
              <w:t>–1</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2 часов</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Тоцилизумаб</w:t>
            </w:r>
          </w:p>
        </w:tc>
        <w:tc>
          <w:tcPr>
            <w:tcW w:w="1276" w:type="dxa"/>
            <w:vAlign w:val="center"/>
          </w:tcPr>
          <w:p w:rsidR="005600FF" w:rsidRPr="00AC3044" w:rsidRDefault="005600FF" w:rsidP="005600FF">
            <w:pPr>
              <w:ind w:firstLine="0"/>
              <w:rPr>
                <w:rFonts w:eastAsia="SimSun"/>
              </w:rPr>
            </w:pPr>
            <w:r w:rsidRPr="00AC3044">
              <w:rPr>
                <w:rFonts w:eastAsia="SimSun"/>
              </w:rPr>
              <w:t>8 мг/кг</w:t>
            </w:r>
          </w:p>
        </w:tc>
        <w:tc>
          <w:tcPr>
            <w:tcW w:w="1417" w:type="dxa"/>
            <w:vAlign w:val="center"/>
          </w:tcPr>
          <w:p w:rsidR="005600FF" w:rsidRPr="00AC3044" w:rsidRDefault="005600FF" w:rsidP="005600FF">
            <w:pPr>
              <w:ind w:firstLine="0"/>
              <w:rPr>
                <w:rFonts w:eastAsia="SimSun"/>
              </w:rPr>
            </w:pPr>
            <w:r w:rsidRPr="00AC3044">
              <w:rPr>
                <w:rFonts w:eastAsia="SimSun"/>
              </w:rPr>
              <w:t>8 мг/кг</w:t>
            </w:r>
          </w:p>
        </w:tc>
        <w:tc>
          <w:tcPr>
            <w:tcW w:w="1843" w:type="dxa"/>
            <w:vAlign w:val="center"/>
          </w:tcPr>
          <w:p w:rsidR="005600FF" w:rsidRPr="00AC3044" w:rsidRDefault="005600FF" w:rsidP="005600FF">
            <w:pPr>
              <w:ind w:firstLine="0"/>
              <w:rPr>
                <w:rFonts w:eastAsia="SimSun"/>
              </w:rPr>
            </w:pPr>
            <w:r w:rsidRPr="00AC3044">
              <w:rPr>
                <w:rFonts w:eastAsia="SimSun"/>
              </w:rPr>
              <w:t>–1, +21</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1 часа</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2410" w:type="dxa"/>
            <w:vAlign w:val="center"/>
          </w:tcPr>
          <w:p w:rsidR="005600FF" w:rsidRPr="00AC3044" w:rsidRDefault="005600FF" w:rsidP="005600FF">
            <w:pPr>
              <w:ind w:firstLine="0"/>
              <w:rPr>
                <w:rFonts w:eastAsia="SimSun"/>
              </w:rPr>
            </w:pPr>
            <w:r w:rsidRPr="00AC3044">
              <w:rPr>
                <w:rFonts w:eastAsia="SimSun"/>
              </w:rPr>
              <w:t>Абатацепт1</w:t>
            </w:r>
          </w:p>
        </w:tc>
        <w:tc>
          <w:tcPr>
            <w:tcW w:w="1276" w:type="dxa"/>
            <w:vAlign w:val="center"/>
          </w:tcPr>
          <w:p w:rsidR="005600FF" w:rsidRPr="00AC3044" w:rsidRDefault="005600FF" w:rsidP="005600FF">
            <w:pPr>
              <w:ind w:firstLine="0"/>
              <w:rPr>
                <w:rFonts w:eastAsia="SimSun"/>
              </w:rPr>
            </w:pPr>
            <w:r w:rsidRPr="00AC3044">
              <w:rPr>
                <w:rFonts w:eastAsia="SimSun"/>
              </w:rPr>
              <w:t>10 мг/кг</w:t>
            </w:r>
          </w:p>
        </w:tc>
        <w:tc>
          <w:tcPr>
            <w:tcW w:w="1417" w:type="dxa"/>
            <w:vAlign w:val="center"/>
          </w:tcPr>
          <w:p w:rsidR="005600FF" w:rsidRPr="00AC3044" w:rsidRDefault="005600FF" w:rsidP="005600FF">
            <w:pPr>
              <w:ind w:firstLine="0"/>
              <w:rPr>
                <w:rFonts w:eastAsia="SimSun"/>
              </w:rPr>
            </w:pPr>
            <w:r w:rsidRPr="00AC3044">
              <w:rPr>
                <w:rFonts w:eastAsia="SimSun"/>
              </w:rPr>
              <w:t>40 мг/кг</w:t>
            </w:r>
          </w:p>
        </w:tc>
        <w:tc>
          <w:tcPr>
            <w:tcW w:w="1843" w:type="dxa"/>
            <w:vAlign w:val="center"/>
          </w:tcPr>
          <w:p w:rsidR="005600FF" w:rsidRPr="00AC3044" w:rsidRDefault="005600FF" w:rsidP="005600FF">
            <w:pPr>
              <w:ind w:firstLine="0"/>
              <w:rPr>
                <w:rFonts w:eastAsia="SimSun"/>
              </w:rPr>
            </w:pPr>
            <w:r w:rsidRPr="00AC3044">
              <w:rPr>
                <w:rFonts w:eastAsia="SimSun"/>
              </w:rPr>
              <w:t>–1,+7,+14,+28</w:t>
            </w:r>
          </w:p>
        </w:tc>
        <w:tc>
          <w:tcPr>
            <w:tcW w:w="2835" w:type="dxa"/>
            <w:vAlign w:val="center"/>
          </w:tcPr>
          <w:p w:rsidR="005600FF" w:rsidRPr="00AC3044" w:rsidRDefault="005600FF" w:rsidP="005600FF">
            <w:pPr>
              <w:ind w:firstLine="0"/>
              <w:rPr>
                <w:rFonts w:eastAsia="SimSun"/>
              </w:rPr>
            </w:pPr>
            <w:r w:rsidRPr="00AC3044">
              <w:rPr>
                <w:rFonts w:eastAsia="SimSun"/>
              </w:rPr>
              <w:t>В/в, в течение 30 мин</w:t>
            </w:r>
          </w:p>
        </w:tc>
      </w:tr>
      <w:tr w:rsidR="005600FF" w:rsidRPr="00AC3044" w:rsidTr="005600FF">
        <w:trPr>
          <w:cantSplit/>
          <w:trHeight w:val="1797"/>
        </w:trPr>
        <w:tc>
          <w:tcPr>
            <w:tcW w:w="709" w:type="dxa"/>
            <w:textDirection w:val="btLr"/>
            <w:vAlign w:val="center"/>
          </w:tcPr>
          <w:p w:rsidR="005600FF" w:rsidRPr="00AC3044" w:rsidRDefault="005600FF" w:rsidP="005600FF">
            <w:pPr>
              <w:ind w:firstLine="0"/>
              <w:rPr>
                <w:rFonts w:eastAsia="SimSun"/>
              </w:rPr>
            </w:pPr>
            <w:r w:rsidRPr="00AC3044">
              <w:rPr>
                <w:rFonts w:eastAsia="SimSun"/>
              </w:rPr>
              <w:t>Ex vivo манипуляция  с трансплантатом</w:t>
            </w:r>
          </w:p>
        </w:tc>
        <w:tc>
          <w:tcPr>
            <w:tcW w:w="2410" w:type="dxa"/>
            <w:vAlign w:val="center"/>
          </w:tcPr>
          <w:p w:rsidR="005600FF" w:rsidRPr="00AC3044" w:rsidRDefault="005600FF" w:rsidP="005600FF">
            <w:pPr>
              <w:ind w:firstLine="0"/>
              <w:rPr>
                <w:rFonts w:eastAsia="SimSun"/>
              </w:rPr>
            </w:pPr>
            <w:r w:rsidRPr="00AC3044">
              <w:rPr>
                <w:rFonts w:eastAsia="SimSun"/>
              </w:rPr>
              <w:t>Комплексная услуга TCRαβ/CD19 деплеция</w:t>
            </w:r>
          </w:p>
        </w:tc>
        <w:tc>
          <w:tcPr>
            <w:tcW w:w="1276"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0</w:t>
            </w:r>
          </w:p>
        </w:tc>
        <w:tc>
          <w:tcPr>
            <w:tcW w:w="2835" w:type="dxa"/>
            <w:vAlign w:val="center"/>
          </w:tcPr>
          <w:p w:rsidR="005600FF" w:rsidRPr="00AC3044" w:rsidRDefault="005600FF" w:rsidP="005600FF">
            <w:pPr>
              <w:ind w:firstLine="0"/>
              <w:rPr>
                <w:rFonts w:eastAsia="SimSun"/>
              </w:rPr>
            </w:pPr>
            <w:r w:rsidRPr="00AC3044">
              <w:rPr>
                <w:rFonts w:eastAsia="SimSun"/>
              </w:rPr>
              <w:t>-</w:t>
            </w:r>
          </w:p>
        </w:tc>
      </w:tr>
      <w:tr w:rsidR="005600FF" w:rsidRPr="00AC3044" w:rsidTr="005600FF">
        <w:trPr>
          <w:trHeight w:val="20"/>
        </w:trPr>
        <w:tc>
          <w:tcPr>
            <w:tcW w:w="10490" w:type="dxa"/>
            <w:gridSpan w:val="6"/>
          </w:tcPr>
          <w:p w:rsidR="005600FF" w:rsidRPr="00AC3044" w:rsidRDefault="005600FF" w:rsidP="005600FF">
            <w:pPr>
              <w:ind w:firstLine="0"/>
              <w:rPr>
                <w:rFonts w:eastAsia="SimSun"/>
              </w:rPr>
            </w:pPr>
            <w:r w:rsidRPr="00AC3044">
              <w:rPr>
                <w:rFonts w:eastAsia="SimSun"/>
              </w:rPr>
              <w:t xml:space="preserve">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w:t>
            </w:r>
            <w:r w:rsidRPr="00AC3044">
              <w:rPr>
                <w:rFonts w:eastAsia="SimSun"/>
              </w:rPr>
              <w:lastRenderedPageBreak/>
              <w:t>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rsidR="005600FF" w:rsidRPr="00AC3044" w:rsidRDefault="005600FF" w:rsidP="005600FF">
            <w:pPr>
              <w:ind w:firstLine="0"/>
              <w:rPr>
                <w:rFonts w:eastAsia="SimSun"/>
              </w:rPr>
            </w:pPr>
          </w:p>
        </w:tc>
      </w:tr>
    </w:tbl>
    <w:p w:rsidR="005600FF" w:rsidRDefault="005600FF" w:rsidP="005600FF">
      <w:pPr>
        <w:rPr>
          <w:rFonts w:eastAsia="SimSun"/>
        </w:rPr>
      </w:pPr>
      <w:bookmarkStart w:id="242" w:name="_Toc44401246"/>
    </w:p>
    <w:p w:rsidR="005600FF" w:rsidRPr="00C07B2E" w:rsidRDefault="005600FF" w:rsidP="005600FF">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4.4.  – CD34+ ("boost")</w:t>
      </w:r>
      <w:bookmarkEnd w:id="242"/>
    </w:p>
    <w:p w:rsidR="005600FF" w:rsidRPr="00C07B2E" w:rsidRDefault="005600FF" w:rsidP="005600FF">
      <w:pPr>
        <w:rPr>
          <w:rFonts w:eastAsia="SimSun"/>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843"/>
        <w:gridCol w:w="1417"/>
        <w:gridCol w:w="1843"/>
        <w:gridCol w:w="2835"/>
      </w:tblGrid>
      <w:tr w:rsidR="005600FF" w:rsidRPr="00AC3044" w:rsidTr="005600FF">
        <w:trPr>
          <w:cantSplit/>
          <w:trHeight w:val="20"/>
          <w:tblHeader/>
        </w:trPr>
        <w:tc>
          <w:tcPr>
            <w:tcW w:w="709" w:type="dxa"/>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Препарат</w:t>
            </w:r>
          </w:p>
        </w:tc>
        <w:tc>
          <w:tcPr>
            <w:tcW w:w="1843" w:type="dxa"/>
            <w:vAlign w:val="center"/>
          </w:tcPr>
          <w:p w:rsidR="005600FF" w:rsidRPr="00AC3044" w:rsidRDefault="005600FF" w:rsidP="005600FF">
            <w:pPr>
              <w:ind w:firstLine="0"/>
              <w:rPr>
                <w:rFonts w:eastAsia="SimSun"/>
              </w:rPr>
            </w:pPr>
            <w:r w:rsidRPr="00AC3044">
              <w:rPr>
                <w:rFonts w:eastAsia="SimSun"/>
              </w:rPr>
              <w:t>Суточная доза</w:t>
            </w:r>
          </w:p>
        </w:tc>
        <w:tc>
          <w:tcPr>
            <w:tcW w:w="1417" w:type="dxa"/>
            <w:vAlign w:val="center"/>
          </w:tcPr>
          <w:p w:rsidR="005600FF" w:rsidRPr="00AC3044" w:rsidRDefault="005600FF" w:rsidP="005600FF">
            <w:pPr>
              <w:ind w:firstLine="0"/>
              <w:rPr>
                <w:rFonts w:eastAsia="SimSun"/>
              </w:rPr>
            </w:pPr>
            <w:r w:rsidRPr="00AC3044">
              <w:rPr>
                <w:rFonts w:eastAsia="SimSun"/>
              </w:rPr>
              <w:t>Курсовая доза</w:t>
            </w:r>
          </w:p>
        </w:tc>
        <w:tc>
          <w:tcPr>
            <w:tcW w:w="1843" w:type="dxa"/>
            <w:vAlign w:val="center"/>
          </w:tcPr>
          <w:p w:rsidR="005600FF" w:rsidRPr="00AC3044" w:rsidRDefault="005600FF" w:rsidP="005600FF">
            <w:pPr>
              <w:ind w:firstLine="0"/>
              <w:rPr>
                <w:rFonts w:eastAsia="SimSun"/>
              </w:rPr>
            </w:pPr>
            <w:r w:rsidRPr="00AC3044">
              <w:rPr>
                <w:rFonts w:eastAsia="SimSun"/>
              </w:rPr>
              <w:t>Дни введения</w:t>
            </w:r>
          </w:p>
        </w:tc>
        <w:tc>
          <w:tcPr>
            <w:tcW w:w="2835" w:type="dxa"/>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1831"/>
        </w:trPr>
        <w:tc>
          <w:tcPr>
            <w:tcW w:w="709" w:type="dxa"/>
            <w:textDirection w:val="btLr"/>
            <w:vAlign w:val="center"/>
          </w:tcPr>
          <w:p w:rsidR="005600FF" w:rsidRPr="00AC3044" w:rsidRDefault="005600FF" w:rsidP="005600FF">
            <w:pPr>
              <w:ind w:firstLine="0"/>
              <w:rPr>
                <w:rFonts w:eastAsia="SimSun"/>
              </w:rPr>
            </w:pPr>
            <w:r w:rsidRPr="00AC3044">
              <w:rPr>
                <w:rFonts w:eastAsia="SimSun"/>
              </w:rPr>
              <w:t>Кондиционирование</w:t>
            </w:r>
          </w:p>
        </w:tc>
        <w:tc>
          <w:tcPr>
            <w:tcW w:w="9781" w:type="dxa"/>
            <w:gridSpan w:val="5"/>
            <w:vAlign w:val="center"/>
          </w:tcPr>
          <w:p w:rsidR="005600FF" w:rsidRPr="00AC3044" w:rsidRDefault="005600FF" w:rsidP="005600FF">
            <w:pPr>
              <w:ind w:firstLine="0"/>
              <w:rPr>
                <w:rFonts w:eastAsia="SimSun"/>
              </w:rPr>
            </w:pPr>
            <w:r w:rsidRPr="00AC3044">
              <w:rPr>
                <w:rFonts w:eastAsia="SimSun"/>
              </w:rPr>
              <w:t>Без предварительного кондиционирования</w:t>
            </w:r>
          </w:p>
        </w:tc>
      </w:tr>
      <w:tr w:rsidR="005600FF" w:rsidRPr="00AC3044" w:rsidTr="005600FF">
        <w:trPr>
          <w:cantSplit/>
          <w:trHeight w:val="1688"/>
        </w:trPr>
        <w:tc>
          <w:tcPr>
            <w:tcW w:w="709" w:type="dxa"/>
            <w:vMerge w:val="restart"/>
            <w:textDirection w:val="btLr"/>
            <w:vAlign w:val="center"/>
          </w:tcPr>
          <w:p w:rsidR="005600FF" w:rsidRPr="00AC3044" w:rsidRDefault="005600FF" w:rsidP="005600FF">
            <w:pPr>
              <w:ind w:firstLine="0"/>
              <w:rPr>
                <w:rFonts w:eastAsia="SimSun"/>
              </w:rPr>
            </w:pPr>
            <w:r w:rsidRPr="00AC3044">
              <w:rPr>
                <w:rFonts w:eastAsia="SimSun"/>
              </w:rPr>
              <w:t>Профилактика РТПХ</w:t>
            </w:r>
          </w:p>
        </w:tc>
        <w:tc>
          <w:tcPr>
            <w:tcW w:w="1843" w:type="dxa"/>
            <w:vAlign w:val="center"/>
          </w:tcPr>
          <w:p w:rsidR="005600FF" w:rsidRPr="00AC3044" w:rsidRDefault="005600FF" w:rsidP="005600FF">
            <w:pPr>
              <w:ind w:firstLine="0"/>
              <w:rPr>
                <w:rFonts w:eastAsia="SimSun"/>
              </w:rPr>
            </w:pPr>
            <w:r w:rsidRPr="00AC3044">
              <w:rPr>
                <w:rFonts w:eastAsia="SimSun"/>
              </w:rPr>
              <w:t>Циклоспорин</w:t>
            </w:r>
          </w:p>
        </w:tc>
        <w:tc>
          <w:tcPr>
            <w:tcW w:w="1843" w:type="dxa"/>
            <w:vAlign w:val="center"/>
          </w:tcPr>
          <w:p w:rsidR="005600FF" w:rsidRPr="00AC3044" w:rsidRDefault="005600FF" w:rsidP="005600FF">
            <w:pPr>
              <w:ind w:firstLine="0"/>
              <w:rPr>
                <w:rFonts w:eastAsia="SimSun"/>
              </w:rPr>
            </w:pPr>
            <w:r w:rsidRPr="00AC3044">
              <w:rPr>
                <w:rFonts w:eastAsia="SimSun"/>
              </w:rPr>
              <w:t>3 мг/кг</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С +5 дня по +90 день затем постепенное снижение к +180 дню</w:t>
            </w:r>
          </w:p>
        </w:tc>
        <w:tc>
          <w:tcPr>
            <w:tcW w:w="2835" w:type="dxa"/>
            <w:vAlign w:val="center"/>
          </w:tcPr>
          <w:p w:rsidR="005600FF" w:rsidRPr="00AC3044" w:rsidRDefault="005600FF" w:rsidP="005600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72099">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5600FF" w:rsidRPr="00AC3044" w:rsidTr="005600FF">
        <w:trPr>
          <w:cantSplit/>
          <w:trHeight w:val="20"/>
        </w:trPr>
        <w:tc>
          <w:tcPr>
            <w:tcW w:w="709" w:type="dxa"/>
            <w:vMerge/>
            <w:textDirection w:val="btLr"/>
          </w:tcPr>
          <w:p w:rsidR="005600FF" w:rsidRPr="00AC3044" w:rsidRDefault="005600FF" w:rsidP="005600FF">
            <w:pPr>
              <w:ind w:firstLine="0"/>
              <w:rPr>
                <w:rFonts w:eastAsia="SimSun"/>
              </w:rPr>
            </w:pPr>
          </w:p>
        </w:tc>
        <w:tc>
          <w:tcPr>
            <w:tcW w:w="1843" w:type="dxa"/>
            <w:vAlign w:val="center"/>
          </w:tcPr>
          <w:p w:rsidR="005600FF" w:rsidRPr="00AC3044" w:rsidRDefault="005600FF" w:rsidP="005600FF">
            <w:pPr>
              <w:ind w:firstLine="0"/>
              <w:rPr>
                <w:rFonts w:eastAsia="SimSun"/>
              </w:rPr>
            </w:pPr>
            <w:r w:rsidRPr="00AC3044">
              <w:rPr>
                <w:rFonts w:eastAsia="SimSun"/>
              </w:rPr>
              <w:t>Микофенолата мофетил</w:t>
            </w:r>
          </w:p>
        </w:tc>
        <w:tc>
          <w:tcPr>
            <w:tcW w:w="1843" w:type="dxa"/>
            <w:vAlign w:val="center"/>
          </w:tcPr>
          <w:p w:rsidR="005600FF" w:rsidRPr="00AC3044" w:rsidRDefault="005600FF" w:rsidP="005600FF">
            <w:pPr>
              <w:ind w:firstLine="0"/>
              <w:rPr>
                <w:rFonts w:eastAsia="SimSun"/>
              </w:rPr>
            </w:pPr>
            <w:r w:rsidRPr="00AC3044">
              <w:rPr>
                <w:rFonts w:eastAsia="SimSun"/>
              </w:rPr>
              <w:t>30 мг/кг</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С +5 по +90 день</w:t>
            </w:r>
          </w:p>
        </w:tc>
        <w:tc>
          <w:tcPr>
            <w:tcW w:w="2835" w:type="dxa"/>
            <w:vAlign w:val="center"/>
          </w:tcPr>
          <w:p w:rsidR="005600FF" w:rsidRPr="00AC3044" w:rsidRDefault="005600FF" w:rsidP="005600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5600FF" w:rsidRPr="00AC3044" w:rsidTr="005600FF">
        <w:trPr>
          <w:cantSplit/>
          <w:trHeight w:val="1797"/>
        </w:trPr>
        <w:tc>
          <w:tcPr>
            <w:tcW w:w="709" w:type="dxa"/>
            <w:textDirection w:val="btLr"/>
            <w:vAlign w:val="center"/>
          </w:tcPr>
          <w:p w:rsidR="005600FF" w:rsidRPr="00AC3044" w:rsidRDefault="005600FF" w:rsidP="005600FF">
            <w:pPr>
              <w:ind w:firstLine="0"/>
              <w:rPr>
                <w:rFonts w:eastAsia="SimSun"/>
              </w:rPr>
            </w:pPr>
            <w:r w:rsidRPr="00AC3044">
              <w:rPr>
                <w:rFonts w:eastAsia="SimSun"/>
              </w:rPr>
              <w:t>Ex vivo манипуляция  с трансплантатом</w:t>
            </w:r>
          </w:p>
        </w:tc>
        <w:tc>
          <w:tcPr>
            <w:tcW w:w="1843" w:type="dxa"/>
            <w:vAlign w:val="center"/>
          </w:tcPr>
          <w:p w:rsidR="005600FF" w:rsidRPr="00AC3044" w:rsidRDefault="005600FF" w:rsidP="005600FF">
            <w:pPr>
              <w:ind w:firstLine="0"/>
              <w:rPr>
                <w:rFonts w:eastAsia="SimSun"/>
              </w:rPr>
            </w:pPr>
            <w:r w:rsidRPr="00AC3044">
              <w:rPr>
                <w:rFonts w:eastAsia="SimSun"/>
              </w:rPr>
              <w:t>CD34+ селекция (A18.05.017.004)</w:t>
            </w:r>
          </w:p>
        </w:tc>
        <w:tc>
          <w:tcPr>
            <w:tcW w:w="1843" w:type="dxa"/>
            <w:vAlign w:val="center"/>
          </w:tcPr>
          <w:p w:rsidR="005600FF" w:rsidRPr="00AC3044" w:rsidRDefault="005600FF" w:rsidP="005600FF">
            <w:pPr>
              <w:ind w:firstLine="0"/>
              <w:rPr>
                <w:rFonts w:eastAsia="SimSun"/>
              </w:rPr>
            </w:pPr>
            <w:r w:rsidRPr="00AC3044">
              <w:rPr>
                <w:rFonts w:eastAsia="SimSun"/>
              </w:rPr>
              <w:t>–</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0</w:t>
            </w:r>
          </w:p>
        </w:tc>
        <w:tc>
          <w:tcPr>
            <w:tcW w:w="2835" w:type="dxa"/>
            <w:vAlign w:val="center"/>
          </w:tcPr>
          <w:p w:rsidR="005600FF" w:rsidRPr="00AC3044" w:rsidRDefault="005600FF" w:rsidP="005600FF">
            <w:pPr>
              <w:ind w:firstLine="0"/>
              <w:rPr>
                <w:rFonts w:eastAsia="SimSun"/>
              </w:rPr>
            </w:pPr>
            <w:r w:rsidRPr="00AC3044">
              <w:rPr>
                <w:rFonts w:eastAsia="SimSun"/>
              </w:rPr>
              <w:t>–</w:t>
            </w:r>
          </w:p>
        </w:tc>
      </w:tr>
      <w:tr w:rsidR="005600FF" w:rsidRPr="00AC3044" w:rsidTr="005600FF">
        <w:trPr>
          <w:cantSplit/>
          <w:trHeight w:val="1420"/>
        </w:trPr>
        <w:tc>
          <w:tcPr>
            <w:tcW w:w="709" w:type="dxa"/>
            <w:textDirection w:val="btLr"/>
            <w:vAlign w:val="center"/>
          </w:tcPr>
          <w:p w:rsidR="005600FF" w:rsidRPr="00AC3044" w:rsidRDefault="005600FF" w:rsidP="005600FF">
            <w:pPr>
              <w:ind w:firstLine="0"/>
              <w:rPr>
                <w:rFonts w:eastAsia="SimSun"/>
              </w:rPr>
            </w:pPr>
            <w:r w:rsidRPr="00AC3044">
              <w:rPr>
                <w:rFonts w:eastAsia="SimSun"/>
              </w:rPr>
              <w:lastRenderedPageBreak/>
              <w:t>Сопроводительная терапия</w:t>
            </w:r>
          </w:p>
        </w:tc>
        <w:tc>
          <w:tcPr>
            <w:tcW w:w="1843" w:type="dxa"/>
            <w:vAlign w:val="center"/>
          </w:tcPr>
          <w:p w:rsidR="005600FF" w:rsidRPr="00AC3044" w:rsidRDefault="005600FF" w:rsidP="005600FF">
            <w:pPr>
              <w:ind w:firstLine="0"/>
              <w:rPr>
                <w:rFonts w:eastAsia="SimSun"/>
              </w:rPr>
            </w:pPr>
            <w:r w:rsidRPr="00AC3044">
              <w:rPr>
                <w:rFonts w:eastAsia="SimSun"/>
              </w:rPr>
              <w:t>Урсодезоксихолевая кислота</w:t>
            </w:r>
          </w:p>
        </w:tc>
        <w:tc>
          <w:tcPr>
            <w:tcW w:w="1843" w:type="dxa"/>
            <w:vAlign w:val="center"/>
          </w:tcPr>
          <w:p w:rsidR="005600FF" w:rsidRPr="00AC3044" w:rsidRDefault="005600FF" w:rsidP="005600FF">
            <w:pPr>
              <w:ind w:firstLine="0"/>
              <w:rPr>
                <w:rFonts w:eastAsia="SimSun"/>
              </w:rPr>
            </w:pPr>
            <w:r w:rsidRPr="00AC3044">
              <w:rPr>
                <w:rFonts w:eastAsia="SimSun"/>
              </w:rPr>
              <w:t>12 мг/кг</w:t>
            </w:r>
          </w:p>
        </w:tc>
        <w:tc>
          <w:tcPr>
            <w:tcW w:w="1417" w:type="dxa"/>
            <w:vAlign w:val="center"/>
          </w:tcPr>
          <w:p w:rsidR="005600FF" w:rsidRPr="00AC3044" w:rsidRDefault="005600FF" w:rsidP="005600FF">
            <w:pPr>
              <w:ind w:firstLine="0"/>
              <w:rPr>
                <w:rFonts w:eastAsia="SimSun"/>
              </w:rPr>
            </w:pPr>
            <w:r w:rsidRPr="00AC3044">
              <w:rPr>
                <w:rFonts w:eastAsia="SimSun"/>
              </w:rPr>
              <w:t>–</w:t>
            </w:r>
          </w:p>
        </w:tc>
        <w:tc>
          <w:tcPr>
            <w:tcW w:w="1843" w:type="dxa"/>
            <w:vAlign w:val="center"/>
          </w:tcPr>
          <w:p w:rsidR="005600FF" w:rsidRPr="00AC3044" w:rsidRDefault="005600FF" w:rsidP="005600FF">
            <w:pPr>
              <w:ind w:firstLine="0"/>
              <w:rPr>
                <w:rFonts w:eastAsia="SimSun"/>
              </w:rPr>
            </w:pPr>
            <w:r w:rsidRPr="00AC3044">
              <w:rPr>
                <w:rFonts w:eastAsia="SimSun"/>
              </w:rPr>
              <w:t>С 0 по +180 день</w:t>
            </w:r>
          </w:p>
        </w:tc>
        <w:tc>
          <w:tcPr>
            <w:tcW w:w="2835" w:type="dxa"/>
            <w:vAlign w:val="center"/>
          </w:tcPr>
          <w:p w:rsidR="005600FF" w:rsidRPr="00AC3044" w:rsidRDefault="005600FF" w:rsidP="005600FF">
            <w:pPr>
              <w:ind w:firstLine="0"/>
              <w:rPr>
                <w:rFonts w:eastAsia="SimSun"/>
              </w:rPr>
            </w:pPr>
            <w:r w:rsidRPr="00AC3044">
              <w:rPr>
                <w:rFonts w:eastAsia="SimSun"/>
              </w:rPr>
              <w:t>Внутрь, суточная доза разделяется на 1–2 приема (вечер или день и вечер)</w:t>
            </w:r>
          </w:p>
        </w:tc>
      </w:tr>
    </w:tbl>
    <w:p w:rsidR="005600FF" w:rsidRPr="00C07B2E" w:rsidRDefault="005600FF" w:rsidP="005600FF">
      <w:pPr>
        <w:rPr>
          <w:rFonts w:eastAsia="SimSun"/>
        </w:rPr>
        <w:sectPr w:rsidR="005600FF" w:rsidRPr="00C07B2E" w:rsidSect="005600FF">
          <w:type w:val="continuous"/>
          <w:pgSz w:w="11907" w:h="16839" w:code="9"/>
          <w:pgMar w:top="1134" w:right="850" w:bottom="1134" w:left="1701" w:header="709" w:footer="567" w:gutter="0"/>
          <w:cols w:space="708"/>
          <w:docGrid w:linePitch="360"/>
        </w:sectPr>
      </w:pPr>
    </w:p>
    <w:p w:rsidR="005600FF" w:rsidRDefault="005600FF" w:rsidP="005600FF">
      <w:pPr>
        <w:rPr>
          <w:rFonts w:eastAsia="SimSun"/>
        </w:rPr>
      </w:pPr>
      <w:bookmarkStart w:id="243" w:name="_Toc44401247"/>
    </w:p>
    <w:p w:rsidR="005600FF" w:rsidRPr="000F445E" w:rsidRDefault="005600FF" w:rsidP="005600FF">
      <w:pPr>
        <w:rPr>
          <w:rFonts w:eastAsia="SimSun"/>
          <w:b/>
        </w:rPr>
      </w:pPr>
      <w:r>
        <w:rPr>
          <w:rFonts w:eastAsia="SimSun"/>
          <w:b/>
        </w:rPr>
        <w:t>6</w:t>
      </w:r>
      <w:r w:rsidRPr="000F445E">
        <w:rPr>
          <w:rFonts w:eastAsia="SimSun"/>
          <w:b/>
        </w:rPr>
        <w:t>.  Сопроводительная терапия</w:t>
      </w:r>
      <w:bookmarkEnd w:id="243"/>
    </w:p>
    <w:p w:rsidR="005600FF" w:rsidRDefault="005600FF" w:rsidP="005600FF">
      <w:pPr>
        <w:rPr>
          <w:rFonts w:eastAsia="SimSun"/>
        </w:rPr>
      </w:pPr>
      <w:bookmarkStart w:id="244" w:name="_Toc44401249"/>
    </w:p>
    <w:bookmarkEnd w:id="244"/>
    <w:p w:rsidR="005600FF" w:rsidRPr="00C07B2E" w:rsidRDefault="005600FF" w:rsidP="005600FF">
      <w:pPr>
        <w:rPr>
          <w:rFonts w:eastAsia="SimSun"/>
        </w:rPr>
      </w:pPr>
      <w:r w:rsidRPr="00C07B2E">
        <w:rPr>
          <w:rFonts w:eastAsia="SimSun"/>
        </w:rPr>
        <w:t xml:space="preserve">Основные препараты для сопроводительной терапии и их варианты применения указаны в </w:t>
      </w:r>
      <w:r>
        <w:rPr>
          <w:rFonts w:eastAsia="SimSun"/>
        </w:rPr>
        <w:t>Таблице</w:t>
      </w:r>
      <w:r w:rsidRPr="00C07B2E">
        <w:rPr>
          <w:rFonts w:eastAsia="SimSun"/>
        </w:rPr>
        <w:t xml:space="preserve"> </w:t>
      </w:r>
      <w:r>
        <w:rPr>
          <w:rFonts w:eastAsia="SimSun"/>
        </w:rPr>
        <w:t>6</w:t>
      </w:r>
      <w:r w:rsidRPr="00C07B2E">
        <w:rPr>
          <w:rFonts w:eastAsia="SimSun"/>
        </w:rPr>
        <w:t>.1. Допускается использование как отдельных вариантнов так и их комбинаций.</w:t>
      </w:r>
    </w:p>
    <w:p w:rsidR="005600FF" w:rsidRPr="00C07B2E" w:rsidRDefault="005600FF" w:rsidP="005600FF">
      <w:pPr>
        <w:rPr>
          <w:rFonts w:eastAsia="SimSun"/>
        </w:rPr>
      </w:pPr>
    </w:p>
    <w:p w:rsidR="005600FF" w:rsidRPr="000F445E" w:rsidRDefault="005600FF" w:rsidP="005600FF">
      <w:pPr>
        <w:rPr>
          <w:rFonts w:eastAsia="SimSun"/>
        </w:rPr>
      </w:pPr>
      <w:bookmarkStart w:id="245" w:name="_Toc44401250"/>
      <w:r w:rsidRPr="000F445E">
        <w:rPr>
          <w:rFonts w:eastAsia="SimSun"/>
        </w:rPr>
        <w:t xml:space="preserve">Таблица </w:t>
      </w:r>
      <w:r>
        <w:rPr>
          <w:rFonts w:eastAsia="SimSun"/>
        </w:rPr>
        <w:t>6</w:t>
      </w:r>
      <w:r w:rsidRPr="000F445E">
        <w:rPr>
          <w:rFonts w:eastAsia="SimSun"/>
        </w:rPr>
        <w:t>.1 Основные препараты для сопроводительной терапии и их варианты применения</w:t>
      </w:r>
      <w:bookmarkEnd w:id="245"/>
    </w:p>
    <w:p w:rsidR="005600FF" w:rsidRPr="00C07B2E" w:rsidRDefault="005600FF" w:rsidP="005600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1952"/>
        <w:gridCol w:w="1350"/>
        <w:gridCol w:w="1002"/>
        <w:gridCol w:w="2427"/>
        <w:gridCol w:w="1697"/>
      </w:tblGrid>
      <w:tr w:rsidR="005600FF" w:rsidRPr="00AC3044" w:rsidTr="005600FF">
        <w:trPr>
          <w:cantSplit/>
          <w:trHeight w:val="464"/>
        </w:trPr>
        <w:tc>
          <w:tcPr>
            <w:tcW w:w="168" w:type="pct"/>
            <w:tcBorders>
              <w:top w:val="single" w:sz="4" w:space="0" w:color="auto"/>
              <w:left w:val="single" w:sz="4" w:space="0" w:color="auto"/>
              <w:bottom w:val="single" w:sz="4" w:space="0" w:color="auto"/>
              <w:right w:val="single" w:sz="4" w:space="0" w:color="auto"/>
            </w:tcBorders>
            <w:vAlign w:val="center"/>
          </w:tcPr>
          <w:p w:rsidR="005600FF" w:rsidRPr="00AC3044" w:rsidRDefault="005600FF" w:rsidP="005600FF">
            <w:pPr>
              <w:ind w:firstLine="0"/>
              <w:rPr>
                <w:rFonts w:eastAsia="SimSun"/>
              </w:rPr>
            </w:pPr>
            <w:r w:rsidRPr="00AC3044">
              <w:rPr>
                <w:rFonts w:eastAsia="SimSun"/>
              </w:rPr>
              <w:t>Вариант</w:t>
            </w:r>
          </w:p>
        </w:tc>
        <w:tc>
          <w:tcPr>
            <w:tcW w:w="1133" w:type="pct"/>
            <w:tcBorders>
              <w:top w:val="single" w:sz="4" w:space="0" w:color="auto"/>
              <w:left w:val="single" w:sz="4" w:space="0" w:color="auto"/>
              <w:bottom w:val="single" w:sz="4" w:space="0" w:color="auto"/>
              <w:right w:val="single" w:sz="4" w:space="0" w:color="auto"/>
            </w:tcBorders>
            <w:vAlign w:val="center"/>
          </w:tcPr>
          <w:p w:rsidR="005600FF" w:rsidRPr="00AC3044" w:rsidRDefault="005600FF" w:rsidP="005600FF">
            <w:pPr>
              <w:ind w:firstLine="0"/>
              <w:rPr>
                <w:rFonts w:eastAsia="SimSun"/>
              </w:rPr>
            </w:pPr>
            <w:r w:rsidRPr="00AC3044">
              <w:rPr>
                <w:rFonts w:eastAsia="SimSun"/>
              </w:rPr>
              <w:t>Препарат</w:t>
            </w:r>
          </w:p>
        </w:tc>
        <w:tc>
          <w:tcPr>
            <w:tcW w:w="614" w:type="pct"/>
            <w:tcBorders>
              <w:top w:val="single" w:sz="4" w:space="0" w:color="auto"/>
              <w:left w:val="single" w:sz="4" w:space="0" w:color="auto"/>
              <w:bottom w:val="single" w:sz="4" w:space="0" w:color="auto"/>
              <w:right w:val="single" w:sz="4" w:space="0" w:color="auto"/>
            </w:tcBorders>
            <w:vAlign w:val="center"/>
          </w:tcPr>
          <w:p w:rsidR="005600FF" w:rsidRPr="00AC3044" w:rsidRDefault="005600FF" w:rsidP="005600FF">
            <w:pPr>
              <w:ind w:firstLine="0"/>
              <w:rPr>
                <w:rFonts w:eastAsia="SimSun"/>
              </w:rPr>
            </w:pPr>
            <w:r w:rsidRPr="00AC3044">
              <w:rPr>
                <w:rFonts w:eastAsia="SimSun"/>
              </w:rPr>
              <w:t>Суточная доза</w:t>
            </w:r>
          </w:p>
        </w:tc>
        <w:tc>
          <w:tcPr>
            <w:tcW w:w="486" w:type="pct"/>
            <w:tcBorders>
              <w:top w:val="single" w:sz="4" w:space="0" w:color="auto"/>
              <w:left w:val="single" w:sz="4" w:space="0" w:color="auto"/>
              <w:bottom w:val="single" w:sz="4" w:space="0" w:color="auto"/>
              <w:right w:val="single" w:sz="4" w:space="0" w:color="auto"/>
            </w:tcBorders>
            <w:vAlign w:val="center"/>
          </w:tcPr>
          <w:p w:rsidR="005600FF" w:rsidRPr="00AC3044" w:rsidRDefault="005600FF" w:rsidP="005600FF">
            <w:pPr>
              <w:ind w:firstLine="0"/>
              <w:rPr>
                <w:rFonts w:eastAsia="SimSun"/>
              </w:rPr>
            </w:pPr>
            <w:r w:rsidRPr="00AC3044">
              <w:rPr>
                <w:rFonts w:eastAsia="SimSun"/>
              </w:rPr>
              <w:t>Курсовая доза</w:t>
            </w:r>
          </w:p>
        </w:tc>
        <w:tc>
          <w:tcPr>
            <w:tcW w:w="1370" w:type="pct"/>
            <w:tcBorders>
              <w:top w:val="single" w:sz="4" w:space="0" w:color="auto"/>
              <w:left w:val="single" w:sz="4" w:space="0" w:color="auto"/>
              <w:bottom w:val="single" w:sz="4" w:space="0" w:color="auto"/>
              <w:right w:val="single" w:sz="4" w:space="0" w:color="auto"/>
            </w:tcBorders>
            <w:vAlign w:val="center"/>
          </w:tcPr>
          <w:p w:rsidR="005600FF" w:rsidRPr="00AC3044" w:rsidRDefault="005600FF" w:rsidP="005600FF">
            <w:pPr>
              <w:ind w:firstLine="0"/>
              <w:rPr>
                <w:rFonts w:eastAsia="SimSun"/>
              </w:rPr>
            </w:pPr>
            <w:r w:rsidRPr="00AC3044">
              <w:rPr>
                <w:rFonts w:eastAsia="SimSun"/>
              </w:rPr>
              <w:t>Дни введения</w:t>
            </w:r>
          </w:p>
        </w:tc>
        <w:tc>
          <w:tcPr>
            <w:tcW w:w="1229" w:type="pct"/>
            <w:tcBorders>
              <w:top w:val="single" w:sz="4" w:space="0" w:color="auto"/>
              <w:left w:val="single" w:sz="4" w:space="0" w:color="auto"/>
              <w:bottom w:val="single" w:sz="4" w:space="0" w:color="auto"/>
              <w:right w:val="single" w:sz="4" w:space="0" w:color="auto"/>
            </w:tcBorders>
            <w:vAlign w:val="center"/>
          </w:tcPr>
          <w:p w:rsidR="005600FF" w:rsidRPr="00AC3044" w:rsidRDefault="005600FF" w:rsidP="005600FF">
            <w:pPr>
              <w:ind w:firstLine="0"/>
              <w:rPr>
                <w:rFonts w:eastAsia="SimSun"/>
              </w:rPr>
            </w:pPr>
            <w:r w:rsidRPr="00AC3044">
              <w:rPr>
                <w:rFonts w:eastAsia="SimSun"/>
              </w:rPr>
              <w:t>Порядок введения</w:t>
            </w:r>
          </w:p>
        </w:tc>
      </w:tr>
      <w:tr w:rsidR="005600FF" w:rsidRPr="00AC3044" w:rsidTr="005600FF">
        <w:trPr>
          <w:cantSplit/>
          <w:trHeight w:val="464"/>
        </w:trPr>
        <w:tc>
          <w:tcPr>
            <w:tcW w:w="5000" w:type="pct"/>
            <w:gridSpan w:val="6"/>
          </w:tcPr>
          <w:p w:rsidR="005600FF" w:rsidRPr="00AC3044" w:rsidRDefault="005600FF" w:rsidP="005600FF">
            <w:pPr>
              <w:ind w:firstLine="0"/>
              <w:rPr>
                <w:rFonts w:eastAsia="SimSun"/>
              </w:rPr>
            </w:pPr>
            <w:r w:rsidRPr="00AC3044">
              <w:rPr>
                <w:rFonts w:eastAsia="SimSun"/>
              </w:rPr>
              <w:t>Инфузионная терапия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 xml:space="preserve">Натрия бикарбонат </w:t>
            </w:r>
          </w:p>
        </w:tc>
        <w:tc>
          <w:tcPr>
            <w:tcW w:w="614" w:type="pct"/>
            <w:vAlign w:val="center"/>
          </w:tcPr>
          <w:p w:rsidR="005600FF" w:rsidRPr="00AC3044" w:rsidRDefault="005600FF" w:rsidP="005600FF">
            <w:pPr>
              <w:ind w:firstLine="0"/>
              <w:rPr>
                <w:rFonts w:eastAsia="SimSun"/>
              </w:rPr>
            </w:pPr>
            <w:r w:rsidRPr="00AC3044">
              <w:rPr>
                <w:rFonts w:eastAsia="SimSun"/>
              </w:rPr>
              <w:t>1200 мг/литр инфузионной терапии</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 xml:space="preserve">С дня -7 по -2 день </w:t>
            </w:r>
          </w:p>
        </w:tc>
        <w:tc>
          <w:tcPr>
            <w:tcW w:w="1229" w:type="pct"/>
            <w:vAlign w:val="center"/>
          </w:tcPr>
          <w:p w:rsidR="005600FF" w:rsidRPr="00AC3044" w:rsidRDefault="005600FF" w:rsidP="005600FF">
            <w:pPr>
              <w:ind w:firstLine="0"/>
              <w:rPr>
                <w:rFonts w:eastAsia="SimSun"/>
              </w:rPr>
            </w:pPr>
            <w:r w:rsidRPr="00AC3044">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2</w:t>
            </w:r>
          </w:p>
        </w:tc>
        <w:tc>
          <w:tcPr>
            <w:tcW w:w="1133" w:type="pct"/>
            <w:vAlign w:val="center"/>
          </w:tcPr>
          <w:p w:rsidR="005600FF" w:rsidRPr="00AC3044" w:rsidRDefault="005600FF" w:rsidP="005600FF">
            <w:pPr>
              <w:ind w:firstLine="0"/>
              <w:rPr>
                <w:rFonts w:eastAsia="SimSun"/>
              </w:rPr>
            </w:pPr>
            <w:r w:rsidRPr="00AC3044">
              <w:rPr>
                <w:rFonts w:eastAsia="SimSun"/>
              </w:rPr>
              <w:t xml:space="preserve">Раствор 5% глюкозы </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rsidR="005600FF" w:rsidRPr="00AC3044" w:rsidRDefault="005600FF" w:rsidP="005600FF">
            <w:pPr>
              <w:ind w:firstLine="0"/>
              <w:rPr>
                <w:rFonts w:eastAsia="SimSun"/>
              </w:rPr>
            </w:pPr>
            <w:r w:rsidRPr="00AC3044">
              <w:rPr>
                <w:rFonts w:eastAsia="SimSun"/>
              </w:rPr>
              <w:t>В/в инфузия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3</w:t>
            </w:r>
          </w:p>
        </w:tc>
        <w:tc>
          <w:tcPr>
            <w:tcW w:w="1133" w:type="pct"/>
            <w:vAlign w:val="center"/>
          </w:tcPr>
          <w:p w:rsidR="005600FF" w:rsidRPr="00AC3044" w:rsidRDefault="005600FF" w:rsidP="005600FF">
            <w:pPr>
              <w:ind w:firstLine="0"/>
              <w:rPr>
                <w:rFonts w:eastAsia="SimSun"/>
              </w:rPr>
            </w:pPr>
            <w:r w:rsidRPr="00AC3044">
              <w:rPr>
                <w:rFonts w:eastAsia="SimSun"/>
              </w:rPr>
              <w:t>Раствор хлорида натрия (0,9% NaCl)</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rsidR="005600FF" w:rsidRPr="00AC3044" w:rsidRDefault="005600FF" w:rsidP="005600FF">
            <w:pPr>
              <w:ind w:firstLine="0"/>
              <w:rPr>
                <w:rFonts w:eastAsia="SimSun"/>
              </w:rPr>
            </w:pPr>
            <w:r w:rsidRPr="00AC3044">
              <w:rPr>
                <w:rFonts w:eastAsia="SimSun"/>
              </w:rPr>
              <w:t>В/в инфузия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4</w:t>
            </w:r>
          </w:p>
        </w:tc>
        <w:tc>
          <w:tcPr>
            <w:tcW w:w="1133" w:type="pct"/>
            <w:vAlign w:val="center"/>
          </w:tcPr>
          <w:p w:rsidR="005600FF" w:rsidRPr="00AC3044" w:rsidRDefault="005600FF" w:rsidP="005600FF">
            <w:pPr>
              <w:ind w:firstLine="0"/>
              <w:rPr>
                <w:rFonts w:eastAsia="SimSun"/>
              </w:rPr>
            </w:pPr>
            <w:r w:rsidRPr="00AC3044">
              <w:rPr>
                <w:rFonts w:eastAsia="SimSun"/>
              </w:rPr>
              <w:t>Раствор Рингера</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rsidR="005600FF" w:rsidRPr="00AC3044" w:rsidRDefault="005600FF" w:rsidP="005600FF">
            <w:pPr>
              <w:ind w:firstLine="0"/>
              <w:rPr>
                <w:rFonts w:eastAsia="SimSun"/>
              </w:rPr>
            </w:pPr>
            <w:r w:rsidRPr="00AC3044">
              <w:rPr>
                <w:rFonts w:eastAsia="SimSun"/>
              </w:rPr>
              <w:t>В/в инфузия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lastRenderedPageBreak/>
              <w:t>5</w:t>
            </w:r>
          </w:p>
        </w:tc>
        <w:tc>
          <w:tcPr>
            <w:tcW w:w="1133" w:type="pct"/>
            <w:vAlign w:val="center"/>
          </w:tcPr>
          <w:p w:rsidR="005600FF" w:rsidRPr="00AC3044" w:rsidRDefault="005600FF" w:rsidP="005600FF">
            <w:pPr>
              <w:ind w:firstLine="0"/>
              <w:rPr>
                <w:rFonts w:eastAsia="SimSun"/>
              </w:rPr>
            </w:pPr>
            <w:r w:rsidRPr="00AC3044">
              <w:rPr>
                <w:rFonts w:eastAsia="SimSun"/>
              </w:rPr>
              <w:t>Калия и магния аспарагинат</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rsidR="005600FF" w:rsidRPr="00AC3044" w:rsidRDefault="005600FF" w:rsidP="005600FF">
            <w:pPr>
              <w:ind w:firstLine="0"/>
              <w:rPr>
                <w:rFonts w:eastAsia="SimSun"/>
              </w:rPr>
            </w:pPr>
            <w:r w:rsidRPr="00AC3044">
              <w:rPr>
                <w:rFonts w:eastAsia="SimSun"/>
              </w:rPr>
              <w:t>В/в инфузия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6</w:t>
            </w:r>
          </w:p>
        </w:tc>
        <w:tc>
          <w:tcPr>
            <w:tcW w:w="1133" w:type="pct"/>
            <w:vAlign w:val="center"/>
          </w:tcPr>
          <w:p w:rsidR="005600FF" w:rsidRPr="00AC3044" w:rsidRDefault="005600FF" w:rsidP="005600FF">
            <w:pPr>
              <w:ind w:firstLine="0"/>
              <w:rPr>
                <w:rFonts w:eastAsia="SimSun"/>
              </w:rPr>
            </w:pPr>
            <w:r w:rsidRPr="00AC3044">
              <w:rPr>
                <w:rFonts w:eastAsia="SimSun"/>
              </w:rPr>
              <w:t>4% хлорида калия (KCl)</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rsidR="005600FF" w:rsidRPr="00AC3044" w:rsidRDefault="005600FF" w:rsidP="005600FF">
            <w:pPr>
              <w:ind w:firstLine="0"/>
              <w:rPr>
                <w:rFonts w:eastAsia="SimSun"/>
              </w:rPr>
            </w:pPr>
            <w:r w:rsidRPr="00AC3044">
              <w:rPr>
                <w:rFonts w:eastAsia="SimSun"/>
              </w:rPr>
              <w:t>В/в инфузия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7</w:t>
            </w:r>
          </w:p>
        </w:tc>
        <w:tc>
          <w:tcPr>
            <w:tcW w:w="1133" w:type="pct"/>
            <w:vAlign w:val="center"/>
          </w:tcPr>
          <w:p w:rsidR="005600FF" w:rsidRPr="00AC3044" w:rsidRDefault="005600FF" w:rsidP="005600FF">
            <w:pPr>
              <w:ind w:firstLine="0"/>
              <w:rPr>
                <w:rFonts w:eastAsia="SimSun"/>
              </w:rPr>
            </w:pPr>
            <w:r w:rsidRPr="00AC3044">
              <w:rPr>
                <w:rFonts w:eastAsia="SimSun"/>
              </w:rPr>
              <w:t>25% сульфат магния (MgSO4)</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rsidR="005600FF" w:rsidRPr="00AC3044" w:rsidRDefault="005600FF" w:rsidP="005600FF">
            <w:pPr>
              <w:ind w:firstLine="0"/>
              <w:rPr>
                <w:rFonts w:eastAsia="SimSun"/>
              </w:rPr>
            </w:pPr>
            <w:r w:rsidRPr="00AC3044">
              <w:rPr>
                <w:rFonts w:eastAsia="SimSun"/>
              </w:rPr>
              <w:t>В/в инфузия</w:t>
            </w:r>
          </w:p>
        </w:tc>
      </w:tr>
      <w:tr w:rsidR="005600FF" w:rsidRPr="00AC3044" w:rsidTr="005600FF">
        <w:trPr>
          <w:cantSplit/>
          <w:trHeight w:val="464"/>
        </w:trPr>
        <w:tc>
          <w:tcPr>
            <w:tcW w:w="5000" w:type="pct"/>
            <w:gridSpan w:val="6"/>
          </w:tcPr>
          <w:p w:rsidR="005600FF" w:rsidRPr="00AC3044" w:rsidRDefault="005600FF" w:rsidP="005600FF">
            <w:pPr>
              <w:ind w:firstLine="0"/>
              <w:rPr>
                <w:rFonts w:eastAsia="SimSun"/>
              </w:rPr>
            </w:pPr>
            <w:r w:rsidRPr="00AC3044">
              <w:rPr>
                <w:rFonts w:eastAsia="SimSun"/>
              </w:rPr>
              <w:t>Антиэметическая терапия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 xml:space="preserve">Ондансетрон </w:t>
            </w:r>
          </w:p>
        </w:tc>
        <w:tc>
          <w:tcPr>
            <w:tcW w:w="614" w:type="pct"/>
            <w:vAlign w:val="center"/>
          </w:tcPr>
          <w:p w:rsidR="005600FF" w:rsidRPr="00AC3044" w:rsidRDefault="005600FF" w:rsidP="005600FF">
            <w:pPr>
              <w:ind w:firstLine="0"/>
              <w:rPr>
                <w:rFonts w:eastAsia="SimSun"/>
              </w:rPr>
            </w:pPr>
            <w:r w:rsidRPr="00AC3044">
              <w:rPr>
                <w:rFonts w:eastAsia="SimSun"/>
              </w:rPr>
              <w:t>24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rsidR="005600FF" w:rsidRPr="00AC3044" w:rsidRDefault="005600FF" w:rsidP="005600FF">
            <w:pPr>
              <w:ind w:firstLine="0"/>
              <w:rPr>
                <w:rFonts w:eastAsia="SimSun"/>
              </w:rPr>
            </w:pPr>
            <w:r w:rsidRPr="00AC3044">
              <w:rPr>
                <w:rFonts w:eastAsia="SimSun"/>
              </w:rPr>
              <w:t xml:space="preserve">В/в, 8 мг 3 раза/сут  </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2</w:t>
            </w:r>
          </w:p>
        </w:tc>
        <w:tc>
          <w:tcPr>
            <w:tcW w:w="1133" w:type="pct"/>
            <w:vAlign w:val="center"/>
          </w:tcPr>
          <w:p w:rsidR="005600FF" w:rsidRPr="00AC3044" w:rsidRDefault="005600FF" w:rsidP="005600FF">
            <w:pPr>
              <w:ind w:firstLine="0"/>
              <w:rPr>
                <w:rFonts w:eastAsia="SimSun"/>
              </w:rPr>
            </w:pPr>
            <w:r w:rsidRPr="00AC3044">
              <w:rPr>
                <w:rFonts w:eastAsia="SimSun"/>
              </w:rPr>
              <w:t>Гранисетрон</w:t>
            </w:r>
          </w:p>
        </w:tc>
        <w:tc>
          <w:tcPr>
            <w:tcW w:w="614" w:type="pct"/>
            <w:vAlign w:val="center"/>
          </w:tcPr>
          <w:p w:rsidR="005600FF" w:rsidRPr="00AC3044" w:rsidRDefault="005600FF" w:rsidP="005600FF">
            <w:pPr>
              <w:ind w:firstLine="0"/>
              <w:rPr>
                <w:rFonts w:eastAsia="SimSun"/>
              </w:rPr>
            </w:pPr>
            <w:r w:rsidRPr="00AC3044">
              <w:rPr>
                <w:rFonts w:eastAsia="SimSun"/>
              </w:rPr>
              <w:t>9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rsidR="005600FF" w:rsidRPr="00AC3044" w:rsidRDefault="005600FF" w:rsidP="005600FF">
            <w:pPr>
              <w:ind w:firstLine="0"/>
              <w:rPr>
                <w:rFonts w:eastAsia="SimSun"/>
              </w:rPr>
            </w:pPr>
            <w:r w:rsidRPr="00AC3044">
              <w:rPr>
                <w:rFonts w:eastAsia="SimSun"/>
              </w:rPr>
              <w:t xml:space="preserve">В/в, 3 мг 3 раза/сут  </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3</w:t>
            </w:r>
          </w:p>
        </w:tc>
        <w:tc>
          <w:tcPr>
            <w:tcW w:w="1133" w:type="pct"/>
            <w:vAlign w:val="center"/>
          </w:tcPr>
          <w:p w:rsidR="005600FF" w:rsidRPr="00AC3044" w:rsidRDefault="005600FF" w:rsidP="005600FF">
            <w:pPr>
              <w:ind w:firstLine="0"/>
              <w:rPr>
                <w:rFonts w:eastAsia="SimSun"/>
              </w:rPr>
            </w:pPr>
            <w:r w:rsidRPr="00AC3044">
              <w:rPr>
                <w:rFonts w:eastAsia="SimSun"/>
              </w:rPr>
              <w:t>Трописетрон</w:t>
            </w:r>
          </w:p>
        </w:tc>
        <w:tc>
          <w:tcPr>
            <w:tcW w:w="614" w:type="pct"/>
            <w:vAlign w:val="center"/>
          </w:tcPr>
          <w:p w:rsidR="005600FF" w:rsidRPr="00AC3044" w:rsidRDefault="005600FF" w:rsidP="005600FF">
            <w:pPr>
              <w:ind w:firstLine="0"/>
              <w:rPr>
                <w:rFonts w:eastAsia="SimSun"/>
              </w:rPr>
            </w:pPr>
            <w:r w:rsidRPr="00AC3044">
              <w:rPr>
                <w:rFonts w:eastAsia="SimSun"/>
              </w:rPr>
              <w:t>5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rsidR="005600FF" w:rsidRPr="00AC3044" w:rsidRDefault="005600FF" w:rsidP="005600FF">
            <w:pPr>
              <w:ind w:firstLine="0"/>
              <w:rPr>
                <w:rFonts w:eastAsia="SimSun"/>
              </w:rPr>
            </w:pPr>
            <w:r w:rsidRPr="00AC3044">
              <w:rPr>
                <w:rFonts w:eastAsia="SimSun"/>
              </w:rPr>
              <w:t>В/в, 5 мг 1 раз/сут</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4</w:t>
            </w:r>
          </w:p>
        </w:tc>
        <w:tc>
          <w:tcPr>
            <w:tcW w:w="1133" w:type="pct"/>
            <w:vAlign w:val="center"/>
          </w:tcPr>
          <w:p w:rsidR="005600FF" w:rsidRPr="00AC3044" w:rsidRDefault="005600FF" w:rsidP="005600FF">
            <w:pPr>
              <w:ind w:firstLine="0"/>
              <w:rPr>
                <w:rFonts w:eastAsia="SimSun"/>
              </w:rPr>
            </w:pPr>
            <w:r w:rsidRPr="00AC3044">
              <w:rPr>
                <w:rFonts w:eastAsia="SimSun"/>
              </w:rPr>
              <w:t>Палоносетрон</w:t>
            </w:r>
          </w:p>
        </w:tc>
        <w:tc>
          <w:tcPr>
            <w:tcW w:w="614" w:type="pct"/>
            <w:vAlign w:val="center"/>
          </w:tcPr>
          <w:p w:rsidR="005600FF" w:rsidRPr="00AC3044" w:rsidRDefault="005600FF" w:rsidP="005600FF">
            <w:pPr>
              <w:ind w:firstLine="0"/>
              <w:rPr>
                <w:rFonts w:eastAsia="SimSun"/>
              </w:rPr>
            </w:pPr>
            <w:r w:rsidRPr="00AC3044">
              <w:rPr>
                <w:rFonts w:eastAsia="SimSun"/>
              </w:rPr>
              <w:t>0,25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rsidR="005600FF" w:rsidRPr="00AC3044" w:rsidRDefault="005600FF" w:rsidP="005600FF">
            <w:pPr>
              <w:ind w:firstLine="0"/>
              <w:rPr>
                <w:rFonts w:eastAsia="SimSun"/>
              </w:rPr>
            </w:pPr>
            <w:r w:rsidRPr="00AC3044">
              <w:rPr>
                <w:rFonts w:eastAsia="SimSun"/>
              </w:rPr>
              <w:t>В/в</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5</w:t>
            </w:r>
          </w:p>
        </w:tc>
        <w:tc>
          <w:tcPr>
            <w:tcW w:w="1133" w:type="pct"/>
            <w:vAlign w:val="center"/>
          </w:tcPr>
          <w:p w:rsidR="005600FF" w:rsidRPr="00AC3044" w:rsidRDefault="005600FF" w:rsidP="005600FF">
            <w:pPr>
              <w:ind w:firstLine="0"/>
              <w:rPr>
                <w:rFonts w:eastAsia="SimSun"/>
              </w:rPr>
            </w:pPr>
            <w:r w:rsidRPr="00AC3044">
              <w:rPr>
                <w:rFonts w:eastAsia="SimSun"/>
              </w:rPr>
              <w:t>Апрепитант</w:t>
            </w:r>
          </w:p>
        </w:tc>
        <w:tc>
          <w:tcPr>
            <w:tcW w:w="614" w:type="pct"/>
            <w:vAlign w:val="center"/>
          </w:tcPr>
          <w:p w:rsidR="005600FF" w:rsidRPr="00AC3044" w:rsidRDefault="005600FF" w:rsidP="005600FF">
            <w:pPr>
              <w:ind w:firstLine="0"/>
              <w:rPr>
                <w:rFonts w:eastAsia="SimSun"/>
              </w:rPr>
            </w:pPr>
            <w:r w:rsidRPr="00AC3044">
              <w:rPr>
                <w:rFonts w:eastAsia="SimSun"/>
              </w:rPr>
              <w:t>125, 80, 80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При проведении ТТО -3 по -1 дни</w:t>
            </w:r>
          </w:p>
        </w:tc>
        <w:tc>
          <w:tcPr>
            <w:tcW w:w="1229" w:type="pct"/>
            <w:vAlign w:val="center"/>
          </w:tcPr>
          <w:p w:rsidR="005600FF" w:rsidRPr="00AC3044" w:rsidRDefault="005600FF" w:rsidP="005600FF">
            <w:pPr>
              <w:ind w:firstLine="0"/>
              <w:rPr>
                <w:rFonts w:eastAsia="SimSun"/>
              </w:rPr>
            </w:pPr>
            <w:r w:rsidRPr="00AC3044">
              <w:rPr>
                <w:rFonts w:eastAsia="SimSun"/>
              </w:rPr>
              <w:t>Внутрь, перед  утренней фракцией ТТО</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lastRenderedPageBreak/>
              <w:t>6</w:t>
            </w:r>
          </w:p>
        </w:tc>
        <w:tc>
          <w:tcPr>
            <w:tcW w:w="1133" w:type="pct"/>
            <w:vAlign w:val="center"/>
          </w:tcPr>
          <w:p w:rsidR="005600FF" w:rsidRPr="00AC3044" w:rsidRDefault="005600FF" w:rsidP="005600FF">
            <w:pPr>
              <w:ind w:firstLine="0"/>
              <w:rPr>
                <w:rFonts w:eastAsia="SimSun"/>
              </w:rPr>
            </w:pPr>
            <w:r w:rsidRPr="00AC3044">
              <w:rPr>
                <w:rFonts w:eastAsia="SimSun"/>
              </w:rPr>
              <w:t>Фосапрепитант</w:t>
            </w:r>
            <w:r w:rsidRPr="00AC3044">
              <w:rPr>
                <w:rFonts w:eastAsia="SimSun"/>
              </w:rPr>
              <w:tab/>
            </w:r>
          </w:p>
        </w:tc>
        <w:tc>
          <w:tcPr>
            <w:tcW w:w="614" w:type="pct"/>
            <w:vAlign w:val="center"/>
          </w:tcPr>
          <w:p w:rsidR="005600FF" w:rsidRPr="00AC3044" w:rsidRDefault="005600FF" w:rsidP="005600FF">
            <w:pPr>
              <w:ind w:firstLine="0"/>
              <w:rPr>
                <w:rFonts w:eastAsia="SimSun"/>
              </w:rPr>
            </w:pPr>
            <w:r w:rsidRPr="00AC3044">
              <w:rPr>
                <w:rFonts w:eastAsia="SimSun"/>
              </w:rPr>
              <w:t>150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rsidR="005600FF" w:rsidRPr="00AC3044" w:rsidRDefault="005600FF" w:rsidP="005600FF">
            <w:pPr>
              <w:ind w:firstLine="0"/>
              <w:rPr>
                <w:rFonts w:eastAsia="SimSun"/>
              </w:rPr>
            </w:pPr>
            <w:r w:rsidRPr="00AC3044">
              <w:rPr>
                <w:rFonts w:eastAsia="SimSun"/>
              </w:rPr>
              <w:t>В/в, однократно</w:t>
            </w:r>
          </w:p>
        </w:tc>
      </w:tr>
      <w:tr w:rsidR="005600FF" w:rsidRPr="00AC3044" w:rsidTr="005600FF">
        <w:trPr>
          <w:cantSplit/>
          <w:trHeight w:val="464"/>
        </w:trPr>
        <w:tc>
          <w:tcPr>
            <w:tcW w:w="5000" w:type="pct"/>
            <w:gridSpan w:val="6"/>
          </w:tcPr>
          <w:p w:rsidR="005600FF" w:rsidRPr="00AC3044" w:rsidRDefault="005600FF" w:rsidP="005600FF">
            <w:pPr>
              <w:ind w:firstLine="0"/>
              <w:rPr>
                <w:rFonts w:eastAsia="SimSun"/>
              </w:rPr>
            </w:pPr>
            <w:r w:rsidRPr="00AC3044">
              <w:rPr>
                <w:rFonts w:eastAsia="SimSun"/>
              </w:rPr>
              <w:t>Антикоагулянтная терапия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Гепарин</w:t>
            </w:r>
          </w:p>
        </w:tc>
        <w:tc>
          <w:tcPr>
            <w:tcW w:w="614" w:type="pct"/>
            <w:vAlign w:val="center"/>
          </w:tcPr>
          <w:p w:rsidR="005600FF" w:rsidRPr="00AC3044" w:rsidRDefault="005600FF" w:rsidP="005600FF">
            <w:pPr>
              <w:ind w:firstLine="0"/>
              <w:rPr>
                <w:rFonts w:eastAsia="SimSun"/>
              </w:rPr>
            </w:pPr>
            <w:r w:rsidRPr="00AC3044">
              <w:rPr>
                <w:rFonts w:eastAsia="SimSun"/>
              </w:rPr>
              <w:t xml:space="preserve">12000 ЕД/сут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1229" w:type="pct"/>
            <w:vAlign w:val="center"/>
          </w:tcPr>
          <w:p w:rsidR="005600FF" w:rsidRPr="00AC3044" w:rsidRDefault="005600FF" w:rsidP="005600FF">
            <w:pPr>
              <w:ind w:firstLine="0"/>
              <w:rPr>
                <w:rFonts w:eastAsia="SimSun"/>
              </w:rPr>
            </w:pPr>
            <w:r w:rsidRPr="00AC3044">
              <w:rPr>
                <w:rFonts w:eastAsia="SimSun"/>
              </w:rPr>
              <w:t>В/в, инфузия в течение 24 ч</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2</w:t>
            </w:r>
          </w:p>
        </w:tc>
        <w:tc>
          <w:tcPr>
            <w:tcW w:w="1133" w:type="pct"/>
            <w:vAlign w:val="center"/>
          </w:tcPr>
          <w:p w:rsidR="005600FF" w:rsidRPr="00AC3044" w:rsidRDefault="005600FF" w:rsidP="005600FF">
            <w:pPr>
              <w:ind w:firstLine="0"/>
              <w:rPr>
                <w:rFonts w:eastAsia="SimSun"/>
              </w:rPr>
            </w:pPr>
            <w:r w:rsidRPr="00AC3044">
              <w:rPr>
                <w:rFonts w:eastAsia="SimSun"/>
              </w:rPr>
              <w:t>Гепарин</w:t>
            </w:r>
          </w:p>
        </w:tc>
        <w:tc>
          <w:tcPr>
            <w:tcW w:w="614" w:type="pct"/>
            <w:vAlign w:val="center"/>
          </w:tcPr>
          <w:p w:rsidR="005600FF" w:rsidRPr="00AC3044" w:rsidRDefault="005600FF" w:rsidP="005600FF">
            <w:pPr>
              <w:ind w:firstLine="0"/>
              <w:rPr>
                <w:rFonts w:eastAsia="SimSun"/>
              </w:rPr>
            </w:pPr>
            <w:r w:rsidRPr="00AC3044">
              <w:rPr>
                <w:rFonts w:eastAsia="SimSun"/>
              </w:rPr>
              <w:t xml:space="preserve">100 ЕД/кг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Весь период использования ЦВК</w:t>
            </w:r>
          </w:p>
        </w:tc>
        <w:tc>
          <w:tcPr>
            <w:tcW w:w="1229" w:type="pct"/>
            <w:vAlign w:val="center"/>
          </w:tcPr>
          <w:p w:rsidR="005600FF" w:rsidRPr="00AC3044" w:rsidRDefault="005600FF" w:rsidP="005600FF">
            <w:pPr>
              <w:ind w:firstLine="0"/>
              <w:rPr>
                <w:rFonts w:eastAsia="SimSun"/>
              </w:rPr>
            </w:pPr>
            <w:r w:rsidRPr="00AC3044">
              <w:rPr>
                <w:rFonts w:eastAsia="SimSun"/>
              </w:rPr>
              <w:t>В/в, инфузия в течение 24 ч</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3</w:t>
            </w:r>
          </w:p>
        </w:tc>
        <w:tc>
          <w:tcPr>
            <w:tcW w:w="1133" w:type="pct"/>
            <w:vAlign w:val="center"/>
          </w:tcPr>
          <w:p w:rsidR="005600FF" w:rsidRPr="00AC3044" w:rsidRDefault="005600FF" w:rsidP="005600FF">
            <w:pPr>
              <w:ind w:firstLine="0"/>
              <w:rPr>
                <w:rFonts w:eastAsia="SimSun"/>
              </w:rPr>
            </w:pPr>
            <w:r w:rsidRPr="00AC3044">
              <w:rPr>
                <w:rFonts w:eastAsia="SimSun"/>
              </w:rPr>
              <w:t>Гепарин</w:t>
            </w:r>
          </w:p>
        </w:tc>
        <w:tc>
          <w:tcPr>
            <w:tcW w:w="614" w:type="pct"/>
            <w:vAlign w:val="center"/>
          </w:tcPr>
          <w:p w:rsidR="005600FF" w:rsidRPr="00AC3044" w:rsidRDefault="005600FF" w:rsidP="005600FF">
            <w:pPr>
              <w:ind w:firstLine="0"/>
              <w:rPr>
                <w:rFonts w:eastAsia="SimSun"/>
              </w:rPr>
            </w:pPr>
            <w:r w:rsidRPr="00AC3044">
              <w:rPr>
                <w:rFonts w:eastAsia="SimSun"/>
              </w:rPr>
              <w:t xml:space="preserve">100-500 ЕД/кг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Под контролем АЧТВ, в среднем 14-42 дня</w:t>
            </w:r>
          </w:p>
        </w:tc>
        <w:tc>
          <w:tcPr>
            <w:tcW w:w="1229" w:type="pct"/>
            <w:vAlign w:val="center"/>
          </w:tcPr>
          <w:p w:rsidR="005600FF" w:rsidRPr="00AC3044" w:rsidRDefault="005600FF" w:rsidP="005600FF">
            <w:pPr>
              <w:ind w:firstLine="0"/>
              <w:rPr>
                <w:rFonts w:eastAsia="SimSun"/>
              </w:rPr>
            </w:pPr>
            <w:r w:rsidRPr="00AC3044">
              <w:rPr>
                <w:rFonts w:eastAsia="SimSun"/>
              </w:rPr>
              <w:t>В/в, инфузия в течение 24 ч</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4</w:t>
            </w:r>
          </w:p>
        </w:tc>
        <w:tc>
          <w:tcPr>
            <w:tcW w:w="1133" w:type="pct"/>
            <w:vAlign w:val="center"/>
          </w:tcPr>
          <w:p w:rsidR="005600FF" w:rsidRPr="00AC3044" w:rsidRDefault="005600FF" w:rsidP="005600FF">
            <w:pPr>
              <w:ind w:firstLine="0"/>
              <w:rPr>
                <w:rFonts w:eastAsia="SimSun"/>
              </w:rPr>
            </w:pPr>
            <w:r w:rsidRPr="00AC3044">
              <w:rPr>
                <w:rFonts w:eastAsia="SimSun"/>
              </w:rPr>
              <w:t>Низкомолекулряные гепарины</w:t>
            </w:r>
          </w:p>
        </w:tc>
        <w:tc>
          <w:tcPr>
            <w:tcW w:w="3699" w:type="pct"/>
            <w:gridSpan w:val="4"/>
            <w:vAlign w:val="center"/>
          </w:tcPr>
          <w:p w:rsidR="005600FF" w:rsidRPr="00AC3044" w:rsidRDefault="005600FF" w:rsidP="005600FF">
            <w:pPr>
              <w:ind w:firstLine="0"/>
              <w:rPr>
                <w:rFonts w:eastAsia="SimSun"/>
              </w:rPr>
            </w:pPr>
            <w:r w:rsidRPr="00AC3044">
              <w:rPr>
                <w:rFonts w:eastAsia="SimSun"/>
              </w:rPr>
              <w:t>В соответсвии с рекомендациями производителя и клинической ситуации, в среднем 14-42 дня.</w:t>
            </w:r>
          </w:p>
        </w:tc>
      </w:tr>
      <w:tr w:rsidR="005600FF" w:rsidRPr="00AC3044" w:rsidTr="005600FF">
        <w:trPr>
          <w:cantSplit/>
          <w:trHeight w:val="464"/>
        </w:trPr>
        <w:tc>
          <w:tcPr>
            <w:tcW w:w="5000" w:type="pct"/>
            <w:gridSpan w:val="6"/>
          </w:tcPr>
          <w:p w:rsidR="005600FF" w:rsidRPr="00AC3044" w:rsidRDefault="005600FF" w:rsidP="005600FF">
            <w:pPr>
              <w:ind w:firstLine="0"/>
              <w:rPr>
                <w:rFonts w:eastAsia="SimSun"/>
              </w:rPr>
            </w:pPr>
            <w:r w:rsidRPr="00AC3044">
              <w:rPr>
                <w:rFonts w:eastAsia="SimSun"/>
              </w:rPr>
              <w:t>Противосудорожная терапия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Карбамазепин</w:t>
            </w:r>
          </w:p>
        </w:tc>
        <w:tc>
          <w:tcPr>
            <w:tcW w:w="614" w:type="pct"/>
            <w:vAlign w:val="center"/>
          </w:tcPr>
          <w:p w:rsidR="005600FF" w:rsidRPr="00AC3044" w:rsidRDefault="005600FF" w:rsidP="005600FF">
            <w:pPr>
              <w:ind w:firstLine="0"/>
              <w:rPr>
                <w:rFonts w:eastAsia="SimSun"/>
              </w:rPr>
            </w:pPr>
            <w:r w:rsidRPr="00AC3044">
              <w:rPr>
                <w:rFonts w:eastAsia="SimSun"/>
              </w:rPr>
              <w:t>200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 xml:space="preserve">За сутки до введения бусульфана, в дни приема бусульфана, день следующий после окончания приема бусульфана </w:t>
            </w:r>
          </w:p>
        </w:tc>
        <w:tc>
          <w:tcPr>
            <w:tcW w:w="1229" w:type="pct"/>
            <w:vAlign w:val="center"/>
          </w:tcPr>
          <w:p w:rsidR="005600FF" w:rsidRPr="00AC3044" w:rsidRDefault="005600FF" w:rsidP="005600FF">
            <w:pPr>
              <w:ind w:firstLine="0"/>
              <w:rPr>
                <w:rFonts w:eastAsia="SimSun"/>
              </w:rPr>
            </w:pPr>
            <w:r w:rsidRPr="00AC3044">
              <w:rPr>
                <w:rFonts w:eastAsia="SimSun"/>
              </w:rPr>
              <w:t>Внутрь, 100 мг 2 раза/сут</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lastRenderedPageBreak/>
              <w:t>2</w:t>
            </w:r>
          </w:p>
        </w:tc>
        <w:tc>
          <w:tcPr>
            <w:tcW w:w="1133" w:type="pct"/>
            <w:vAlign w:val="center"/>
          </w:tcPr>
          <w:p w:rsidR="005600FF" w:rsidRPr="00AC3044" w:rsidRDefault="005600FF" w:rsidP="005600FF">
            <w:pPr>
              <w:ind w:firstLine="0"/>
              <w:rPr>
                <w:rFonts w:eastAsia="SimSun"/>
              </w:rPr>
            </w:pPr>
            <w:r w:rsidRPr="00AC3044">
              <w:rPr>
                <w:rFonts w:eastAsia="SimSun"/>
              </w:rPr>
              <w:t>Диазепам (допускается, особенно при наличии судорожного синдрома в анамнезе)</w:t>
            </w:r>
          </w:p>
        </w:tc>
        <w:tc>
          <w:tcPr>
            <w:tcW w:w="614" w:type="pct"/>
            <w:vAlign w:val="center"/>
          </w:tcPr>
          <w:p w:rsidR="005600FF" w:rsidRPr="00AC3044" w:rsidRDefault="005600FF" w:rsidP="005600FF">
            <w:pPr>
              <w:ind w:firstLine="0"/>
              <w:rPr>
                <w:rFonts w:eastAsia="SimSun"/>
              </w:rPr>
            </w:pPr>
            <w:r w:rsidRPr="00AC3044">
              <w:rPr>
                <w:rFonts w:eastAsia="SimSun"/>
              </w:rPr>
              <w:t>10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ЦФ</w:t>
            </w:r>
          </w:p>
        </w:tc>
        <w:tc>
          <w:tcPr>
            <w:tcW w:w="1229" w:type="pct"/>
            <w:vAlign w:val="center"/>
          </w:tcPr>
          <w:p w:rsidR="005600FF" w:rsidRPr="00AC3044" w:rsidRDefault="005600FF" w:rsidP="005600FF">
            <w:pPr>
              <w:ind w:firstLine="0"/>
              <w:rPr>
                <w:rFonts w:eastAsia="SimSun"/>
              </w:rPr>
            </w:pPr>
            <w:r w:rsidRPr="00AC3044">
              <w:rPr>
                <w:rFonts w:eastAsia="SimSun"/>
              </w:rPr>
              <w:t>В/в, на ночь</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3</w:t>
            </w:r>
          </w:p>
        </w:tc>
        <w:tc>
          <w:tcPr>
            <w:tcW w:w="1133" w:type="pct"/>
            <w:vAlign w:val="center"/>
          </w:tcPr>
          <w:p w:rsidR="005600FF" w:rsidRPr="00AC3044" w:rsidRDefault="005600FF" w:rsidP="005600FF">
            <w:pPr>
              <w:ind w:firstLine="0"/>
              <w:rPr>
                <w:rFonts w:eastAsia="SimSun"/>
              </w:rPr>
            </w:pPr>
            <w:r w:rsidRPr="00AC3044">
              <w:rPr>
                <w:rFonts w:eastAsia="SimSun"/>
              </w:rPr>
              <w:t>Левитирацетам</w:t>
            </w:r>
          </w:p>
        </w:tc>
        <w:tc>
          <w:tcPr>
            <w:tcW w:w="614" w:type="pct"/>
            <w:vAlign w:val="center"/>
          </w:tcPr>
          <w:p w:rsidR="005600FF" w:rsidRPr="00AC3044" w:rsidRDefault="005600FF" w:rsidP="005600FF">
            <w:pPr>
              <w:ind w:firstLine="0"/>
              <w:rPr>
                <w:rFonts w:eastAsia="SimSun"/>
              </w:rPr>
            </w:pPr>
            <w:r w:rsidRPr="00AC3044">
              <w:rPr>
                <w:rFonts w:eastAsia="SimSun"/>
              </w:rPr>
              <w:t>500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rsidR="005600FF" w:rsidRPr="00AC3044" w:rsidRDefault="005600FF" w:rsidP="005600FF">
            <w:pPr>
              <w:ind w:firstLine="0"/>
              <w:rPr>
                <w:rFonts w:eastAsia="SimSun"/>
              </w:rPr>
            </w:pPr>
            <w:r w:rsidRPr="00AC3044">
              <w:rPr>
                <w:rFonts w:eastAsia="SimSun"/>
              </w:rPr>
              <w:t>Внутрь, по 250 мг 2 раза/сут</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4</w:t>
            </w:r>
          </w:p>
        </w:tc>
        <w:tc>
          <w:tcPr>
            <w:tcW w:w="1133" w:type="pct"/>
            <w:vAlign w:val="center"/>
          </w:tcPr>
          <w:p w:rsidR="005600FF" w:rsidRPr="00AC3044" w:rsidRDefault="005600FF" w:rsidP="005600FF">
            <w:pPr>
              <w:ind w:firstLine="0"/>
              <w:rPr>
                <w:rFonts w:eastAsia="SimSun"/>
              </w:rPr>
            </w:pPr>
            <w:r w:rsidRPr="00AC3044">
              <w:rPr>
                <w:rFonts w:eastAsia="SimSun"/>
              </w:rPr>
              <w:t>Левитирацетам</w:t>
            </w:r>
          </w:p>
        </w:tc>
        <w:tc>
          <w:tcPr>
            <w:tcW w:w="614" w:type="pct"/>
            <w:vAlign w:val="center"/>
          </w:tcPr>
          <w:p w:rsidR="005600FF" w:rsidRPr="00AC3044" w:rsidRDefault="005600FF" w:rsidP="005600FF">
            <w:pPr>
              <w:ind w:firstLine="0"/>
              <w:rPr>
                <w:rFonts w:eastAsia="SimSun"/>
              </w:rPr>
            </w:pPr>
            <w:r w:rsidRPr="00AC3044">
              <w:rPr>
                <w:rFonts w:eastAsia="SimSun"/>
              </w:rPr>
              <w:t>1000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rsidR="005600FF" w:rsidRPr="00AC3044" w:rsidRDefault="005600FF" w:rsidP="005600FF">
            <w:pPr>
              <w:ind w:firstLine="0"/>
              <w:rPr>
                <w:rFonts w:eastAsia="SimSun"/>
              </w:rPr>
            </w:pPr>
            <w:r w:rsidRPr="00AC3044">
              <w:rPr>
                <w:rFonts w:eastAsia="SimSun"/>
              </w:rPr>
              <w:t>Внутрь, по 1000 мг 2 раза/сут</w:t>
            </w:r>
          </w:p>
        </w:tc>
      </w:tr>
      <w:tr w:rsidR="005600FF" w:rsidRPr="00AC3044" w:rsidTr="005600FF">
        <w:trPr>
          <w:cantSplit/>
          <w:trHeight w:val="464"/>
        </w:trPr>
        <w:tc>
          <w:tcPr>
            <w:tcW w:w="5000" w:type="pct"/>
            <w:gridSpan w:val="6"/>
          </w:tcPr>
          <w:p w:rsidR="005600FF" w:rsidRPr="00AC3044" w:rsidRDefault="005600FF" w:rsidP="005600FF">
            <w:pPr>
              <w:ind w:firstLine="0"/>
              <w:rPr>
                <w:rFonts w:eastAsia="SimSun"/>
              </w:rPr>
            </w:pPr>
            <w:r w:rsidRPr="00AC3044">
              <w:rPr>
                <w:rFonts w:eastAsia="SimSun"/>
              </w:rPr>
              <w:t>Антисекреторная терапия</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 xml:space="preserve">Омепразол </w:t>
            </w:r>
          </w:p>
        </w:tc>
        <w:tc>
          <w:tcPr>
            <w:tcW w:w="614" w:type="pct"/>
            <w:vAlign w:val="center"/>
          </w:tcPr>
          <w:p w:rsidR="005600FF" w:rsidRPr="00AC3044" w:rsidRDefault="005600FF" w:rsidP="005600FF">
            <w:pPr>
              <w:ind w:firstLine="0"/>
              <w:rPr>
                <w:rFonts w:eastAsia="SimSun"/>
              </w:rPr>
            </w:pPr>
            <w:r w:rsidRPr="00AC3044">
              <w:rPr>
                <w:rFonts w:eastAsia="SimSun"/>
              </w:rPr>
              <w:t>20-40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1 раз в сутки;</w:t>
            </w:r>
          </w:p>
          <w:p w:rsidR="005600FF" w:rsidRPr="00AC3044" w:rsidRDefault="005600FF" w:rsidP="005600FF">
            <w:pPr>
              <w:ind w:firstLine="0"/>
              <w:rPr>
                <w:rFonts w:eastAsia="SimSun"/>
              </w:rPr>
            </w:pPr>
            <w:r w:rsidRPr="00AC3044">
              <w:rPr>
                <w:rFonts w:eastAsia="SimSun"/>
              </w:rPr>
              <w:t>в/в, 1 раз в сутки</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2</w:t>
            </w:r>
          </w:p>
        </w:tc>
        <w:tc>
          <w:tcPr>
            <w:tcW w:w="1133" w:type="pct"/>
          </w:tcPr>
          <w:p w:rsidR="005600FF" w:rsidRPr="00AC3044" w:rsidRDefault="005600FF" w:rsidP="005600FF">
            <w:pPr>
              <w:ind w:firstLine="0"/>
              <w:rPr>
                <w:rFonts w:eastAsia="SimSun"/>
              </w:rPr>
            </w:pPr>
            <w:r w:rsidRPr="00AC3044">
              <w:rPr>
                <w:rFonts w:eastAsia="SimSun"/>
              </w:rPr>
              <w:t>Лансопразол</w:t>
            </w:r>
          </w:p>
        </w:tc>
        <w:tc>
          <w:tcPr>
            <w:tcW w:w="614" w:type="pct"/>
          </w:tcPr>
          <w:p w:rsidR="005600FF" w:rsidRPr="00AC3044" w:rsidRDefault="005600FF" w:rsidP="005600FF">
            <w:pPr>
              <w:ind w:firstLine="0"/>
              <w:rPr>
                <w:rFonts w:eastAsia="SimSun"/>
              </w:rPr>
            </w:pPr>
            <w:r w:rsidRPr="00AC3044">
              <w:rPr>
                <w:rFonts w:eastAsia="SimSun"/>
              </w:rPr>
              <w:t xml:space="preserve">30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1 раз в сутки</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3</w:t>
            </w:r>
          </w:p>
        </w:tc>
        <w:tc>
          <w:tcPr>
            <w:tcW w:w="1133" w:type="pct"/>
          </w:tcPr>
          <w:p w:rsidR="005600FF" w:rsidRPr="00AC3044" w:rsidRDefault="005600FF" w:rsidP="005600FF">
            <w:pPr>
              <w:ind w:firstLine="0"/>
              <w:rPr>
                <w:rFonts w:eastAsia="SimSun"/>
              </w:rPr>
            </w:pPr>
            <w:r w:rsidRPr="00AC3044">
              <w:rPr>
                <w:rFonts w:eastAsia="SimSun"/>
              </w:rPr>
              <w:t>Пантопразол</w:t>
            </w:r>
          </w:p>
        </w:tc>
        <w:tc>
          <w:tcPr>
            <w:tcW w:w="614" w:type="pct"/>
          </w:tcPr>
          <w:p w:rsidR="005600FF" w:rsidRPr="00AC3044" w:rsidRDefault="005600FF" w:rsidP="005600FF">
            <w:pPr>
              <w:ind w:firstLine="0"/>
              <w:rPr>
                <w:rFonts w:eastAsia="SimSun"/>
              </w:rPr>
            </w:pPr>
            <w:r w:rsidRPr="00AC3044">
              <w:rPr>
                <w:rFonts w:eastAsia="SimSun"/>
              </w:rPr>
              <w:t xml:space="preserve">40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1 раз в сутки</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lastRenderedPageBreak/>
              <w:t>4</w:t>
            </w:r>
          </w:p>
        </w:tc>
        <w:tc>
          <w:tcPr>
            <w:tcW w:w="1133" w:type="pct"/>
          </w:tcPr>
          <w:p w:rsidR="005600FF" w:rsidRPr="00AC3044" w:rsidRDefault="005600FF" w:rsidP="005600FF">
            <w:pPr>
              <w:ind w:firstLine="0"/>
              <w:rPr>
                <w:rFonts w:eastAsia="SimSun"/>
              </w:rPr>
            </w:pPr>
            <w:r w:rsidRPr="00AC3044">
              <w:rPr>
                <w:rFonts w:eastAsia="SimSun"/>
              </w:rPr>
              <w:t>Рабепразол</w:t>
            </w:r>
          </w:p>
        </w:tc>
        <w:tc>
          <w:tcPr>
            <w:tcW w:w="614" w:type="pct"/>
          </w:tcPr>
          <w:p w:rsidR="005600FF" w:rsidRPr="00AC3044" w:rsidRDefault="005600FF" w:rsidP="005600FF">
            <w:pPr>
              <w:ind w:firstLine="0"/>
              <w:rPr>
                <w:rFonts w:eastAsia="SimSun"/>
              </w:rPr>
            </w:pPr>
            <w:r w:rsidRPr="00AC3044">
              <w:rPr>
                <w:rFonts w:eastAsia="SimSun"/>
              </w:rPr>
              <w:t>20</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1 раз в сутки</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5</w:t>
            </w:r>
          </w:p>
        </w:tc>
        <w:tc>
          <w:tcPr>
            <w:tcW w:w="1133" w:type="pct"/>
          </w:tcPr>
          <w:p w:rsidR="005600FF" w:rsidRPr="00AC3044" w:rsidRDefault="005600FF" w:rsidP="005600FF">
            <w:pPr>
              <w:ind w:firstLine="0"/>
              <w:rPr>
                <w:rFonts w:eastAsia="SimSun"/>
              </w:rPr>
            </w:pPr>
            <w:r w:rsidRPr="00AC3044">
              <w:rPr>
                <w:rFonts w:eastAsia="SimSun"/>
              </w:rPr>
              <w:t>Эзомепразол</w:t>
            </w:r>
          </w:p>
        </w:tc>
        <w:tc>
          <w:tcPr>
            <w:tcW w:w="614" w:type="pct"/>
          </w:tcPr>
          <w:p w:rsidR="005600FF" w:rsidRPr="00AC3044" w:rsidRDefault="005600FF" w:rsidP="005600FF">
            <w:pPr>
              <w:ind w:firstLine="0"/>
              <w:rPr>
                <w:rFonts w:eastAsia="SimSun"/>
              </w:rPr>
            </w:pPr>
            <w:r w:rsidRPr="00AC3044">
              <w:rPr>
                <w:rFonts w:eastAsia="SimSun"/>
              </w:rPr>
              <w:t>20</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или в/в, 1 раз в сутки</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6</w:t>
            </w:r>
          </w:p>
        </w:tc>
        <w:tc>
          <w:tcPr>
            <w:tcW w:w="1133" w:type="pct"/>
          </w:tcPr>
          <w:p w:rsidR="005600FF" w:rsidRPr="00AC3044" w:rsidRDefault="005600FF" w:rsidP="005600FF">
            <w:pPr>
              <w:ind w:firstLine="0"/>
              <w:rPr>
                <w:rFonts w:eastAsia="SimSun"/>
              </w:rPr>
            </w:pPr>
            <w:r w:rsidRPr="00AC3044">
              <w:rPr>
                <w:rFonts w:eastAsia="SimSun"/>
              </w:rPr>
              <w:t>Ранитидин</w:t>
            </w:r>
          </w:p>
        </w:tc>
        <w:tc>
          <w:tcPr>
            <w:tcW w:w="614" w:type="pct"/>
          </w:tcPr>
          <w:p w:rsidR="005600FF" w:rsidRPr="00AC3044" w:rsidRDefault="005600FF" w:rsidP="005600FF">
            <w:pPr>
              <w:ind w:firstLine="0"/>
              <w:rPr>
                <w:rFonts w:eastAsia="SimSun"/>
              </w:rPr>
            </w:pPr>
            <w:r w:rsidRPr="00AC3044">
              <w:rPr>
                <w:rFonts w:eastAsia="SimSun"/>
              </w:rPr>
              <w:t>150</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1 раз в сутки, на ночь</w:t>
            </w:r>
          </w:p>
        </w:tc>
      </w:tr>
      <w:tr w:rsidR="005600FF" w:rsidRPr="00AC3044" w:rsidTr="005600FF">
        <w:trPr>
          <w:cantSplit/>
          <w:trHeight w:val="464"/>
        </w:trPr>
        <w:tc>
          <w:tcPr>
            <w:tcW w:w="168" w:type="pct"/>
          </w:tcPr>
          <w:p w:rsidR="005600FF" w:rsidRPr="00AC3044" w:rsidRDefault="005600FF" w:rsidP="005600FF">
            <w:pPr>
              <w:ind w:firstLine="0"/>
              <w:rPr>
                <w:rFonts w:eastAsia="SimSun"/>
              </w:rPr>
            </w:pPr>
            <w:r w:rsidRPr="00AC3044">
              <w:rPr>
                <w:rFonts w:eastAsia="SimSun"/>
              </w:rPr>
              <w:t>7</w:t>
            </w:r>
          </w:p>
        </w:tc>
        <w:tc>
          <w:tcPr>
            <w:tcW w:w="1133" w:type="pct"/>
          </w:tcPr>
          <w:p w:rsidR="005600FF" w:rsidRPr="00AC3044" w:rsidRDefault="005600FF" w:rsidP="005600FF">
            <w:pPr>
              <w:ind w:firstLine="0"/>
              <w:rPr>
                <w:rFonts w:eastAsia="SimSun"/>
              </w:rPr>
            </w:pPr>
            <w:r w:rsidRPr="00AC3044">
              <w:rPr>
                <w:rFonts w:eastAsia="SimSun"/>
              </w:rPr>
              <w:t>Фамотидин</w:t>
            </w:r>
          </w:p>
        </w:tc>
        <w:tc>
          <w:tcPr>
            <w:tcW w:w="614" w:type="pct"/>
          </w:tcPr>
          <w:p w:rsidR="005600FF" w:rsidRPr="00AC3044" w:rsidRDefault="005600FF" w:rsidP="005600FF">
            <w:pPr>
              <w:ind w:firstLine="0"/>
              <w:rPr>
                <w:rFonts w:eastAsia="SimSun"/>
              </w:rPr>
            </w:pPr>
            <w:r w:rsidRPr="00AC3044">
              <w:rPr>
                <w:rFonts w:eastAsia="SimSun"/>
              </w:rPr>
              <w:t xml:space="preserve">20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 в среднем 14-42 дня</w:t>
            </w:r>
          </w:p>
        </w:tc>
        <w:tc>
          <w:tcPr>
            <w:tcW w:w="1229" w:type="pct"/>
          </w:tcPr>
          <w:p w:rsidR="005600FF" w:rsidRPr="00AC3044" w:rsidRDefault="005600FF" w:rsidP="005600FF">
            <w:pPr>
              <w:ind w:firstLine="0"/>
              <w:rPr>
                <w:rFonts w:eastAsia="SimSun"/>
              </w:rPr>
            </w:pPr>
            <w:r w:rsidRPr="00AC3044">
              <w:rPr>
                <w:rFonts w:eastAsia="SimSun"/>
              </w:rPr>
              <w:t>Внутрь, 1 раз в сутки, на ночь</w:t>
            </w:r>
          </w:p>
        </w:tc>
      </w:tr>
      <w:tr w:rsidR="005600FF" w:rsidRPr="00AC3044" w:rsidTr="005600FF">
        <w:trPr>
          <w:cantSplit/>
          <w:trHeight w:val="20"/>
        </w:trPr>
        <w:tc>
          <w:tcPr>
            <w:tcW w:w="5000" w:type="pct"/>
            <w:gridSpan w:val="6"/>
          </w:tcPr>
          <w:p w:rsidR="005600FF" w:rsidRPr="00AC3044" w:rsidRDefault="005600FF" w:rsidP="005600FF">
            <w:pPr>
              <w:ind w:firstLine="0"/>
              <w:rPr>
                <w:rFonts w:eastAsia="SimSun"/>
              </w:rPr>
            </w:pPr>
            <w:r w:rsidRPr="00AC3044">
              <w:rPr>
                <w:rFonts w:eastAsia="SimSun"/>
              </w:rPr>
              <w:t>Наркотическая обезболивающая терапия</w:t>
            </w:r>
          </w:p>
        </w:tc>
      </w:tr>
      <w:tr w:rsidR="005600FF" w:rsidRPr="00AC3044" w:rsidTr="005600FF">
        <w:trPr>
          <w:cantSplit/>
          <w:trHeight w:val="20"/>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 xml:space="preserve">Промедол </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w:t>
            </w:r>
          </w:p>
        </w:tc>
        <w:tc>
          <w:tcPr>
            <w:tcW w:w="1229" w:type="pct"/>
            <w:vAlign w:val="center"/>
          </w:tcPr>
          <w:p w:rsidR="005600FF" w:rsidRPr="00AC3044" w:rsidRDefault="005600FF" w:rsidP="005600FF">
            <w:pPr>
              <w:ind w:firstLine="0"/>
              <w:rPr>
                <w:rFonts w:eastAsia="SimSun"/>
              </w:rPr>
            </w:pPr>
            <w:r w:rsidRPr="00AC3044">
              <w:rPr>
                <w:rFonts w:eastAsia="SimSun"/>
              </w:rPr>
              <w:t>В/в</w:t>
            </w:r>
          </w:p>
        </w:tc>
      </w:tr>
      <w:tr w:rsidR="005600FF" w:rsidRPr="00AC3044" w:rsidTr="005600FF">
        <w:trPr>
          <w:cantSplit/>
          <w:trHeight w:val="20"/>
        </w:trPr>
        <w:tc>
          <w:tcPr>
            <w:tcW w:w="168" w:type="pct"/>
          </w:tcPr>
          <w:p w:rsidR="005600FF" w:rsidRPr="00AC3044" w:rsidRDefault="005600FF" w:rsidP="005600FF">
            <w:pPr>
              <w:ind w:firstLine="0"/>
              <w:rPr>
                <w:rFonts w:eastAsia="SimSun"/>
              </w:rPr>
            </w:pPr>
            <w:r w:rsidRPr="00AC3044">
              <w:rPr>
                <w:rFonts w:eastAsia="SimSun"/>
              </w:rPr>
              <w:t>2</w:t>
            </w:r>
          </w:p>
        </w:tc>
        <w:tc>
          <w:tcPr>
            <w:tcW w:w="1133" w:type="pct"/>
            <w:vAlign w:val="center"/>
          </w:tcPr>
          <w:p w:rsidR="005600FF" w:rsidRPr="00AC3044" w:rsidRDefault="005600FF" w:rsidP="005600FF">
            <w:pPr>
              <w:ind w:firstLine="0"/>
              <w:rPr>
                <w:rFonts w:eastAsia="SimSun"/>
              </w:rPr>
            </w:pPr>
            <w:r w:rsidRPr="00AC3044">
              <w:rPr>
                <w:rFonts w:eastAsia="SimSun"/>
              </w:rPr>
              <w:t>Трамадол</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w:t>
            </w:r>
          </w:p>
        </w:tc>
        <w:tc>
          <w:tcPr>
            <w:tcW w:w="1229" w:type="pct"/>
            <w:vAlign w:val="center"/>
          </w:tcPr>
          <w:p w:rsidR="005600FF" w:rsidRPr="00AC3044" w:rsidRDefault="005600FF" w:rsidP="005600FF">
            <w:pPr>
              <w:ind w:firstLine="0"/>
              <w:rPr>
                <w:rFonts w:eastAsia="SimSun"/>
              </w:rPr>
            </w:pPr>
            <w:r w:rsidRPr="00AC3044">
              <w:rPr>
                <w:rFonts w:eastAsia="SimSun"/>
              </w:rPr>
              <w:t>В/в</w:t>
            </w:r>
          </w:p>
        </w:tc>
      </w:tr>
      <w:tr w:rsidR="005600FF" w:rsidRPr="00AC3044" w:rsidTr="005600FF">
        <w:trPr>
          <w:cantSplit/>
          <w:trHeight w:val="20"/>
        </w:trPr>
        <w:tc>
          <w:tcPr>
            <w:tcW w:w="168" w:type="pct"/>
          </w:tcPr>
          <w:p w:rsidR="005600FF" w:rsidRPr="00AC3044" w:rsidRDefault="005600FF" w:rsidP="005600FF">
            <w:pPr>
              <w:ind w:firstLine="0"/>
              <w:rPr>
                <w:rFonts w:eastAsia="SimSun"/>
              </w:rPr>
            </w:pPr>
            <w:r w:rsidRPr="00AC3044">
              <w:rPr>
                <w:rFonts w:eastAsia="SimSun"/>
              </w:rPr>
              <w:t>3</w:t>
            </w:r>
          </w:p>
        </w:tc>
        <w:tc>
          <w:tcPr>
            <w:tcW w:w="1133" w:type="pct"/>
            <w:vAlign w:val="center"/>
          </w:tcPr>
          <w:p w:rsidR="005600FF" w:rsidRPr="00AC3044" w:rsidRDefault="005600FF" w:rsidP="005600FF">
            <w:pPr>
              <w:ind w:firstLine="0"/>
              <w:rPr>
                <w:rFonts w:eastAsia="SimSun"/>
              </w:rPr>
            </w:pPr>
            <w:r w:rsidRPr="00AC3044">
              <w:rPr>
                <w:rFonts w:eastAsia="SimSun"/>
              </w:rPr>
              <w:t>Фентанил</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w:t>
            </w:r>
          </w:p>
        </w:tc>
        <w:tc>
          <w:tcPr>
            <w:tcW w:w="1229" w:type="pct"/>
            <w:vAlign w:val="center"/>
          </w:tcPr>
          <w:p w:rsidR="005600FF" w:rsidRPr="00AC3044" w:rsidRDefault="005600FF" w:rsidP="005600FF">
            <w:pPr>
              <w:ind w:firstLine="0"/>
              <w:rPr>
                <w:rFonts w:eastAsia="SimSun"/>
              </w:rPr>
            </w:pPr>
            <w:r w:rsidRPr="00AC3044">
              <w:rPr>
                <w:rFonts w:eastAsia="SimSun"/>
              </w:rPr>
              <w:t>Трансдермально</w:t>
            </w:r>
          </w:p>
        </w:tc>
      </w:tr>
      <w:tr w:rsidR="005600FF" w:rsidRPr="00AC3044" w:rsidTr="005600FF">
        <w:trPr>
          <w:cantSplit/>
          <w:trHeight w:val="20"/>
        </w:trPr>
        <w:tc>
          <w:tcPr>
            <w:tcW w:w="168" w:type="pct"/>
          </w:tcPr>
          <w:p w:rsidR="005600FF" w:rsidRPr="00AC3044" w:rsidRDefault="005600FF" w:rsidP="005600FF">
            <w:pPr>
              <w:ind w:firstLine="0"/>
              <w:rPr>
                <w:rFonts w:eastAsia="SimSun"/>
              </w:rPr>
            </w:pPr>
            <w:r w:rsidRPr="00AC3044">
              <w:rPr>
                <w:rFonts w:eastAsia="SimSun"/>
              </w:rPr>
              <w:t>4</w:t>
            </w:r>
          </w:p>
        </w:tc>
        <w:tc>
          <w:tcPr>
            <w:tcW w:w="1133" w:type="pct"/>
            <w:vAlign w:val="center"/>
          </w:tcPr>
          <w:p w:rsidR="005600FF" w:rsidRPr="00AC3044" w:rsidRDefault="005600FF" w:rsidP="005600FF">
            <w:pPr>
              <w:ind w:firstLine="0"/>
              <w:rPr>
                <w:rFonts w:eastAsia="SimSun"/>
              </w:rPr>
            </w:pPr>
            <w:r w:rsidRPr="00AC3044">
              <w:rPr>
                <w:rFonts w:eastAsia="SimSun"/>
              </w:rPr>
              <w:t>Морфин</w:t>
            </w:r>
          </w:p>
        </w:tc>
        <w:tc>
          <w:tcPr>
            <w:tcW w:w="2470" w:type="pct"/>
            <w:gridSpan w:val="3"/>
            <w:vAlign w:val="center"/>
          </w:tcPr>
          <w:p w:rsidR="005600FF" w:rsidRPr="00AC3044" w:rsidRDefault="005600FF" w:rsidP="005600FF">
            <w:pPr>
              <w:ind w:firstLine="0"/>
              <w:rPr>
                <w:rFonts w:eastAsia="SimSun"/>
              </w:rPr>
            </w:pPr>
            <w:r w:rsidRPr="00AC3044">
              <w:rPr>
                <w:rFonts w:eastAsia="SimSun"/>
              </w:rPr>
              <w:t>В соответсвии с клинической ситуацией</w:t>
            </w:r>
          </w:p>
        </w:tc>
        <w:tc>
          <w:tcPr>
            <w:tcW w:w="1229" w:type="pct"/>
            <w:vAlign w:val="center"/>
          </w:tcPr>
          <w:p w:rsidR="005600FF" w:rsidRPr="00AC3044" w:rsidRDefault="005600FF" w:rsidP="005600FF">
            <w:pPr>
              <w:ind w:firstLine="0"/>
              <w:rPr>
                <w:rFonts w:eastAsia="SimSun"/>
              </w:rPr>
            </w:pPr>
            <w:r w:rsidRPr="00AC3044">
              <w:rPr>
                <w:rFonts w:eastAsia="SimSun"/>
              </w:rPr>
              <w:t>В/в</w:t>
            </w:r>
          </w:p>
        </w:tc>
      </w:tr>
      <w:tr w:rsidR="005600FF" w:rsidRPr="00AC3044" w:rsidTr="005600FF">
        <w:trPr>
          <w:cantSplit/>
          <w:trHeight w:val="20"/>
        </w:trPr>
        <w:tc>
          <w:tcPr>
            <w:tcW w:w="5000" w:type="pct"/>
            <w:gridSpan w:val="6"/>
          </w:tcPr>
          <w:p w:rsidR="005600FF" w:rsidRPr="00AC3044" w:rsidRDefault="005600FF" w:rsidP="005600FF">
            <w:pPr>
              <w:ind w:firstLine="0"/>
              <w:rPr>
                <w:rFonts w:eastAsia="SimSun"/>
              </w:rPr>
            </w:pPr>
            <w:r w:rsidRPr="00AC3044">
              <w:rPr>
                <w:rFonts w:eastAsia="SimSun"/>
              </w:rPr>
              <w:t>Другое</w:t>
            </w:r>
          </w:p>
        </w:tc>
      </w:tr>
      <w:tr w:rsidR="005600FF" w:rsidRPr="00AC3044" w:rsidTr="005600FF">
        <w:trPr>
          <w:cantSplit/>
          <w:trHeight w:val="20"/>
        </w:trPr>
        <w:tc>
          <w:tcPr>
            <w:tcW w:w="168" w:type="pct"/>
          </w:tcPr>
          <w:p w:rsidR="005600FF" w:rsidRPr="00AC3044" w:rsidRDefault="005600FF" w:rsidP="005600FF">
            <w:pPr>
              <w:ind w:firstLine="0"/>
              <w:rPr>
                <w:rFonts w:eastAsia="SimSun"/>
              </w:rPr>
            </w:pPr>
            <w:r w:rsidRPr="00AC3044">
              <w:rPr>
                <w:rFonts w:eastAsia="SimSun"/>
              </w:rPr>
              <w:t>1</w:t>
            </w:r>
          </w:p>
        </w:tc>
        <w:tc>
          <w:tcPr>
            <w:tcW w:w="1133" w:type="pct"/>
            <w:vAlign w:val="center"/>
          </w:tcPr>
          <w:p w:rsidR="005600FF" w:rsidRPr="00AC3044" w:rsidRDefault="005600FF" w:rsidP="005600FF">
            <w:pPr>
              <w:ind w:firstLine="0"/>
              <w:rPr>
                <w:rFonts w:eastAsia="SimSun"/>
              </w:rPr>
            </w:pPr>
            <w:r w:rsidRPr="00AC3044">
              <w:rPr>
                <w:rFonts w:eastAsia="SimSun"/>
              </w:rPr>
              <w:t>Месна</w:t>
            </w:r>
          </w:p>
        </w:tc>
        <w:tc>
          <w:tcPr>
            <w:tcW w:w="614" w:type="pct"/>
            <w:vAlign w:val="center"/>
          </w:tcPr>
          <w:p w:rsidR="005600FF" w:rsidRPr="00AC3044" w:rsidRDefault="005600FF" w:rsidP="005600FF">
            <w:pPr>
              <w:ind w:firstLine="0"/>
              <w:rPr>
                <w:rFonts w:eastAsia="SimSun"/>
              </w:rPr>
            </w:pPr>
            <w:r w:rsidRPr="00AC3044">
              <w:rPr>
                <w:rFonts w:eastAsia="SimSun"/>
              </w:rPr>
              <w:t>120% от дозы ЦФ</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дни введения ЦФ</w:t>
            </w:r>
          </w:p>
        </w:tc>
        <w:tc>
          <w:tcPr>
            <w:tcW w:w="1229" w:type="pct"/>
            <w:vAlign w:val="center"/>
          </w:tcPr>
          <w:p w:rsidR="005600FF" w:rsidRPr="00AC3044" w:rsidRDefault="005600FF" w:rsidP="005600FF">
            <w:pPr>
              <w:ind w:firstLine="0"/>
              <w:rPr>
                <w:rFonts w:eastAsia="SimSun"/>
              </w:rPr>
            </w:pPr>
            <w:r w:rsidRPr="00AC3044">
              <w:rPr>
                <w:rFonts w:eastAsia="SimSun"/>
              </w:rPr>
              <w:t xml:space="preserve">В/в, инфузия в течение 24 ч, начиная за 2 ч до введения ЦФ </w:t>
            </w:r>
          </w:p>
        </w:tc>
      </w:tr>
      <w:tr w:rsidR="005600FF" w:rsidRPr="00AC3044" w:rsidTr="005600FF">
        <w:trPr>
          <w:cantSplit/>
          <w:trHeight w:val="20"/>
        </w:trPr>
        <w:tc>
          <w:tcPr>
            <w:tcW w:w="168" w:type="pct"/>
          </w:tcPr>
          <w:p w:rsidR="005600FF" w:rsidRPr="00AC3044" w:rsidRDefault="005600FF" w:rsidP="005600FF">
            <w:pPr>
              <w:ind w:firstLine="0"/>
              <w:rPr>
                <w:rFonts w:eastAsia="SimSun"/>
              </w:rPr>
            </w:pPr>
            <w:r w:rsidRPr="00AC3044">
              <w:rPr>
                <w:rFonts w:eastAsia="SimSun"/>
              </w:rPr>
              <w:t>2</w:t>
            </w:r>
          </w:p>
        </w:tc>
        <w:tc>
          <w:tcPr>
            <w:tcW w:w="1133" w:type="pct"/>
            <w:vAlign w:val="center"/>
          </w:tcPr>
          <w:p w:rsidR="005600FF" w:rsidRPr="00AC3044" w:rsidRDefault="005600FF" w:rsidP="005600FF">
            <w:pPr>
              <w:ind w:firstLine="0"/>
              <w:rPr>
                <w:rFonts w:eastAsia="SimSun"/>
              </w:rPr>
            </w:pPr>
            <w:r w:rsidRPr="00AC3044">
              <w:rPr>
                <w:rFonts w:eastAsia="SimSun"/>
              </w:rPr>
              <w:t>Кальция фолинат</w:t>
            </w:r>
          </w:p>
        </w:tc>
        <w:tc>
          <w:tcPr>
            <w:tcW w:w="614" w:type="pct"/>
            <w:vAlign w:val="center"/>
          </w:tcPr>
          <w:p w:rsidR="005600FF" w:rsidRPr="00AC3044" w:rsidRDefault="005600FF" w:rsidP="005600FF">
            <w:pPr>
              <w:ind w:firstLine="0"/>
              <w:rPr>
                <w:rFonts w:eastAsia="SimSun"/>
              </w:rPr>
            </w:pPr>
            <w:r w:rsidRPr="00AC3044">
              <w:rPr>
                <w:rFonts w:eastAsia="SimSun"/>
              </w:rPr>
              <w:t>50 мг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В случае применения метотрексата в качестве профилактики РТПХ</w:t>
            </w:r>
          </w:p>
          <w:p w:rsidR="005600FF" w:rsidRPr="00AC3044" w:rsidRDefault="005600FF" w:rsidP="005600FF">
            <w:pPr>
              <w:ind w:firstLine="0"/>
              <w:rPr>
                <w:rFonts w:eastAsia="SimSun"/>
              </w:rPr>
            </w:pPr>
            <w:r w:rsidRPr="00AC3044">
              <w:rPr>
                <w:rFonts w:eastAsia="SimSun"/>
              </w:rPr>
              <w:t xml:space="preserve">+2, +4, +7, +12 дни </w:t>
            </w:r>
          </w:p>
        </w:tc>
        <w:tc>
          <w:tcPr>
            <w:tcW w:w="1229" w:type="pct"/>
            <w:vAlign w:val="center"/>
          </w:tcPr>
          <w:p w:rsidR="005600FF" w:rsidRPr="00AC3044" w:rsidRDefault="005600FF" w:rsidP="005600FF">
            <w:pPr>
              <w:ind w:firstLine="0"/>
              <w:rPr>
                <w:rFonts w:eastAsia="SimSun"/>
              </w:rPr>
            </w:pPr>
            <w:r w:rsidRPr="00AC3044">
              <w:rPr>
                <w:rFonts w:eastAsia="SimSun"/>
              </w:rPr>
              <w:t xml:space="preserve">В/в, в 20 мл физ. р-ра  </w:t>
            </w:r>
          </w:p>
        </w:tc>
      </w:tr>
      <w:tr w:rsidR="005600FF" w:rsidRPr="00AC3044" w:rsidTr="005600FF">
        <w:trPr>
          <w:trHeight w:val="20"/>
        </w:trPr>
        <w:tc>
          <w:tcPr>
            <w:tcW w:w="168" w:type="pct"/>
          </w:tcPr>
          <w:p w:rsidR="005600FF" w:rsidRPr="00AC3044" w:rsidRDefault="005600FF" w:rsidP="005600FF">
            <w:pPr>
              <w:ind w:firstLine="0"/>
              <w:rPr>
                <w:rFonts w:eastAsia="SimSun"/>
              </w:rPr>
            </w:pPr>
            <w:r w:rsidRPr="00AC3044">
              <w:rPr>
                <w:rFonts w:eastAsia="SimSun"/>
              </w:rPr>
              <w:lastRenderedPageBreak/>
              <w:t>3</w:t>
            </w:r>
          </w:p>
        </w:tc>
        <w:tc>
          <w:tcPr>
            <w:tcW w:w="1133" w:type="pct"/>
            <w:vAlign w:val="center"/>
          </w:tcPr>
          <w:p w:rsidR="005600FF" w:rsidRPr="00AC3044" w:rsidRDefault="005600FF" w:rsidP="005600FF">
            <w:pPr>
              <w:ind w:firstLine="0"/>
              <w:rPr>
                <w:rFonts w:eastAsia="SimSun"/>
              </w:rPr>
            </w:pPr>
            <w:r w:rsidRPr="00AC3044">
              <w:rPr>
                <w:rFonts w:eastAsia="SimSun"/>
              </w:rPr>
              <w:t xml:space="preserve">Аллопуринол </w:t>
            </w:r>
          </w:p>
        </w:tc>
        <w:tc>
          <w:tcPr>
            <w:tcW w:w="614" w:type="pct"/>
            <w:vAlign w:val="center"/>
          </w:tcPr>
          <w:p w:rsidR="005600FF" w:rsidRPr="00AC3044" w:rsidRDefault="005600FF" w:rsidP="005600FF">
            <w:pPr>
              <w:ind w:firstLine="0"/>
              <w:rPr>
                <w:rFonts w:eastAsia="SimSun"/>
              </w:rPr>
            </w:pPr>
            <w:r w:rsidRPr="00AC3044">
              <w:rPr>
                <w:rFonts w:eastAsia="SimSun"/>
              </w:rPr>
              <w:t>200 мг/м</w:t>
            </w:r>
            <w:r w:rsidRPr="00271D11">
              <w:rPr>
                <w:rFonts w:eastAsia="SimSun"/>
                <w:vertAlign w:val="superscript"/>
              </w:rPr>
              <w:t>2</w:t>
            </w:r>
            <w:r w:rsidRPr="00AC3044">
              <w:rPr>
                <w:rFonts w:eastAsia="SimSun"/>
              </w:rPr>
              <w:t xml:space="preserve">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rsidR="005600FF" w:rsidRPr="00AC3044" w:rsidRDefault="005600FF" w:rsidP="005600FF">
            <w:pPr>
              <w:ind w:firstLine="0"/>
              <w:rPr>
                <w:rFonts w:eastAsia="SimSun"/>
              </w:rPr>
            </w:pPr>
            <w:r w:rsidRPr="00AC3044">
              <w:rPr>
                <w:rFonts w:eastAsia="SimSun"/>
              </w:rPr>
              <w:t>Внутрь, однократно или доза разделяется на 2 приема</w:t>
            </w:r>
          </w:p>
        </w:tc>
      </w:tr>
      <w:tr w:rsidR="005600FF" w:rsidRPr="00AC3044" w:rsidTr="005600FF">
        <w:trPr>
          <w:trHeight w:val="20"/>
        </w:trPr>
        <w:tc>
          <w:tcPr>
            <w:tcW w:w="168" w:type="pct"/>
          </w:tcPr>
          <w:p w:rsidR="005600FF" w:rsidRPr="00AC3044" w:rsidRDefault="005600FF" w:rsidP="005600FF">
            <w:pPr>
              <w:ind w:firstLine="0"/>
              <w:rPr>
                <w:rFonts w:eastAsia="SimSun"/>
              </w:rPr>
            </w:pPr>
            <w:r w:rsidRPr="00AC3044">
              <w:rPr>
                <w:rFonts w:eastAsia="SimSun"/>
              </w:rPr>
              <w:t>4</w:t>
            </w:r>
          </w:p>
        </w:tc>
        <w:tc>
          <w:tcPr>
            <w:tcW w:w="1133" w:type="pct"/>
            <w:vAlign w:val="center"/>
          </w:tcPr>
          <w:p w:rsidR="005600FF" w:rsidRPr="00AC3044" w:rsidRDefault="005600FF" w:rsidP="005600FF">
            <w:pPr>
              <w:ind w:firstLine="0"/>
              <w:rPr>
                <w:rFonts w:eastAsia="SimSun"/>
              </w:rPr>
            </w:pPr>
            <w:r w:rsidRPr="00AC3044">
              <w:rPr>
                <w:rFonts w:eastAsia="SimSun"/>
              </w:rPr>
              <w:t xml:space="preserve">Аллопуринол </w:t>
            </w:r>
          </w:p>
        </w:tc>
        <w:tc>
          <w:tcPr>
            <w:tcW w:w="614" w:type="pct"/>
            <w:vAlign w:val="center"/>
          </w:tcPr>
          <w:p w:rsidR="005600FF" w:rsidRPr="00AC3044" w:rsidRDefault="005600FF" w:rsidP="005600FF">
            <w:pPr>
              <w:ind w:firstLine="0"/>
              <w:rPr>
                <w:rFonts w:eastAsia="SimSun"/>
              </w:rPr>
            </w:pPr>
            <w:r w:rsidRPr="00AC3044">
              <w:rPr>
                <w:rFonts w:eastAsia="SimSun"/>
              </w:rPr>
              <w:t xml:space="preserve">300мг </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rsidR="005600FF" w:rsidRPr="00AC3044" w:rsidRDefault="005600FF" w:rsidP="005600FF">
            <w:pPr>
              <w:ind w:firstLine="0"/>
              <w:rPr>
                <w:rFonts w:eastAsia="SimSun"/>
              </w:rPr>
            </w:pPr>
            <w:r w:rsidRPr="00AC3044">
              <w:rPr>
                <w:rFonts w:eastAsia="SimSun"/>
              </w:rPr>
              <w:t>Внутрь, однократно или доза разделяется на 2 приема</w:t>
            </w:r>
          </w:p>
        </w:tc>
      </w:tr>
      <w:tr w:rsidR="005600FF" w:rsidRPr="00AC3044" w:rsidTr="005600FF">
        <w:trPr>
          <w:trHeight w:val="20"/>
        </w:trPr>
        <w:tc>
          <w:tcPr>
            <w:tcW w:w="168" w:type="pct"/>
          </w:tcPr>
          <w:p w:rsidR="005600FF" w:rsidRPr="00AC3044" w:rsidRDefault="005600FF" w:rsidP="005600FF">
            <w:pPr>
              <w:ind w:firstLine="0"/>
              <w:rPr>
                <w:rFonts w:eastAsia="SimSun"/>
              </w:rPr>
            </w:pPr>
            <w:r w:rsidRPr="00AC3044">
              <w:rPr>
                <w:rFonts w:eastAsia="SimSun"/>
              </w:rPr>
              <w:t>5</w:t>
            </w:r>
          </w:p>
        </w:tc>
        <w:tc>
          <w:tcPr>
            <w:tcW w:w="1133" w:type="pct"/>
            <w:vAlign w:val="center"/>
          </w:tcPr>
          <w:p w:rsidR="005600FF" w:rsidRPr="00AC3044" w:rsidRDefault="005600FF" w:rsidP="005600FF">
            <w:pPr>
              <w:ind w:firstLine="0"/>
              <w:rPr>
                <w:rFonts w:eastAsia="SimSun"/>
              </w:rPr>
            </w:pPr>
            <w:r w:rsidRPr="00AC3044">
              <w:rPr>
                <w:rFonts w:eastAsia="SimSun"/>
              </w:rPr>
              <w:t>Урсодезоксихолевая кислота (рекомендуется)</w:t>
            </w:r>
          </w:p>
        </w:tc>
        <w:tc>
          <w:tcPr>
            <w:tcW w:w="614" w:type="pct"/>
            <w:vAlign w:val="center"/>
          </w:tcPr>
          <w:p w:rsidR="005600FF" w:rsidRPr="00AC3044" w:rsidRDefault="005600FF" w:rsidP="005600FF">
            <w:pPr>
              <w:ind w:firstLine="0"/>
              <w:rPr>
                <w:rFonts w:eastAsia="SimSun"/>
              </w:rPr>
            </w:pPr>
            <w:r w:rsidRPr="00AC3044">
              <w:rPr>
                <w:rFonts w:eastAsia="SimSun"/>
              </w:rPr>
              <w:t>12 мг/кг</w:t>
            </w:r>
          </w:p>
        </w:tc>
        <w:tc>
          <w:tcPr>
            <w:tcW w:w="486" w:type="pct"/>
            <w:vAlign w:val="center"/>
          </w:tcPr>
          <w:p w:rsidR="005600FF" w:rsidRPr="00AC3044" w:rsidRDefault="005600FF" w:rsidP="005600FF">
            <w:pPr>
              <w:ind w:firstLine="0"/>
              <w:rPr>
                <w:rFonts w:eastAsia="SimSun"/>
              </w:rPr>
            </w:pPr>
            <w:r w:rsidRPr="00AC3044">
              <w:rPr>
                <w:rFonts w:eastAsia="SimSun"/>
              </w:rPr>
              <w:t>–</w:t>
            </w:r>
          </w:p>
        </w:tc>
        <w:tc>
          <w:tcPr>
            <w:tcW w:w="1370" w:type="pct"/>
            <w:vAlign w:val="center"/>
          </w:tcPr>
          <w:p w:rsidR="005600FF" w:rsidRPr="00AC3044" w:rsidRDefault="005600FF" w:rsidP="005600FF">
            <w:pPr>
              <w:ind w:firstLine="0"/>
              <w:rPr>
                <w:rFonts w:eastAsia="SimSun"/>
              </w:rPr>
            </w:pPr>
            <w:r w:rsidRPr="00AC3044">
              <w:rPr>
                <w:rFonts w:eastAsia="SimSun"/>
              </w:rPr>
              <w:t>C –6 по +180 день</w:t>
            </w:r>
          </w:p>
        </w:tc>
        <w:tc>
          <w:tcPr>
            <w:tcW w:w="1229" w:type="pct"/>
            <w:vAlign w:val="center"/>
          </w:tcPr>
          <w:p w:rsidR="005600FF" w:rsidRPr="00AC3044" w:rsidRDefault="005600FF" w:rsidP="005600FF">
            <w:pPr>
              <w:ind w:firstLine="0"/>
              <w:rPr>
                <w:rFonts w:eastAsia="SimSun"/>
              </w:rPr>
            </w:pPr>
            <w:r w:rsidRPr="00AC3044">
              <w:rPr>
                <w:rFonts w:eastAsia="SimSun"/>
              </w:rPr>
              <w:t>Внутрь, суточная доза разделяется на 1–2 приема (вечер или день и вечер)</w:t>
            </w:r>
          </w:p>
        </w:tc>
      </w:tr>
      <w:tr w:rsidR="005600FF" w:rsidRPr="00AC3044" w:rsidTr="005600FF">
        <w:trPr>
          <w:trHeight w:val="20"/>
        </w:trPr>
        <w:tc>
          <w:tcPr>
            <w:tcW w:w="168" w:type="pct"/>
          </w:tcPr>
          <w:p w:rsidR="005600FF" w:rsidRPr="00AC3044" w:rsidRDefault="005600FF" w:rsidP="005600FF">
            <w:pPr>
              <w:ind w:firstLine="0"/>
              <w:rPr>
                <w:rFonts w:eastAsia="SimSun"/>
              </w:rPr>
            </w:pPr>
            <w:r w:rsidRPr="00AC3044">
              <w:rPr>
                <w:rFonts w:eastAsia="SimSun"/>
              </w:rPr>
              <w:t>6</w:t>
            </w:r>
          </w:p>
        </w:tc>
        <w:tc>
          <w:tcPr>
            <w:tcW w:w="1133" w:type="pct"/>
            <w:vAlign w:val="center"/>
          </w:tcPr>
          <w:p w:rsidR="005600FF" w:rsidRPr="00AC3044" w:rsidRDefault="005600FF" w:rsidP="005600FF">
            <w:pPr>
              <w:ind w:firstLine="0"/>
              <w:rPr>
                <w:rFonts w:eastAsia="SimSun"/>
              </w:rPr>
            </w:pPr>
            <w:r w:rsidRPr="00AC3044">
              <w:rPr>
                <w:rFonts w:eastAsia="SimSun"/>
              </w:rPr>
              <w:t xml:space="preserve">Метилпреднизолон </w:t>
            </w:r>
          </w:p>
        </w:tc>
        <w:tc>
          <w:tcPr>
            <w:tcW w:w="3699" w:type="pct"/>
            <w:gridSpan w:val="4"/>
            <w:vAlign w:val="center"/>
          </w:tcPr>
          <w:p w:rsidR="005600FF" w:rsidRPr="00AC3044" w:rsidRDefault="005600FF" w:rsidP="005600FF">
            <w:pPr>
              <w:ind w:firstLine="0"/>
              <w:rPr>
                <w:rFonts w:eastAsia="SimSun"/>
              </w:rPr>
            </w:pPr>
            <w:r w:rsidRPr="00AC3044">
              <w:rPr>
                <w:rFonts w:eastAsia="SimSun"/>
              </w:rPr>
              <w:t>см. «Инфузия АТГ»</w:t>
            </w:r>
          </w:p>
        </w:tc>
      </w:tr>
      <w:tr w:rsidR="005600FF" w:rsidRPr="00AC3044" w:rsidTr="005600FF">
        <w:trPr>
          <w:trHeight w:val="20"/>
        </w:trPr>
        <w:tc>
          <w:tcPr>
            <w:tcW w:w="168" w:type="pct"/>
          </w:tcPr>
          <w:p w:rsidR="005600FF" w:rsidRPr="00AC3044" w:rsidRDefault="005600FF" w:rsidP="005600FF">
            <w:pPr>
              <w:ind w:firstLine="0"/>
              <w:rPr>
                <w:rFonts w:eastAsia="SimSun"/>
              </w:rPr>
            </w:pPr>
            <w:r w:rsidRPr="00AC3044">
              <w:rPr>
                <w:rFonts w:eastAsia="SimSun"/>
              </w:rPr>
              <w:t>7</w:t>
            </w:r>
          </w:p>
        </w:tc>
        <w:tc>
          <w:tcPr>
            <w:tcW w:w="1133" w:type="pct"/>
            <w:vAlign w:val="center"/>
          </w:tcPr>
          <w:p w:rsidR="005600FF" w:rsidRPr="00AC3044" w:rsidRDefault="005600FF" w:rsidP="005600FF">
            <w:pPr>
              <w:ind w:firstLine="0"/>
              <w:rPr>
                <w:rFonts w:eastAsia="SimSun"/>
              </w:rPr>
            </w:pPr>
            <w:r w:rsidRPr="00AC3044">
              <w:rPr>
                <w:rFonts w:eastAsia="SimSun"/>
              </w:rPr>
              <w:t>Преднизолон</w:t>
            </w:r>
          </w:p>
        </w:tc>
        <w:tc>
          <w:tcPr>
            <w:tcW w:w="3699" w:type="pct"/>
            <w:gridSpan w:val="4"/>
            <w:vAlign w:val="center"/>
          </w:tcPr>
          <w:p w:rsidR="005600FF" w:rsidRPr="00AC3044" w:rsidRDefault="005600FF" w:rsidP="005600FF">
            <w:pPr>
              <w:ind w:firstLine="0"/>
              <w:rPr>
                <w:rFonts w:eastAsia="SimSun"/>
              </w:rPr>
            </w:pPr>
            <w:r w:rsidRPr="00AC3044">
              <w:rPr>
                <w:rFonts w:eastAsia="SimSun"/>
              </w:rPr>
              <w:t>см. «Инфузия АТГ»</w:t>
            </w:r>
          </w:p>
        </w:tc>
      </w:tr>
    </w:tbl>
    <w:p w:rsidR="005600FF" w:rsidRPr="00C07B2E" w:rsidRDefault="005600FF" w:rsidP="005600FF">
      <w:pPr>
        <w:ind w:firstLine="0"/>
        <w:rPr>
          <w:rFonts w:eastAsia="SimSun"/>
        </w:rPr>
      </w:pPr>
    </w:p>
    <w:p w:rsidR="005600FF" w:rsidRPr="00AC3044" w:rsidRDefault="005600FF" w:rsidP="005600FF">
      <w:pPr>
        <w:ind w:firstLine="0"/>
        <w:rPr>
          <w:rFonts w:eastAsia="SimSun"/>
        </w:rPr>
      </w:pPr>
      <w:r w:rsidRPr="00AC3044">
        <w:rPr>
          <w:rFonts w:eastAsia="SimSun"/>
        </w:rPr>
        <w:t xml:space="preserve"> </w:t>
      </w:r>
    </w:p>
    <w:p w:rsidR="005600FF" w:rsidRPr="00AC3044" w:rsidRDefault="005600FF" w:rsidP="005600FF">
      <w:pPr>
        <w:ind w:firstLine="0"/>
        <w:rPr>
          <w:rFonts w:eastAsia="SimSun"/>
        </w:rPr>
      </w:pPr>
    </w:p>
    <w:p w:rsidR="005600FF" w:rsidRPr="004E7ECA" w:rsidRDefault="005600FF" w:rsidP="005600FF">
      <w:pPr>
        <w:pStyle w:val="2"/>
        <w:spacing w:before="0"/>
      </w:pPr>
    </w:p>
    <w:p w:rsidR="005600FF" w:rsidRPr="00F30696" w:rsidRDefault="005600FF" w:rsidP="005600FF">
      <w:pPr>
        <w:rPr>
          <w:szCs w:val="24"/>
        </w:rPr>
      </w:pPr>
    </w:p>
    <w:p w:rsidR="005600FF" w:rsidRPr="00376207" w:rsidRDefault="005600FF" w:rsidP="005600FF">
      <w:pPr>
        <w:pStyle w:val="2"/>
        <w:spacing w:before="0"/>
      </w:pPr>
    </w:p>
    <w:p w:rsidR="000414F6" w:rsidRDefault="005600FF" w:rsidP="003524A5">
      <w:pPr>
        <w:pStyle w:val="afff2"/>
      </w:pPr>
      <w:r w:rsidRPr="00CE089D">
        <w:br w:type="page"/>
      </w:r>
      <w:r w:rsidR="00CB71DA">
        <w:lastRenderedPageBreak/>
        <w:br w:type="page"/>
      </w:r>
      <w:bookmarkStart w:id="246" w:name="__RefHeading___doc_b"/>
      <w:bookmarkStart w:id="247" w:name="_Toc34301100"/>
      <w:bookmarkStart w:id="248" w:name="_Toc67302932"/>
      <w:r w:rsidR="00CB71DA">
        <w:lastRenderedPageBreak/>
        <w:t xml:space="preserve">Приложение Б. Алгоритмы </w:t>
      </w:r>
      <w:bookmarkEnd w:id="246"/>
      <w:r w:rsidR="003527A8">
        <w:t>действий врача</w:t>
      </w:r>
      <w:bookmarkEnd w:id="247"/>
      <w:bookmarkEnd w:id="248"/>
    </w:p>
    <w:p w:rsidR="00C4630C" w:rsidRDefault="00C4630C">
      <w:pPr>
        <w:divId w:val="764688137"/>
        <w:rPr>
          <w:rFonts w:eastAsia="Times New Roman"/>
          <w:noProof/>
          <w:lang w:eastAsia="ru-RU"/>
        </w:rPr>
      </w:pPr>
    </w:p>
    <w:p w:rsidR="00275A41" w:rsidRDefault="00CE1EE5" w:rsidP="00CE1EE5">
      <w:pPr>
        <w:ind w:firstLine="0"/>
        <w:divId w:val="764688137"/>
        <w:rPr>
          <w:rFonts w:eastAsia="Times New Roman"/>
        </w:rPr>
      </w:pPr>
      <w:r w:rsidRPr="00CE1EE5">
        <w:rPr>
          <w:rFonts w:eastAsia="Times New Roman"/>
          <w:noProof/>
          <w:lang w:eastAsia="ru-RU"/>
        </w:rPr>
        <w:drawing>
          <wp:inline distT="0" distB="0" distL="0" distR="0" wp14:anchorId="6DE7411B" wp14:editId="6DE7411C">
            <wp:extent cx="5857875" cy="6858000"/>
            <wp:effectExtent l="19050" t="0" r="9525" b="0"/>
            <wp:docPr id="1" name="Рисунок 1" descr="E-CT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CL"/>
                    <pic:cNvPicPr>
                      <a:picLocks noChangeAspect="1" noChangeArrowheads="1"/>
                    </pic:cNvPicPr>
                  </pic:nvPicPr>
                  <pic:blipFill>
                    <a:blip r:embed="rId16" cstate="print"/>
                    <a:srcRect/>
                    <a:stretch>
                      <a:fillRect/>
                    </a:stretch>
                  </pic:blipFill>
                  <pic:spPr bwMode="auto">
                    <a:xfrm>
                      <a:off x="0" y="0"/>
                      <a:ext cx="5861449" cy="6862184"/>
                    </a:xfrm>
                    <a:prstGeom prst="rect">
                      <a:avLst/>
                    </a:prstGeom>
                    <a:noFill/>
                    <a:ln w="9525">
                      <a:noFill/>
                      <a:miter lim="800000"/>
                      <a:headEnd/>
                      <a:tailEnd/>
                    </a:ln>
                  </pic:spPr>
                </pic:pic>
              </a:graphicData>
            </a:graphic>
          </wp:inline>
        </w:drawing>
      </w:r>
    </w:p>
    <w:p w:rsidR="003524A5" w:rsidRDefault="003524A5" w:rsidP="00CE1EE5">
      <w:pPr>
        <w:ind w:firstLine="0"/>
        <w:divId w:val="764688137"/>
        <w:rPr>
          <w:rFonts w:eastAsia="Times New Roman"/>
        </w:rPr>
      </w:pPr>
    </w:p>
    <w:p w:rsidR="003524A5" w:rsidRDefault="003524A5" w:rsidP="00CE1EE5">
      <w:pPr>
        <w:ind w:firstLine="0"/>
        <w:divId w:val="764688137"/>
        <w:rPr>
          <w:rFonts w:eastAsia="Times New Roman"/>
        </w:rPr>
      </w:pPr>
      <w:r w:rsidRPr="003524A5">
        <w:rPr>
          <w:rFonts w:eastAsia="Times New Roman"/>
          <w:noProof/>
          <w:lang w:eastAsia="ru-RU"/>
        </w:rPr>
        <w:lastRenderedPageBreak/>
        <w:drawing>
          <wp:inline distT="0" distB="0" distL="0" distR="0" wp14:anchorId="03120E2D" wp14:editId="636D2CE7">
            <wp:extent cx="5940425" cy="75114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737"/>
                    <a:stretch/>
                  </pic:blipFill>
                  <pic:spPr bwMode="auto">
                    <a:xfrm>
                      <a:off x="0" y="0"/>
                      <a:ext cx="5940425" cy="7511415"/>
                    </a:xfrm>
                    <a:prstGeom prst="rect">
                      <a:avLst/>
                    </a:prstGeom>
                    <a:ln>
                      <a:noFill/>
                    </a:ln>
                    <a:extLst>
                      <a:ext uri="{53640926-AAD7-44D8-BBD7-CCE9431645EC}">
                        <a14:shadowObscured xmlns:a14="http://schemas.microsoft.com/office/drawing/2010/main"/>
                      </a:ext>
                    </a:extLst>
                  </pic:spPr>
                </pic:pic>
              </a:graphicData>
            </a:graphic>
          </wp:inline>
        </w:drawing>
      </w:r>
    </w:p>
    <w:p w:rsidR="000414F6" w:rsidRDefault="00CB71DA" w:rsidP="003524A5">
      <w:pPr>
        <w:pStyle w:val="afff2"/>
      </w:pPr>
      <w:r>
        <w:br w:type="page"/>
      </w:r>
      <w:bookmarkStart w:id="249" w:name="__RefHeading___doc_v"/>
      <w:bookmarkStart w:id="250" w:name="_Toc34301101"/>
      <w:bookmarkStart w:id="251" w:name="_Toc67302933"/>
      <w:r>
        <w:lastRenderedPageBreak/>
        <w:t>Приложение В. Информация для пациент</w:t>
      </w:r>
      <w:bookmarkEnd w:id="249"/>
      <w:r w:rsidR="003527A8">
        <w:t>а</w:t>
      </w:r>
      <w:bookmarkEnd w:id="250"/>
      <w:bookmarkEnd w:id="251"/>
    </w:p>
    <w:p w:rsidR="00174593" w:rsidRPr="003527A8" w:rsidRDefault="00CE1EE5" w:rsidP="00CE1EE5">
      <w:pPr>
        <w:pStyle w:val="afd"/>
        <w:spacing w:beforeAutospacing="0" w:afterAutospacing="0" w:line="360" w:lineRule="auto"/>
      </w:pPr>
      <w:r>
        <w:t>Тщательное соблюдение режима терапии, назначенной врачом, повы</w:t>
      </w:r>
      <w:r w:rsidR="001F4CCF">
        <w:t>шает ее эффективность</w:t>
      </w:r>
      <w:r>
        <w:t>.</w:t>
      </w:r>
    </w:p>
    <w:p w:rsidR="00174593" w:rsidRPr="003527A8" w:rsidRDefault="00174593" w:rsidP="00C4630C">
      <w:pPr>
        <w:pStyle w:val="aff8"/>
      </w:pPr>
    </w:p>
    <w:p w:rsidR="000414F6" w:rsidRDefault="00CB71DA" w:rsidP="00C4630C">
      <w:pPr>
        <w:pStyle w:val="afff2"/>
      </w:pPr>
      <w:r>
        <w:br w:type="page"/>
      </w:r>
      <w:bookmarkStart w:id="252" w:name="__RefHeading___doc_g"/>
      <w:bookmarkStart w:id="253" w:name="_Toc34301102"/>
      <w:bookmarkStart w:id="254" w:name="_Toc67302934"/>
      <w:r w:rsidRPr="005219AF">
        <w:lastRenderedPageBreak/>
        <w:t>Приложение</w:t>
      </w:r>
      <w:bookmarkEnd w:id="252"/>
      <w:r w:rsidR="003527A8" w:rsidRPr="005219AF">
        <w:t xml:space="preserve"> Г1. </w:t>
      </w:r>
      <w:r w:rsidR="00DD0BA9" w:rsidRPr="00DD0BA9">
        <w:rPr>
          <w:rFonts w:eastAsia="Times New Roman" w:cs="Calibri"/>
          <w:lang w:eastAsia="ru-RU"/>
        </w:rPr>
        <w:t xml:space="preserve">Стадирование </w:t>
      </w:r>
      <w:r w:rsidR="00FA7D06">
        <w:rPr>
          <w:rFonts w:eastAsia="Times New Roman" w:cs="Calibri"/>
          <w:lang w:eastAsia="ru-RU"/>
        </w:rPr>
        <w:t>грибовидного микоза</w:t>
      </w:r>
      <w:r w:rsidR="00DD0BA9" w:rsidRPr="00DD0BA9">
        <w:rPr>
          <w:rFonts w:eastAsia="Times New Roman" w:cs="Calibri"/>
          <w:lang w:eastAsia="ru-RU"/>
        </w:rPr>
        <w:t>/</w:t>
      </w:r>
      <w:r w:rsidR="00FA7D06">
        <w:rPr>
          <w:rFonts w:eastAsia="Times New Roman" w:cs="Calibri"/>
          <w:lang w:eastAsia="ru-RU"/>
        </w:rPr>
        <w:t>синдрома Сезари</w:t>
      </w:r>
      <w:r w:rsidR="00DD0BA9" w:rsidRPr="00DD0BA9">
        <w:rPr>
          <w:rFonts w:eastAsia="Times New Roman" w:cs="Calibri"/>
          <w:lang w:eastAsia="ru-RU"/>
        </w:rPr>
        <w:t xml:space="preserve"> согласно рекомендациям </w:t>
      </w:r>
      <w:r w:rsidR="00DD0BA9" w:rsidRPr="00DD0BA9">
        <w:rPr>
          <w:rFonts w:eastAsia="Times New Roman" w:cs="Calibri"/>
          <w:lang w:val="en-US" w:eastAsia="ru-RU"/>
        </w:rPr>
        <w:t>ISLE</w:t>
      </w:r>
      <w:r w:rsidR="00DD0BA9" w:rsidRPr="00DD0BA9">
        <w:rPr>
          <w:rFonts w:eastAsia="Times New Roman" w:cs="Calibri"/>
          <w:lang w:eastAsia="ru-RU"/>
        </w:rPr>
        <w:t>-</w:t>
      </w:r>
      <w:r w:rsidR="00DD0BA9" w:rsidRPr="00DD0BA9">
        <w:rPr>
          <w:rFonts w:eastAsia="Times New Roman" w:cs="Calibri"/>
          <w:lang w:val="en-US" w:eastAsia="ru-RU"/>
        </w:rPr>
        <w:t>EORTC</w:t>
      </w:r>
      <w:bookmarkEnd w:id="253"/>
      <w:bookmarkEnd w:id="254"/>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01"/>
        <w:gridCol w:w="1559"/>
        <w:gridCol w:w="1276"/>
        <w:gridCol w:w="1615"/>
      </w:tblGrid>
      <w:tr w:rsidR="005B1751" w:rsidRPr="00336969" w:rsidTr="00E90536">
        <w:trPr>
          <w:trHeight w:val="77"/>
        </w:trPr>
        <w:tc>
          <w:tcPr>
            <w:tcW w:w="9128" w:type="dxa"/>
            <w:gridSpan w:val="5"/>
            <w:tcBorders>
              <w:top w:val="single" w:sz="4" w:space="0" w:color="auto"/>
              <w:left w:val="single" w:sz="4" w:space="0" w:color="auto"/>
              <w:bottom w:val="single" w:sz="4" w:space="0" w:color="auto"/>
              <w:right w:val="single" w:sz="4" w:space="0" w:color="auto"/>
            </w:tcBorders>
          </w:tcPr>
          <w:p w:rsidR="005B1751" w:rsidRPr="005B1751" w:rsidRDefault="005B1751" w:rsidP="00E90536">
            <w:pPr>
              <w:rPr>
                <w:rFonts w:eastAsia="Times New Roman" w:cs="Calibri"/>
                <w:b/>
                <w:szCs w:val="24"/>
                <w:lang w:eastAsia="ru-RU"/>
              </w:rPr>
            </w:pPr>
            <w:bookmarkStart w:id="255" w:name="bookmark6"/>
            <w:r w:rsidRPr="005B1751">
              <w:rPr>
                <w:rFonts w:eastAsia="Times New Roman" w:cs="Calibri"/>
                <w:b/>
                <w:szCs w:val="24"/>
                <w:lang w:eastAsia="ru-RU"/>
              </w:rPr>
              <w:t>Кожа</w:t>
            </w:r>
          </w:p>
          <w:p w:rsidR="005B1751" w:rsidRPr="005B1751" w:rsidRDefault="005B1751" w:rsidP="00E90536">
            <w:pPr>
              <w:rPr>
                <w:rFonts w:eastAsia="Times New Roman" w:cs="Calibri"/>
                <w:szCs w:val="24"/>
                <w:lang w:eastAsia="ru-RU"/>
              </w:rPr>
            </w:pPr>
            <w:r w:rsidRPr="005B1751">
              <w:rPr>
                <w:rFonts w:eastAsia="Times New Roman" w:cs="Calibri"/>
                <w:b/>
                <w:szCs w:val="24"/>
                <w:lang w:eastAsia="ru-RU"/>
              </w:rPr>
              <w:t>Т</w:t>
            </w:r>
            <w:r w:rsidRPr="005B1751">
              <w:rPr>
                <w:rFonts w:eastAsia="Times New Roman" w:cs="Calibri"/>
                <w:b/>
                <w:szCs w:val="24"/>
                <w:vertAlign w:val="subscript"/>
                <w:lang w:eastAsia="ru-RU"/>
              </w:rPr>
              <w:t>1</w:t>
            </w:r>
            <w:r w:rsidRPr="005B1751">
              <w:rPr>
                <w:rFonts w:eastAsia="Times New Roman" w:cs="Calibri"/>
                <w:szCs w:val="24"/>
                <w:lang w:eastAsia="ru-RU"/>
              </w:rPr>
              <w:t xml:space="preserve">   Ограниченные пятна, папулы, и/или бляшки, покрывающие &lt;10% кожного покрова</w:t>
            </w:r>
          </w:p>
          <w:p w:rsidR="005B1751" w:rsidRPr="005B1751" w:rsidRDefault="005B1751" w:rsidP="00E90536">
            <w:pPr>
              <w:rPr>
                <w:rFonts w:eastAsia="Times New Roman" w:cs="Calibri"/>
                <w:szCs w:val="24"/>
                <w:lang w:eastAsia="ru-RU"/>
              </w:rPr>
            </w:pPr>
            <w:r w:rsidRPr="005B1751">
              <w:rPr>
                <w:rFonts w:eastAsia="Times New Roman" w:cs="Calibri"/>
                <w:szCs w:val="24"/>
                <w:lang w:eastAsia="ru-RU"/>
              </w:rPr>
              <w:t xml:space="preserve">           Т</w:t>
            </w:r>
            <w:r w:rsidRPr="005B1751">
              <w:rPr>
                <w:rFonts w:eastAsia="Times New Roman" w:cs="Calibri"/>
                <w:szCs w:val="24"/>
                <w:vertAlign w:val="subscript"/>
                <w:lang w:eastAsia="ru-RU"/>
              </w:rPr>
              <w:t>1а</w:t>
            </w:r>
            <w:r w:rsidRPr="005B1751">
              <w:rPr>
                <w:rFonts w:eastAsia="Times New Roman" w:cs="Calibri"/>
                <w:szCs w:val="24"/>
                <w:lang w:eastAsia="ru-RU"/>
              </w:rPr>
              <w:t xml:space="preserve"> – только пятна</w:t>
            </w:r>
          </w:p>
          <w:p w:rsidR="005B1751" w:rsidRPr="005B1751" w:rsidRDefault="005B1751" w:rsidP="00E90536">
            <w:pPr>
              <w:rPr>
                <w:rFonts w:eastAsia="Times New Roman" w:cs="Calibri"/>
                <w:szCs w:val="24"/>
                <w:lang w:eastAsia="ru-RU"/>
              </w:rPr>
            </w:pPr>
            <w:r w:rsidRPr="005B1751">
              <w:rPr>
                <w:rFonts w:eastAsia="Times New Roman" w:cs="Calibri"/>
                <w:szCs w:val="24"/>
                <w:lang w:eastAsia="ru-RU"/>
              </w:rPr>
              <w:t xml:space="preserve">           Т</w:t>
            </w:r>
            <w:r w:rsidRPr="005B1751">
              <w:rPr>
                <w:rFonts w:eastAsia="Times New Roman" w:cs="Calibri"/>
                <w:szCs w:val="24"/>
                <w:vertAlign w:val="subscript"/>
                <w:lang w:eastAsia="ru-RU"/>
              </w:rPr>
              <w:t>1</w:t>
            </w:r>
            <w:r w:rsidRPr="005B1751">
              <w:rPr>
                <w:rFonts w:eastAsia="Times New Roman" w:cs="Calibri"/>
                <w:szCs w:val="24"/>
                <w:vertAlign w:val="subscript"/>
                <w:lang w:val="en-US" w:eastAsia="ru-RU"/>
              </w:rPr>
              <w:t>b</w:t>
            </w:r>
            <w:r w:rsidRPr="005B1751">
              <w:rPr>
                <w:rFonts w:eastAsia="Times New Roman" w:cs="Calibri"/>
                <w:szCs w:val="24"/>
                <w:lang w:eastAsia="ru-RU"/>
              </w:rPr>
              <w:t xml:space="preserve"> – бляшки ± пятна</w:t>
            </w:r>
          </w:p>
          <w:p w:rsidR="005B1751" w:rsidRPr="005B1751" w:rsidRDefault="005B1751" w:rsidP="00E90536">
            <w:pPr>
              <w:rPr>
                <w:rFonts w:eastAsia="Times New Roman" w:cs="Calibri"/>
                <w:szCs w:val="24"/>
                <w:lang w:eastAsia="ru-RU"/>
              </w:rPr>
            </w:pPr>
            <w:r w:rsidRPr="005B1751">
              <w:rPr>
                <w:rFonts w:eastAsia="Times New Roman" w:cs="Calibri"/>
                <w:b/>
                <w:szCs w:val="24"/>
                <w:lang w:eastAsia="ru-RU"/>
              </w:rPr>
              <w:t>Т</w:t>
            </w:r>
            <w:r w:rsidRPr="005B1751">
              <w:rPr>
                <w:rFonts w:eastAsia="Times New Roman" w:cs="Calibri"/>
                <w:b/>
                <w:szCs w:val="24"/>
                <w:vertAlign w:val="subscript"/>
                <w:lang w:eastAsia="ru-RU"/>
              </w:rPr>
              <w:t>2</w:t>
            </w:r>
            <w:r w:rsidRPr="005B1751">
              <w:rPr>
                <w:rFonts w:eastAsia="Times New Roman" w:cs="Calibri"/>
                <w:szCs w:val="24"/>
                <w:lang w:eastAsia="ru-RU"/>
              </w:rPr>
              <w:t xml:space="preserve">   Пятна, папулы, и/или бляшки, покрывающие &gt;10% кожного покрова</w:t>
            </w:r>
          </w:p>
          <w:p w:rsidR="005B1751" w:rsidRPr="005B1751" w:rsidRDefault="005B1751" w:rsidP="00E90536">
            <w:pPr>
              <w:rPr>
                <w:rFonts w:eastAsia="Times New Roman" w:cs="Calibri"/>
                <w:szCs w:val="24"/>
                <w:lang w:eastAsia="ru-RU"/>
              </w:rPr>
            </w:pPr>
            <w:r w:rsidRPr="005B1751">
              <w:rPr>
                <w:rFonts w:eastAsia="Times New Roman" w:cs="Calibri"/>
                <w:szCs w:val="24"/>
                <w:lang w:eastAsia="ru-RU"/>
              </w:rPr>
              <w:t xml:space="preserve">          Т</w:t>
            </w:r>
            <w:r w:rsidRPr="005B1751">
              <w:rPr>
                <w:rFonts w:eastAsia="Times New Roman" w:cs="Calibri"/>
                <w:szCs w:val="24"/>
                <w:vertAlign w:val="subscript"/>
                <w:lang w:eastAsia="ru-RU"/>
              </w:rPr>
              <w:t>2а</w:t>
            </w:r>
            <w:r w:rsidRPr="005B1751">
              <w:rPr>
                <w:rFonts w:eastAsia="Times New Roman" w:cs="Calibri"/>
                <w:szCs w:val="24"/>
                <w:lang w:eastAsia="ru-RU"/>
              </w:rPr>
              <w:t xml:space="preserve"> – только пятна</w:t>
            </w:r>
          </w:p>
          <w:p w:rsidR="005B1751" w:rsidRPr="005B1751" w:rsidRDefault="005B1751" w:rsidP="00E90536">
            <w:pPr>
              <w:rPr>
                <w:rFonts w:eastAsia="Times New Roman" w:cs="Calibri"/>
                <w:szCs w:val="24"/>
                <w:lang w:eastAsia="ru-RU"/>
              </w:rPr>
            </w:pPr>
            <w:r w:rsidRPr="005B1751">
              <w:rPr>
                <w:rFonts w:eastAsia="Times New Roman" w:cs="Calibri"/>
                <w:szCs w:val="24"/>
                <w:lang w:eastAsia="ru-RU"/>
              </w:rPr>
              <w:t xml:space="preserve">          Т</w:t>
            </w:r>
            <w:r w:rsidRPr="005B1751">
              <w:rPr>
                <w:rFonts w:eastAsia="Times New Roman" w:cs="Calibri"/>
                <w:szCs w:val="24"/>
                <w:vertAlign w:val="subscript"/>
                <w:lang w:eastAsia="ru-RU"/>
              </w:rPr>
              <w:t>2</w:t>
            </w:r>
            <w:r w:rsidRPr="005B1751">
              <w:rPr>
                <w:rFonts w:eastAsia="Times New Roman" w:cs="Calibri"/>
                <w:szCs w:val="24"/>
                <w:vertAlign w:val="subscript"/>
                <w:lang w:val="en-US" w:eastAsia="ru-RU"/>
              </w:rPr>
              <w:t>b</w:t>
            </w:r>
            <w:r w:rsidRPr="005B1751">
              <w:rPr>
                <w:rFonts w:eastAsia="Times New Roman" w:cs="Calibri"/>
                <w:szCs w:val="24"/>
                <w:lang w:eastAsia="ru-RU"/>
              </w:rPr>
              <w:t xml:space="preserve"> - бляшки ± пятна</w:t>
            </w:r>
          </w:p>
          <w:p w:rsidR="005B1751" w:rsidRPr="005B1751" w:rsidRDefault="005B1751" w:rsidP="00E90536">
            <w:pPr>
              <w:rPr>
                <w:rFonts w:eastAsia="Times New Roman" w:cs="Calibri"/>
                <w:szCs w:val="24"/>
                <w:lang w:eastAsia="ru-RU"/>
              </w:rPr>
            </w:pPr>
            <w:r w:rsidRPr="005B1751">
              <w:rPr>
                <w:rFonts w:eastAsia="Times New Roman" w:cs="Calibri"/>
                <w:b/>
                <w:szCs w:val="24"/>
                <w:lang w:eastAsia="ru-RU"/>
              </w:rPr>
              <w:t>Т</w:t>
            </w:r>
            <w:r w:rsidRPr="005B1751">
              <w:rPr>
                <w:rFonts w:eastAsia="Times New Roman" w:cs="Calibri"/>
                <w:b/>
                <w:szCs w:val="24"/>
                <w:vertAlign w:val="subscript"/>
                <w:lang w:eastAsia="ru-RU"/>
              </w:rPr>
              <w:t>3</w:t>
            </w:r>
            <w:r w:rsidRPr="005B1751">
              <w:rPr>
                <w:rFonts w:eastAsia="Times New Roman" w:cs="Calibri"/>
                <w:szCs w:val="24"/>
                <w:lang w:eastAsia="ru-RU"/>
              </w:rPr>
              <w:t xml:space="preserve">   Один или более узлов (≥1 см в диаметре)</w:t>
            </w:r>
          </w:p>
          <w:p w:rsidR="005B1751" w:rsidRPr="005B1751" w:rsidRDefault="005B1751" w:rsidP="00E90536">
            <w:pPr>
              <w:rPr>
                <w:rFonts w:eastAsia="Times New Roman" w:cs="Calibri"/>
                <w:szCs w:val="24"/>
                <w:lang w:eastAsia="ru-RU"/>
              </w:rPr>
            </w:pPr>
            <w:r w:rsidRPr="005B1751">
              <w:rPr>
                <w:rFonts w:eastAsia="Times New Roman" w:cs="Calibri"/>
                <w:b/>
                <w:szCs w:val="24"/>
                <w:lang w:eastAsia="ru-RU"/>
              </w:rPr>
              <w:t>Т</w:t>
            </w:r>
            <w:r w:rsidRPr="005B1751">
              <w:rPr>
                <w:rFonts w:eastAsia="Times New Roman" w:cs="Calibri"/>
                <w:b/>
                <w:szCs w:val="24"/>
                <w:vertAlign w:val="subscript"/>
                <w:lang w:eastAsia="ru-RU"/>
              </w:rPr>
              <w:t>4</w:t>
            </w:r>
            <w:r w:rsidRPr="005B1751">
              <w:rPr>
                <w:rFonts w:eastAsia="Times New Roman" w:cs="Calibri"/>
                <w:szCs w:val="24"/>
                <w:lang w:eastAsia="ru-RU"/>
              </w:rPr>
              <w:t xml:space="preserve">   Сливающаяся эритема, покрывающая ≥80% поверхности тела</w:t>
            </w:r>
          </w:p>
          <w:p w:rsidR="005B1751" w:rsidRPr="005B1751" w:rsidRDefault="005B1751" w:rsidP="00E90536">
            <w:pPr>
              <w:rPr>
                <w:rFonts w:eastAsia="Times New Roman" w:cs="Calibri"/>
                <w:szCs w:val="24"/>
                <w:lang w:eastAsia="ru-RU"/>
              </w:rPr>
            </w:pPr>
          </w:p>
          <w:p w:rsidR="005B1751" w:rsidRPr="005B1751" w:rsidRDefault="005B1751" w:rsidP="00E90536">
            <w:pPr>
              <w:rPr>
                <w:rFonts w:eastAsia="Times New Roman" w:cs="Calibri"/>
                <w:b/>
                <w:szCs w:val="24"/>
                <w:lang w:eastAsia="ru-RU"/>
              </w:rPr>
            </w:pPr>
            <w:r w:rsidRPr="005B1751">
              <w:rPr>
                <w:rFonts w:eastAsia="Times New Roman" w:cs="Calibri"/>
                <w:b/>
                <w:szCs w:val="24"/>
                <w:lang w:eastAsia="ru-RU"/>
              </w:rPr>
              <w:t>Лимфатические узлы</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N</w:t>
            </w:r>
            <w:r w:rsidRPr="005B1751">
              <w:rPr>
                <w:rFonts w:eastAsia="Times New Roman" w:cs="Calibri"/>
                <w:b/>
                <w:szCs w:val="24"/>
                <w:vertAlign w:val="subscript"/>
                <w:lang w:eastAsia="ru-RU"/>
              </w:rPr>
              <w:t>0</w:t>
            </w:r>
            <w:r w:rsidRPr="005B1751">
              <w:rPr>
                <w:rFonts w:eastAsia="Times New Roman" w:cs="Calibri"/>
                <w:szCs w:val="24"/>
                <w:lang w:eastAsia="ru-RU"/>
              </w:rPr>
              <w:t xml:space="preserve">   Нет увеличения периферических лимфатических узлов, их биопсия не требуется</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N</w:t>
            </w:r>
            <w:r w:rsidRPr="005B1751">
              <w:rPr>
                <w:rFonts w:eastAsia="Times New Roman" w:cs="Calibri"/>
                <w:b/>
                <w:szCs w:val="24"/>
                <w:vertAlign w:val="subscript"/>
                <w:lang w:eastAsia="ru-RU"/>
              </w:rPr>
              <w:t>1</w:t>
            </w:r>
            <w:r w:rsidRPr="005B1751">
              <w:rPr>
                <w:rFonts w:eastAsia="Times New Roman" w:cs="Calibri"/>
                <w:szCs w:val="24"/>
                <w:lang w:eastAsia="ru-RU"/>
              </w:rPr>
              <w:t xml:space="preserve">   Периферические лимфатические узлы увеличены; гистопатология </w:t>
            </w:r>
            <w:r w:rsidRPr="005B1751">
              <w:rPr>
                <w:rFonts w:eastAsia="Times New Roman" w:cs="Calibri"/>
                <w:szCs w:val="24"/>
                <w:lang w:val="en-US" w:eastAsia="ru-RU"/>
              </w:rPr>
              <w:t>Dutchgrade</w:t>
            </w:r>
            <w:r w:rsidRPr="005B1751">
              <w:rPr>
                <w:rFonts w:eastAsia="Times New Roman" w:cs="Calibri"/>
                <w:szCs w:val="24"/>
                <w:lang w:eastAsia="ru-RU"/>
              </w:rPr>
              <w:t xml:space="preserve"> 1 или </w:t>
            </w:r>
            <w:r w:rsidRPr="005B1751">
              <w:rPr>
                <w:rFonts w:eastAsia="Times New Roman" w:cs="Calibri"/>
                <w:szCs w:val="24"/>
                <w:lang w:val="en-US" w:eastAsia="ru-RU"/>
              </w:rPr>
              <w:t>NCILN</w:t>
            </w:r>
            <w:r w:rsidRPr="005B1751">
              <w:rPr>
                <w:rFonts w:eastAsia="Times New Roman" w:cs="Calibri"/>
                <w:szCs w:val="24"/>
                <w:vertAlign w:val="subscript"/>
                <w:lang w:eastAsia="ru-RU"/>
              </w:rPr>
              <w:t>0-2</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N</w:t>
            </w:r>
            <w:r w:rsidRPr="005B1751">
              <w:rPr>
                <w:rFonts w:eastAsia="Times New Roman" w:cs="Calibri"/>
                <w:szCs w:val="24"/>
                <w:vertAlign w:val="subscript"/>
                <w:lang w:eastAsia="ru-RU"/>
              </w:rPr>
              <w:t>1</w:t>
            </w:r>
            <w:r w:rsidRPr="005B1751">
              <w:rPr>
                <w:rFonts w:eastAsia="Times New Roman" w:cs="Calibri"/>
                <w:szCs w:val="24"/>
                <w:vertAlign w:val="subscript"/>
                <w:lang w:val="en-US" w:eastAsia="ru-RU"/>
              </w:rPr>
              <w:t>a</w:t>
            </w:r>
            <w:r w:rsidRPr="005B1751">
              <w:rPr>
                <w:rFonts w:eastAsia="Times New Roman" w:cs="Calibri"/>
                <w:szCs w:val="24"/>
                <w:lang w:eastAsia="ru-RU"/>
              </w:rPr>
              <w:t xml:space="preserve"> – клон-негативны</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N</w:t>
            </w:r>
            <w:r w:rsidRPr="005B1751">
              <w:rPr>
                <w:rFonts w:eastAsia="Times New Roman" w:cs="Calibri"/>
                <w:szCs w:val="24"/>
                <w:vertAlign w:val="subscript"/>
                <w:lang w:eastAsia="ru-RU"/>
              </w:rPr>
              <w:t>1</w:t>
            </w:r>
            <w:r w:rsidRPr="005B1751">
              <w:rPr>
                <w:rFonts w:eastAsia="Times New Roman" w:cs="Calibri"/>
                <w:szCs w:val="24"/>
                <w:vertAlign w:val="subscript"/>
                <w:lang w:val="en-US" w:eastAsia="ru-RU"/>
              </w:rPr>
              <w:t>b</w:t>
            </w:r>
            <w:r w:rsidRPr="005B1751">
              <w:rPr>
                <w:rFonts w:eastAsia="Times New Roman" w:cs="Calibri"/>
                <w:szCs w:val="24"/>
                <w:lang w:eastAsia="ru-RU"/>
              </w:rPr>
              <w:t xml:space="preserve"> – клон-позитивны</w:t>
            </w:r>
          </w:p>
          <w:p w:rsidR="005B1751" w:rsidRPr="005B1751" w:rsidRDefault="005B1751" w:rsidP="00E90536">
            <w:pPr>
              <w:rPr>
                <w:rFonts w:eastAsia="Times New Roman" w:cs="Calibri"/>
                <w:szCs w:val="24"/>
                <w:vertAlign w:val="subscript"/>
                <w:lang w:eastAsia="ru-RU"/>
              </w:rPr>
            </w:pPr>
            <w:r w:rsidRPr="005B1751">
              <w:rPr>
                <w:rFonts w:eastAsia="Times New Roman" w:cs="Calibri"/>
                <w:b/>
                <w:szCs w:val="24"/>
                <w:lang w:val="en-US" w:eastAsia="ru-RU"/>
              </w:rPr>
              <w:t>N</w:t>
            </w:r>
            <w:r w:rsidRPr="005B1751">
              <w:rPr>
                <w:rFonts w:eastAsia="Times New Roman" w:cs="Calibri"/>
                <w:b/>
                <w:szCs w:val="24"/>
                <w:vertAlign w:val="subscript"/>
                <w:lang w:eastAsia="ru-RU"/>
              </w:rPr>
              <w:t>2</w:t>
            </w:r>
            <w:r w:rsidRPr="005B1751">
              <w:rPr>
                <w:rFonts w:eastAsia="Times New Roman" w:cs="Calibri"/>
                <w:szCs w:val="24"/>
                <w:lang w:eastAsia="ru-RU"/>
              </w:rPr>
              <w:t xml:space="preserve">   Периферические лимфатические узлы увеличены; гистопатология </w:t>
            </w:r>
            <w:r w:rsidRPr="005B1751">
              <w:rPr>
                <w:rFonts w:eastAsia="Times New Roman" w:cs="Calibri"/>
                <w:szCs w:val="24"/>
                <w:lang w:val="en-US" w:eastAsia="ru-RU"/>
              </w:rPr>
              <w:t>Dutchgrade</w:t>
            </w:r>
            <w:r w:rsidRPr="005B1751">
              <w:rPr>
                <w:rFonts w:eastAsia="Times New Roman" w:cs="Calibri"/>
                <w:szCs w:val="24"/>
                <w:lang w:eastAsia="ru-RU"/>
              </w:rPr>
              <w:t xml:space="preserve"> 2 или </w:t>
            </w:r>
            <w:r w:rsidRPr="005B1751">
              <w:rPr>
                <w:rFonts w:eastAsia="Times New Roman" w:cs="Calibri"/>
                <w:szCs w:val="24"/>
                <w:lang w:val="en-US" w:eastAsia="ru-RU"/>
              </w:rPr>
              <w:t>NCILN</w:t>
            </w:r>
            <w:r w:rsidRPr="005B1751">
              <w:rPr>
                <w:rFonts w:eastAsia="Times New Roman" w:cs="Calibri"/>
                <w:szCs w:val="24"/>
                <w:vertAlign w:val="subscript"/>
                <w:lang w:eastAsia="ru-RU"/>
              </w:rPr>
              <w:t>3</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N</w:t>
            </w:r>
            <w:r w:rsidRPr="005B1751">
              <w:rPr>
                <w:rFonts w:eastAsia="Times New Roman" w:cs="Calibri"/>
                <w:szCs w:val="24"/>
                <w:vertAlign w:val="subscript"/>
                <w:lang w:eastAsia="ru-RU"/>
              </w:rPr>
              <w:t>2</w:t>
            </w:r>
            <w:r w:rsidRPr="005B1751">
              <w:rPr>
                <w:rFonts w:eastAsia="Times New Roman" w:cs="Calibri"/>
                <w:szCs w:val="24"/>
                <w:vertAlign w:val="subscript"/>
                <w:lang w:val="en-US" w:eastAsia="ru-RU"/>
              </w:rPr>
              <w:t>a</w:t>
            </w:r>
            <w:r w:rsidRPr="005B1751">
              <w:rPr>
                <w:rFonts w:eastAsia="Times New Roman" w:cs="Calibri"/>
                <w:szCs w:val="24"/>
                <w:lang w:eastAsia="ru-RU"/>
              </w:rPr>
              <w:t xml:space="preserve"> – клон-негативны</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N</w:t>
            </w:r>
            <w:r w:rsidRPr="005B1751">
              <w:rPr>
                <w:rFonts w:eastAsia="Times New Roman" w:cs="Calibri"/>
                <w:szCs w:val="24"/>
                <w:vertAlign w:val="subscript"/>
                <w:lang w:eastAsia="ru-RU"/>
              </w:rPr>
              <w:t>2</w:t>
            </w:r>
            <w:r w:rsidRPr="005B1751">
              <w:rPr>
                <w:rFonts w:eastAsia="Times New Roman" w:cs="Calibri"/>
                <w:szCs w:val="24"/>
                <w:vertAlign w:val="subscript"/>
                <w:lang w:val="en-US" w:eastAsia="ru-RU"/>
              </w:rPr>
              <w:t>b</w:t>
            </w:r>
            <w:r w:rsidRPr="005B1751">
              <w:rPr>
                <w:rFonts w:eastAsia="Times New Roman" w:cs="Calibri"/>
                <w:szCs w:val="24"/>
                <w:lang w:eastAsia="ru-RU"/>
              </w:rPr>
              <w:t xml:space="preserve"> – клон-позитивны</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N</w:t>
            </w:r>
            <w:r w:rsidRPr="005B1751">
              <w:rPr>
                <w:rFonts w:eastAsia="Times New Roman" w:cs="Calibri"/>
                <w:b/>
                <w:szCs w:val="24"/>
                <w:vertAlign w:val="subscript"/>
                <w:lang w:eastAsia="ru-RU"/>
              </w:rPr>
              <w:t>3</w:t>
            </w:r>
            <w:r w:rsidRPr="005B1751">
              <w:rPr>
                <w:rFonts w:eastAsia="Times New Roman" w:cs="Calibri"/>
                <w:szCs w:val="24"/>
                <w:lang w:eastAsia="ru-RU"/>
              </w:rPr>
              <w:t xml:space="preserve">   Периферические лимфатические узлы увеличены; гистопатология </w:t>
            </w:r>
            <w:r w:rsidRPr="005B1751">
              <w:rPr>
                <w:rFonts w:eastAsia="Times New Roman" w:cs="Calibri"/>
                <w:szCs w:val="24"/>
                <w:lang w:val="en-US" w:eastAsia="ru-RU"/>
              </w:rPr>
              <w:t>Dutchgrade</w:t>
            </w:r>
            <w:r w:rsidRPr="005B1751">
              <w:rPr>
                <w:rFonts w:eastAsia="Times New Roman" w:cs="Calibri"/>
                <w:szCs w:val="24"/>
                <w:lang w:eastAsia="ru-RU"/>
              </w:rPr>
              <w:t xml:space="preserve"> 3-4 или </w:t>
            </w:r>
            <w:r w:rsidRPr="005B1751">
              <w:rPr>
                <w:rFonts w:eastAsia="Times New Roman" w:cs="Calibri"/>
                <w:szCs w:val="24"/>
                <w:lang w:val="en-US" w:eastAsia="ru-RU"/>
              </w:rPr>
              <w:t>NCILN</w:t>
            </w:r>
            <w:r w:rsidRPr="005B1751">
              <w:rPr>
                <w:rFonts w:eastAsia="Times New Roman" w:cs="Calibri"/>
                <w:szCs w:val="24"/>
                <w:vertAlign w:val="subscript"/>
                <w:lang w:eastAsia="ru-RU"/>
              </w:rPr>
              <w:t>4</w:t>
            </w:r>
            <w:r w:rsidRPr="005B1751">
              <w:rPr>
                <w:rFonts w:eastAsia="Times New Roman" w:cs="Calibri"/>
                <w:szCs w:val="24"/>
                <w:lang w:eastAsia="ru-RU"/>
              </w:rPr>
              <w:t>, клон-позитивны или негативны</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N</w:t>
            </w:r>
            <w:r w:rsidRPr="005B1751">
              <w:rPr>
                <w:rFonts w:eastAsia="Times New Roman" w:cs="Calibri"/>
                <w:b/>
                <w:szCs w:val="24"/>
                <w:vertAlign w:val="subscript"/>
                <w:lang w:val="en-US" w:eastAsia="ru-RU"/>
              </w:rPr>
              <w:t>X</w:t>
            </w:r>
            <w:r w:rsidRPr="005B1751">
              <w:rPr>
                <w:rFonts w:eastAsia="Times New Roman" w:cs="Calibri"/>
                <w:szCs w:val="24"/>
                <w:lang w:eastAsia="ru-RU"/>
              </w:rPr>
              <w:t xml:space="preserve">   Периферические лимфатические узлы увеличены, нет гистологического подтверждения</w:t>
            </w:r>
          </w:p>
          <w:p w:rsidR="005B1751" w:rsidRPr="005B1751" w:rsidRDefault="005B1751" w:rsidP="00E90536">
            <w:pPr>
              <w:rPr>
                <w:rFonts w:eastAsia="Times New Roman" w:cs="Calibri"/>
                <w:szCs w:val="24"/>
                <w:lang w:eastAsia="ru-RU"/>
              </w:rPr>
            </w:pPr>
          </w:p>
          <w:p w:rsidR="005B1751" w:rsidRPr="005B1751" w:rsidRDefault="005B1751" w:rsidP="00E90536">
            <w:pPr>
              <w:rPr>
                <w:rFonts w:eastAsia="Times New Roman" w:cs="Calibri"/>
                <w:b/>
                <w:szCs w:val="24"/>
                <w:lang w:eastAsia="ru-RU"/>
              </w:rPr>
            </w:pPr>
            <w:r w:rsidRPr="005B1751">
              <w:rPr>
                <w:rFonts w:eastAsia="Times New Roman" w:cs="Calibri"/>
                <w:b/>
                <w:szCs w:val="24"/>
                <w:lang w:eastAsia="ru-RU"/>
              </w:rPr>
              <w:t>Внутренние органы</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M</w:t>
            </w:r>
            <w:r w:rsidRPr="005B1751">
              <w:rPr>
                <w:rFonts w:eastAsia="Times New Roman" w:cs="Calibri"/>
                <w:b/>
                <w:szCs w:val="24"/>
                <w:vertAlign w:val="subscript"/>
                <w:lang w:eastAsia="ru-RU"/>
              </w:rPr>
              <w:t>0</w:t>
            </w:r>
            <w:r w:rsidRPr="005B1751">
              <w:rPr>
                <w:rFonts w:eastAsia="Times New Roman" w:cs="Calibri"/>
                <w:szCs w:val="24"/>
                <w:lang w:eastAsia="ru-RU"/>
              </w:rPr>
              <w:t xml:space="preserve">   Нет вовлечения внутренних органов</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M</w:t>
            </w:r>
            <w:r w:rsidRPr="005B1751">
              <w:rPr>
                <w:rFonts w:eastAsia="Times New Roman" w:cs="Calibri"/>
                <w:b/>
                <w:szCs w:val="24"/>
                <w:vertAlign w:val="subscript"/>
                <w:lang w:eastAsia="ru-RU"/>
              </w:rPr>
              <w:t>1</w:t>
            </w:r>
            <w:r w:rsidRPr="005B1751">
              <w:rPr>
                <w:rFonts w:eastAsia="Times New Roman" w:cs="Calibri"/>
                <w:szCs w:val="24"/>
                <w:lang w:eastAsia="ru-RU"/>
              </w:rPr>
              <w:t xml:space="preserve">   Вовлечение внутренних органов (с уточнением органа и морфологическим подтверждением)</w:t>
            </w:r>
          </w:p>
          <w:p w:rsidR="005B1751" w:rsidRPr="005B1751" w:rsidRDefault="005B1751" w:rsidP="00E90536">
            <w:pPr>
              <w:rPr>
                <w:rFonts w:eastAsia="Times New Roman" w:cs="Calibri"/>
                <w:szCs w:val="24"/>
                <w:lang w:eastAsia="ru-RU"/>
              </w:rPr>
            </w:pPr>
          </w:p>
          <w:p w:rsidR="005B1751" w:rsidRPr="005B1751" w:rsidRDefault="005B1751" w:rsidP="00E90536">
            <w:pPr>
              <w:rPr>
                <w:rFonts w:eastAsia="Times New Roman" w:cs="Calibri"/>
                <w:szCs w:val="24"/>
                <w:lang w:eastAsia="ru-RU"/>
              </w:rPr>
            </w:pPr>
            <w:r w:rsidRPr="005B1751">
              <w:rPr>
                <w:rFonts w:eastAsia="Times New Roman" w:cs="Calibri"/>
                <w:szCs w:val="24"/>
                <w:lang w:eastAsia="ru-RU"/>
              </w:rPr>
              <w:lastRenderedPageBreak/>
              <w:t>Кровь</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B</w:t>
            </w:r>
            <w:r w:rsidRPr="005B1751">
              <w:rPr>
                <w:rFonts w:eastAsia="Times New Roman" w:cs="Calibri"/>
                <w:b/>
                <w:szCs w:val="24"/>
                <w:vertAlign w:val="subscript"/>
                <w:lang w:eastAsia="ru-RU"/>
              </w:rPr>
              <w:t>0</w:t>
            </w:r>
            <w:r w:rsidRPr="005B1751">
              <w:rPr>
                <w:rFonts w:eastAsia="Times New Roman" w:cs="Calibri"/>
                <w:szCs w:val="24"/>
                <w:lang w:eastAsia="ru-RU"/>
              </w:rPr>
              <w:t xml:space="preserve">   Отсутствие значительного вовлечения крови: атипичные (Сезари) клетки составляют ≤5% лимфоцитов периферической крови</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B</w:t>
            </w:r>
            <w:r w:rsidRPr="005B1751">
              <w:rPr>
                <w:rFonts w:eastAsia="Times New Roman" w:cs="Calibri"/>
                <w:szCs w:val="24"/>
                <w:vertAlign w:val="subscript"/>
                <w:lang w:eastAsia="ru-RU"/>
              </w:rPr>
              <w:t>0</w:t>
            </w:r>
            <w:r w:rsidRPr="005B1751">
              <w:rPr>
                <w:rFonts w:eastAsia="Times New Roman" w:cs="Calibri"/>
                <w:szCs w:val="24"/>
                <w:vertAlign w:val="subscript"/>
                <w:lang w:val="en-US" w:eastAsia="ru-RU"/>
              </w:rPr>
              <w:t>a</w:t>
            </w:r>
            <w:r w:rsidRPr="005B1751">
              <w:rPr>
                <w:rFonts w:eastAsia="Times New Roman" w:cs="Calibri"/>
                <w:szCs w:val="24"/>
                <w:lang w:eastAsia="ru-RU"/>
              </w:rPr>
              <w:t xml:space="preserve"> – клон-негативны</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B</w:t>
            </w:r>
            <w:r w:rsidRPr="005B1751">
              <w:rPr>
                <w:rFonts w:eastAsia="Times New Roman" w:cs="Calibri"/>
                <w:szCs w:val="24"/>
                <w:vertAlign w:val="subscript"/>
                <w:lang w:eastAsia="ru-RU"/>
              </w:rPr>
              <w:t>0</w:t>
            </w:r>
            <w:r w:rsidRPr="005B1751">
              <w:rPr>
                <w:rFonts w:eastAsia="Times New Roman" w:cs="Calibri"/>
                <w:szCs w:val="24"/>
                <w:vertAlign w:val="subscript"/>
                <w:lang w:val="en-US" w:eastAsia="ru-RU"/>
              </w:rPr>
              <w:t>b</w:t>
            </w:r>
            <w:r w:rsidRPr="005B1751">
              <w:rPr>
                <w:rFonts w:eastAsia="Times New Roman" w:cs="Calibri"/>
                <w:szCs w:val="24"/>
                <w:lang w:eastAsia="ru-RU"/>
              </w:rPr>
              <w:t xml:space="preserve"> – клон-позитивны</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B</w:t>
            </w:r>
            <w:r w:rsidRPr="005B1751">
              <w:rPr>
                <w:rFonts w:eastAsia="Times New Roman" w:cs="Calibri"/>
                <w:b/>
                <w:szCs w:val="24"/>
                <w:vertAlign w:val="subscript"/>
                <w:lang w:eastAsia="ru-RU"/>
              </w:rPr>
              <w:t>1</w:t>
            </w:r>
            <w:r w:rsidRPr="005B1751">
              <w:rPr>
                <w:rFonts w:eastAsia="Times New Roman" w:cs="Calibri"/>
                <w:szCs w:val="24"/>
                <w:lang w:eastAsia="ru-RU"/>
              </w:rPr>
              <w:t xml:space="preserve">   Умеренное вовлечение крови: атипичные (Сезари) клетки составляют &gt;5% лимфоцитов периферической крови</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B</w:t>
            </w:r>
            <w:r w:rsidRPr="005B1751">
              <w:rPr>
                <w:rFonts w:eastAsia="Times New Roman" w:cs="Calibri"/>
                <w:szCs w:val="24"/>
                <w:vertAlign w:val="subscript"/>
                <w:lang w:eastAsia="ru-RU"/>
              </w:rPr>
              <w:t>1</w:t>
            </w:r>
            <w:r w:rsidRPr="005B1751">
              <w:rPr>
                <w:rFonts w:eastAsia="Times New Roman" w:cs="Calibri"/>
                <w:szCs w:val="24"/>
                <w:vertAlign w:val="subscript"/>
                <w:lang w:val="en-US" w:eastAsia="ru-RU"/>
              </w:rPr>
              <w:t>a</w:t>
            </w:r>
            <w:r w:rsidRPr="005B1751">
              <w:rPr>
                <w:rFonts w:eastAsia="Times New Roman" w:cs="Calibri"/>
                <w:szCs w:val="24"/>
                <w:lang w:eastAsia="ru-RU"/>
              </w:rPr>
              <w:t xml:space="preserve"> – клон-негативны</w:t>
            </w:r>
          </w:p>
          <w:p w:rsidR="005B1751" w:rsidRPr="005B1751" w:rsidRDefault="005B1751" w:rsidP="00E90536">
            <w:pPr>
              <w:rPr>
                <w:rFonts w:eastAsia="Times New Roman" w:cs="Calibri"/>
                <w:szCs w:val="24"/>
                <w:lang w:eastAsia="ru-RU"/>
              </w:rPr>
            </w:pPr>
            <w:r w:rsidRPr="005B1751">
              <w:rPr>
                <w:rFonts w:eastAsia="Times New Roman" w:cs="Calibri"/>
                <w:szCs w:val="24"/>
                <w:lang w:val="en-US" w:eastAsia="ru-RU"/>
              </w:rPr>
              <w:t>B</w:t>
            </w:r>
            <w:r w:rsidRPr="005B1751">
              <w:rPr>
                <w:rFonts w:eastAsia="Times New Roman" w:cs="Calibri"/>
                <w:szCs w:val="24"/>
                <w:vertAlign w:val="subscript"/>
                <w:lang w:eastAsia="ru-RU"/>
              </w:rPr>
              <w:t>1</w:t>
            </w:r>
            <w:r w:rsidRPr="005B1751">
              <w:rPr>
                <w:rFonts w:eastAsia="Times New Roman" w:cs="Calibri"/>
                <w:szCs w:val="24"/>
                <w:vertAlign w:val="subscript"/>
                <w:lang w:val="en-US" w:eastAsia="ru-RU"/>
              </w:rPr>
              <w:t>b</w:t>
            </w:r>
            <w:r w:rsidRPr="005B1751">
              <w:rPr>
                <w:rFonts w:eastAsia="Times New Roman" w:cs="Calibri"/>
                <w:szCs w:val="24"/>
                <w:lang w:eastAsia="ru-RU"/>
              </w:rPr>
              <w:t xml:space="preserve"> – клон-позитивны</w:t>
            </w:r>
          </w:p>
          <w:p w:rsidR="005B1751" w:rsidRPr="005B1751" w:rsidRDefault="005B1751" w:rsidP="00E90536">
            <w:pPr>
              <w:rPr>
                <w:rFonts w:eastAsia="Times New Roman" w:cs="Calibri"/>
                <w:szCs w:val="24"/>
                <w:lang w:eastAsia="ru-RU"/>
              </w:rPr>
            </w:pPr>
            <w:r w:rsidRPr="005B1751">
              <w:rPr>
                <w:rFonts w:eastAsia="Times New Roman" w:cs="Calibri"/>
                <w:b/>
                <w:szCs w:val="24"/>
                <w:lang w:val="en-US" w:eastAsia="ru-RU"/>
              </w:rPr>
              <w:t>B</w:t>
            </w:r>
            <w:r w:rsidRPr="005B1751">
              <w:rPr>
                <w:rFonts w:eastAsia="Times New Roman" w:cs="Calibri"/>
                <w:b/>
                <w:szCs w:val="24"/>
                <w:vertAlign w:val="subscript"/>
                <w:lang w:eastAsia="ru-RU"/>
              </w:rPr>
              <w:t>2</w:t>
            </w:r>
            <w:r w:rsidRPr="005B1751">
              <w:rPr>
                <w:rFonts w:eastAsia="Times New Roman" w:cs="Calibri"/>
                <w:szCs w:val="24"/>
                <w:lang w:eastAsia="ru-RU"/>
              </w:rPr>
              <w:t xml:space="preserve">   Значительное вовлечение крови: ≥1000/µ</w:t>
            </w:r>
            <w:r w:rsidRPr="005B1751">
              <w:rPr>
                <w:rFonts w:eastAsia="Times New Roman" w:cs="Calibri"/>
                <w:szCs w:val="24"/>
                <w:lang w:val="en-US" w:eastAsia="ru-RU"/>
              </w:rPr>
              <w:t>L</w:t>
            </w:r>
            <w:r w:rsidRPr="005B1751">
              <w:rPr>
                <w:rFonts w:eastAsia="Times New Roman" w:cs="Calibri"/>
                <w:szCs w:val="24"/>
                <w:lang w:eastAsia="ru-RU"/>
              </w:rPr>
              <w:t xml:space="preserve"> клеток Сезари с позитивным клоном</w:t>
            </w:r>
          </w:p>
          <w:p w:rsidR="005B1751" w:rsidRPr="00336969" w:rsidRDefault="005B1751" w:rsidP="00E90536">
            <w:pPr>
              <w:rPr>
                <w:rFonts w:eastAsia="Times New Roman" w:cs="Calibri"/>
                <w:sz w:val="18"/>
                <w:szCs w:val="18"/>
                <w:lang w:eastAsia="ru-RU"/>
              </w:rPr>
            </w:pPr>
          </w:p>
        </w:tc>
      </w:tr>
      <w:tr w:rsidR="005B1751" w:rsidRPr="00336969" w:rsidTr="00E90536">
        <w:trPr>
          <w:trHeight w:val="193"/>
        </w:trPr>
        <w:tc>
          <w:tcPr>
            <w:tcW w:w="2977" w:type="dxa"/>
            <w:tcBorders>
              <w:top w:val="single" w:sz="4" w:space="0" w:color="auto"/>
              <w:left w:val="single" w:sz="4" w:space="0" w:color="auto"/>
              <w:bottom w:val="single" w:sz="4" w:space="0" w:color="auto"/>
              <w:right w:val="single" w:sz="4" w:space="0" w:color="auto"/>
            </w:tcBorders>
            <w:hideMark/>
          </w:tcPr>
          <w:p w:rsidR="005B1751" w:rsidRPr="005B1751" w:rsidRDefault="005B1751" w:rsidP="00E90536">
            <w:pPr>
              <w:rPr>
                <w:rFonts w:eastAsia="Times New Roman"/>
                <w:b/>
                <w:szCs w:val="24"/>
                <w:lang w:eastAsia="ru-RU"/>
              </w:rPr>
            </w:pPr>
            <w:r w:rsidRPr="005B1751">
              <w:rPr>
                <w:rFonts w:eastAsia="Times New Roman"/>
                <w:b/>
                <w:szCs w:val="24"/>
                <w:lang w:eastAsia="ru-RU"/>
              </w:rPr>
              <w:lastRenderedPageBreak/>
              <w:t>Стадии</w:t>
            </w:r>
          </w:p>
        </w:tc>
        <w:tc>
          <w:tcPr>
            <w:tcW w:w="1701" w:type="dxa"/>
            <w:tcBorders>
              <w:top w:val="single" w:sz="4" w:space="0" w:color="auto"/>
              <w:left w:val="single" w:sz="4" w:space="0" w:color="auto"/>
              <w:bottom w:val="single" w:sz="4" w:space="0" w:color="auto"/>
              <w:right w:val="single" w:sz="4" w:space="0" w:color="auto"/>
            </w:tcBorders>
            <w:hideMark/>
          </w:tcPr>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T</w:t>
            </w:r>
          </w:p>
        </w:tc>
        <w:tc>
          <w:tcPr>
            <w:tcW w:w="1559" w:type="dxa"/>
            <w:tcBorders>
              <w:top w:val="single" w:sz="4" w:space="0" w:color="auto"/>
              <w:left w:val="single" w:sz="4" w:space="0" w:color="auto"/>
              <w:bottom w:val="single" w:sz="4" w:space="0" w:color="auto"/>
              <w:right w:val="single" w:sz="4" w:space="0" w:color="auto"/>
            </w:tcBorders>
            <w:hideMark/>
          </w:tcPr>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N</w:t>
            </w:r>
          </w:p>
        </w:tc>
        <w:tc>
          <w:tcPr>
            <w:tcW w:w="1276" w:type="dxa"/>
            <w:tcBorders>
              <w:top w:val="single" w:sz="4" w:space="0" w:color="auto"/>
              <w:left w:val="single" w:sz="4" w:space="0" w:color="auto"/>
              <w:bottom w:val="single" w:sz="4" w:space="0" w:color="auto"/>
              <w:right w:val="single" w:sz="4" w:space="0" w:color="auto"/>
            </w:tcBorders>
            <w:hideMark/>
          </w:tcPr>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M</w:t>
            </w:r>
          </w:p>
        </w:tc>
        <w:tc>
          <w:tcPr>
            <w:tcW w:w="1615" w:type="dxa"/>
            <w:tcBorders>
              <w:top w:val="single" w:sz="4" w:space="0" w:color="auto"/>
              <w:left w:val="single" w:sz="4" w:space="0" w:color="auto"/>
              <w:bottom w:val="single" w:sz="4" w:space="0" w:color="auto"/>
              <w:right w:val="single" w:sz="4" w:space="0" w:color="auto"/>
            </w:tcBorders>
            <w:hideMark/>
          </w:tcPr>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B</w:t>
            </w:r>
          </w:p>
        </w:tc>
      </w:tr>
      <w:tr w:rsidR="005B1751" w:rsidRPr="00336969" w:rsidTr="00E90536">
        <w:trPr>
          <w:trHeight w:val="567"/>
        </w:trPr>
        <w:tc>
          <w:tcPr>
            <w:tcW w:w="2977" w:type="dxa"/>
            <w:tcBorders>
              <w:top w:val="single" w:sz="4" w:space="0" w:color="auto"/>
              <w:left w:val="single" w:sz="4" w:space="0" w:color="auto"/>
              <w:bottom w:val="single" w:sz="4" w:space="0" w:color="auto"/>
              <w:right w:val="single" w:sz="4" w:space="0" w:color="auto"/>
            </w:tcBorders>
          </w:tcPr>
          <w:p w:rsidR="005B1751" w:rsidRPr="005B1751" w:rsidRDefault="005B1751" w:rsidP="00E90536">
            <w:pPr>
              <w:rPr>
                <w:rFonts w:eastAsia="Times New Roman"/>
                <w:b/>
                <w:szCs w:val="24"/>
                <w:lang w:eastAsia="ru-RU"/>
              </w:rPr>
            </w:pPr>
            <w:r w:rsidRPr="005B1751">
              <w:rPr>
                <w:rFonts w:eastAsia="Times New Roman"/>
                <w:b/>
                <w:szCs w:val="24"/>
                <w:lang w:eastAsia="ru-RU"/>
              </w:rPr>
              <w:t>Ранние</w:t>
            </w:r>
          </w:p>
          <w:p w:rsidR="005B1751" w:rsidRPr="005B1751" w:rsidRDefault="005B1751" w:rsidP="00E90536">
            <w:pPr>
              <w:rPr>
                <w:rFonts w:eastAsia="Times New Roman"/>
                <w:szCs w:val="24"/>
                <w:lang w:eastAsia="ru-RU"/>
              </w:rPr>
            </w:pPr>
            <w:r w:rsidRPr="005B1751">
              <w:rPr>
                <w:rFonts w:eastAsia="Times New Roman"/>
                <w:szCs w:val="24"/>
                <w:lang w:val="en-US" w:eastAsia="ru-RU"/>
              </w:rPr>
              <w:t>IA</w:t>
            </w:r>
          </w:p>
          <w:p w:rsidR="005B1751" w:rsidRPr="005B1751" w:rsidRDefault="005B1751" w:rsidP="00E90536">
            <w:pPr>
              <w:rPr>
                <w:rFonts w:eastAsia="Times New Roman"/>
                <w:szCs w:val="24"/>
                <w:lang w:eastAsia="ru-RU"/>
              </w:rPr>
            </w:pPr>
            <w:r w:rsidRPr="005B1751">
              <w:rPr>
                <w:rFonts w:eastAsia="Times New Roman"/>
                <w:szCs w:val="24"/>
                <w:lang w:val="en-US" w:eastAsia="ru-RU"/>
              </w:rPr>
              <w:t>IB</w:t>
            </w:r>
          </w:p>
          <w:p w:rsidR="005B1751" w:rsidRPr="005B1751" w:rsidRDefault="005B1751" w:rsidP="00E90536">
            <w:pPr>
              <w:rPr>
                <w:rFonts w:eastAsia="Times New Roman"/>
                <w:szCs w:val="24"/>
                <w:lang w:eastAsia="ru-RU"/>
              </w:rPr>
            </w:pPr>
            <w:r w:rsidRPr="005B1751">
              <w:rPr>
                <w:rFonts w:eastAsia="Times New Roman"/>
                <w:szCs w:val="24"/>
                <w:lang w:val="en-US" w:eastAsia="ru-RU"/>
              </w:rPr>
              <w:t>IIA</w:t>
            </w:r>
          </w:p>
          <w:p w:rsidR="005B1751" w:rsidRPr="005B1751" w:rsidRDefault="005B1751" w:rsidP="00E90536">
            <w:pPr>
              <w:rPr>
                <w:rFonts w:eastAsia="Times New Roman"/>
                <w:szCs w:val="24"/>
                <w:lang w:eastAsia="ru-RU"/>
              </w:rPr>
            </w:pPr>
          </w:p>
          <w:p w:rsidR="005B1751" w:rsidRPr="005B1751" w:rsidRDefault="005B1751" w:rsidP="00E90536">
            <w:pPr>
              <w:rPr>
                <w:rFonts w:eastAsia="Times New Roman"/>
                <w:b/>
                <w:szCs w:val="24"/>
                <w:lang w:eastAsia="ru-RU"/>
              </w:rPr>
            </w:pPr>
            <w:r w:rsidRPr="005B1751">
              <w:rPr>
                <w:rFonts w:eastAsia="Times New Roman"/>
                <w:b/>
                <w:szCs w:val="24"/>
                <w:lang w:eastAsia="ru-RU"/>
              </w:rPr>
              <w:t>Поздние</w:t>
            </w:r>
          </w:p>
          <w:p w:rsidR="005B1751" w:rsidRPr="005B1751" w:rsidRDefault="005B1751" w:rsidP="00E90536">
            <w:pPr>
              <w:rPr>
                <w:rFonts w:eastAsia="Times New Roman"/>
                <w:szCs w:val="24"/>
                <w:lang w:eastAsia="ru-RU"/>
              </w:rPr>
            </w:pPr>
            <w:r w:rsidRPr="005B1751">
              <w:rPr>
                <w:rFonts w:eastAsia="Times New Roman"/>
                <w:szCs w:val="24"/>
                <w:lang w:val="en-US" w:eastAsia="ru-RU"/>
              </w:rPr>
              <w:t>IIB</w:t>
            </w:r>
          </w:p>
          <w:p w:rsidR="005B1751" w:rsidRPr="005B1751" w:rsidRDefault="005B1751" w:rsidP="00E90536">
            <w:pPr>
              <w:rPr>
                <w:rFonts w:eastAsia="Times New Roman"/>
                <w:szCs w:val="24"/>
                <w:lang w:val="en-US" w:eastAsia="ru-RU"/>
              </w:rPr>
            </w:pPr>
            <w:r w:rsidRPr="005B1751">
              <w:rPr>
                <w:rFonts w:eastAsia="Times New Roman"/>
                <w:szCs w:val="24"/>
                <w:lang w:val="en-US" w:eastAsia="ru-RU"/>
              </w:rPr>
              <w:t>III</w:t>
            </w:r>
          </w:p>
          <w:p w:rsidR="005B1751" w:rsidRPr="005B1751" w:rsidRDefault="005B1751" w:rsidP="00E90536">
            <w:pPr>
              <w:rPr>
                <w:rFonts w:eastAsia="Times New Roman"/>
                <w:szCs w:val="24"/>
                <w:lang w:val="en-US" w:eastAsia="ru-RU"/>
              </w:rPr>
            </w:pPr>
            <w:r w:rsidRPr="005B1751">
              <w:rPr>
                <w:rFonts w:eastAsia="Times New Roman"/>
                <w:szCs w:val="24"/>
                <w:lang w:val="en-US" w:eastAsia="ru-RU"/>
              </w:rPr>
              <w:t>IIIA</w:t>
            </w:r>
          </w:p>
          <w:p w:rsidR="005B1751" w:rsidRPr="005B1751" w:rsidRDefault="005B1751" w:rsidP="00E90536">
            <w:pPr>
              <w:rPr>
                <w:rFonts w:eastAsia="Times New Roman"/>
                <w:szCs w:val="24"/>
                <w:lang w:val="en-US" w:eastAsia="ru-RU"/>
              </w:rPr>
            </w:pPr>
            <w:r w:rsidRPr="005B1751">
              <w:rPr>
                <w:rFonts w:eastAsia="Times New Roman"/>
                <w:szCs w:val="24"/>
                <w:lang w:val="en-US" w:eastAsia="ru-RU"/>
              </w:rPr>
              <w:t>IIIB</w:t>
            </w:r>
          </w:p>
          <w:p w:rsidR="005B1751" w:rsidRPr="005B1751" w:rsidRDefault="005B1751" w:rsidP="00E90536">
            <w:pPr>
              <w:rPr>
                <w:rFonts w:eastAsia="Times New Roman"/>
                <w:szCs w:val="24"/>
                <w:lang w:val="en-US" w:eastAsia="ru-RU"/>
              </w:rPr>
            </w:pPr>
            <w:r w:rsidRPr="005B1751">
              <w:rPr>
                <w:rFonts w:eastAsia="Times New Roman"/>
                <w:szCs w:val="24"/>
                <w:lang w:val="en-US" w:eastAsia="ru-RU"/>
              </w:rPr>
              <w:t>IVA</w:t>
            </w:r>
            <w:r w:rsidRPr="005B1751">
              <w:rPr>
                <w:rFonts w:eastAsia="Times New Roman"/>
                <w:szCs w:val="24"/>
                <w:vertAlign w:val="subscript"/>
                <w:lang w:val="en-US" w:eastAsia="ru-RU"/>
              </w:rPr>
              <w:t>1</w:t>
            </w:r>
          </w:p>
          <w:p w:rsidR="005B1751" w:rsidRPr="005B1751" w:rsidRDefault="005B1751" w:rsidP="00E90536">
            <w:pPr>
              <w:rPr>
                <w:rFonts w:eastAsia="Times New Roman"/>
                <w:szCs w:val="24"/>
                <w:lang w:val="en-US" w:eastAsia="ru-RU"/>
              </w:rPr>
            </w:pPr>
            <w:r w:rsidRPr="005B1751">
              <w:rPr>
                <w:rFonts w:eastAsia="Times New Roman"/>
                <w:szCs w:val="24"/>
                <w:lang w:val="en-US" w:eastAsia="ru-RU"/>
              </w:rPr>
              <w:t>IVA</w:t>
            </w:r>
            <w:r w:rsidRPr="005B1751">
              <w:rPr>
                <w:rFonts w:eastAsia="Times New Roman"/>
                <w:szCs w:val="24"/>
                <w:vertAlign w:val="subscript"/>
                <w:lang w:val="en-US" w:eastAsia="ru-RU"/>
              </w:rPr>
              <w:t>2</w:t>
            </w:r>
          </w:p>
          <w:p w:rsidR="005B1751" w:rsidRPr="005B1751" w:rsidRDefault="005B1751" w:rsidP="00E90536">
            <w:pPr>
              <w:rPr>
                <w:rFonts w:eastAsia="Times New Roman"/>
                <w:szCs w:val="24"/>
                <w:lang w:val="en-US" w:eastAsia="ru-RU"/>
              </w:rPr>
            </w:pPr>
            <w:r w:rsidRPr="005B1751">
              <w:rPr>
                <w:rFonts w:eastAsia="Times New Roman"/>
                <w:szCs w:val="24"/>
                <w:lang w:val="en-US" w:eastAsia="ru-RU"/>
              </w:rPr>
              <w:t>IVB</w:t>
            </w:r>
          </w:p>
        </w:tc>
        <w:tc>
          <w:tcPr>
            <w:tcW w:w="1701" w:type="dxa"/>
            <w:tcBorders>
              <w:top w:val="single" w:sz="4" w:space="0" w:color="auto"/>
              <w:left w:val="single" w:sz="4" w:space="0" w:color="auto"/>
              <w:bottom w:val="single" w:sz="4" w:space="0" w:color="auto"/>
              <w:right w:val="single" w:sz="4" w:space="0" w:color="auto"/>
            </w:tcBorders>
          </w:tcPr>
          <w:p w:rsidR="005B1751" w:rsidRPr="005B1751" w:rsidRDefault="005B1751" w:rsidP="00E90536">
            <w:pPr>
              <w:rPr>
                <w:rFonts w:eastAsia="Times New Roman"/>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1,2</w:t>
            </w: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3</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4</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4</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4</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1-4</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1-4</w:t>
            </w:r>
          </w:p>
          <w:p w:rsidR="005B1751" w:rsidRPr="005B1751" w:rsidRDefault="005B1751" w:rsidP="00E90536">
            <w:pPr>
              <w:jc w:val="center"/>
              <w:rPr>
                <w:rFonts w:eastAsia="Times New Roman"/>
                <w:szCs w:val="24"/>
                <w:lang w:val="en-US" w:eastAsia="ru-RU"/>
              </w:rPr>
            </w:pPr>
            <w:r w:rsidRPr="005B1751">
              <w:rPr>
                <w:rFonts w:eastAsia="Times New Roman"/>
                <w:b/>
                <w:szCs w:val="24"/>
                <w:lang w:val="en-US" w:eastAsia="ru-RU"/>
              </w:rPr>
              <w:t>1-4</w:t>
            </w:r>
          </w:p>
        </w:tc>
        <w:tc>
          <w:tcPr>
            <w:tcW w:w="1559" w:type="dxa"/>
            <w:tcBorders>
              <w:top w:val="single" w:sz="4" w:space="0" w:color="auto"/>
              <w:left w:val="single" w:sz="4" w:space="0" w:color="auto"/>
              <w:bottom w:val="single" w:sz="4" w:space="0" w:color="auto"/>
              <w:right w:val="single" w:sz="4" w:space="0" w:color="auto"/>
            </w:tcBorders>
          </w:tcPr>
          <w:p w:rsidR="005B1751" w:rsidRPr="005B1751" w:rsidRDefault="005B1751" w:rsidP="00E90536">
            <w:pPr>
              <w:jc w:val="center"/>
              <w:rPr>
                <w:rFonts w:eastAsia="Times New Roman"/>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1,2</w:t>
            </w: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3</w:t>
            </w:r>
          </w:p>
          <w:p w:rsidR="005B1751" w:rsidRPr="005B1751" w:rsidRDefault="005B1751" w:rsidP="00E90536">
            <w:pPr>
              <w:jc w:val="center"/>
              <w:rPr>
                <w:rFonts w:eastAsia="Times New Roman"/>
                <w:szCs w:val="24"/>
                <w:lang w:val="en-US" w:eastAsia="ru-RU"/>
              </w:rPr>
            </w:pPr>
            <w:r w:rsidRPr="005B1751">
              <w:rPr>
                <w:rFonts w:eastAsia="Times New Roman"/>
                <w:b/>
                <w:szCs w:val="24"/>
                <w:lang w:val="en-US" w:eastAsia="ru-RU"/>
              </w:rPr>
              <w:t>0-3</w:t>
            </w:r>
          </w:p>
        </w:tc>
        <w:tc>
          <w:tcPr>
            <w:tcW w:w="1276" w:type="dxa"/>
            <w:tcBorders>
              <w:top w:val="single" w:sz="4" w:space="0" w:color="auto"/>
              <w:left w:val="single" w:sz="4" w:space="0" w:color="auto"/>
              <w:bottom w:val="single" w:sz="4" w:space="0" w:color="auto"/>
              <w:right w:val="single" w:sz="4" w:space="0" w:color="auto"/>
            </w:tcBorders>
          </w:tcPr>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w:t>
            </w:r>
          </w:p>
        </w:tc>
        <w:tc>
          <w:tcPr>
            <w:tcW w:w="1615" w:type="dxa"/>
            <w:tcBorders>
              <w:top w:val="single" w:sz="4" w:space="0" w:color="auto"/>
              <w:left w:val="single" w:sz="4" w:space="0" w:color="auto"/>
              <w:bottom w:val="single" w:sz="4" w:space="0" w:color="auto"/>
              <w:right w:val="single" w:sz="4" w:space="0" w:color="auto"/>
            </w:tcBorders>
          </w:tcPr>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0,1</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0,1</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0,1</w:t>
            </w: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0,1</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0,1</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1</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p w:rsidR="005B1751" w:rsidRPr="005B1751" w:rsidRDefault="005B1751" w:rsidP="00E90536">
            <w:pPr>
              <w:jc w:val="center"/>
              <w:rPr>
                <w:rFonts w:eastAsia="Times New Roman"/>
                <w:b/>
                <w:szCs w:val="24"/>
                <w:lang w:val="en-US" w:eastAsia="ru-RU"/>
              </w:rPr>
            </w:pPr>
            <w:r w:rsidRPr="005B1751">
              <w:rPr>
                <w:rFonts w:eastAsia="Times New Roman"/>
                <w:b/>
                <w:szCs w:val="24"/>
                <w:lang w:val="en-US" w:eastAsia="ru-RU"/>
              </w:rPr>
              <w:t>0-2</w:t>
            </w:r>
          </w:p>
        </w:tc>
      </w:tr>
    </w:tbl>
    <w:p w:rsidR="005B1751" w:rsidRDefault="005B1751" w:rsidP="00DD0BA9">
      <w:pPr>
        <w:ind w:firstLine="0"/>
        <w:rPr>
          <w:lang w:eastAsia="ru-RU" w:bidi="ru-RU"/>
        </w:rPr>
      </w:pPr>
    </w:p>
    <w:p w:rsidR="000539E9" w:rsidRPr="00376207" w:rsidRDefault="000539E9" w:rsidP="000539E9">
      <w:pPr>
        <w:pStyle w:val="afff2"/>
      </w:pPr>
      <w:bookmarkStart w:id="256" w:name="_Toc67238445"/>
      <w:bookmarkStart w:id="257" w:name="_Toc67302935"/>
      <w:r w:rsidRPr="00CE089D">
        <w:t>Приложение Г</w:t>
      </w:r>
      <w:r>
        <w:t>2</w:t>
      </w:r>
      <w:r w:rsidRPr="00CE089D">
        <w:t xml:space="preserve">. </w:t>
      </w:r>
      <w:r w:rsidRPr="00DC72FF">
        <w:t>Расчет трансплантационного риска по шкале EBMT</w:t>
      </w:r>
      <w:bookmarkEnd w:id="256"/>
      <w:bookmarkEnd w:id="257"/>
    </w:p>
    <w:p w:rsidR="000539E9" w:rsidRDefault="000539E9" w:rsidP="000539E9">
      <w:pPr>
        <w:rPr>
          <w:rFonts w:eastAsia="SimSun"/>
          <w:szCs w:val="24"/>
        </w:rPr>
      </w:pPr>
    </w:p>
    <w:p w:rsidR="000539E9" w:rsidRPr="00777124" w:rsidRDefault="000539E9" w:rsidP="000539E9">
      <w:pPr>
        <w:rPr>
          <w:rFonts w:eastAsia="SimSun"/>
          <w:szCs w:val="24"/>
        </w:rPr>
      </w:pPr>
      <w:r w:rsidRPr="00777124">
        <w:rPr>
          <w:rFonts w:eastAsia="SimSun"/>
          <w:szCs w:val="24"/>
        </w:rPr>
        <w:t xml:space="preserve">Оценка трансплантационного риска проводится не более чем за 10 дней до начала предтрансплантационного кондиционирования </w:t>
      </w:r>
      <w:r w:rsidRPr="00777124">
        <w:rPr>
          <w:rFonts w:eastAsia="SimSun"/>
          <w:szCs w:val="24"/>
        </w:rPr>
        <w:fldChar w:fldCharType="begin" w:fldLock="1"/>
      </w:r>
      <w:r w:rsidR="003524A5">
        <w:rPr>
          <w:rFonts w:eastAsia="SimSun"/>
          <w:szCs w:val="24"/>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[86]","plainTextFormattedCitation":"[86]","previouslyFormattedCitation":"[93]"},"properties":{"noteIndex":0},"schema":"https://github.com/citation-style-language/schema/raw/master/csl-citation.json"}</w:instrText>
      </w:r>
      <w:r w:rsidRPr="00777124">
        <w:rPr>
          <w:rFonts w:eastAsia="SimSun"/>
          <w:szCs w:val="24"/>
        </w:rPr>
        <w:fldChar w:fldCharType="separate"/>
      </w:r>
      <w:r w:rsidR="003524A5" w:rsidRPr="003524A5">
        <w:rPr>
          <w:rFonts w:eastAsia="SimSun"/>
          <w:noProof/>
          <w:szCs w:val="24"/>
        </w:rPr>
        <w:t>[86]</w:t>
      </w:r>
      <w:r w:rsidRPr="00777124">
        <w:rPr>
          <w:rFonts w:eastAsia="SimSun"/>
          <w:szCs w:val="24"/>
        </w:rPr>
        <w:fldChar w:fldCharType="end"/>
      </w:r>
      <w:r w:rsidRPr="00777124">
        <w:rPr>
          <w:rFonts w:eastAsia="SimSun"/>
          <w:szCs w:val="24"/>
        </w:rPr>
        <w:t>.</w:t>
      </w:r>
    </w:p>
    <w:p w:rsidR="000539E9" w:rsidRPr="00777124" w:rsidRDefault="000539E9" w:rsidP="000539E9">
      <w:pPr>
        <w:tabs>
          <w:tab w:val="left" w:pos="567"/>
        </w:tabs>
        <w:spacing w:line="240" w:lineRule="auto"/>
        <w:rPr>
          <w:rFonts w:eastAsia="SimSun"/>
          <w:b/>
          <w:szCs w:val="24"/>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0539E9" w:rsidRPr="00777124" w:rsidTr="003524A5">
        <w:trPr>
          <w:trHeight w:val="374"/>
        </w:trPr>
        <w:tc>
          <w:tcPr>
            <w:tcW w:w="4820" w:type="dxa"/>
          </w:tcPr>
          <w:p w:rsidR="000539E9" w:rsidRPr="00777124" w:rsidRDefault="000539E9" w:rsidP="003524A5">
            <w:pPr>
              <w:pStyle w:val="table-head-left"/>
              <w:rPr>
                <w:kern w:val="2"/>
                <w:szCs w:val="24"/>
                <w:lang w:eastAsia="zh-CN" w:bidi="hi-IN"/>
              </w:rPr>
            </w:pPr>
            <w:r w:rsidRPr="00777124">
              <w:rPr>
                <w:kern w:val="2"/>
                <w:szCs w:val="24"/>
                <w:lang w:eastAsia="zh-CN" w:bidi="hi-IN"/>
              </w:rPr>
              <w:t>Факторы риска</w:t>
            </w:r>
          </w:p>
        </w:tc>
        <w:tc>
          <w:tcPr>
            <w:tcW w:w="4060" w:type="dxa"/>
          </w:tcPr>
          <w:p w:rsidR="000539E9" w:rsidRPr="00777124" w:rsidRDefault="000539E9" w:rsidP="003524A5">
            <w:pPr>
              <w:pStyle w:val="table-head-left"/>
              <w:rPr>
                <w:kern w:val="2"/>
                <w:szCs w:val="24"/>
                <w:lang w:eastAsia="zh-CN" w:bidi="hi-IN"/>
              </w:rPr>
            </w:pPr>
            <w:r w:rsidRPr="00777124">
              <w:rPr>
                <w:bCs/>
                <w:kern w:val="2"/>
                <w:szCs w:val="24"/>
                <w:lang w:eastAsia="zh-CN" w:bidi="hi-IN"/>
              </w:rPr>
              <w:t>Характеристика факторов риска</w:t>
            </w:r>
          </w:p>
        </w:tc>
        <w:tc>
          <w:tcPr>
            <w:tcW w:w="1829" w:type="dxa"/>
          </w:tcPr>
          <w:p w:rsidR="000539E9" w:rsidRPr="00777124" w:rsidRDefault="000539E9" w:rsidP="003524A5">
            <w:pPr>
              <w:pStyle w:val="table-head-left"/>
              <w:rPr>
                <w:kern w:val="2"/>
                <w:szCs w:val="24"/>
                <w:lang w:eastAsia="zh-CN" w:bidi="hi-IN"/>
              </w:rPr>
            </w:pPr>
            <w:r w:rsidRPr="00777124">
              <w:rPr>
                <w:bCs/>
                <w:kern w:val="2"/>
                <w:szCs w:val="24"/>
                <w:lang w:eastAsia="zh-CN" w:bidi="hi-IN"/>
              </w:rPr>
              <w:t>Баллы</w:t>
            </w:r>
          </w:p>
        </w:tc>
      </w:tr>
      <w:tr w:rsidR="000539E9" w:rsidRPr="00777124" w:rsidTr="003524A5">
        <w:trPr>
          <w:trHeight w:val="258"/>
        </w:trPr>
        <w:tc>
          <w:tcPr>
            <w:tcW w:w="4820" w:type="dxa"/>
            <w:vMerge w:val="restart"/>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Возраст</w:t>
            </w: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 xml:space="preserve">&lt; 20 лет </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0</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20–40 лет</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1</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&gt; 40 лет</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2</w:t>
            </w:r>
          </w:p>
        </w:tc>
      </w:tr>
      <w:tr w:rsidR="000539E9" w:rsidRPr="00777124" w:rsidTr="003524A5">
        <w:trPr>
          <w:trHeight w:val="258"/>
        </w:trPr>
        <w:tc>
          <w:tcPr>
            <w:tcW w:w="4820" w:type="dxa"/>
            <w:vMerge w:val="restart"/>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Статус заболевания</w:t>
            </w:r>
            <w:r w:rsidRPr="00777124">
              <w:rPr>
                <w:kern w:val="2"/>
                <w:sz w:val="24"/>
                <w:szCs w:val="24"/>
                <w:vertAlign w:val="superscript"/>
                <w:lang w:eastAsia="zh-CN" w:bidi="hi-IN"/>
              </w:rPr>
              <w:t>1</w:t>
            </w: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Ранний</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0</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Промежуточный</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1</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Развернутый</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2</w:t>
            </w:r>
          </w:p>
        </w:tc>
      </w:tr>
      <w:tr w:rsidR="000539E9" w:rsidRPr="00777124" w:rsidTr="003524A5">
        <w:trPr>
          <w:trHeight w:val="258"/>
        </w:trPr>
        <w:tc>
          <w:tcPr>
            <w:tcW w:w="4820" w:type="dxa"/>
            <w:vMerge w:val="restart"/>
          </w:tcPr>
          <w:p w:rsidR="000539E9" w:rsidRPr="00DC72FF" w:rsidRDefault="000539E9" w:rsidP="003524A5">
            <w:pPr>
              <w:pStyle w:val="table-text-0"/>
              <w:rPr>
                <w:kern w:val="2"/>
                <w:sz w:val="24"/>
                <w:szCs w:val="24"/>
                <w:lang w:val="ru-RU" w:eastAsia="zh-CN" w:bidi="hi-IN"/>
              </w:rPr>
            </w:pPr>
            <w:r w:rsidRPr="00DC72FF">
              <w:rPr>
                <w:kern w:val="2"/>
                <w:sz w:val="24"/>
                <w:szCs w:val="24"/>
                <w:lang w:val="ru-RU" w:eastAsia="zh-CN" w:bidi="hi-IN"/>
              </w:rPr>
              <w:t>Время от постановки диагноза до ТГСК</w:t>
            </w:r>
            <w:r w:rsidRPr="00DC72FF">
              <w:rPr>
                <w:kern w:val="2"/>
                <w:sz w:val="24"/>
                <w:szCs w:val="24"/>
                <w:vertAlign w:val="superscript"/>
                <w:lang w:val="ru-RU" w:eastAsia="zh-CN" w:bidi="hi-IN"/>
              </w:rPr>
              <w:t>2</w:t>
            </w: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&lt; 12 мес</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0</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color w:val="222222"/>
                <w:kern w:val="2"/>
                <w:sz w:val="24"/>
                <w:szCs w:val="24"/>
                <w:lang w:eastAsia="zh-CN" w:bidi="hi-IN"/>
              </w:rPr>
              <w:t>≥ 12 мес</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1</w:t>
            </w:r>
          </w:p>
        </w:tc>
      </w:tr>
      <w:tr w:rsidR="000539E9" w:rsidRPr="00777124" w:rsidTr="003524A5">
        <w:trPr>
          <w:trHeight w:val="232"/>
        </w:trPr>
        <w:tc>
          <w:tcPr>
            <w:tcW w:w="4820" w:type="dxa"/>
            <w:vMerge w:val="restart"/>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Донор</w:t>
            </w: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HLA-идентичный сиблинг</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0</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Неродственный донор</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1</w:t>
            </w:r>
          </w:p>
        </w:tc>
      </w:tr>
      <w:tr w:rsidR="000539E9" w:rsidRPr="00777124" w:rsidTr="003524A5">
        <w:trPr>
          <w:trHeight w:val="242"/>
        </w:trPr>
        <w:tc>
          <w:tcPr>
            <w:tcW w:w="4820" w:type="dxa"/>
            <w:vMerge w:val="restart"/>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Пол донора и реципиента</w:t>
            </w: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Донор — женщина, реципиент —мужчина</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1</w:t>
            </w:r>
          </w:p>
        </w:tc>
      </w:tr>
      <w:tr w:rsidR="000539E9" w:rsidRPr="00777124" w:rsidTr="003524A5">
        <w:trPr>
          <w:trHeight w:val="107"/>
        </w:trPr>
        <w:tc>
          <w:tcPr>
            <w:tcW w:w="4820" w:type="dxa"/>
            <w:vMerge/>
          </w:tcPr>
          <w:p w:rsidR="000539E9" w:rsidRPr="00777124" w:rsidRDefault="000539E9" w:rsidP="003524A5">
            <w:pPr>
              <w:pStyle w:val="table-text-0"/>
              <w:rPr>
                <w:kern w:val="2"/>
                <w:sz w:val="24"/>
                <w:szCs w:val="24"/>
                <w:lang w:eastAsia="zh-CN" w:bidi="hi-IN"/>
              </w:rPr>
            </w:pPr>
          </w:p>
        </w:tc>
        <w:tc>
          <w:tcPr>
            <w:tcW w:w="4060"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Другие сочетания</w:t>
            </w:r>
          </w:p>
        </w:tc>
        <w:tc>
          <w:tcPr>
            <w:tcW w:w="1829"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0</w:t>
            </w:r>
          </w:p>
        </w:tc>
      </w:tr>
      <w:tr w:rsidR="000539E9" w:rsidRPr="00777124" w:rsidTr="003524A5">
        <w:trPr>
          <w:trHeight w:val="107"/>
        </w:trPr>
        <w:tc>
          <w:tcPr>
            <w:tcW w:w="10709" w:type="dxa"/>
            <w:gridSpan w:val="3"/>
          </w:tcPr>
          <w:p w:rsidR="000539E9" w:rsidRPr="00777124" w:rsidRDefault="000539E9" w:rsidP="003524A5">
            <w:pPr>
              <w:pStyle w:val="table-ref"/>
              <w:rPr>
                <w:rFonts w:eastAsia="SimSun"/>
                <w:sz w:val="24"/>
                <w:szCs w:val="24"/>
              </w:rPr>
            </w:pPr>
            <w:r w:rsidRPr="00777124">
              <w:rPr>
                <w:rFonts w:eastAsia="SimSun"/>
                <w:sz w:val="24"/>
                <w:szCs w:val="24"/>
                <w:vertAlign w:val="superscript"/>
              </w:rPr>
              <w:t>1</w:t>
            </w:r>
            <w:r w:rsidRPr="00777124">
              <w:rPr>
                <w:rFonts w:eastAsia="SimSun"/>
                <w:sz w:val="24"/>
                <w:szCs w:val="24"/>
              </w:rPr>
              <w:t xml:space="preserve"> Не применяется у пациентов с АА. </w:t>
            </w:r>
          </w:p>
          <w:p w:rsidR="000539E9" w:rsidRPr="00777124" w:rsidRDefault="000539E9" w:rsidP="003524A5">
            <w:pPr>
              <w:pStyle w:val="table-ref"/>
              <w:rPr>
                <w:rFonts w:eastAsia="SimSun"/>
                <w:sz w:val="24"/>
                <w:szCs w:val="24"/>
              </w:rPr>
            </w:pPr>
            <w:r w:rsidRPr="00777124">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rsidR="000539E9" w:rsidRPr="00777124" w:rsidRDefault="000539E9" w:rsidP="003524A5">
            <w:pPr>
              <w:pStyle w:val="table-ref"/>
              <w:rPr>
                <w:rFonts w:eastAsia="SimSun"/>
                <w:sz w:val="24"/>
                <w:szCs w:val="24"/>
              </w:rPr>
            </w:pPr>
            <w:r w:rsidRPr="00777124">
              <w:rPr>
                <w:rFonts w:eastAsia="SimSun"/>
                <w:sz w:val="24"/>
                <w:szCs w:val="24"/>
              </w:rPr>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rsidR="000539E9" w:rsidRPr="00777124" w:rsidRDefault="000539E9" w:rsidP="003524A5">
            <w:pPr>
              <w:pStyle w:val="table-ref"/>
              <w:rPr>
                <w:rFonts w:eastAsia="SimSun"/>
                <w:sz w:val="24"/>
                <w:szCs w:val="24"/>
              </w:rPr>
            </w:pPr>
            <w:r w:rsidRPr="00777124">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rsidR="000539E9" w:rsidRPr="00777124" w:rsidRDefault="000539E9" w:rsidP="003524A5">
            <w:pPr>
              <w:pStyle w:val="table-ref"/>
              <w:rPr>
                <w:rFonts w:eastAsia="SimSun"/>
                <w:sz w:val="24"/>
                <w:szCs w:val="24"/>
              </w:rPr>
            </w:pPr>
            <w:r w:rsidRPr="00777124">
              <w:rPr>
                <w:rFonts w:eastAsia="SimSun"/>
                <w:sz w:val="24"/>
                <w:szCs w:val="24"/>
                <w:vertAlign w:val="superscript"/>
              </w:rPr>
              <w:t>2</w:t>
            </w:r>
            <w:r w:rsidRPr="00777124">
              <w:rPr>
                <w:rFonts w:eastAsia="SimSun"/>
                <w:sz w:val="24"/>
                <w:szCs w:val="24"/>
              </w:rPr>
              <w:t xml:space="preserve"> Не применяется у пациентов в ПР1.</w:t>
            </w:r>
          </w:p>
        </w:tc>
      </w:tr>
    </w:tbl>
    <w:p w:rsidR="000539E9" w:rsidRPr="00777124" w:rsidRDefault="000539E9" w:rsidP="000539E9">
      <w:pPr>
        <w:spacing w:line="240" w:lineRule="auto"/>
        <w:rPr>
          <w:rFonts w:eastAsia="SimSun"/>
          <w:szCs w:val="24"/>
        </w:rPr>
      </w:pPr>
    </w:p>
    <w:p w:rsidR="000539E9" w:rsidRPr="00777124" w:rsidRDefault="000539E9" w:rsidP="000539E9">
      <w:pPr>
        <w:pStyle w:val="table-name"/>
        <w:rPr>
          <w:rFonts w:eastAsia="SimSun"/>
          <w:sz w:val="24"/>
          <w:szCs w:val="24"/>
          <w:lang w:val="ru-RU"/>
        </w:rPr>
      </w:pPr>
      <w:r w:rsidRPr="00777124">
        <w:rPr>
          <w:rFonts w:eastAsia="SimSun"/>
          <w:sz w:val="24"/>
          <w:szCs w:val="24"/>
          <w:lang w:val="ru-RU"/>
        </w:rPr>
        <w:t xml:space="preserve">Пятилетняя летальность (%), связанная с трансплантацией, согласно шкале риска </w:t>
      </w:r>
      <w:r w:rsidRPr="00777124">
        <w:rPr>
          <w:rFonts w:eastAsia="SimSun"/>
          <w:sz w:val="24"/>
          <w:szCs w:val="24"/>
        </w:rPr>
        <w:t>EBMT</w:t>
      </w:r>
    </w:p>
    <w:tbl>
      <w:tblPr>
        <w:tblW w:w="107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0539E9" w:rsidRPr="00777124" w:rsidTr="003524A5">
        <w:trPr>
          <w:trHeight w:val="360"/>
        </w:trPr>
        <w:tc>
          <w:tcPr>
            <w:tcW w:w="1531" w:type="dxa"/>
          </w:tcPr>
          <w:p w:rsidR="000539E9" w:rsidRPr="00777124" w:rsidRDefault="000539E9" w:rsidP="003524A5">
            <w:pPr>
              <w:pStyle w:val="table-head-left"/>
              <w:rPr>
                <w:kern w:val="2"/>
                <w:szCs w:val="24"/>
                <w:lang w:eastAsia="zh-CN" w:bidi="hi-IN"/>
              </w:rPr>
            </w:pPr>
            <w:r w:rsidRPr="00777124">
              <w:rPr>
                <w:kern w:val="2"/>
                <w:szCs w:val="24"/>
                <w:lang w:eastAsia="zh-CN" w:bidi="hi-IN"/>
              </w:rPr>
              <w:t>Баллы</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0</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1</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2</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3</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4</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5</w:t>
            </w:r>
          </w:p>
        </w:tc>
        <w:tc>
          <w:tcPr>
            <w:tcW w:w="1314" w:type="dxa"/>
          </w:tcPr>
          <w:p w:rsidR="000539E9" w:rsidRPr="00777124" w:rsidRDefault="000539E9" w:rsidP="003524A5">
            <w:pPr>
              <w:pStyle w:val="table-head-left"/>
              <w:rPr>
                <w:kern w:val="2"/>
                <w:szCs w:val="24"/>
                <w:lang w:eastAsia="zh-CN" w:bidi="hi-IN"/>
              </w:rPr>
            </w:pPr>
            <w:r w:rsidRPr="00777124">
              <w:rPr>
                <w:kern w:val="2"/>
                <w:szCs w:val="24"/>
                <w:lang w:eastAsia="zh-CN" w:bidi="hi-IN"/>
              </w:rPr>
              <w:t>6–7</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ОМЛ</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14</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36</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41</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ОЛЛ</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15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23</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24</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47</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53</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ХМЛ</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15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22</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38</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52</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55</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АА</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18</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26</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49</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52</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МДС</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28</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38</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46</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50</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ММ</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29</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42</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52</w:t>
            </w:r>
          </w:p>
        </w:tc>
      </w:tr>
      <w:tr w:rsidR="000539E9" w:rsidRPr="00777124" w:rsidTr="003524A5">
        <w:trPr>
          <w:trHeight w:val="360"/>
        </w:trPr>
        <w:tc>
          <w:tcPr>
            <w:tcW w:w="1531" w:type="dxa"/>
          </w:tcPr>
          <w:p w:rsidR="000539E9" w:rsidRPr="00777124" w:rsidRDefault="000539E9" w:rsidP="003524A5">
            <w:pPr>
              <w:pStyle w:val="table-text-0"/>
              <w:rPr>
                <w:kern w:val="2"/>
                <w:sz w:val="24"/>
                <w:szCs w:val="24"/>
                <w:lang w:eastAsia="zh-CN" w:bidi="hi-IN"/>
              </w:rPr>
            </w:pPr>
            <w:r w:rsidRPr="00777124">
              <w:rPr>
                <w:kern w:val="2"/>
                <w:sz w:val="24"/>
                <w:szCs w:val="24"/>
                <w:lang w:eastAsia="zh-CN" w:bidi="hi-IN"/>
              </w:rPr>
              <w:t>НХЛ</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15</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24</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28</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30</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34</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36</w:t>
            </w:r>
          </w:p>
        </w:tc>
        <w:tc>
          <w:tcPr>
            <w:tcW w:w="1314" w:type="dxa"/>
          </w:tcPr>
          <w:p w:rsidR="000539E9" w:rsidRPr="00777124" w:rsidRDefault="000539E9" w:rsidP="003524A5">
            <w:pPr>
              <w:pStyle w:val="table-text-0"/>
              <w:rPr>
                <w:kern w:val="2"/>
                <w:sz w:val="24"/>
                <w:szCs w:val="24"/>
                <w:lang w:eastAsia="zh-CN" w:bidi="hi-IN"/>
              </w:rPr>
            </w:pPr>
            <w:r w:rsidRPr="00777124">
              <w:rPr>
                <w:kern w:val="2"/>
                <w:sz w:val="24"/>
                <w:szCs w:val="24"/>
                <w:lang w:val="x-none" w:eastAsia="zh-CN" w:bidi="hi-IN"/>
              </w:rPr>
              <w:t>38</w:t>
            </w:r>
          </w:p>
        </w:tc>
      </w:tr>
    </w:tbl>
    <w:p w:rsidR="000539E9" w:rsidRDefault="000539E9" w:rsidP="000539E9">
      <w:pPr>
        <w:pStyle w:val="2"/>
        <w:rPr>
          <w:rFonts w:eastAsia="SimSun"/>
        </w:rPr>
      </w:pPr>
    </w:p>
    <w:p w:rsidR="000539E9" w:rsidRDefault="000539E9" w:rsidP="000539E9">
      <w:pPr>
        <w:pStyle w:val="afff2"/>
      </w:pPr>
      <w:bookmarkStart w:id="258" w:name="_Toc67238446"/>
      <w:bookmarkStart w:id="259" w:name="_Toc67302936"/>
      <w:r w:rsidRPr="00CE089D">
        <w:t>Приложение Г</w:t>
      </w:r>
      <w:r>
        <w:t xml:space="preserve">3. </w:t>
      </w:r>
      <w:r w:rsidRPr="00DC72FF">
        <w:t>Расчет трансплантационного риска по шкале HCT-CI</w:t>
      </w:r>
      <w:bookmarkEnd w:id="258"/>
      <w:bookmarkEnd w:id="259"/>
    </w:p>
    <w:p w:rsidR="000539E9" w:rsidRDefault="000539E9" w:rsidP="000539E9">
      <w:pPr>
        <w:rPr>
          <w:rFonts w:eastAsia="SimSun"/>
          <w:szCs w:val="24"/>
        </w:rPr>
      </w:pPr>
    </w:p>
    <w:p w:rsidR="000539E9" w:rsidRPr="00A74B56" w:rsidRDefault="000539E9" w:rsidP="000539E9">
      <w:pPr>
        <w:rPr>
          <w:rFonts w:eastAsia="SimSun"/>
          <w:szCs w:val="24"/>
        </w:rPr>
      </w:pPr>
      <w:r w:rsidRPr="00A74B56">
        <w:rPr>
          <w:rFonts w:eastAsia="SimSun"/>
          <w:szCs w:val="24"/>
        </w:rPr>
        <w:lastRenderedPageBreak/>
        <w:t xml:space="preserve">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 </w:t>
      </w:r>
      <w:r w:rsidRPr="00A74B56">
        <w:rPr>
          <w:rFonts w:eastAsia="SimSun"/>
          <w:szCs w:val="24"/>
        </w:rPr>
        <w:fldChar w:fldCharType="begin" w:fldLock="1"/>
      </w:r>
      <w:r w:rsidR="003524A5">
        <w:rPr>
          <w:rFonts w:eastAsia="SimSun"/>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publisher":"The American Society of Hematology","title":"Hematopoietic cell transplantation (HCT)-specific comorbidity index: a new tool for risk assessment before allogeneic HCT.","type":"article-journal","volume":"106"},"uris":["http://www.mendeley.com/documents/?uuid=93f8ea95-5d4b-450a-a6fa-9a8772dd6e52"]},{"id":"ITEM-2","itemData":{"DOI":"10.1016/j.bbmt.2015.04.004","ISSN":"15236536","PMID":"25862591","abstract":"Prospective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w:instrText>
      </w:r>
      <w:r w:rsidR="003524A5">
        <w:rPr>
          <w:rFonts w:eastAsia="SimSun" w:hint="eastAsia"/>
          <w:szCs w:val="24"/>
        </w:rPr>
        <w:instrText xml:space="preserve">ly associated with increases in hazard ratios for nonrelapse mortality (NRM) (P &lt;.0001) and overall mortality (P &lt;.0001) among recipients of allogeneic HCT. HCT-CI scores of </w:instrText>
      </w:r>
      <w:r w:rsidR="003524A5">
        <w:rPr>
          <w:rFonts w:eastAsia="SimSun" w:hint="eastAsia"/>
          <w:szCs w:val="24"/>
        </w:rPr>
        <w:instrText>≥</w:instrText>
      </w:r>
      <w:r w:rsidR="003524A5">
        <w:rPr>
          <w:rFonts w:eastAsia="SimSun" w:hint="eastAsia"/>
          <w:szCs w:val="24"/>
        </w:rPr>
        <w:instrText>3 were uniformly associated with higher risks for outcomes in both allogeneic an</w:instrText>
      </w:r>
      <w:r w:rsidR="003524A5">
        <w:rPr>
          <w:rFonts w:eastAsia="SimSun"/>
          <w:szCs w:val="24"/>
        </w:rPr>
        <w:instrText>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R.","non-dropping-particle":"","parse-names":false,"suffix":""},{"dropping-particle":"","family":"Zhu","given":"Xiaochun","non-dropping-particle":"","parse-names":false,"suffix":""},{"dropping-particle":"","family":"Rizzo","given":"J. Douglas","non-dropping-particle":"","parse-names":false,"suffix":""},{"dropping-particle":"","family":"Cooke","given":"Kenneth R.","non-dropping-particle":"","parse-names":false,"suffix":""},{"dropping-particle":"","family":"McCarthy","given":"Philip L.","non-dropping-particle":"","parse-names":false,"suffix":""},{"dropping-particle":"","family":"Ho","given":"Vincent T.","non-dropping-particle":"","parse-names":false,"suffix":""},{"dropping-particle":"","family":"Horowitz","given":"Mary M.","non-dropping-particle":"","parse-names":false,"suffix":""},{"dropping-particle":"","family":"Pasquini","given":"Marcelo C.","non-dropping-particle":"","parse-names":false,"suffix":""}],"container-title":"Biology of Blood and Marrow Transplantation","id":"ITEM-2","issue":"8","issued":{"date-parts":[["2015","8","1"]]},"page":"1479-1487","publisher":"Elsevier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[87,88]","plainTextFormattedCitation":"[87,88]","previouslyFormattedCitation":"[94,95]"},"properties":{"noteIndex":0},"schema":"https://github.com/citation-style-language/schema/raw/master/csl-citation.json"}</w:instrText>
      </w:r>
      <w:r w:rsidRPr="00A74B56">
        <w:rPr>
          <w:rFonts w:eastAsia="SimSun"/>
          <w:szCs w:val="24"/>
        </w:rPr>
        <w:fldChar w:fldCharType="separate"/>
      </w:r>
      <w:r w:rsidR="003524A5" w:rsidRPr="003524A5">
        <w:rPr>
          <w:rFonts w:eastAsia="SimSun"/>
          <w:noProof/>
          <w:szCs w:val="24"/>
        </w:rPr>
        <w:t>[87,88]</w:t>
      </w:r>
      <w:r w:rsidRPr="00A74B56">
        <w:rPr>
          <w:rFonts w:eastAsia="SimSun"/>
          <w:szCs w:val="24"/>
        </w:rPr>
        <w:fldChar w:fldCharType="end"/>
      </w:r>
      <w:r w:rsidRPr="00A74B56">
        <w:rPr>
          <w:rFonts w:eastAsia="SimSun"/>
          <w:szCs w:val="24"/>
        </w:rPr>
        <w:t>.</w:t>
      </w:r>
    </w:p>
    <w:p w:rsidR="000539E9" w:rsidRPr="00A74B56" w:rsidRDefault="000539E9" w:rsidP="000539E9">
      <w:pPr>
        <w:rPr>
          <w:rFonts w:eastAsia="SimSun"/>
          <w:szCs w:val="24"/>
        </w:rPr>
      </w:pPr>
      <w:r w:rsidRPr="00A74B56">
        <w:rPr>
          <w:rFonts w:eastAsia="SimSun"/>
          <w:szCs w:val="24"/>
        </w:rPr>
        <w:t>Низкий риск — 0 баллов.</w:t>
      </w:r>
    </w:p>
    <w:p w:rsidR="000539E9" w:rsidRPr="00A74B56" w:rsidRDefault="000539E9" w:rsidP="000539E9">
      <w:pPr>
        <w:rPr>
          <w:rFonts w:eastAsia="SimSun"/>
          <w:szCs w:val="24"/>
        </w:rPr>
      </w:pPr>
      <w:r w:rsidRPr="00A74B56">
        <w:rPr>
          <w:rFonts w:eastAsia="SimSun"/>
          <w:szCs w:val="24"/>
        </w:rPr>
        <w:t>Промежуточный риск — 1–2 балла.</w:t>
      </w:r>
    </w:p>
    <w:p w:rsidR="000539E9" w:rsidRPr="00A74B56" w:rsidRDefault="000539E9" w:rsidP="000539E9">
      <w:pPr>
        <w:rPr>
          <w:rFonts w:eastAsia="SimSun"/>
          <w:szCs w:val="24"/>
        </w:rPr>
      </w:pPr>
      <w:r w:rsidRPr="00A74B56">
        <w:rPr>
          <w:rFonts w:eastAsia="SimSun"/>
          <w:szCs w:val="24"/>
        </w:rPr>
        <w:t>Высокий риск — 3–4 балла.</w:t>
      </w:r>
    </w:p>
    <w:p w:rsidR="000539E9" w:rsidRPr="00A74B56" w:rsidRDefault="000539E9" w:rsidP="000539E9">
      <w:pPr>
        <w:rPr>
          <w:rFonts w:eastAsia="SimSun"/>
          <w:szCs w:val="24"/>
        </w:rPr>
      </w:pPr>
      <w:r w:rsidRPr="00A74B56">
        <w:rPr>
          <w:rFonts w:eastAsia="SimSun"/>
          <w:szCs w:val="24"/>
        </w:rPr>
        <w:t>Крайне высокий — 5 и более баллов.</w:t>
      </w:r>
    </w:p>
    <w:tbl>
      <w:tblPr>
        <w:tblW w:w="100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8"/>
        <w:gridCol w:w="1377"/>
      </w:tblGrid>
      <w:tr w:rsidR="000539E9" w:rsidRPr="00DC72FF" w:rsidTr="003524A5">
        <w:tc>
          <w:tcPr>
            <w:tcW w:w="8718" w:type="dxa"/>
            <w:vAlign w:val="center"/>
          </w:tcPr>
          <w:p w:rsidR="000539E9" w:rsidRPr="00DC72FF" w:rsidRDefault="000539E9" w:rsidP="003524A5">
            <w:pPr>
              <w:pStyle w:val="table-name"/>
              <w:spacing w:line="360" w:lineRule="auto"/>
              <w:ind w:firstLine="0"/>
              <w:rPr>
                <w:rFonts w:eastAsia="SimSun"/>
                <w:sz w:val="24"/>
                <w:szCs w:val="24"/>
              </w:rPr>
            </w:pPr>
            <w:r w:rsidRPr="00DC72FF">
              <w:rPr>
                <w:rFonts w:eastAsia="SimSun"/>
                <w:sz w:val="24"/>
                <w:szCs w:val="24"/>
              </w:rPr>
              <w:t>Статус</w:t>
            </w:r>
          </w:p>
        </w:tc>
        <w:tc>
          <w:tcPr>
            <w:tcW w:w="1377" w:type="dxa"/>
            <w:vAlign w:val="center"/>
          </w:tcPr>
          <w:p w:rsidR="000539E9" w:rsidRPr="00DC72FF" w:rsidRDefault="000539E9" w:rsidP="003524A5">
            <w:pPr>
              <w:pStyle w:val="table-name"/>
              <w:spacing w:line="360" w:lineRule="auto"/>
              <w:ind w:firstLine="0"/>
              <w:rPr>
                <w:rFonts w:eastAsia="SimSun"/>
                <w:sz w:val="24"/>
                <w:szCs w:val="24"/>
              </w:rPr>
            </w:pPr>
            <w:r w:rsidRPr="00DC72FF">
              <w:rPr>
                <w:rFonts w:eastAsia="SimSun"/>
                <w:sz w:val="24"/>
                <w:szCs w:val="24"/>
              </w:rPr>
              <w:t>Баллы</w:t>
            </w:r>
          </w:p>
        </w:tc>
      </w:tr>
      <w:tr w:rsidR="000539E9" w:rsidRPr="00DC72FF" w:rsidTr="003524A5">
        <w:tc>
          <w:tcPr>
            <w:tcW w:w="8718" w:type="dxa"/>
            <w:vAlign w:val="center"/>
          </w:tcPr>
          <w:p w:rsidR="000539E9" w:rsidRPr="00DC72FF" w:rsidRDefault="000539E9" w:rsidP="003524A5">
            <w:pPr>
              <w:pStyle w:val="table-head-left"/>
              <w:ind w:firstLine="0"/>
              <w:rPr>
                <w:rFonts w:eastAsia="SimSun"/>
                <w:sz w:val="24"/>
                <w:szCs w:val="24"/>
              </w:rPr>
            </w:pPr>
            <w:r w:rsidRPr="00DC72FF">
              <w:rPr>
                <w:rFonts w:eastAsia="SimSun"/>
                <w:sz w:val="24"/>
                <w:szCs w:val="24"/>
              </w:rPr>
              <w:t>Дыхательная система</w:t>
            </w:r>
          </w:p>
        </w:tc>
        <w:tc>
          <w:tcPr>
            <w:tcW w:w="1377" w:type="dxa"/>
            <w:vAlign w:val="center"/>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vAlign w:val="center"/>
          </w:tcPr>
          <w:p w:rsidR="000539E9" w:rsidRPr="00DC72FF" w:rsidRDefault="000539E9" w:rsidP="003524A5">
            <w:pPr>
              <w:pStyle w:val="table-text-0"/>
              <w:spacing w:line="360" w:lineRule="auto"/>
              <w:ind w:firstLine="0"/>
              <w:rPr>
                <w:rFonts w:eastAsia="SimSun"/>
                <w:sz w:val="24"/>
                <w:szCs w:val="24"/>
                <w:lang w:val="ru-RU"/>
              </w:rPr>
            </w:pPr>
            <w:r w:rsidRPr="00DC72FF">
              <w:rPr>
                <w:sz w:val="24"/>
                <w:szCs w:val="24"/>
                <w:lang w:val="ru-RU"/>
              </w:rPr>
              <w:t>ОФВ1 66–80% или одышка при небольшой физической нагрузке</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2</w:t>
            </w:r>
          </w:p>
        </w:tc>
      </w:tr>
      <w:tr w:rsidR="000539E9" w:rsidRPr="00DC72FF" w:rsidTr="003524A5">
        <w:tc>
          <w:tcPr>
            <w:tcW w:w="8718" w:type="dxa"/>
            <w:vAlign w:val="center"/>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 xml:space="preserve">ОФВ1 </w:t>
            </w:r>
            <w:r w:rsidRPr="00DC72FF">
              <w:rPr>
                <w:rFonts w:eastAsia="SimSun"/>
                <w:sz w:val="24"/>
                <w:szCs w:val="24"/>
                <w:lang w:val="ru-RU"/>
              </w:rPr>
              <w:t>≤</w:t>
            </w:r>
            <w:r w:rsidRPr="00DC72FF">
              <w:rPr>
                <w:sz w:val="24"/>
                <w:szCs w:val="24"/>
                <w:lang w:val="ru-RU"/>
              </w:rPr>
              <w:t xml:space="preserve"> 65% или одышка в покое или потребность в кислородной поддержке</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3</w:t>
            </w:r>
          </w:p>
        </w:tc>
      </w:tr>
      <w:tr w:rsidR="000539E9" w:rsidRPr="00DC72FF" w:rsidTr="003524A5">
        <w:tc>
          <w:tcPr>
            <w:tcW w:w="8718" w:type="dxa"/>
            <w:vAlign w:val="center"/>
          </w:tcPr>
          <w:p w:rsidR="000539E9" w:rsidRPr="00DC72FF" w:rsidRDefault="000539E9" w:rsidP="003524A5">
            <w:pPr>
              <w:pStyle w:val="table-head-left"/>
              <w:ind w:firstLine="0"/>
              <w:rPr>
                <w:rFonts w:eastAsia="SimSun"/>
                <w:sz w:val="24"/>
                <w:szCs w:val="24"/>
              </w:rPr>
            </w:pPr>
            <w:r w:rsidRPr="00DC72FF">
              <w:rPr>
                <w:rFonts w:eastAsia="SimSun"/>
                <w:sz w:val="24"/>
                <w:szCs w:val="24"/>
              </w:rPr>
              <w:t>Сердечно-сосудистая система</w:t>
            </w:r>
          </w:p>
        </w:tc>
        <w:tc>
          <w:tcPr>
            <w:tcW w:w="1377" w:type="dxa"/>
            <w:vAlign w:val="center"/>
          </w:tcPr>
          <w:p w:rsidR="000539E9" w:rsidRPr="00DC72FF" w:rsidRDefault="000539E9" w:rsidP="003524A5">
            <w:pPr>
              <w:tabs>
                <w:tab w:val="left" w:pos="567"/>
              </w:tabs>
              <w:ind w:firstLine="0"/>
              <w:jc w:val="center"/>
              <w:rPr>
                <w:rFonts w:eastAsia="SimSun"/>
                <w:szCs w:val="24"/>
              </w:rPr>
            </w:pPr>
          </w:p>
        </w:tc>
      </w:tr>
      <w:tr w:rsidR="000539E9" w:rsidRPr="00DC72FF" w:rsidTr="003524A5">
        <w:tc>
          <w:tcPr>
            <w:tcW w:w="8718" w:type="dxa"/>
            <w:vAlign w:val="center"/>
          </w:tcPr>
          <w:p w:rsidR="000539E9" w:rsidRPr="00DC72FF" w:rsidRDefault="000539E9" w:rsidP="003524A5">
            <w:pPr>
              <w:pStyle w:val="table-text-0"/>
              <w:spacing w:line="360" w:lineRule="auto"/>
              <w:ind w:firstLine="0"/>
              <w:rPr>
                <w:rFonts w:eastAsia="SimSun"/>
                <w:sz w:val="24"/>
                <w:szCs w:val="24"/>
                <w:lang w:val="ru-RU"/>
              </w:rPr>
            </w:pPr>
            <w:r w:rsidRPr="00DC72FF">
              <w:rPr>
                <w:sz w:val="24"/>
                <w:szCs w:val="24"/>
                <w:lang w:val="ru-RU"/>
              </w:rPr>
              <w:t>Мерцательная аритмия или трепетание предсердий, синдром слабости синусового узла или желудочковые аритмии</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vAlign w:val="center"/>
          </w:tcPr>
          <w:p w:rsidR="000539E9" w:rsidRPr="00DC72FF" w:rsidRDefault="000539E9" w:rsidP="003524A5">
            <w:pPr>
              <w:pStyle w:val="table-text-0"/>
              <w:spacing w:line="360" w:lineRule="auto"/>
              <w:ind w:firstLine="0"/>
              <w:rPr>
                <w:rFonts w:eastAsia="SimSun"/>
                <w:sz w:val="24"/>
                <w:szCs w:val="24"/>
                <w:lang w:val="ru-RU"/>
              </w:rPr>
            </w:pPr>
            <w:r w:rsidRPr="00DC72FF">
              <w:rPr>
                <w:sz w:val="24"/>
                <w:szCs w:val="24"/>
                <w:lang w:val="ru-RU"/>
              </w:rPr>
              <w:t>Ишемическая болезнь сердца, застойная сердечная недостаточность, инфаркт миокарда или фракция выброса менее 50%</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vAlign w:val="center"/>
          </w:tcPr>
          <w:p w:rsidR="000539E9" w:rsidRPr="00DC72FF" w:rsidRDefault="000539E9" w:rsidP="003524A5">
            <w:pPr>
              <w:pStyle w:val="table-text-0"/>
              <w:spacing w:line="360" w:lineRule="auto"/>
              <w:ind w:firstLine="0"/>
              <w:rPr>
                <w:rFonts w:eastAsia="SimSun"/>
                <w:sz w:val="24"/>
                <w:szCs w:val="24"/>
                <w:lang w:val="ru-RU"/>
              </w:rPr>
            </w:pPr>
            <w:r w:rsidRPr="00DC72FF">
              <w:rPr>
                <w:sz w:val="24"/>
                <w:szCs w:val="24"/>
                <w:lang w:val="ru-RU"/>
              </w:rPr>
              <w:t>Пороки сердца за исключением пролапса митрального клапана</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vAlign w:val="center"/>
          </w:tcPr>
          <w:p w:rsidR="000539E9" w:rsidRPr="00DC72FF" w:rsidRDefault="000539E9" w:rsidP="003524A5">
            <w:pPr>
              <w:pStyle w:val="table-head-left"/>
              <w:ind w:firstLine="0"/>
              <w:rPr>
                <w:rFonts w:eastAsia="SimSun"/>
                <w:sz w:val="24"/>
                <w:szCs w:val="24"/>
              </w:rPr>
            </w:pPr>
            <w:r w:rsidRPr="00DC72FF">
              <w:rPr>
                <w:rFonts w:eastAsia="SimSun"/>
                <w:sz w:val="24"/>
                <w:szCs w:val="24"/>
              </w:rPr>
              <w:t>ЖКТ</w:t>
            </w:r>
          </w:p>
        </w:tc>
        <w:tc>
          <w:tcPr>
            <w:tcW w:w="1377" w:type="dxa"/>
            <w:vAlign w:val="center"/>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vAlign w:val="center"/>
          </w:tcPr>
          <w:p w:rsidR="000539E9" w:rsidRPr="00DC72FF" w:rsidRDefault="000539E9" w:rsidP="003524A5">
            <w:pPr>
              <w:pStyle w:val="table-text-0"/>
              <w:spacing w:line="360" w:lineRule="auto"/>
              <w:ind w:firstLine="0"/>
              <w:rPr>
                <w:rFonts w:eastAsia="SimSun"/>
                <w:sz w:val="24"/>
                <w:szCs w:val="24"/>
                <w:lang w:val="ru-RU"/>
              </w:rPr>
            </w:pPr>
            <w:r w:rsidRPr="00DC72FF">
              <w:rPr>
                <w:sz w:val="24"/>
                <w:szCs w:val="24"/>
                <w:lang w:val="ru-RU"/>
              </w:rPr>
              <w:t>Хронический гепатит, билирубин до 1,5 норм или АЛТ либо АСТ до 2,5 норм</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vAlign w:val="center"/>
          </w:tcPr>
          <w:p w:rsidR="000539E9" w:rsidRPr="00DC72FF" w:rsidRDefault="000539E9" w:rsidP="003524A5">
            <w:pPr>
              <w:pStyle w:val="table-text-0"/>
              <w:spacing w:line="360" w:lineRule="auto"/>
              <w:ind w:firstLine="0"/>
              <w:rPr>
                <w:rFonts w:eastAsia="SimSun"/>
                <w:sz w:val="24"/>
                <w:szCs w:val="24"/>
                <w:lang w:val="ru-RU"/>
              </w:rPr>
            </w:pPr>
            <w:r w:rsidRPr="00DC72FF">
              <w:rPr>
                <w:sz w:val="24"/>
                <w:szCs w:val="24"/>
                <w:lang w:val="ru-RU"/>
              </w:rPr>
              <w:t>Цирроз, билирубин более 1,5 норм или АЛТ либо АСТ более 2,5 норм</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3</w:t>
            </w:r>
          </w:p>
        </w:tc>
      </w:tr>
      <w:tr w:rsidR="000539E9" w:rsidRPr="00DC72FF" w:rsidTr="003524A5">
        <w:tc>
          <w:tcPr>
            <w:tcW w:w="8718" w:type="dxa"/>
            <w:vAlign w:val="center"/>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Болезнь Крона или язвенный колит</w:t>
            </w:r>
          </w:p>
        </w:tc>
        <w:tc>
          <w:tcPr>
            <w:tcW w:w="1377" w:type="dxa"/>
            <w:vAlign w:val="center"/>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rPr>
            </w:pPr>
            <w:r w:rsidRPr="00DC72FF">
              <w:rPr>
                <w:sz w:val="24"/>
                <w:szCs w:val="24"/>
              </w:rPr>
              <w:t>Язвенная болезнь, требующая лечения</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2</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Нарушение обмена</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rPr>
            </w:pPr>
            <w:r w:rsidRPr="00DC72FF">
              <w:rPr>
                <w:sz w:val="24"/>
                <w:szCs w:val="24"/>
              </w:rPr>
              <w:t>Сахарный диабет, требующий лечения</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Индекс массы тела &gt; 35 кг/м</w:t>
            </w:r>
            <w:r w:rsidRPr="00DC72FF">
              <w:rPr>
                <w:sz w:val="24"/>
                <w:szCs w:val="24"/>
                <w:vertAlign w:val="superscript"/>
                <w:lang w:val="ru-RU"/>
              </w:rPr>
              <w:t>2</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Неврологический статус</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Транзиторная ишемическая атака или острое нарушение мозгового кровообращения в анамнезе</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Психический статус</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Депрессия или тревога, требующие консультации психиатра или лечения</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Мочевыделительная система</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rPr>
          <w:trHeight w:val="370"/>
        </w:trPr>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lastRenderedPageBreak/>
              <w:t>Концентрация креатинина сыворотки &gt; 176 мкмоль/л, диализ или почечный трансплантат</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sz w:val="24"/>
                <w:szCs w:val="24"/>
              </w:rPr>
              <w:t>2</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Системные заболевания</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Системная красная волчанка, ревматоидный артрит, полимиозит и другие болезни соединительной ткани, требующие лечения</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2</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Инфекции</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Инфекционные осложнения, требующие терапии до и после трансплантации</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1</w:t>
            </w:r>
          </w:p>
        </w:tc>
      </w:tr>
      <w:tr w:rsidR="000539E9" w:rsidRPr="00DC72FF" w:rsidTr="003524A5">
        <w:tc>
          <w:tcPr>
            <w:tcW w:w="8718" w:type="dxa"/>
          </w:tcPr>
          <w:p w:rsidR="000539E9" w:rsidRPr="00DC72FF" w:rsidRDefault="000539E9" w:rsidP="003524A5">
            <w:pPr>
              <w:pStyle w:val="table-head-left"/>
              <w:ind w:firstLine="0"/>
              <w:rPr>
                <w:sz w:val="24"/>
                <w:szCs w:val="24"/>
              </w:rPr>
            </w:pPr>
            <w:r w:rsidRPr="00DC72FF">
              <w:rPr>
                <w:sz w:val="24"/>
                <w:szCs w:val="24"/>
              </w:rPr>
              <w:t>Онкологические заболевания</w:t>
            </w:r>
          </w:p>
        </w:tc>
        <w:tc>
          <w:tcPr>
            <w:tcW w:w="1377" w:type="dxa"/>
          </w:tcPr>
          <w:p w:rsidR="000539E9" w:rsidRPr="00DC72FF" w:rsidRDefault="000539E9" w:rsidP="003524A5">
            <w:pPr>
              <w:pStyle w:val="table-head-left"/>
              <w:ind w:firstLine="0"/>
              <w:rPr>
                <w:rFonts w:eastAsia="SimSun"/>
                <w:sz w:val="24"/>
                <w:szCs w:val="24"/>
              </w:rPr>
            </w:pPr>
          </w:p>
        </w:tc>
      </w:tr>
      <w:tr w:rsidR="000539E9" w:rsidRPr="00DC72FF" w:rsidTr="003524A5">
        <w:tc>
          <w:tcPr>
            <w:tcW w:w="8718" w:type="dxa"/>
          </w:tcPr>
          <w:p w:rsidR="000539E9" w:rsidRPr="00DC72FF" w:rsidRDefault="000539E9" w:rsidP="003524A5">
            <w:pPr>
              <w:pStyle w:val="table-text-0"/>
              <w:spacing w:line="360" w:lineRule="auto"/>
              <w:ind w:firstLine="0"/>
              <w:rPr>
                <w:sz w:val="24"/>
                <w:szCs w:val="24"/>
                <w:lang w:val="ru-RU"/>
              </w:rPr>
            </w:pPr>
            <w:r w:rsidRPr="00DC72FF">
              <w:rPr>
                <w:sz w:val="24"/>
                <w:szCs w:val="24"/>
                <w:lang w:val="ru-RU"/>
              </w:rPr>
              <w:t>Любые опухоли в анамнезе, кроме рака кожи (исключая меланому)</w:t>
            </w:r>
          </w:p>
        </w:tc>
        <w:tc>
          <w:tcPr>
            <w:tcW w:w="1377" w:type="dxa"/>
          </w:tcPr>
          <w:p w:rsidR="000539E9" w:rsidRPr="00DC72FF" w:rsidRDefault="000539E9" w:rsidP="003524A5">
            <w:pPr>
              <w:pStyle w:val="table-text-0"/>
              <w:spacing w:line="360" w:lineRule="auto"/>
              <w:ind w:firstLine="0"/>
              <w:rPr>
                <w:rFonts w:eastAsia="SimSun"/>
                <w:sz w:val="24"/>
                <w:szCs w:val="24"/>
              </w:rPr>
            </w:pPr>
            <w:r w:rsidRPr="00DC72FF">
              <w:rPr>
                <w:rFonts w:eastAsia="SimSun"/>
                <w:sz w:val="24"/>
                <w:szCs w:val="24"/>
              </w:rPr>
              <w:t>3</w:t>
            </w:r>
          </w:p>
        </w:tc>
      </w:tr>
    </w:tbl>
    <w:p w:rsidR="000539E9" w:rsidRPr="00C07B2E" w:rsidRDefault="000539E9" w:rsidP="000539E9">
      <w:pPr>
        <w:rPr>
          <w:sz w:val="28"/>
          <w:szCs w:val="28"/>
          <w:lang w:val="en-US"/>
        </w:rPr>
      </w:pPr>
    </w:p>
    <w:p w:rsidR="000539E9" w:rsidRPr="00376207" w:rsidRDefault="000539E9" w:rsidP="000539E9">
      <w:pPr>
        <w:pStyle w:val="afff2"/>
      </w:pPr>
    </w:p>
    <w:p w:rsidR="000539E9" w:rsidRPr="00777124" w:rsidRDefault="000539E9" w:rsidP="000539E9">
      <w:pPr>
        <w:pStyle w:val="2"/>
        <w:rPr>
          <w:rFonts w:eastAsia="SimSun"/>
        </w:rPr>
      </w:pPr>
    </w:p>
    <w:p w:rsidR="000539E9" w:rsidRPr="00DC72FF" w:rsidRDefault="000539E9" w:rsidP="000539E9">
      <w:pPr>
        <w:rPr>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Pr="00DC72FF" w:rsidRDefault="000539E9" w:rsidP="000539E9">
      <w:pPr>
        <w:pStyle w:val="1f4"/>
        <w:shd w:val="clear" w:color="auto" w:fill="auto"/>
        <w:tabs>
          <w:tab w:val="left" w:leader="underscore" w:pos="10092"/>
        </w:tabs>
        <w:ind w:left="1520" w:firstLine="20"/>
        <w:rPr>
          <w:sz w:val="24"/>
          <w:szCs w:val="24"/>
        </w:rPr>
      </w:pPr>
    </w:p>
    <w:p w:rsidR="000539E9" w:rsidRDefault="000539E9" w:rsidP="00DD0BA9">
      <w:pPr>
        <w:ind w:firstLine="0"/>
        <w:rPr>
          <w:lang w:eastAsia="ru-RU" w:bidi="ru-RU"/>
        </w:rPr>
      </w:pPr>
    </w:p>
    <w:bookmarkEnd w:id="255"/>
    <w:p w:rsidR="00AE3406" w:rsidRPr="00583004" w:rsidRDefault="00AE3406" w:rsidP="00427B0E">
      <w:pPr>
        <w:pStyle w:val="afffb"/>
        <w:ind w:firstLine="0"/>
      </w:pPr>
    </w:p>
    <w:sectPr w:rsidR="00AE3406" w:rsidRPr="00583004" w:rsidSect="00EE59C2">
      <w:headerReference w:type="default" r:id="rId18"/>
      <w:footerReference w:type="default" r:id="rId19"/>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74" w:rsidRDefault="00977074">
      <w:pPr>
        <w:spacing w:line="240" w:lineRule="auto"/>
      </w:pPr>
      <w:r>
        <w:separator/>
      </w:r>
    </w:p>
    <w:p w:rsidR="00977074" w:rsidRDefault="00977074"/>
  </w:endnote>
  <w:endnote w:type="continuationSeparator" w:id="0">
    <w:p w:rsidR="00977074" w:rsidRDefault="00977074">
      <w:pPr>
        <w:spacing w:line="240" w:lineRule="auto"/>
      </w:pPr>
      <w:r>
        <w:continuationSeparator/>
      </w:r>
    </w:p>
    <w:p w:rsidR="00977074" w:rsidRDefault="00977074"/>
  </w:endnote>
  <w:endnote w:type="continuationNotice" w:id="1">
    <w:p w:rsidR="00977074" w:rsidRDefault="009770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Shaker 2 Lancet">
    <w:altName w:val="Shaker 2 Lance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w:altName w:val="﷽﷽﷽﷽﷽﷽﷽﷽s"/>
    <w:charset w:val="B1"/>
    <w:family w:val="swiss"/>
    <w:pitch w:val="variable"/>
    <w:sig w:usb0="80000A67" w:usb1="00000000" w:usb2="00000000" w:usb3="00000000" w:csb0="000001F7" w:csb1="00000000"/>
  </w:font>
  <w:font w:name="OpenSymbol">
    <w:altName w:val="Arial Unicode MS"/>
    <w:charset w:val="00"/>
    <w:family w:val="auto"/>
    <w:pitch w:val="variable"/>
    <w:sig w:usb0="800000AF" w:usb1="1807ECEA"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Helvetica Neue">
    <w:altName w:val="﷽﷽﷽﷽﷽﷽﷽﷽a Neue"/>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TimesLTStd-Roman">
    <w:altName w:val="MS Mincho"/>
    <w:panose1 w:val="00000000000000000000"/>
    <w:charset w:val="80"/>
    <w:family w:val="roman"/>
    <w:notTrueType/>
    <w:pitch w:val="default"/>
    <w:sig w:usb0="00000201" w:usb1="08070000" w:usb2="00000010" w:usb3="00000000" w:csb0="00020004"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c"/>
      <w:jc w:val="center"/>
    </w:pPr>
    <w:r>
      <w:fldChar w:fldCharType="begin"/>
    </w:r>
    <w:r>
      <w:instrText>PAGE</w:instrText>
    </w:r>
    <w:r>
      <w:fldChar w:fldCharType="separate"/>
    </w:r>
    <w:r w:rsidR="009E13DF">
      <w:rPr>
        <w:noProof/>
      </w:rPr>
      <w:t>278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74" w:rsidRDefault="00977074">
      <w:pPr>
        <w:spacing w:line="240" w:lineRule="auto"/>
      </w:pPr>
      <w:r>
        <w:separator/>
      </w:r>
    </w:p>
    <w:p w:rsidR="00977074" w:rsidRDefault="00977074"/>
  </w:footnote>
  <w:footnote w:type="continuationSeparator" w:id="0">
    <w:p w:rsidR="00977074" w:rsidRDefault="00977074">
      <w:pPr>
        <w:spacing w:line="240" w:lineRule="auto"/>
      </w:pPr>
      <w:r>
        <w:continuationSeparator/>
      </w:r>
    </w:p>
    <w:p w:rsidR="00977074" w:rsidRDefault="00977074"/>
  </w:footnote>
  <w:footnote w:type="continuationNotice" w:id="1">
    <w:p w:rsidR="00977074" w:rsidRDefault="00977074">
      <w:pPr>
        <w:spacing w:line="240" w:lineRule="auto"/>
      </w:pPr>
    </w:p>
  </w:footnote>
  <w:footnote w:id="2">
    <w:p w:rsidR="003524A5" w:rsidRPr="00611832"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3">
    <w:p w:rsidR="003524A5" w:rsidRPr="00F2645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4">
    <w:p w:rsidR="003524A5" w:rsidRPr="00F2645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rsidR="003524A5" w:rsidRPr="00F2645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6">
    <w:p w:rsidR="003524A5" w:rsidRPr="00611832"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7">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8">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9">
    <w:p w:rsidR="003524A5" w:rsidRPr="00F2645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10">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1">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rsidR="003524A5" w:rsidRPr="006155F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5">
    <w:p w:rsidR="003524A5" w:rsidRPr="00DE2136"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6">
    <w:p w:rsidR="003524A5" w:rsidRPr="00F2645D" w:rsidRDefault="003524A5" w:rsidP="005600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Pr="00A97CBF" w:rsidRDefault="003524A5" w:rsidP="005600F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5" w:rsidRDefault="003524A5" w:rsidP="00186C35">
    <w:pPr>
      <w:pStyle w:val="afb"/>
      <w:ind w:firstLine="0"/>
      <w:rPr>
        <w:i/>
      </w:rPr>
    </w:pPr>
  </w:p>
  <w:p w:rsidR="003524A5" w:rsidRDefault="003524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0779D"/>
    <w:multiLevelType w:val="multilevel"/>
    <w:tmpl w:val="9260074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26206C"/>
    <w:multiLevelType w:val="hybridMultilevel"/>
    <w:tmpl w:val="04F0CA94"/>
    <w:lvl w:ilvl="0" w:tplc="04190003">
      <w:start w:val="1"/>
      <w:numFmt w:val="bullet"/>
      <w:lvlText w:val="o"/>
      <w:lvlJc w:val="left"/>
      <w:pPr>
        <w:ind w:left="1425" w:hanging="360"/>
      </w:pPr>
      <w:rPr>
        <w:rFonts w:ascii="Courier New" w:hAnsi="Courier New" w:cs="Courier New"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09FC4506"/>
    <w:multiLevelType w:val="multilevel"/>
    <w:tmpl w:val="56127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6"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D010C2D"/>
    <w:multiLevelType w:val="hybridMultilevel"/>
    <w:tmpl w:val="7E366636"/>
    <w:lvl w:ilvl="0" w:tplc="A502D16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0D743AAD"/>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EED4B52"/>
    <w:multiLevelType w:val="hybridMultilevel"/>
    <w:tmpl w:val="8DFC9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AF61062"/>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1ED34941"/>
    <w:multiLevelType w:val="hybridMultilevel"/>
    <w:tmpl w:val="5FBC03FC"/>
    <w:lvl w:ilvl="0" w:tplc="C3E25982">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 w15:restartNumberingAfterBreak="0">
    <w:nsid w:val="27B03510"/>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A4852E6"/>
    <w:multiLevelType w:val="hybridMultilevel"/>
    <w:tmpl w:val="0F14CC4E"/>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2AB52F31"/>
    <w:multiLevelType w:val="hybridMultilevel"/>
    <w:tmpl w:val="3B989F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047352"/>
    <w:multiLevelType w:val="hybridMultilevel"/>
    <w:tmpl w:val="BCD4AE8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32A64EC1"/>
    <w:multiLevelType w:val="hybridMultilevel"/>
    <w:tmpl w:val="7E0289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68A10BD"/>
    <w:multiLevelType w:val="multilevel"/>
    <w:tmpl w:val="D1E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CB4D80"/>
    <w:multiLevelType w:val="hybridMultilevel"/>
    <w:tmpl w:val="E56E6574"/>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37FD17EF"/>
    <w:multiLevelType w:val="hybridMultilevel"/>
    <w:tmpl w:val="9DE6EBAE"/>
    <w:lvl w:ilvl="0" w:tplc="A502D16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3AEE74B1"/>
    <w:multiLevelType w:val="hybridMultilevel"/>
    <w:tmpl w:val="D1702BF8"/>
    <w:lvl w:ilvl="0" w:tplc="2FC2A5E6">
      <w:start w:val="1"/>
      <w:numFmt w:val="bullet"/>
      <w:lvlText w:val="•"/>
      <w:lvlJc w:val="left"/>
      <w:pPr>
        <w:tabs>
          <w:tab w:val="num" w:pos="720"/>
        </w:tabs>
        <w:ind w:left="720" w:hanging="360"/>
      </w:pPr>
      <w:rPr>
        <w:rFonts w:ascii="Arial" w:hAnsi="Arial" w:hint="default"/>
      </w:rPr>
    </w:lvl>
    <w:lvl w:ilvl="1" w:tplc="00C842DC" w:tentative="1">
      <w:start w:val="1"/>
      <w:numFmt w:val="bullet"/>
      <w:lvlText w:val="•"/>
      <w:lvlJc w:val="left"/>
      <w:pPr>
        <w:tabs>
          <w:tab w:val="num" w:pos="1440"/>
        </w:tabs>
        <w:ind w:left="1440" w:hanging="360"/>
      </w:pPr>
      <w:rPr>
        <w:rFonts w:ascii="Arial" w:hAnsi="Arial" w:hint="default"/>
      </w:rPr>
    </w:lvl>
    <w:lvl w:ilvl="2" w:tplc="5106BF54" w:tentative="1">
      <w:start w:val="1"/>
      <w:numFmt w:val="bullet"/>
      <w:lvlText w:val="•"/>
      <w:lvlJc w:val="left"/>
      <w:pPr>
        <w:tabs>
          <w:tab w:val="num" w:pos="2160"/>
        </w:tabs>
        <w:ind w:left="2160" w:hanging="360"/>
      </w:pPr>
      <w:rPr>
        <w:rFonts w:ascii="Arial" w:hAnsi="Arial" w:hint="default"/>
      </w:rPr>
    </w:lvl>
    <w:lvl w:ilvl="3" w:tplc="80886C6E" w:tentative="1">
      <w:start w:val="1"/>
      <w:numFmt w:val="bullet"/>
      <w:lvlText w:val="•"/>
      <w:lvlJc w:val="left"/>
      <w:pPr>
        <w:tabs>
          <w:tab w:val="num" w:pos="2880"/>
        </w:tabs>
        <w:ind w:left="2880" w:hanging="360"/>
      </w:pPr>
      <w:rPr>
        <w:rFonts w:ascii="Arial" w:hAnsi="Arial" w:hint="default"/>
      </w:rPr>
    </w:lvl>
    <w:lvl w:ilvl="4" w:tplc="367A6298" w:tentative="1">
      <w:start w:val="1"/>
      <w:numFmt w:val="bullet"/>
      <w:lvlText w:val="•"/>
      <w:lvlJc w:val="left"/>
      <w:pPr>
        <w:tabs>
          <w:tab w:val="num" w:pos="3600"/>
        </w:tabs>
        <w:ind w:left="3600" w:hanging="360"/>
      </w:pPr>
      <w:rPr>
        <w:rFonts w:ascii="Arial" w:hAnsi="Arial" w:hint="default"/>
      </w:rPr>
    </w:lvl>
    <w:lvl w:ilvl="5" w:tplc="DD06D10C" w:tentative="1">
      <w:start w:val="1"/>
      <w:numFmt w:val="bullet"/>
      <w:lvlText w:val="•"/>
      <w:lvlJc w:val="left"/>
      <w:pPr>
        <w:tabs>
          <w:tab w:val="num" w:pos="4320"/>
        </w:tabs>
        <w:ind w:left="4320" w:hanging="360"/>
      </w:pPr>
      <w:rPr>
        <w:rFonts w:ascii="Arial" w:hAnsi="Arial" w:hint="default"/>
      </w:rPr>
    </w:lvl>
    <w:lvl w:ilvl="6" w:tplc="746E3562" w:tentative="1">
      <w:start w:val="1"/>
      <w:numFmt w:val="bullet"/>
      <w:lvlText w:val="•"/>
      <w:lvlJc w:val="left"/>
      <w:pPr>
        <w:tabs>
          <w:tab w:val="num" w:pos="5040"/>
        </w:tabs>
        <w:ind w:left="5040" w:hanging="360"/>
      </w:pPr>
      <w:rPr>
        <w:rFonts w:ascii="Arial" w:hAnsi="Arial" w:hint="default"/>
      </w:rPr>
    </w:lvl>
    <w:lvl w:ilvl="7" w:tplc="4F3AE39C" w:tentative="1">
      <w:start w:val="1"/>
      <w:numFmt w:val="bullet"/>
      <w:lvlText w:val="•"/>
      <w:lvlJc w:val="left"/>
      <w:pPr>
        <w:tabs>
          <w:tab w:val="num" w:pos="5760"/>
        </w:tabs>
        <w:ind w:left="5760" w:hanging="360"/>
      </w:pPr>
      <w:rPr>
        <w:rFonts w:ascii="Arial" w:hAnsi="Arial" w:hint="default"/>
      </w:rPr>
    </w:lvl>
    <w:lvl w:ilvl="8" w:tplc="7EC821F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E4353AF"/>
    <w:multiLevelType w:val="hybridMultilevel"/>
    <w:tmpl w:val="6B7CD8AA"/>
    <w:lvl w:ilvl="0" w:tplc="04190001">
      <w:start w:val="1"/>
      <w:numFmt w:val="bullet"/>
      <w:lvlText w:val=""/>
      <w:lvlJc w:val="left"/>
      <w:pPr>
        <w:ind w:left="360" w:hanging="360"/>
      </w:pPr>
      <w:rPr>
        <w:rFonts w:ascii="Symbol" w:hAnsi="Symbol" w:hint="default"/>
      </w:rPr>
    </w:lvl>
    <w:lvl w:ilvl="1" w:tplc="0419000D">
      <w:start w:val="1"/>
      <w:numFmt w:val="bullet"/>
      <w:lvlText w:val=""/>
      <w:lvlJc w:val="left"/>
      <w:pPr>
        <w:ind w:left="1080" w:hanging="360"/>
      </w:pPr>
      <w:rPr>
        <w:rFonts w:ascii="Wingdings" w:hAnsi="Wingdings"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6"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623672B"/>
    <w:multiLevelType w:val="hybridMultilevel"/>
    <w:tmpl w:val="981AC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4E3A23"/>
    <w:multiLevelType w:val="hybridMultilevel"/>
    <w:tmpl w:val="2CB0D6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2" w15:restartNumberingAfterBreak="0">
    <w:nsid w:val="4AA610D1"/>
    <w:multiLevelType w:val="hybridMultilevel"/>
    <w:tmpl w:val="C75E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AE857F8"/>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65418B9"/>
    <w:multiLevelType w:val="hybridMultilevel"/>
    <w:tmpl w:val="2CFA00CA"/>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85C1AAF"/>
    <w:multiLevelType w:val="multilevel"/>
    <w:tmpl w:val="DAFEE6C4"/>
    <w:lvl w:ilvl="0">
      <w:start w:val="1"/>
      <w:numFmt w:val="decimal"/>
      <w:lvlText w:val="%1)"/>
      <w:lvlJc w:val="left"/>
      <w:pPr>
        <w:ind w:left="1428"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3" w15:restartNumberingAfterBreak="0">
    <w:nsid w:val="59A30498"/>
    <w:multiLevelType w:val="hybridMultilevel"/>
    <w:tmpl w:val="F142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5"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8"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9"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65890E2C"/>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2" w15:restartNumberingAfterBreak="0">
    <w:nsid w:val="65FC491C"/>
    <w:multiLevelType w:val="hybridMultilevel"/>
    <w:tmpl w:val="F8BE31C4"/>
    <w:numStyleLink w:val="1"/>
  </w:abstractNum>
  <w:abstractNum w:abstractNumId="63"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4"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6" w15:restartNumberingAfterBreak="0">
    <w:nsid w:val="73781A9D"/>
    <w:multiLevelType w:val="hybridMultilevel"/>
    <w:tmpl w:val="5288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15:restartNumberingAfterBreak="0">
    <w:nsid w:val="767717B0"/>
    <w:multiLevelType w:val="hybridMultilevel"/>
    <w:tmpl w:val="E056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0"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1"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2"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9"/>
  </w:num>
  <w:num w:numId="2">
    <w:abstractNumId w:val="67"/>
  </w:num>
  <w:num w:numId="3">
    <w:abstractNumId w:val="49"/>
  </w:num>
  <w:num w:numId="4">
    <w:abstractNumId w:val="21"/>
  </w:num>
  <w:num w:numId="5">
    <w:abstractNumId w:val="7"/>
  </w:num>
  <w:num w:numId="6">
    <w:abstractNumId w:val="33"/>
  </w:num>
  <w:num w:numId="7">
    <w:abstractNumId w:val="28"/>
  </w:num>
  <w:num w:numId="8">
    <w:abstractNumId w:val="29"/>
  </w:num>
  <w:num w:numId="9">
    <w:abstractNumId w:val="31"/>
  </w:num>
  <w:num w:numId="10">
    <w:abstractNumId w:val="39"/>
  </w:num>
  <w:num w:numId="11">
    <w:abstractNumId w:val="30"/>
  </w:num>
  <w:num w:numId="12">
    <w:abstractNumId w:val="22"/>
  </w:num>
  <w:num w:numId="13">
    <w:abstractNumId w:val="48"/>
  </w:num>
  <w:num w:numId="14">
    <w:abstractNumId w:val="1"/>
  </w:num>
  <w:num w:numId="15">
    <w:abstractNumId w:val="4"/>
  </w:num>
  <w:num w:numId="16">
    <w:abstractNumId w:val="72"/>
  </w:num>
  <w:num w:numId="17">
    <w:abstractNumId w:val="5"/>
  </w:num>
  <w:num w:numId="18">
    <w:abstractNumId w:val="25"/>
  </w:num>
  <w:num w:numId="19">
    <w:abstractNumId w:val="19"/>
  </w:num>
  <w:num w:numId="20">
    <w:abstractNumId w:val="11"/>
  </w:num>
  <w:num w:numId="21">
    <w:abstractNumId w:val="46"/>
  </w:num>
  <w:num w:numId="22">
    <w:abstractNumId w:val="57"/>
  </w:num>
  <w:num w:numId="23">
    <w:abstractNumId w:val="37"/>
  </w:num>
  <w:num w:numId="24">
    <w:abstractNumId w:val="17"/>
  </w:num>
  <w:num w:numId="25">
    <w:abstractNumId w:val="6"/>
  </w:num>
  <w:num w:numId="26">
    <w:abstractNumId w:val="41"/>
  </w:num>
  <w:num w:numId="27">
    <w:abstractNumId w:val="12"/>
  </w:num>
  <w:num w:numId="28">
    <w:abstractNumId w:val="15"/>
  </w:num>
  <w:num w:numId="29">
    <w:abstractNumId w:val="51"/>
  </w:num>
  <w:num w:numId="30">
    <w:abstractNumId w:val="8"/>
  </w:num>
  <w:num w:numId="31">
    <w:abstractNumId w:val="53"/>
  </w:num>
  <w:num w:numId="32">
    <w:abstractNumId w:val="61"/>
  </w:num>
  <w:num w:numId="33">
    <w:abstractNumId w:val="20"/>
  </w:num>
  <w:num w:numId="34">
    <w:abstractNumId w:val="43"/>
  </w:num>
  <w:num w:numId="35">
    <w:abstractNumId w:val="38"/>
  </w:num>
  <w:num w:numId="36">
    <w:abstractNumId w:val="56"/>
  </w:num>
  <w:num w:numId="37">
    <w:abstractNumId w:val="50"/>
  </w:num>
  <w:num w:numId="38">
    <w:abstractNumId w:val="14"/>
  </w:num>
  <w:num w:numId="39">
    <w:abstractNumId w:val="35"/>
  </w:num>
  <w:num w:numId="40">
    <w:abstractNumId w:val="2"/>
  </w:num>
  <w:num w:numId="41">
    <w:abstractNumId w:val="44"/>
  </w:num>
  <w:num w:numId="42">
    <w:abstractNumId w:val="63"/>
  </w:num>
  <w:num w:numId="43">
    <w:abstractNumId w:val="47"/>
  </w:num>
  <w:num w:numId="44">
    <w:abstractNumId w:val="60"/>
  </w:num>
  <w:num w:numId="45">
    <w:abstractNumId w:val="13"/>
  </w:num>
  <w:num w:numId="46">
    <w:abstractNumId w:val="0"/>
  </w:num>
  <w:num w:numId="47">
    <w:abstractNumId w:val="18"/>
  </w:num>
  <w:num w:numId="48">
    <w:abstractNumId w:val="24"/>
  </w:num>
  <w:num w:numId="49">
    <w:abstractNumId w:val="26"/>
  </w:num>
  <w:num w:numId="50">
    <w:abstractNumId w:val="32"/>
  </w:num>
  <w:num w:numId="51">
    <w:abstractNumId w:val="9"/>
  </w:num>
  <w:num w:numId="52">
    <w:abstractNumId w:val="40"/>
  </w:num>
  <w:num w:numId="53">
    <w:abstractNumId w:val="66"/>
  </w:num>
  <w:num w:numId="54">
    <w:abstractNumId w:val="23"/>
  </w:num>
  <w:num w:numId="55">
    <w:abstractNumId w:val="68"/>
  </w:num>
  <w:num w:numId="56">
    <w:abstractNumId w:val="16"/>
  </w:num>
  <w:num w:numId="57">
    <w:abstractNumId w:val="42"/>
  </w:num>
  <w:num w:numId="58">
    <w:abstractNumId w:val="45"/>
  </w:num>
  <w:num w:numId="59">
    <w:abstractNumId w:val="62"/>
  </w:num>
  <w:num w:numId="60">
    <w:abstractNumId w:val="64"/>
  </w:num>
  <w:num w:numId="61">
    <w:abstractNumId w:val="55"/>
  </w:num>
  <w:num w:numId="62">
    <w:abstractNumId w:val="52"/>
  </w:num>
  <w:num w:numId="63">
    <w:abstractNumId w:val="3"/>
  </w:num>
  <w:num w:numId="64">
    <w:abstractNumId w:val="34"/>
  </w:num>
  <w:num w:numId="65">
    <w:abstractNumId w:val="69"/>
  </w:num>
  <w:num w:numId="66">
    <w:abstractNumId w:val="36"/>
  </w:num>
  <w:num w:numId="67">
    <w:abstractNumId w:val="58"/>
  </w:num>
  <w:num w:numId="68">
    <w:abstractNumId w:val="27"/>
  </w:num>
  <w:num w:numId="69">
    <w:abstractNumId w:val="71"/>
  </w:num>
  <w:num w:numId="70">
    <w:abstractNumId w:val="10"/>
  </w:num>
  <w:num w:numId="71">
    <w:abstractNumId w:val="65"/>
  </w:num>
  <w:num w:numId="72">
    <w:abstractNumId w:val="70"/>
  </w:num>
  <w:num w:numId="73">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11901"/>
    <w:rsid w:val="00015EE5"/>
    <w:rsid w:val="00021FEA"/>
    <w:rsid w:val="000233F6"/>
    <w:rsid w:val="000334CF"/>
    <w:rsid w:val="000366BC"/>
    <w:rsid w:val="000414F6"/>
    <w:rsid w:val="00044192"/>
    <w:rsid w:val="00051F38"/>
    <w:rsid w:val="000539E9"/>
    <w:rsid w:val="00054670"/>
    <w:rsid w:val="00057A0B"/>
    <w:rsid w:val="00064888"/>
    <w:rsid w:val="00064FEC"/>
    <w:rsid w:val="00065D0C"/>
    <w:rsid w:val="00072376"/>
    <w:rsid w:val="000848C7"/>
    <w:rsid w:val="000944EE"/>
    <w:rsid w:val="00094ED6"/>
    <w:rsid w:val="00095341"/>
    <w:rsid w:val="000A277C"/>
    <w:rsid w:val="000A7A33"/>
    <w:rsid w:val="000B0DCD"/>
    <w:rsid w:val="000B7A71"/>
    <w:rsid w:val="000B7FCB"/>
    <w:rsid w:val="000D056F"/>
    <w:rsid w:val="000E14DB"/>
    <w:rsid w:val="000E1D33"/>
    <w:rsid w:val="000E54DB"/>
    <w:rsid w:val="000F6750"/>
    <w:rsid w:val="00104005"/>
    <w:rsid w:val="0010580B"/>
    <w:rsid w:val="001113D7"/>
    <w:rsid w:val="00122110"/>
    <w:rsid w:val="001225F3"/>
    <w:rsid w:val="00125031"/>
    <w:rsid w:val="001261F3"/>
    <w:rsid w:val="001333D1"/>
    <w:rsid w:val="00136FF2"/>
    <w:rsid w:val="001404A8"/>
    <w:rsid w:val="00142FB7"/>
    <w:rsid w:val="0014406A"/>
    <w:rsid w:val="00144C58"/>
    <w:rsid w:val="00146FA3"/>
    <w:rsid w:val="00150FA6"/>
    <w:rsid w:val="00153F4A"/>
    <w:rsid w:val="00163954"/>
    <w:rsid w:val="00171D80"/>
    <w:rsid w:val="00172112"/>
    <w:rsid w:val="00174593"/>
    <w:rsid w:val="001746DC"/>
    <w:rsid w:val="0017531C"/>
    <w:rsid w:val="00175C52"/>
    <w:rsid w:val="00186C35"/>
    <w:rsid w:val="001874C8"/>
    <w:rsid w:val="00187BA3"/>
    <w:rsid w:val="00187CF9"/>
    <w:rsid w:val="001A09FD"/>
    <w:rsid w:val="001A0D28"/>
    <w:rsid w:val="001A5CB2"/>
    <w:rsid w:val="001A6D3E"/>
    <w:rsid w:val="001C6620"/>
    <w:rsid w:val="001D24E4"/>
    <w:rsid w:val="001D40F8"/>
    <w:rsid w:val="001D484A"/>
    <w:rsid w:val="001D67AE"/>
    <w:rsid w:val="001E1A9A"/>
    <w:rsid w:val="001F4A3C"/>
    <w:rsid w:val="001F4BBA"/>
    <w:rsid w:val="001F4CCF"/>
    <w:rsid w:val="00204AF9"/>
    <w:rsid w:val="00207691"/>
    <w:rsid w:val="0020771B"/>
    <w:rsid w:val="002145F1"/>
    <w:rsid w:val="002165EA"/>
    <w:rsid w:val="0021676E"/>
    <w:rsid w:val="00220DA4"/>
    <w:rsid w:val="00221384"/>
    <w:rsid w:val="002229C4"/>
    <w:rsid w:val="00222CD0"/>
    <w:rsid w:val="0023617B"/>
    <w:rsid w:val="002439E7"/>
    <w:rsid w:val="002463B8"/>
    <w:rsid w:val="00251DF4"/>
    <w:rsid w:val="0025228A"/>
    <w:rsid w:val="002559C2"/>
    <w:rsid w:val="00255B40"/>
    <w:rsid w:val="00257F6A"/>
    <w:rsid w:val="002607CA"/>
    <w:rsid w:val="00262BAF"/>
    <w:rsid w:val="002651E9"/>
    <w:rsid w:val="00270660"/>
    <w:rsid w:val="002719C3"/>
    <w:rsid w:val="002758A4"/>
    <w:rsid w:val="00275A41"/>
    <w:rsid w:val="00287095"/>
    <w:rsid w:val="0029291E"/>
    <w:rsid w:val="002929B1"/>
    <w:rsid w:val="0029755C"/>
    <w:rsid w:val="00297C27"/>
    <w:rsid w:val="002A0C02"/>
    <w:rsid w:val="002B10E8"/>
    <w:rsid w:val="002B1F70"/>
    <w:rsid w:val="002B39E8"/>
    <w:rsid w:val="002C165F"/>
    <w:rsid w:val="002D1A94"/>
    <w:rsid w:val="002D2CF7"/>
    <w:rsid w:val="002E6C4C"/>
    <w:rsid w:val="002F38B6"/>
    <w:rsid w:val="002F591F"/>
    <w:rsid w:val="002F7719"/>
    <w:rsid w:val="00301C01"/>
    <w:rsid w:val="00304F00"/>
    <w:rsid w:val="00305B97"/>
    <w:rsid w:val="00305BCA"/>
    <w:rsid w:val="00306062"/>
    <w:rsid w:val="00311757"/>
    <w:rsid w:val="00314152"/>
    <w:rsid w:val="00315A5D"/>
    <w:rsid w:val="0032061E"/>
    <w:rsid w:val="00334F6C"/>
    <w:rsid w:val="0033738C"/>
    <w:rsid w:val="00337A20"/>
    <w:rsid w:val="00340181"/>
    <w:rsid w:val="00340C63"/>
    <w:rsid w:val="00342EE0"/>
    <w:rsid w:val="003524A5"/>
    <w:rsid w:val="003527A8"/>
    <w:rsid w:val="00354395"/>
    <w:rsid w:val="0036257D"/>
    <w:rsid w:val="00364741"/>
    <w:rsid w:val="0036727F"/>
    <w:rsid w:val="00376C46"/>
    <w:rsid w:val="0037705A"/>
    <w:rsid w:val="0037752C"/>
    <w:rsid w:val="00381476"/>
    <w:rsid w:val="00381F00"/>
    <w:rsid w:val="00382350"/>
    <w:rsid w:val="00384B6A"/>
    <w:rsid w:val="0038545E"/>
    <w:rsid w:val="003865DD"/>
    <w:rsid w:val="00395D4A"/>
    <w:rsid w:val="003A282F"/>
    <w:rsid w:val="003B0404"/>
    <w:rsid w:val="003B2C26"/>
    <w:rsid w:val="003B392D"/>
    <w:rsid w:val="003B4436"/>
    <w:rsid w:val="003B7588"/>
    <w:rsid w:val="003C573A"/>
    <w:rsid w:val="003D1462"/>
    <w:rsid w:val="003D25E2"/>
    <w:rsid w:val="003E2550"/>
    <w:rsid w:val="003E26E0"/>
    <w:rsid w:val="003E29AE"/>
    <w:rsid w:val="003F00A6"/>
    <w:rsid w:val="003F0349"/>
    <w:rsid w:val="003F054F"/>
    <w:rsid w:val="003F7BB1"/>
    <w:rsid w:val="00401CD5"/>
    <w:rsid w:val="00406CC1"/>
    <w:rsid w:val="00407213"/>
    <w:rsid w:val="004076A0"/>
    <w:rsid w:val="00410389"/>
    <w:rsid w:val="00410741"/>
    <w:rsid w:val="004144E7"/>
    <w:rsid w:val="00414E1D"/>
    <w:rsid w:val="00416F8F"/>
    <w:rsid w:val="004172F0"/>
    <w:rsid w:val="004232A5"/>
    <w:rsid w:val="00423E16"/>
    <w:rsid w:val="00427B0E"/>
    <w:rsid w:val="0044622D"/>
    <w:rsid w:val="00452088"/>
    <w:rsid w:val="00453C48"/>
    <w:rsid w:val="00460059"/>
    <w:rsid w:val="00461412"/>
    <w:rsid w:val="00467FA0"/>
    <w:rsid w:val="00472D64"/>
    <w:rsid w:val="004739BE"/>
    <w:rsid w:val="00485C55"/>
    <w:rsid w:val="004914BD"/>
    <w:rsid w:val="00493628"/>
    <w:rsid w:val="00495193"/>
    <w:rsid w:val="0049584C"/>
    <w:rsid w:val="004978B3"/>
    <w:rsid w:val="004A0BA3"/>
    <w:rsid w:val="004A5932"/>
    <w:rsid w:val="004B07CC"/>
    <w:rsid w:val="004B2E86"/>
    <w:rsid w:val="004B795F"/>
    <w:rsid w:val="004C041E"/>
    <w:rsid w:val="004C2673"/>
    <w:rsid w:val="004C455B"/>
    <w:rsid w:val="004C6DE4"/>
    <w:rsid w:val="004D6B87"/>
    <w:rsid w:val="004E1288"/>
    <w:rsid w:val="004E5E50"/>
    <w:rsid w:val="004E653A"/>
    <w:rsid w:val="004E699D"/>
    <w:rsid w:val="004F39BB"/>
    <w:rsid w:val="004F413D"/>
    <w:rsid w:val="004F4F24"/>
    <w:rsid w:val="005008F9"/>
    <w:rsid w:val="00507B01"/>
    <w:rsid w:val="00513BFE"/>
    <w:rsid w:val="0051477A"/>
    <w:rsid w:val="00517F0C"/>
    <w:rsid w:val="0052193F"/>
    <w:rsid w:val="005219AF"/>
    <w:rsid w:val="005244BF"/>
    <w:rsid w:val="0052679E"/>
    <w:rsid w:val="00551ADD"/>
    <w:rsid w:val="00552E8B"/>
    <w:rsid w:val="005530CE"/>
    <w:rsid w:val="00553C9F"/>
    <w:rsid w:val="0055709B"/>
    <w:rsid w:val="005600FF"/>
    <w:rsid w:val="00560480"/>
    <w:rsid w:val="005621A1"/>
    <w:rsid w:val="005627B3"/>
    <w:rsid w:val="00562845"/>
    <w:rsid w:val="00575315"/>
    <w:rsid w:val="00583004"/>
    <w:rsid w:val="005B1751"/>
    <w:rsid w:val="005B4D31"/>
    <w:rsid w:val="005B6D15"/>
    <w:rsid w:val="005B7062"/>
    <w:rsid w:val="005C7877"/>
    <w:rsid w:val="005D04F9"/>
    <w:rsid w:val="005F597C"/>
    <w:rsid w:val="005F5B3F"/>
    <w:rsid w:val="005F668D"/>
    <w:rsid w:val="005F6A9B"/>
    <w:rsid w:val="00602315"/>
    <w:rsid w:val="006040CB"/>
    <w:rsid w:val="00624531"/>
    <w:rsid w:val="006364D5"/>
    <w:rsid w:val="0063655A"/>
    <w:rsid w:val="00636A42"/>
    <w:rsid w:val="006425FF"/>
    <w:rsid w:val="00642F6B"/>
    <w:rsid w:val="006446FF"/>
    <w:rsid w:val="006523C6"/>
    <w:rsid w:val="006526C9"/>
    <w:rsid w:val="006534F0"/>
    <w:rsid w:val="00653525"/>
    <w:rsid w:val="00662E4E"/>
    <w:rsid w:val="0066485C"/>
    <w:rsid w:val="0066740A"/>
    <w:rsid w:val="0067265E"/>
    <w:rsid w:val="00675B37"/>
    <w:rsid w:val="00684E00"/>
    <w:rsid w:val="0068676A"/>
    <w:rsid w:val="0068707D"/>
    <w:rsid w:val="00690549"/>
    <w:rsid w:val="006D1C1C"/>
    <w:rsid w:val="006D569C"/>
    <w:rsid w:val="006E0773"/>
    <w:rsid w:val="006E41C5"/>
    <w:rsid w:val="006F20EA"/>
    <w:rsid w:val="00703176"/>
    <w:rsid w:val="007071ED"/>
    <w:rsid w:val="007146AF"/>
    <w:rsid w:val="007148B4"/>
    <w:rsid w:val="007211B1"/>
    <w:rsid w:val="0072615F"/>
    <w:rsid w:val="00750BBA"/>
    <w:rsid w:val="0075206A"/>
    <w:rsid w:val="00771F98"/>
    <w:rsid w:val="00772659"/>
    <w:rsid w:val="00773D59"/>
    <w:rsid w:val="007752AA"/>
    <w:rsid w:val="00784991"/>
    <w:rsid w:val="00791EE8"/>
    <w:rsid w:val="0079272C"/>
    <w:rsid w:val="007977BB"/>
    <w:rsid w:val="00797BDB"/>
    <w:rsid w:val="007A52E6"/>
    <w:rsid w:val="007B6060"/>
    <w:rsid w:val="007C1118"/>
    <w:rsid w:val="007C1897"/>
    <w:rsid w:val="007C1C81"/>
    <w:rsid w:val="007C43A5"/>
    <w:rsid w:val="007C6EA6"/>
    <w:rsid w:val="007D04C8"/>
    <w:rsid w:val="007D1A9F"/>
    <w:rsid w:val="007D42AC"/>
    <w:rsid w:val="007E1018"/>
    <w:rsid w:val="007E429F"/>
    <w:rsid w:val="007F529C"/>
    <w:rsid w:val="007F5462"/>
    <w:rsid w:val="007F7E90"/>
    <w:rsid w:val="00805285"/>
    <w:rsid w:val="0081323F"/>
    <w:rsid w:val="008141CB"/>
    <w:rsid w:val="00822F2C"/>
    <w:rsid w:val="0082399D"/>
    <w:rsid w:val="00834AEB"/>
    <w:rsid w:val="0083551F"/>
    <w:rsid w:val="008358AE"/>
    <w:rsid w:val="00835D5F"/>
    <w:rsid w:val="008369B1"/>
    <w:rsid w:val="008371F9"/>
    <w:rsid w:val="00844444"/>
    <w:rsid w:val="00856DC5"/>
    <w:rsid w:val="00866148"/>
    <w:rsid w:val="008679B5"/>
    <w:rsid w:val="00872BDA"/>
    <w:rsid w:val="00873589"/>
    <w:rsid w:val="0087624C"/>
    <w:rsid w:val="00877EF5"/>
    <w:rsid w:val="00877FEC"/>
    <w:rsid w:val="00890B9B"/>
    <w:rsid w:val="00890C4B"/>
    <w:rsid w:val="00895771"/>
    <w:rsid w:val="008A24EB"/>
    <w:rsid w:val="008B3674"/>
    <w:rsid w:val="008C02A7"/>
    <w:rsid w:val="008C2A15"/>
    <w:rsid w:val="008C56C5"/>
    <w:rsid w:val="008D6C00"/>
    <w:rsid w:val="008D6F8C"/>
    <w:rsid w:val="008E1B7D"/>
    <w:rsid w:val="008E3740"/>
    <w:rsid w:val="008F478F"/>
    <w:rsid w:val="008F6799"/>
    <w:rsid w:val="008F7871"/>
    <w:rsid w:val="00903423"/>
    <w:rsid w:val="00906BDC"/>
    <w:rsid w:val="00910303"/>
    <w:rsid w:val="009103C4"/>
    <w:rsid w:val="009106E8"/>
    <w:rsid w:val="009119D3"/>
    <w:rsid w:val="0091604A"/>
    <w:rsid w:val="00920E18"/>
    <w:rsid w:val="00921FEF"/>
    <w:rsid w:val="00923269"/>
    <w:rsid w:val="00923C7C"/>
    <w:rsid w:val="00924161"/>
    <w:rsid w:val="009318D0"/>
    <w:rsid w:val="009423C8"/>
    <w:rsid w:val="009470C1"/>
    <w:rsid w:val="009519AB"/>
    <w:rsid w:val="00961EB9"/>
    <w:rsid w:val="00964481"/>
    <w:rsid w:val="00964A5E"/>
    <w:rsid w:val="00964BE0"/>
    <w:rsid w:val="0097294B"/>
    <w:rsid w:val="00977074"/>
    <w:rsid w:val="00985FE3"/>
    <w:rsid w:val="00991BF8"/>
    <w:rsid w:val="009B3B05"/>
    <w:rsid w:val="009B3BD8"/>
    <w:rsid w:val="009B4039"/>
    <w:rsid w:val="009C0364"/>
    <w:rsid w:val="009C365A"/>
    <w:rsid w:val="009C6B5A"/>
    <w:rsid w:val="009D4A67"/>
    <w:rsid w:val="009D78D0"/>
    <w:rsid w:val="009D7D74"/>
    <w:rsid w:val="009E13DF"/>
    <w:rsid w:val="009E2C2B"/>
    <w:rsid w:val="009E685D"/>
    <w:rsid w:val="009F2091"/>
    <w:rsid w:val="009F371D"/>
    <w:rsid w:val="009F4F8F"/>
    <w:rsid w:val="009F7DA5"/>
    <w:rsid w:val="00A011E7"/>
    <w:rsid w:val="00A0417A"/>
    <w:rsid w:val="00A054AC"/>
    <w:rsid w:val="00A1540A"/>
    <w:rsid w:val="00A243AF"/>
    <w:rsid w:val="00A311CB"/>
    <w:rsid w:val="00A31D03"/>
    <w:rsid w:val="00A34F05"/>
    <w:rsid w:val="00A36B71"/>
    <w:rsid w:val="00A43CE5"/>
    <w:rsid w:val="00A4682D"/>
    <w:rsid w:val="00A53CD4"/>
    <w:rsid w:val="00A542FD"/>
    <w:rsid w:val="00A550DB"/>
    <w:rsid w:val="00A55306"/>
    <w:rsid w:val="00A571EA"/>
    <w:rsid w:val="00A6641C"/>
    <w:rsid w:val="00A70F44"/>
    <w:rsid w:val="00A84901"/>
    <w:rsid w:val="00A8531D"/>
    <w:rsid w:val="00A859D3"/>
    <w:rsid w:val="00A86E5F"/>
    <w:rsid w:val="00A91645"/>
    <w:rsid w:val="00A93593"/>
    <w:rsid w:val="00A97CDE"/>
    <w:rsid w:val="00AA49EC"/>
    <w:rsid w:val="00AA7468"/>
    <w:rsid w:val="00AB3023"/>
    <w:rsid w:val="00AB311B"/>
    <w:rsid w:val="00AB384B"/>
    <w:rsid w:val="00AC0B35"/>
    <w:rsid w:val="00AC3C0B"/>
    <w:rsid w:val="00AD610C"/>
    <w:rsid w:val="00AE3406"/>
    <w:rsid w:val="00AF3168"/>
    <w:rsid w:val="00AF51D5"/>
    <w:rsid w:val="00B032D2"/>
    <w:rsid w:val="00B0565A"/>
    <w:rsid w:val="00B104EF"/>
    <w:rsid w:val="00B23363"/>
    <w:rsid w:val="00B43B37"/>
    <w:rsid w:val="00B44075"/>
    <w:rsid w:val="00B4466A"/>
    <w:rsid w:val="00B46390"/>
    <w:rsid w:val="00B62492"/>
    <w:rsid w:val="00B6445C"/>
    <w:rsid w:val="00B65A2B"/>
    <w:rsid w:val="00B7479D"/>
    <w:rsid w:val="00B81618"/>
    <w:rsid w:val="00B8195D"/>
    <w:rsid w:val="00B8218A"/>
    <w:rsid w:val="00B82DED"/>
    <w:rsid w:val="00B8401B"/>
    <w:rsid w:val="00B8507B"/>
    <w:rsid w:val="00B95FD1"/>
    <w:rsid w:val="00BA46B4"/>
    <w:rsid w:val="00BA4B32"/>
    <w:rsid w:val="00BA7756"/>
    <w:rsid w:val="00BC0F0B"/>
    <w:rsid w:val="00BC2C9A"/>
    <w:rsid w:val="00BE5726"/>
    <w:rsid w:val="00BE7F13"/>
    <w:rsid w:val="00BF1B99"/>
    <w:rsid w:val="00BF3A59"/>
    <w:rsid w:val="00BF77CD"/>
    <w:rsid w:val="00C10D41"/>
    <w:rsid w:val="00C1211E"/>
    <w:rsid w:val="00C20DD2"/>
    <w:rsid w:val="00C24B33"/>
    <w:rsid w:val="00C263E5"/>
    <w:rsid w:val="00C32FC4"/>
    <w:rsid w:val="00C34847"/>
    <w:rsid w:val="00C4630C"/>
    <w:rsid w:val="00C46BCF"/>
    <w:rsid w:val="00C50A3D"/>
    <w:rsid w:val="00C50E9F"/>
    <w:rsid w:val="00C579D5"/>
    <w:rsid w:val="00C66945"/>
    <w:rsid w:val="00C66DBC"/>
    <w:rsid w:val="00C67725"/>
    <w:rsid w:val="00C715A7"/>
    <w:rsid w:val="00C76650"/>
    <w:rsid w:val="00C803A1"/>
    <w:rsid w:val="00C833B7"/>
    <w:rsid w:val="00C85A73"/>
    <w:rsid w:val="00C86BC9"/>
    <w:rsid w:val="00C92845"/>
    <w:rsid w:val="00C92B81"/>
    <w:rsid w:val="00C969EE"/>
    <w:rsid w:val="00CA5025"/>
    <w:rsid w:val="00CB29F4"/>
    <w:rsid w:val="00CB481F"/>
    <w:rsid w:val="00CB562F"/>
    <w:rsid w:val="00CB6FFD"/>
    <w:rsid w:val="00CB71DA"/>
    <w:rsid w:val="00CC1C70"/>
    <w:rsid w:val="00CC5054"/>
    <w:rsid w:val="00CC5156"/>
    <w:rsid w:val="00CC5BAC"/>
    <w:rsid w:val="00CC7701"/>
    <w:rsid w:val="00CD2797"/>
    <w:rsid w:val="00CD3A33"/>
    <w:rsid w:val="00CD75E6"/>
    <w:rsid w:val="00CD77AA"/>
    <w:rsid w:val="00CE03FB"/>
    <w:rsid w:val="00CE1EE5"/>
    <w:rsid w:val="00CE43A5"/>
    <w:rsid w:val="00CE6D1C"/>
    <w:rsid w:val="00D0127D"/>
    <w:rsid w:val="00D01F66"/>
    <w:rsid w:val="00D07004"/>
    <w:rsid w:val="00D07C36"/>
    <w:rsid w:val="00D11193"/>
    <w:rsid w:val="00D212C9"/>
    <w:rsid w:val="00D2153B"/>
    <w:rsid w:val="00D215F2"/>
    <w:rsid w:val="00D21DD7"/>
    <w:rsid w:val="00D2226B"/>
    <w:rsid w:val="00D30352"/>
    <w:rsid w:val="00D33D3C"/>
    <w:rsid w:val="00D45EF8"/>
    <w:rsid w:val="00D503FC"/>
    <w:rsid w:val="00D570F8"/>
    <w:rsid w:val="00D649B9"/>
    <w:rsid w:val="00D74783"/>
    <w:rsid w:val="00D74813"/>
    <w:rsid w:val="00D84899"/>
    <w:rsid w:val="00D9573E"/>
    <w:rsid w:val="00D96EAB"/>
    <w:rsid w:val="00D97586"/>
    <w:rsid w:val="00DB1569"/>
    <w:rsid w:val="00DB2DCE"/>
    <w:rsid w:val="00DB5F3E"/>
    <w:rsid w:val="00DC026E"/>
    <w:rsid w:val="00DC1576"/>
    <w:rsid w:val="00DC1F88"/>
    <w:rsid w:val="00DD0BA9"/>
    <w:rsid w:val="00DD6117"/>
    <w:rsid w:val="00DE248A"/>
    <w:rsid w:val="00DE7BBA"/>
    <w:rsid w:val="00DF267B"/>
    <w:rsid w:val="00DF7937"/>
    <w:rsid w:val="00E0145A"/>
    <w:rsid w:val="00E01F92"/>
    <w:rsid w:val="00E10DBD"/>
    <w:rsid w:val="00E276ED"/>
    <w:rsid w:val="00E27B28"/>
    <w:rsid w:val="00E30C99"/>
    <w:rsid w:val="00E35232"/>
    <w:rsid w:val="00E40902"/>
    <w:rsid w:val="00E4137C"/>
    <w:rsid w:val="00E45937"/>
    <w:rsid w:val="00E536F0"/>
    <w:rsid w:val="00E55C77"/>
    <w:rsid w:val="00E606F0"/>
    <w:rsid w:val="00E62085"/>
    <w:rsid w:val="00E65564"/>
    <w:rsid w:val="00E759E3"/>
    <w:rsid w:val="00E85FD1"/>
    <w:rsid w:val="00E90536"/>
    <w:rsid w:val="00E91DE6"/>
    <w:rsid w:val="00E9313D"/>
    <w:rsid w:val="00EB2963"/>
    <w:rsid w:val="00EB2B59"/>
    <w:rsid w:val="00EB6E60"/>
    <w:rsid w:val="00EB78B2"/>
    <w:rsid w:val="00EB7FD8"/>
    <w:rsid w:val="00EC6D01"/>
    <w:rsid w:val="00EC7CF1"/>
    <w:rsid w:val="00ED5598"/>
    <w:rsid w:val="00EE06C4"/>
    <w:rsid w:val="00EE59C2"/>
    <w:rsid w:val="00EF11A1"/>
    <w:rsid w:val="00EF3857"/>
    <w:rsid w:val="00EF3B09"/>
    <w:rsid w:val="00EF4B87"/>
    <w:rsid w:val="00F00AB2"/>
    <w:rsid w:val="00F064DC"/>
    <w:rsid w:val="00F10C69"/>
    <w:rsid w:val="00F201E7"/>
    <w:rsid w:val="00F36233"/>
    <w:rsid w:val="00F37E98"/>
    <w:rsid w:val="00F418CE"/>
    <w:rsid w:val="00F50F81"/>
    <w:rsid w:val="00F512A6"/>
    <w:rsid w:val="00F53FD3"/>
    <w:rsid w:val="00F61335"/>
    <w:rsid w:val="00F72C42"/>
    <w:rsid w:val="00F756F0"/>
    <w:rsid w:val="00F76439"/>
    <w:rsid w:val="00F77CA0"/>
    <w:rsid w:val="00F80DBE"/>
    <w:rsid w:val="00F81529"/>
    <w:rsid w:val="00F81854"/>
    <w:rsid w:val="00F8226D"/>
    <w:rsid w:val="00F844F6"/>
    <w:rsid w:val="00F95275"/>
    <w:rsid w:val="00F9594B"/>
    <w:rsid w:val="00FA407F"/>
    <w:rsid w:val="00FA77D4"/>
    <w:rsid w:val="00FA7D06"/>
    <w:rsid w:val="00FB28BB"/>
    <w:rsid w:val="00FB3772"/>
    <w:rsid w:val="00FB3F22"/>
    <w:rsid w:val="00FB5F9C"/>
    <w:rsid w:val="00FC1A9A"/>
    <w:rsid w:val="00FC2813"/>
    <w:rsid w:val="00FC31C8"/>
    <w:rsid w:val="00FC4197"/>
    <w:rsid w:val="00FC49E2"/>
    <w:rsid w:val="00FC7C18"/>
    <w:rsid w:val="00FD4952"/>
    <w:rsid w:val="00FD617F"/>
    <w:rsid w:val="00FF08FA"/>
    <w:rsid w:val="00FF13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405B6B-EBB1-DC40-BB7F-49FE9476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Термины"/>
    <w:qFormat/>
    <w:rsid w:val="00D01F66"/>
    <w:pPr>
      <w:spacing w:line="360" w:lineRule="auto"/>
      <w:ind w:firstLine="709"/>
      <w:jc w:val="both"/>
    </w:pPr>
    <w:rPr>
      <w:rFonts w:ascii="Times New Roman" w:hAnsi="Times New Roman"/>
      <w:sz w:val="24"/>
      <w:szCs w:val="22"/>
      <w:lang w:eastAsia="en-US"/>
    </w:rPr>
  </w:style>
  <w:style w:type="paragraph" w:styleId="11">
    <w:name w:val="heading 1"/>
    <w:basedOn w:val="2"/>
    <w:link w:val="12"/>
    <w:qFormat/>
    <w:rsid w:val="00183653"/>
    <w:pPr>
      <w:ind w:firstLine="0"/>
      <w:outlineLvl w:val="0"/>
    </w:pPr>
  </w:style>
  <w:style w:type="paragraph" w:styleId="2">
    <w:name w:val="heading 2"/>
    <w:aliases w:val="Наим. подраздела"/>
    <w:basedOn w:val="a2"/>
    <w:link w:val="20"/>
    <w:unhideWhenUsed/>
    <w:qFormat/>
    <w:rsid w:val="002F7719"/>
    <w:pPr>
      <w:outlineLvl w:val="1"/>
    </w:pPr>
  </w:style>
  <w:style w:type="paragraph" w:styleId="3">
    <w:name w:val="heading 3"/>
    <w:basedOn w:val="a1"/>
    <w:next w:val="a1"/>
    <w:link w:val="30"/>
    <w:unhideWhenUsed/>
    <w:qFormat/>
    <w:rsid w:val="00B43B37"/>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1"/>
    <w:next w:val="a1"/>
    <w:link w:val="40"/>
    <w:qFormat/>
    <w:rsid w:val="00B43B37"/>
    <w:pPr>
      <w:keepNext/>
      <w:shd w:val="clear" w:color="auto" w:fill="FFFFFF"/>
      <w:tabs>
        <w:tab w:val="num" w:pos="0"/>
      </w:tabs>
      <w:suppressAutoHyphens/>
      <w:spacing w:line="348" w:lineRule="atLeast"/>
      <w:ind w:firstLine="0"/>
      <w:outlineLvl w:val="3"/>
    </w:pPr>
    <w:rPr>
      <w:b/>
      <w:sz w:val="20"/>
      <w:szCs w:val="20"/>
      <w:lang w:val="en-US" w:eastAsia="zh-CN"/>
    </w:rPr>
  </w:style>
  <w:style w:type="paragraph" w:styleId="5">
    <w:name w:val="heading 5"/>
    <w:basedOn w:val="13"/>
    <w:next w:val="a3"/>
    <w:link w:val="50"/>
    <w:qFormat/>
    <w:rsid w:val="00B43B37"/>
    <w:pPr>
      <w:keepNext w:val="0"/>
      <w:tabs>
        <w:tab w:val="num" w:pos="0"/>
      </w:tabs>
      <w:suppressAutoHyphens/>
      <w:spacing w:before="120" w:after="60"/>
      <w:ind w:firstLine="0"/>
      <w:jc w:val="center"/>
      <w:outlineLvl w:val="4"/>
    </w:pPr>
    <w:rPr>
      <w:rFonts w:ascii="Calibri Light" w:eastAsia="Times New Roman" w:hAnsi="Calibri Light" w:cs="Calibri Light"/>
      <w:b/>
      <w:bCs/>
      <w:kern w:val="1"/>
      <w:sz w:val="24"/>
      <w:szCs w:val="24"/>
      <w:lang w:eastAsia="zh-CN"/>
    </w:rPr>
  </w:style>
  <w:style w:type="paragraph" w:styleId="6">
    <w:name w:val="heading 6"/>
    <w:basedOn w:val="13"/>
    <w:next w:val="a3"/>
    <w:link w:val="60"/>
    <w:qFormat/>
    <w:rsid w:val="00B43B37"/>
    <w:pPr>
      <w:keepNext w:val="0"/>
      <w:tabs>
        <w:tab w:val="num" w:pos="0"/>
      </w:tabs>
      <w:suppressAutoHyphens/>
      <w:spacing w:before="60" w:after="60"/>
      <w:ind w:firstLine="0"/>
      <w:jc w:val="center"/>
      <w:outlineLvl w:val="5"/>
    </w:pPr>
    <w:rPr>
      <w:rFonts w:ascii="Calibri Light" w:eastAsia="Times New Roman" w:hAnsi="Calibri Light" w:cs="Calibri Light"/>
      <w:b/>
      <w:bCs/>
      <w:i/>
      <w:iCs/>
      <w:kern w:val="1"/>
      <w:sz w:val="24"/>
      <w:szCs w:val="24"/>
      <w:lang w:eastAsia="zh-CN"/>
    </w:rPr>
  </w:style>
  <w:style w:type="paragraph" w:styleId="7">
    <w:name w:val="heading 7"/>
    <w:basedOn w:val="13"/>
    <w:next w:val="a3"/>
    <w:link w:val="70"/>
    <w:qFormat/>
    <w:rsid w:val="00B43B37"/>
    <w:pPr>
      <w:keepNext w:val="0"/>
      <w:tabs>
        <w:tab w:val="num" w:pos="0"/>
      </w:tabs>
      <w:suppressAutoHyphens/>
      <w:spacing w:before="60" w:after="60"/>
      <w:ind w:firstLine="0"/>
      <w:jc w:val="center"/>
      <w:outlineLvl w:val="6"/>
    </w:pPr>
    <w:rPr>
      <w:rFonts w:ascii="Calibri Light" w:eastAsia="Times New Roman" w:hAnsi="Calibri Light" w:cs="Calibri Light"/>
      <w:b/>
      <w:bCs/>
      <w:kern w:val="1"/>
      <w:sz w:val="22"/>
      <w:szCs w:val="22"/>
      <w:lang w:eastAsia="zh-CN"/>
    </w:rPr>
  </w:style>
  <w:style w:type="paragraph" w:styleId="8">
    <w:name w:val="heading 8"/>
    <w:basedOn w:val="13"/>
    <w:next w:val="a3"/>
    <w:link w:val="80"/>
    <w:qFormat/>
    <w:rsid w:val="00B43B37"/>
    <w:pPr>
      <w:keepNext w:val="0"/>
      <w:tabs>
        <w:tab w:val="num" w:pos="0"/>
      </w:tabs>
      <w:suppressAutoHyphens/>
      <w:spacing w:before="60" w:after="60"/>
      <w:ind w:firstLine="0"/>
      <w:jc w:val="center"/>
      <w:outlineLvl w:val="7"/>
    </w:pPr>
    <w:rPr>
      <w:rFonts w:ascii="Calibri Light" w:eastAsia="Times New Roman" w:hAnsi="Calibri Light" w:cs="Calibri Light"/>
      <w:b/>
      <w:bCs/>
      <w:i/>
      <w:iCs/>
      <w:kern w:val="1"/>
      <w:sz w:val="22"/>
      <w:szCs w:val="22"/>
      <w:lang w:eastAsia="zh-CN"/>
    </w:rPr>
  </w:style>
  <w:style w:type="paragraph" w:styleId="9">
    <w:name w:val="heading 9"/>
    <w:basedOn w:val="13"/>
    <w:next w:val="a3"/>
    <w:link w:val="90"/>
    <w:qFormat/>
    <w:rsid w:val="00B43B37"/>
    <w:pPr>
      <w:keepNext w:val="0"/>
      <w:tabs>
        <w:tab w:val="num" w:pos="0"/>
      </w:tabs>
      <w:suppressAutoHyphens/>
      <w:spacing w:before="60" w:after="60"/>
      <w:ind w:firstLine="0"/>
      <w:jc w:val="center"/>
      <w:outlineLvl w:val="8"/>
    </w:pPr>
    <w:rPr>
      <w:rFonts w:ascii="Calibri Light" w:eastAsia="Times New Roman" w:hAnsi="Calibri Light" w:cs="Calibri Light"/>
      <w:b/>
      <w:bCs/>
      <w:kern w:val="1"/>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Верхний колонтитул Знак"/>
    <w:basedOn w:val="a4"/>
    <w:rsid w:val="00C15E9F"/>
  </w:style>
  <w:style w:type="character" w:customStyle="1" w:styleId="a8">
    <w:name w:val="Нижний колонтитул Знак"/>
    <w:basedOn w:val="a4"/>
    <w:rsid w:val="00C15E9F"/>
  </w:style>
  <w:style w:type="character" w:customStyle="1" w:styleId="apple-converted-space">
    <w:name w:val="apple-converted-space"/>
    <w:basedOn w:val="a4"/>
    <w:rsid w:val="004B3C53"/>
  </w:style>
  <w:style w:type="character" w:customStyle="1" w:styleId="-">
    <w:name w:val="Интернет-ссылка"/>
    <w:basedOn w:val="a4"/>
    <w:uiPriority w:val="99"/>
    <w:unhideWhenUsed/>
    <w:rsid w:val="004B3C53"/>
    <w:rPr>
      <w:color w:val="0000FF"/>
      <w:u w:val="single"/>
    </w:rPr>
  </w:style>
  <w:style w:type="character" w:customStyle="1" w:styleId="12">
    <w:name w:val="Заголовок 1 Знак"/>
    <w:basedOn w:val="a4"/>
    <w:link w:val="11"/>
    <w:qFormat/>
    <w:rsid w:val="00183653"/>
    <w:rPr>
      <w:rFonts w:ascii="Times New Roman" w:hAnsi="Times New Roman" w:cs="Times New Roman"/>
      <w:b/>
      <w:sz w:val="24"/>
      <w:szCs w:val="24"/>
      <w:u w:val="single"/>
    </w:rPr>
  </w:style>
  <w:style w:type="character" w:customStyle="1" w:styleId="a9">
    <w:name w:val="Текст выноски Знак"/>
    <w:basedOn w:val="a4"/>
    <w:uiPriority w:val="99"/>
    <w:qFormat/>
    <w:rsid w:val="00E9341B"/>
    <w:rPr>
      <w:rFonts w:ascii="Tahoma" w:hAnsi="Tahoma" w:cs="Tahoma"/>
      <w:sz w:val="16"/>
      <w:szCs w:val="16"/>
    </w:rPr>
  </w:style>
  <w:style w:type="character" w:customStyle="1" w:styleId="aa">
    <w:name w:val="Подзаголовок Знак"/>
    <w:basedOn w:val="a4"/>
    <w:uiPriority w:val="11"/>
    <w:rsid w:val="00181EC4"/>
    <w:rPr>
      <w:rFonts w:ascii="Times New Roman" w:hAnsi="Times New Roman" w:cs="Times New Roman"/>
      <w:b/>
      <w:sz w:val="24"/>
      <w:szCs w:val="24"/>
      <w:u w:val="single"/>
    </w:rPr>
  </w:style>
  <w:style w:type="character" w:styleId="ab">
    <w:name w:val="Subtle Reference"/>
    <w:uiPriority w:val="31"/>
    <w:qFormat/>
    <w:rsid w:val="00181EC4"/>
    <w:rPr>
      <w:rFonts w:ascii="Times New Roman" w:hAnsi="Times New Roman" w:cs="Times New Roman"/>
      <w:b/>
      <w:sz w:val="24"/>
      <w:szCs w:val="24"/>
    </w:rPr>
  </w:style>
  <w:style w:type="character" w:customStyle="1" w:styleId="ac">
    <w:name w:val="Абзац списка Знак"/>
    <w:basedOn w:val="a4"/>
    <w:uiPriority w:val="34"/>
    <w:rsid w:val="00300F50"/>
  </w:style>
  <w:style w:type="character" w:customStyle="1" w:styleId="ad">
    <w:name w:val="Без интервала Знак"/>
    <w:basedOn w:val="ac"/>
    <w:uiPriority w:val="1"/>
    <w:rsid w:val="008B1499"/>
    <w:rPr>
      <w:rFonts w:ascii="Times New Roman" w:hAnsi="Times New Roman" w:cs="Times New Roman"/>
      <w:sz w:val="24"/>
      <w:szCs w:val="24"/>
    </w:rPr>
  </w:style>
  <w:style w:type="character" w:customStyle="1" w:styleId="ae">
    <w:name w:val="УД Знак"/>
    <w:basedOn w:val="ad"/>
    <w:rsid w:val="00300F50"/>
    <w:rPr>
      <w:rFonts w:ascii="Times New Roman" w:hAnsi="Times New Roman" w:cs="Times New Roman"/>
      <w:b/>
      <w:sz w:val="24"/>
      <w:szCs w:val="24"/>
    </w:rPr>
  </w:style>
  <w:style w:type="character" w:customStyle="1" w:styleId="af">
    <w:name w:val="Ком Знак"/>
    <w:basedOn w:val="ac"/>
    <w:rsid w:val="008B1499"/>
    <w:rPr>
      <w:rFonts w:ascii="Times New Roman" w:hAnsi="Times New Roman" w:cs="Times New Roman"/>
      <w:i/>
      <w:sz w:val="24"/>
      <w:szCs w:val="24"/>
    </w:rPr>
  </w:style>
  <w:style w:type="character" w:styleId="af0">
    <w:name w:val="annotation reference"/>
    <w:basedOn w:val="a4"/>
    <w:unhideWhenUsed/>
    <w:qFormat/>
    <w:rsid w:val="009C1F13"/>
    <w:rPr>
      <w:sz w:val="16"/>
      <w:szCs w:val="16"/>
    </w:rPr>
  </w:style>
  <w:style w:type="character" w:customStyle="1" w:styleId="af1">
    <w:name w:val="Текст примечания Знак"/>
    <w:basedOn w:val="a4"/>
    <w:uiPriority w:val="99"/>
    <w:qFormat/>
    <w:rsid w:val="009C1F13"/>
    <w:rPr>
      <w:rFonts w:ascii="Times New Roman" w:hAnsi="Times New Roman"/>
      <w:sz w:val="20"/>
      <w:szCs w:val="20"/>
    </w:rPr>
  </w:style>
  <w:style w:type="character" w:customStyle="1" w:styleId="af2">
    <w:name w:val="Тема примечания Знак"/>
    <w:basedOn w:val="af1"/>
    <w:uiPriority w:val="99"/>
    <w:qFormat/>
    <w:rsid w:val="009C1F13"/>
    <w:rPr>
      <w:rFonts w:ascii="Times New Roman" w:hAnsi="Times New Roman"/>
      <w:b/>
      <w:bCs/>
      <w:sz w:val="20"/>
      <w:szCs w:val="20"/>
    </w:rPr>
  </w:style>
  <w:style w:type="character" w:customStyle="1" w:styleId="af3">
    <w:name w:val="Название Знак"/>
    <w:basedOn w:val="a4"/>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4">
    <w:name w:val="Текст сноски Знак"/>
    <w:basedOn w:val="a4"/>
    <w:rsid w:val="004008B9"/>
    <w:rPr>
      <w:rFonts w:ascii="Calibri" w:eastAsia="Calibri" w:hAnsi="Calibri" w:cs="Times New Roman"/>
      <w:sz w:val="20"/>
      <w:szCs w:val="20"/>
    </w:rPr>
  </w:style>
  <w:style w:type="character" w:styleId="af5">
    <w:name w:val="footnote reference"/>
    <w:unhideWhenUsed/>
    <w:qFormat/>
    <w:rsid w:val="004008B9"/>
    <w:rPr>
      <w:vertAlign w:val="superscript"/>
    </w:rPr>
  </w:style>
  <w:style w:type="character" w:customStyle="1" w:styleId="20">
    <w:name w:val="Заголовок 2 Знак"/>
    <w:aliases w:val="Наим. подраздела Знак"/>
    <w:basedOn w:val="a4"/>
    <w:link w:val="2"/>
    <w:qFormat/>
    <w:rsid w:val="002F7719"/>
    <w:rPr>
      <w:rFonts w:ascii="Times New Roman" w:hAnsi="Times New Roman" w:cs="Times New Roman"/>
      <w:b/>
      <w:sz w:val="24"/>
      <w:szCs w:val="24"/>
      <w:u w:val="single"/>
    </w:rPr>
  </w:style>
  <w:style w:type="character" w:customStyle="1" w:styleId="Normal1">
    <w:name w:val="Normal1 Знак"/>
    <w:basedOn w:val="a4"/>
    <w:uiPriority w:val="99"/>
    <w:rsid w:val="003F4166"/>
    <w:rPr>
      <w:rFonts w:ascii="Times New Roman" w:eastAsia="Times New Roman" w:hAnsi="Times New Roman" w:cs="Times New Roman"/>
      <w:sz w:val="20"/>
      <w:szCs w:val="20"/>
      <w:lang w:eastAsia="ru-RU"/>
    </w:rPr>
  </w:style>
  <w:style w:type="character" w:customStyle="1" w:styleId="14">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6">
    <w:name w:val="Ссылка указателя"/>
    <w:qFormat/>
    <w:rsid w:val="00275A41"/>
  </w:style>
  <w:style w:type="paragraph" w:customStyle="1" w:styleId="13">
    <w:name w:val="Заголовок1"/>
    <w:basedOn w:val="a1"/>
    <w:next w:val="a3"/>
    <w:rsid w:val="00275A41"/>
    <w:pPr>
      <w:keepNext/>
      <w:spacing w:before="240" w:after="120"/>
    </w:pPr>
    <w:rPr>
      <w:rFonts w:ascii="Liberation Sans" w:eastAsia="Microsoft YaHei" w:hAnsi="Liberation Sans" w:cs="Mangal"/>
      <w:sz w:val="28"/>
      <w:szCs w:val="28"/>
    </w:rPr>
  </w:style>
  <w:style w:type="paragraph" w:styleId="a3">
    <w:name w:val="Body Text"/>
    <w:basedOn w:val="a1"/>
    <w:link w:val="af7"/>
    <w:rsid w:val="00275A41"/>
    <w:pPr>
      <w:spacing w:after="140" w:line="288" w:lineRule="auto"/>
    </w:pPr>
  </w:style>
  <w:style w:type="paragraph" w:styleId="af8">
    <w:name w:val="List"/>
    <w:basedOn w:val="a3"/>
    <w:rsid w:val="00275A41"/>
    <w:rPr>
      <w:rFonts w:cs="Mangal"/>
    </w:rPr>
  </w:style>
  <w:style w:type="paragraph" w:styleId="af9">
    <w:name w:val="caption"/>
    <w:basedOn w:val="a1"/>
    <w:qFormat/>
    <w:rsid w:val="00275A41"/>
    <w:pPr>
      <w:suppressLineNumbers/>
      <w:spacing w:before="120" w:after="120"/>
    </w:pPr>
    <w:rPr>
      <w:rFonts w:cs="Mangal"/>
      <w:i/>
      <w:iCs/>
      <w:szCs w:val="24"/>
    </w:rPr>
  </w:style>
  <w:style w:type="paragraph" w:styleId="afa">
    <w:name w:val="index heading"/>
    <w:basedOn w:val="a1"/>
    <w:rsid w:val="00275A41"/>
    <w:pPr>
      <w:suppressLineNumbers/>
    </w:pPr>
    <w:rPr>
      <w:rFonts w:cs="Mangal"/>
    </w:rPr>
  </w:style>
  <w:style w:type="paragraph" w:styleId="afb">
    <w:name w:val="header"/>
    <w:basedOn w:val="a1"/>
    <w:link w:val="15"/>
    <w:unhideWhenUsed/>
    <w:qFormat/>
    <w:rsid w:val="00C15E9F"/>
    <w:pPr>
      <w:tabs>
        <w:tab w:val="center" w:pos="4677"/>
        <w:tab w:val="right" w:pos="9355"/>
      </w:tabs>
      <w:spacing w:line="240" w:lineRule="auto"/>
    </w:pPr>
  </w:style>
  <w:style w:type="paragraph" w:styleId="afc">
    <w:name w:val="footer"/>
    <w:basedOn w:val="a1"/>
    <w:link w:val="16"/>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rsid w:val="006B7CAB"/>
    <w:pPr>
      <w:spacing w:beforeAutospacing="1" w:afterAutospacing="1" w:line="240" w:lineRule="auto"/>
    </w:pPr>
    <w:rPr>
      <w:rFonts w:eastAsia="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186C35"/>
    <w:pPr>
      <w:tabs>
        <w:tab w:val="right" w:leader="dot" w:pos="9345"/>
      </w:tabs>
      <w:spacing w:after="100"/>
      <w:ind w:firstLine="0"/>
    </w:pPr>
  </w:style>
  <w:style w:type="paragraph" w:styleId="a2">
    <w:name w:val="Subtitle"/>
    <w:basedOn w:val="a1"/>
    <w:link w:val="1b"/>
    <w:uiPriority w:val="11"/>
    <w:qFormat/>
    <w:rsid w:val="00181EC4"/>
    <w:pPr>
      <w:suppressAutoHyphens/>
      <w:spacing w:before="240"/>
    </w:pPr>
    <w:rPr>
      <w:b/>
      <w:szCs w:val="24"/>
      <w:u w:val="single"/>
    </w:rPr>
  </w:style>
  <w:style w:type="paragraph" w:styleId="aff1">
    <w:name w:val="No Spacing"/>
    <w:basedOn w:val="afe"/>
    <w:uiPriority w:val="1"/>
    <w:qFormat/>
    <w:rsid w:val="008B1499"/>
    <w:pPr>
      <w:spacing w:before="240"/>
      <w:ind w:left="851" w:hanging="425"/>
    </w:pPr>
    <w:rPr>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1"/>
    <w:link w:val="1c"/>
    <w:unhideWhenUsed/>
    <w:qFormat/>
    <w:rsid w:val="009C1F13"/>
    <w:pPr>
      <w:spacing w:line="240" w:lineRule="auto"/>
    </w:pPr>
    <w:rPr>
      <w:sz w:val="20"/>
      <w:szCs w:val="20"/>
    </w:rPr>
  </w:style>
  <w:style w:type="paragraph" w:styleId="aff5">
    <w:name w:val="annotation subject"/>
    <w:basedOn w:val="aff4"/>
    <w:link w:val="1d"/>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imes New Roman"/>
      <w:spacing w:val="-10"/>
      <w:sz w:val="28"/>
      <w:szCs w:val="56"/>
      <w:u w:val="single"/>
    </w:rPr>
  </w:style>
  <w:style w:type="paragraph" w:styleId="21">
    <w:name w:val="toc 2"/>
    <w:basedOn w:val="a1"/>
    <w:autoRedefine/>
    <w:uiPriority w:val="39"/>
    <w:qFormat/>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7">
    <w:name w:val="footnote text"/>
    <w:basedOn w:val="a1"/>
    <w:link w:val="1f"/>
    <w:unhideWhenUsed/>
    <w:qFormat/>
    <w:rsid w:val="004008B9"/>
    <w:pPr>
      <w:spacing w:after="200" w:line="276" w:lineRule="auto"/>
    </w:pPr>
    <w:rPr>
      <w:rFonts w:ascii="Calibri" w:hAnsi="Calibri"/>
      <w:sz w:val="20"/>
      <w:szCs w:val="20"/>
    </w:rPr>
  </w:style>
  <w:style w:type="paragraph" w:customStyle="1" w:styleId="1f0">
    <w:name w:val="Оглавление 1 Знак"/>
    <w:basedOn w:val="Normal10"/>
    <w:qFormat/>
    <w:rsid w:val="003F4166"/>
    <w:pPr>
      <w:spacing w:line="360" w:lineRule="auto"/>
      <w:ind w:left="709" w:hanging="283"/>
    </w:pPr>
    <w:rPr>
      <w:sz w:val="24"/>
      <w:szCs w:val="24"/>
    </w:rPr>
  </w:style>
  <w:style w:type="paragraph" w:customStyle="1" w:styleId="aff8">
    <w:name w:val="Содержимое врезки"/>
    <w:basedOn w:val="a1"/>
    <w:uiPriority w:val="99"/>
    <w:qFormat/>
    <w:rsid w:val="00275A41"/>
  </w:style>
  <w:style w:type="table" w:styleId="aff9">
    <w:name w:val="Table Grid"/>
    <w:basedOn w:val="a5"/>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b">
    <w:name w:val="Strong"/>
    <w:basedOn w:val="a4"/>
    <w:uiPriority w:val="22"/>
    <w:qFormat/>
    <w:rsid w:val="009E685D"/>
    <w:rPr>
      <w:b/>
      <w:bCs/>
    </w:rPr>
  </w:style>
  <w:style w:type="character" w:styleId="affc">
    <w:name w:val="Emphasis"/>
    <w:basedOn w:val="a4"/>
    <w:uiPriority w:val="20"/>
    <w:qFormat/>
    <w:rsid w:val="002F7719"/>
    <w:rPr>
      <w:i/>
      <w:iCs/>
    </w:rPr>
  </w:style>
  <w:style w:type="character" w:styleId="affd">
    <w:name w:val="Hyperlink"/>
    <w:basedOn w:val="a4"/>
    <w:uiPriority w:val="99"/>
    <w:unhideWhenUsed/>
    <w:rsid w:val="00275A41"/>
    <w:rPr>
      <w:color w:val="0000FF"/>
      <w:u w:val="single"/>
    </w:rPr>
  </w:style>
  <w:style w:type="paragraph" w:customStyle="1" w:styleId="10">
    <w:name w:val="Стиль1"/>
    <w:basedOn w:val="a1"/>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4"/>
    <w:link w:val="10"/>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e">
    <w:name w:val="Revision"/>
    <w:hidden/>
    <w:uiPriority w:val="99"/>
    <w:rsid w:val="00AE3406"/>
    <w:rPr>
      <w:rFonts w:ascii="Times New Roman" w:hAnsi="Times New Roman"/>
      <w:sz w:val="24"/>
      <w:szCs w:val="22"/>
      <w:lang w:eastAsia="en-US"/>
    </w:rPr>
  </w:style>
  <w:style w:type="paragraph" w:customStyle="1" w:styleId="a0">
    <w:name w:val="Список ключевых слов"/>
    <w:basedOn w:val="afe"/>
    <w:link w:val="afff"/>
    <w:qFormat/>
    <w:rsid w:val="0021676E"/>
    <w:pPr>
      <w:numPr>
        <w:numId w:val="3"/>
      </w:numPr>
      <w:ind w:left="0" w:firstLine="709"/>
    </w:pPr>
    <w:rPr>
      <w:szCs w:val="28"/>
    </w:rPr>
  </w:style>
  <w:style w:type="paragraph" w:customStyle="1" w:styleId="afff0">
    <w:name w:val="Сокращения"/>
    <w:basedOn w:val="a1"/>
    <w:link w:val="afff1"/>
    <w:qFormat/>
    <w:rsid w:val="0021676E"/>
  </w:style>
  <w:style w:type="character" w:customStyle="1" w:styleId="18">
    <w:name w:val="Абзац списка Знак1"/>
    <w:basedOn w:val="a4"/>
    <w:link w:val="afe"/>
    <w:uiPriority w:val="34"/>
    <w:rsid w:val="0021676E"/>
    <w:rPr>
      <w:rFonts w:ascii="Times New Roman" w:hAnsi="Times New Roman"/>
      <w:sz w:val="24"/>
    </w:rPr>
  </w:style>
  <w:style w:type="character" w:customStyle="1" w:styleId="afff">
    <w:name w:val="Список ключевых слов Знак"/>
    <w:basedOn w:val="18"/>
    <w:link w:val="a0"/>
    <w:rsid w:val="0021676E"/>
    <w:rPr>
      <w:rFonts w:ascii="Times New Roman" w:hAnsi="Times New Roman"/>
      <w:sz w:val="24"/>
      <w:szCs w:val="28"/>
      <w:lang w:eastAsia="en-US"/>
    </w:rPr>
  </w:style>
  <w:style w:type="paragraph" w:customStyle="1" w:styleId="afff2">
    <w:name w:val="Наим. раздела"/>
    <w:basedOn w:val="CustomContentNormal"/>
    <w:link w:val="afff3"/>
    <w:qFormat/>
    <w:rsid w:val="00C4630C"/>
  </w:style>
  <w:style w:type="character" w:customStyle="1" w:styleId="afff1">
    <w:name w:val="Сокращения Знак"/>
    <w:basedOn w:val="a4"/>
    <w:link w:val="afff0"/>
    <w:rsid w:val="0021676E"/>
    <w:rPr>
      <w:rFonts w:ascii="Times New Roman" w:hAnsi="Times New Roman"/>
      <w:sz w:val="24"/>
    </w:rPr>
  </w:style>
  <w:style w:type="paragraph" w:customStyle="1" w:styleId="1f1">
    <w:name w:val="Текст в 1 разделе"/>
    <w:basedOn w:val="a1"/>
    <w:link w:val="1f2"/>
    <w:qFormat/>
    <w:rsid w:val="0021676E"/>
    <w:rPr>
      <w:rFonts w:eastAsia="Times New Roman"/>
      <w:szCs w:val="24"/>
    </w:rPr>
  </w:style>
  <w:style w:type="character" w:customStyle="1" w:styleId="CustomContentNormal0">
    <w:name w:val="Custom Content Normal Знак"/>
    <w:basedOn w:val="a4"/>
    <w:link w:val="CustomContentNormal"/>
    <w:rsid w:val="0021676E"/>
    <w:rPr>
      <w:rFonts w:ascii="Times New Roman" w:eastAsia="Sans" w:hAnsi="Times New Roman"/>
      <w:b/>
      <w:sz w:val="28"/>
      <w:szCs w:val="22"/>
      <w:lang w:val="ru-RU" w:eastAsia="en-US" w:bidi="ar-SA"/>
    </w:rPr>
  </w:style>
  <w:style w:type="character" w:customStyle="1" w:styleId="afff3">
    <w:name w:val="Наим. раздела Знак"/>
    <w:basedOn w:val="CustomContentNormal0"/>
    <w:link w:val="afff2"/>
    <w:rsid w:val="00C4630C"/>
    <w:rPr>
      <w:rFonts w:ascii="Times New Roman" w:eastAsia="Sans" w:hAnsi="Times New Roman"/>
      <w:b/>
      <w:sz w:val="28"/>
      <w:szCs w:val="22"/>
      <w:lang w:val="ru-RU" w:eastAsia="en-US" w:bidi="ar-SA"/>
    </w:rPr>
  </w:style>
  <w:style w:type="paragraph" w:customStyle="1" w:styleId="afff4">
    <w:name w:val="Таблицы"/>
    <w:basedOn w:val="afd"/>
    <w:link w:val="afff5"/>
    <w:qFormat/>
    <w:rsid w:val="0021676E"/>
    <w:pPr>
      <w:spacing w:line="240" w:lineRule="auto"/>
      <w:ind w:firstLine="0"/>
    </w:pPr>
  </w:style>
  <w:style w:type="character" w:customStyle="1" w:styleId="1f2">
    <w:name w:val="Текст в 1 разделе Знак"/>
    <w:basedOn w:val="a4"/>
    <w:link w:val="1f1"/>
    <w:rsid w:val="0021676E"/>
    <w:rPr>
      <w:rFonts w:ascii="Times New Roman" w:eastAsia="Times New Roman" w:hAnsi="Times New Roman" w:cs="Times New Roman"/>
      <w:sz w:val="24"/>
      <w:szCs w:val="24"/>
    </w:rPr>
  </w:style>
  <w:style w:type="paragraph" w:customStyle="1" w:styleId="afff6">
    <w:name w:val="Наим. табл"/>
    <w:basedOn w:val="a1"/>
    <w:link w:val="afff7"/>
    <w:qFormat/>
    <w:rsid w:val="0021676E"/>
  </w:style>
  <w:style w:type="character" w:customStyle="1" w:styleId="17">
    <w:name w:val="Обычный (веб) Знак1"/>
    <w:basedOn w:val="a4"/>
    <w:link w:val="afd"/>
    <w:rsid w:val="0021676E"/>
    <w:rPr>
      <w:rFonts w:ascii="Times New Roman" w:eastAsia="Times New Roman" w:hAnsi="Times New Roman" w:cs="Times New Roman"/>
      <w:sz w:val="24"/>
      <w:szCs w:val="24"/>
      <w:lang w:eastAsia="ru-RU"/>
    </w:rPr>
  </w:style>
  <w:style w:type="character" w:customStyle="1" w:styleId="afff5">
    <w:name w:val="Таблицы Знак"/>
    <w:basedOn w:val="17"/>
    <w:link w:val="afff4"/>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qFormat/>
    <w:rsid w:val="00334F6C"/>
    <w:rPr>
      <w:szCs w:val="24"/>
    </w:rPr>
  </w:style>
  <w:style w:type="character" w:customStyle="1" w:styleId="afff7">
    <w:name w:val="Наим. табл Знак"/>
    <w:basedOn w:val="a4"/>
    <w:link w:val="afff6"/>
    <w:rsid w:val="0021676E"/>
    <w:rPr>
      <w:rFonts w:ascii="Times New Roman" w:hAnsi="Times New Roman"/>
      <w:sz w:val="24"/>
    </w:rPr>
  </w:style>
  <w:style w:type="paragraph" w:customStyle="1" w:styleId="afff8">
    <w:name w:val="Рекомендация"/>
    <w:basedOn w:val="10"/>
    <w:link w:val="afff9"/>
    <w:qFormat/>
    <w:rsid w:val="0021676E"/>
  </w:style>
  <w:style w:type="character" w:customStyle="1" w:styleId="2-60">
    <w:name w:val="Вводный текст 2-6 разделы Знак"/>
    <w:basedOn w:val="a4"/>
    <w:link w:val="2-6"/>
    <w:rsid w:val="00334F6C"/>
    <w:rPr>
      <w:rFonts w:ascii="Times New Roman" w:hAnsi="Times New Roman"/>
      <w:sz w:val="24"/>
      <w:szCs w:val="24"/>
    </w:rPr>
  </w:style>
  <w:style w:type="paragraph" w:customStyle="1" w:styleId="afffa">
    <w:name w:val="УДД"/>
    <w:aliases w:val="УУР"/>
    <w:basedOn w:val="aff2"/>
    <w:rsid w:val="0021676E"/>
  </w:style>
  <w:style w:type="character" w:customStyle="1" w:styleId="afff9">
    <w:name w:val="Рекомендация Знак"/>
    <w:basedOn w:val="110"/>
    <w:link w:val="afff8"/>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b">
    <w:name w:val="Памятки"/>
    <w:basedOn w:val="1f1"/>
    <w:link w:val="afffc"/>
    <w:uiPriority w:val="99"/>
    <w:qFormat/>
    <w:rsid w:val="00094ED6"/>
    <w:rPr>
      <w:i/>
      <w:color w:val="FF0000"/>
      <w:sz w:val="18"/>
    </w:rPr>
  </w:style>
  <w:style w:type="character" w:customStyle="1" w:styleId="afffc">
    <w:name w:val="Памятки Знак"/>
    <w:basedOn w:val="1f2"/>
    <w:link w:val="afffb"/>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ссылка"/>
    <w:basedOn w:val="a1"/>
    <w:link w:val="afffe"/>
    <w:qFormat/>
    <w:rsid w:val="00A91645"/>
    <w:rPr>
      <w:rFonts w:eastAsia="Times New Roman"/>
      <w:i/>
      <w:color w:val="0070C0"/>
      <w:szCs w:val="24"/>
      <w:u w:val="single"/>
    </w:rPr>
  </w:style>
  <w:style w:type="character" w:customStyle="1" w:styleId="afffe">
    <w:name w:val="ссылка Знак"/>
    <w:basedOn w:val="a4"/>
    <w:link w:val="afffd"/>
    <w:rsid w:val="00A91645"/>
    <w:rPr>
      <w:rFonts w:ascii="Times New Roman" w:eastAsia="Times New Roman" w:hAnsi="Times New Roman" w:cs="Times New Roman"/>
      <w:i/>
      <w:color w:val="0070C0"/>
      <w:sz w:val="24"/>
      <w:szCs w:val="24"/>
      <w:u w:val="single"/>
    </w:rPr>
  </w:style>
  <w:style w:type="character" w:customStyle="1" w:styleId="affff">
    <w:name w:val="Основной текст_"/>
    <w:basedOn w:val="a4"/>
    <w:link w:val="1f4"/>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4"/>
    <w:link w:val="23"/>
    <w:rsid w:val="00C4630C"/>
    <w:rPr>
      <w:rFonts w:ascii="Times New Roman" w:eastAsia="Times New Roman" w:hAnsi="Times New Roman" w:cs="Times New Roman"/>
      <w:b/>
      <w:bCs/>
      <w:sz w:val="28"/>
      <w:szCs w:val="28"/>
      <w:shd w:val="clear" w:color="auto" w:fill="FFFFFF"/>
    </w:rPr>
  </w:style>
  <w:style w:type="paragraph" w:customStyle="1" w:styleId="1f4">
    <w:name w:val="Основной текст1"/>
    <w:basedOn w:val="a1"/>
    <w:link w:val="affff"/>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1"/>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styleId="affff0">
    <w:name w:val="FollowedHyperlink"/>
    <w:basedOn w:val="a4"/>
    <w:uiPriority w:val="99"/>
    <w:unhideWhenUsed/>
    <w:rsid w:val="000D056F"/>
    <w:rPr>
      <w:color w:val="800080" w:themeColor="followedHyperlink"/>
      <w:u w:val="single"/>
    </w:rPr>
  </w:style>
  <w:style w:type="character" w:customStyle="1" w:styleId="1f5">
    <w:name w:val="Неразрешенное упоминание1"/>
    <w:basedOn w:val="a4"/>
    <w:uiPriority w:val="99"/>
    <w:semiHidden/>
    <w:unhideWhenUsed/>
    <w:rsid w:val="004B2E86"/>
    <w:rPr>
      <w:color w:val="605E5C"/>
      <w:shd w:val="clear" w:color="auto" w:fill="E1DFDD"/>
    </w:rPr>
  </w:style>
  <w:style w:type="paragraph" w:customStyle="1" w:styleId="affff1">
    <w:name w:val="Базовый"/>
    <w:rsid w:val="003B7588"/>
    <w:pPr>
      <w:suppressAutoHyphens/>
      <w:spacing w:after="200" w:line="276" w:lineRule="auto"/>
    </w:pPr>
    <w:rPr>
      <w:rFonts w:eastAsia="SimSun" w:cs="Calibri"/>
      <w:sz w:val="22"/>
      <w:szCs w:val="22"/>
      <w:lang w:eastAsia="en-US"/>
    </w:rPr>
  </w:style>
  <w:style w:type="character" w:customStyle="1" w:styleId="24">
    <w:name w:val="Неразрешенное упоминание2"/>
    <w:basedOn w:val="a4"/>
    <w:uiPriority w:val="99"/>
    <w:semiHidden/>
    <w:unhideWhenUsed/>
    <w:rsid w:val="004232A5"/>
    <w:rPr>
      <w:color w:val="605E5C"/>
      <w:shd w:val="clear" w:color="auto" w:fill="E1DFDD"/>
    </w:rPr>
  </w:style>
  <w:style w:type="character" w:customStyle="1" w:styleId="32">
    <w:name w:val="Неразрешенное упоминание3"/>
    <w:basedOn w:val="a4"/>
    <w:uiPriority w:val="99"/>
    <w:semiHidden/>
    <w:unhideWhenUsed/>
    <w:rsid w:val="00D01F66"/>
    <w:rPr>
      <w:color w:val="605E5C"/>
      <w:shd w:val="clear" w:color="auto" w:fill="E1DFDD"/>
    </w:rPr>
  </w:style>
  <w:style w:type="character" w:customStyle="1" w:styleId="30">
    <w:name w:val="Заголовок 3 Знак"/>
    <w:basedOn w:val="a4"/>
    <w:link w:val="3"/>
    <w:rsid w:val="00B43B37"/>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4"/>
    <w:link w:val="4"/>
    <w:rsid w:val="00B43B37"/>
    <w:rPr>
      <w:rFonts w:ascii="Times New Roman" w:hAnsi="Times New Roman"/>
      <w:b/>
      <w:shd w:val="clear" w:color="auto" w:fill="FFFFFF"/>
      <w:lang w:val="en-US" w:eastAsia="zh-CN"/>
    </w:rPr>
  </w:style>
  <w:style w:type="character" w:customStyle="1" w:styleId="50">
    <w:name w:val="Заголовок 5 Знак"/>
    <w:basedOn w:val="a4"/>
    <w:link w:val="5"/>
    <w:rsid w:val="00B43B37"/>
    <w:rPr>
      <w:rFonts w:ascii="Calibri Light" w:eastAsia="Times New Roman" w:hAnsi="Calibri Light" w:cs="Calibri Light"/>
      <w:b/>
      <w:bCs/>
      <w:kern w:val="1"/>
      <w:sz w:val="24"/>
      <w:szCs w:val="24"/>
      <w:lang w:eastAsia="zh-CN"/>
    </w:rPr>
  </w:style>
  <w:style w:type="character" w:customStyle="1" w:styleId="60">
    <w:name w:val="Заголовок 6 Знак"/>
    <w:basedOn w:val="a4"/>
    <w:link w:val="6"/>
    <w:rsid w:val="00B43B37"/>
    <w:rPr>
      <w:rFonts w:ascii="Calibri Light" w:eastAsia="Times New Roman" w:hAnsi="Calibri Light" w:cs="Calibri Light"/>
      <w:b/>
      <w:bCs/>
      <w:i/>
      <w:iCs/>
      <w:kern w:val="1"/>
      <w:sz w:val="24"/>
      <w:szCs w:val="24"/>
      <w:lang w:eastAsia="zh-CN"/>
    </w:rPr>
  </w:style>
  <w:style w:type="character" w:customStyle="1" w:styleId="70">
    <w:name w:val="Заголовок 7 Знак"/>
    <w:basedOn w:val="a4"/>
    <w:link w:val="7"/>
    <w:rsid w:val="00B43B37"/>
    <w:rPr>
      <w:rFonts w:ascii="Calibri Light" w:eastAsia="Times New Roman" w:hAnsi="Calibri Light" w:cs="Calibri Light"/>
      <w:b/>
      <w:bCs/>
      <w:kern w:val="1"/>
      <w:sz w:val="22"/>
      <w:szCs w:val="22"/>
      <w:lang w:eastAsia="zh-CN"/>
    </w:rPr>
  </w:style>
  <w:style w:type="character" w:customStyle="1" w:styleId="80">
    <w:name w:val="Заголовок 8 Знак"/>
    <w:basedOn w:val="a4"/>
    <w:link w:val="8"/>
    <w:rsid w:val="00B43B37"/>
    <w:rPr>
      <w:rFonts w:ascii="Calibri Light" w:eastAsia="Times New Roman" w:hAnsi="Calibri Light" w:cs="Calibri Light"/>
      <w:b/>
      <w:bCs/>
      <w:i/>
      <w:iCs/>
      <w:kern w:val="1"/>
      <w:sz w:val="22"/>
      <w:szCs w:val="22"/>
      <w:lang w:eastAsia="zh-CN"/>
    </w:rPr>
  </w:style>
  <w:style w:type="character" w:customStyle="1" w:styleId="90">
    <w:name w:val="Заголовок 9 Знак"/>
    <w:basedOn w:val="a4"/>
    <w:link w:val="9"/>
    <w:rsid w:val="00B43B37"/>
    <w:rPr>
      <w:rFonts w:ascii="Calibri Light" w:eastAsia="Times New Roman" w:hAnsi="Calibri Light" w:cs="Calibri Light"/>
      <w:b/>
      <w:bCs/>
      <w:kern w:val="1"/>
      <w:sz w:val="21"/>
      <w:szCs w:val="21"/>
      <w:lang w:eastAsia="zh-CN"/>
    </w:rPr>
  </w:style>
  <w:style w:type="paragraph" w:customStyle="1" w:styleId="1f6">
    <w:name w:val="1"/>
    <w:qFormat/>
    <w:rsid w:val="00B43B37"/>
    <w:pPr>
      <w:keepNext/>
      <w:keepLines/>
      <w:spacing w:line="276" w:lineRule="auto"/>
      <w:contextualSpacing/>
      <w:outlineLvl w:val="0"/>
    </w:pPr>
    <w:rPr>
      <w:rFonts w:ascii="Times New Roman" w:eastAsia="Sans" w:hAnsi="Times New Roman"/>
      <w:sz w:val="24"/>
      <w:szCs w:val="22"/>
      <w:lang w:eastAsia="en-US"/>
    </w:rPr>
  </w:style>
  <w:style w:type="paragraph" w:customStyle="1" w:styleId="Number">
    <w:name w:val="Number"/>
    <w:basedOn w:val="a1"/>
    <w:uiPriority w:val="99"/>
    <w:rsid w:val="00B43B37"/>
    <w:pPr>
      <w:autoSpaceDE w:val="0"/>
      <w:autoSpaceDN w:val="0"/>
      <w:adjustRightInd w:val="0"/>
      <w:spacing w:before="40"/>
      <w:ind w:left="715" w:hanging="6"/>
      <w:jc w:val="left"/>
    </w:pPr>
    <w:rPr>
      <w:rFonts w:eastAsiaTheme="minorEastAsia"/>
      <w:color w:val="000000"/>
      <w:szCs w:val="24"/>
      <w:lang w:eastAsia="ru-RU"/>
    </w:rPr>
  </w:style>
  <w:style w:type="character" w:customStyle="1" w:styleId="WW8Num3z4">
    <w:name w:val="WW8Num3z4"/>
    <w:rsid w:val="00B43B37"/>
    <w:rPr>
      <w:rFonts w:ascii="Courier New" w:hAnsi="Courier New" w:cs="Courier New"/>
    </w:rPr>
  </w:style>
  <w:style w:type="character" w:customStyle="1" w:styleId="1c">
    <w:name w:val="Текст примечания Знак1"/>
    <w:basedOn w:val="a4"/>
    <w:link w:val="aff4"/>
    <w:uiPriority w:val="99"/>
    <w:rsid w:val="00B43B37"/>
    <w:rPr>
      <w:rFonts w:ascii="Times New Roman" w:hAnsi="Times New Roman"/>
      <w:lang w:eastAsia="en-US"/>
    </w:rPr>
  </w:style>
  <w:style w:type="character" w:customStyle="1" w:styleId="tlid-translation">
    <w:name w:val="tlid-translation"/>
    <w:basedOn w:val="a4"/>
    <w:rsid w:val="00B43B37"/>
  </w:style>
  <w:style w:type="character" w:customStyle="1" w:styleId="cit">
    <w:name w:val="cit"/>
    <w:basedOn w:val="a4"/>
    <w:rsid w:val="00B43B37"/>
  </w:style>
  <w:style w:type="character" w:customStyle="1" w:styleId="A00">
    <w:name w:val="A0"/>
    <w:uiPriority w:val="99"/>
    <w:rsid w:val="00B43B37"/>
    <w:rPr>
      <w:rFonts w:cs="Shaker 2 Lancet"/>
      <w:b/>
      <w:bCs/>
      <w:color w:val="000000"/>
      <w:sz w:val="14"/>
      <w:szCs w:val="14"/>
    </w:rPr>
  </w:style>
  <w:style w:type="character" w:customStyle="1" w:styleId="42">
    <w:name w:val="Неразрешенное упоминание4"/>
    <w:basedOn w:val="a4"/>
    <w:uiPriority w:val="99"/>
    <w:semiHidden/>
    <w:unhideWhenUsed/>
    <w:rsid w:val="00B43B37"/>
    <w:rPr>
      <w:color w:val="605E5C"/>
      <w:shd w:val="clear" w:color="auto" w:fill="E1DFDD"/>
    </w:rPr>
  </w:style>
  <w:style w:type="character" w:customStyle="1" w:styleId="52">
    <w:name w:val="Неразрешенное упоминание5"/>
    <w:basedOn w:val="a4"/>
    <w:uiPriority w:val="99"/>
    <w:semiHidden/>
    <w:unhideWhenUsed/>
    <w:rsid w:val="00B43B37"/>
    <w:rPr>
      <w:color w:val="605E5C"/>
      <w:shd w:val="clear" w:color="auto" w:fill="E1DFDD"/>
    </w:rPr>
  </w:style>
  <w:style w:type="character" w:customStyle="1" w:styleId="affff2">
    <w:name w:val="Обычный (веб) Знак"/>
    <w:rsid w:val="00B43B37"/>
    <w:rPr>
      <w:rFonts w:ascii="Times New Roman" w:eastAsia="Times New Roman" w:hAnsi="Times New Roman"/>
      <w:sz w:val="24"/>
      <w:szCs w:val="24"/>
    </w:rPr>
  </w:style>
  <w:style w:type="table" w:customStyle="1" w:styleId="-131">
    <w:name w:val="Список-таблица 1 светлая — акцент 31"/>
    <w:basedOn w:val="a5"/>
    <w:uiPriority w:val="46"/>
    <w:rsid w:val="00B43B37"/>
    <w:rPr>
      <w:rFonts w:asciiTheme="minorHAnsi" w:eastAsiaTheme="minorHAnsi" w:hAnsiTheme="minorHAnsi" w:cstheme="minorBidi"/>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ableParagraph">
    <w:name w:val="Table Paragraph"/>
    <w:basedOn w:val="a1"/>
    <w:qFormat/>
    <w:rsid w:val="00B43B37"/>
    <w:pPr>
      <w:widowControl w:val="0"/>
      <w:spacing w:line="240" w:lineRule="auto"/>
      <w:ind w:left="103" w:firstLine="0"/>
      <w:jc w:val="left"/>
    </w:pPr>
    <w:rPr>
      <w:rFonts w:ascii="Calibri" w:eastAsia="Times New Roman" w:hAnsi="Calibri" w:cs="Calibri"/>
      <w:sz w:val="22"/>
      <w:lang w:val="en-US"/>
    </w:rPr>
  </w:style>
  <w:style w:type="character" w:customStyle="1" w:styleId="1e">
    <w:name w:val="Название Знак1"/>
    <w:aliases w:val="Заголовок мой Знак,Название1 Знак"/>
    <w:basedOn w:val="a4"/>
    <w:link w:val="aff6"/>
    <w:rsid w:val="00B43B37"/>
    <w:rPr>
      <w:rFonts w:ascii="Times New Roman" w:eastAsia="Times New Roman" w:hAnsi="Times New Roman"/>
      <w:spacing w:val="-10"/>
      <w:sz w:val="28"/>
      <w:szCs w:val="56"/>
      <w:u w:val="single"/>
      <w:lang w:eastAsia="en-US"/>
    </w:rPr>
  </w:style>
  <w:style w:type="table" w:customStyle="1" w:styleId="-11">
    <w:name w:val="Таблица-сетка 1 светлая1"/>
    <w:basedOn w:val="a5"/>
    <w:uiPriority w:val="46"/>
    <w:rsid w:val="00B43B3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6"/>
    <w:next w:val="111111"/>
    <w:rsid w:val="00B43B37"/>
    <w:pPr>
      <w:numPr>
        <w:numId w:val="18"/>
      </w:numPr>
    </w:pPr>
  </w:style>
  <w:style w:type="numbering" w:customStyle="1" w:styleId="1ai1">
    <w:name w:val="1 / a / i1"/>
    <w:basedOn w:val="a6"/>
    <w:next w:val="1ai"/>
    <w:rsid w:val="00B43B37"/>
    <w:pPr>
      <w:numPr>
        <w:numId w:val="19"/>
      </w:numPr>
    </w:pPr>
  </w:style>
  <w:style w:type="numbering" w:styleId="111111">
    <w:name w:val="Outline List 2"/>
    <w:basedOn w:val="a6"/>
    <w:uiPriority w:val="99"/>
    <w:semiHidden/>
    <w:unhideWhenUsed/>
    <w:rsid w:val="00B43B37"/>
    <w:pPr>
      <w:numPr>
        <w:numId w:val="16"/>
      </w:numPr>
    </w:pPr>
  </w:style>
  <w:style w:type="numbering" w:styleId="1ai">
    <w:name w:val="Outline List 1"/>
    <w:basedOn w:val="a6"/>
    <w:uiPriority w:val="99"/>
    <w:semiHidden/>
    <w:unhideWhenUsed/>
    <w:rsid w:val="00B43B37"/>
    <w:pPr>
      <w:numPr>
        <w:numId w:val="17"/>
      </w:numPr>
    </w:pPr>
  </w:style>
  <w:style w:type="paragraph" w:customStyle="1" w:styleId="msonormal0">
    <w:name w:val="msonormal"/>
    <w:basedOn w:val="a1"/>
    <w:qFormat/>
    <w:rsid w:val="00B43B37"/>
    <w:pPr>
      <w:spacing w:before="100" w:beforeAutospacing="1" w:after="100" w:afterAutospacing="1" w:line="288" w:lineRule="auto"/>
      <w:ind w:firstLine="0"/>
      <w:jc w:val="left"/>
    </w:pPr>
    <w:rPr>
      <w:rFonts w:eastAsia="Times New Roman"/>
      <w:szCs w:val="24"/>
      <w:lang w:eastAsia="ru-RU"/>
    </w:rPr>
  </w:style>
  <w:style w:type="character" w:customStyle="1" w:styleId="1f7">
    <w:name w:val="Заголовок Знак1"/>
    <w:aliases w:val="Заголовок мой Знак1"/>
    <w:basedOn w:val="a4"/>
    <w:rsid w:val="00B43B37"/>
    <w:rPr>
      <w:rFonts w:asciiTheme="majorHAnsi" w:eastAsiaTheme="majorEastAsia" w:hAnsiTheme="majorHAnsi" w:cstheme="majorBidi"/>
      <w:spacing w:val="-10"/>
      <w:kern w:val="28"/>
      <w:sz w:val="56"/>
      <w:szCs w:val="56"/>
    </w:rPr>
  </w:style>
  <w:style w:type="paragraph" w:customStyle="1" w:styleId="a">
    <w:name w:val="рек"/>
    <w:basedOn w:val="afe"/>
    <w:link w:val="affff3"/>
    <w:qFormat/>
    <w:rsid w:val="00B43B37"/>
    <w:pPr>
      <w:numPr>
        <w:numId w:val="20"/>
      </w:numPr>
      <w:tabs>
        <w:tab w:val="left" w:pos="1134"/>
      </w:tabs>
      <w:spacing w:before="240"/>
      <w:ind w:left="709" w:hanging="425"/>
      <w:contextualSpacing w:val="0"/>
    </w:pPr>
    <w:rPr>
      <w:rFonts w:eastAsiaTheme="minorHAnsi"/>
      <w:szCs w:val="24"/>
    </w:rPr>
  </w:style>
  <w:style w:type="character" w:customStyle="1" w:styleId="affff3">
    <w:name w:val="рек Знак"/>
    <w:basedOn w:val="ac"/>
    <w:link w:val="a"/>
    <w:rsid w:val="00B43B37"/>
    <w:rPr>
      <w:rFonts w:ascii="Times New Roman" w:eastAsiaTheme="minorHAnsi" w:hAnsi="Times New Roman"/>
      <w:sz w:val="24"/>
      <w:szCs w:val="24"/>
      <w:lang w:eastAsia="en-US"/>
    </w:rPr>
  </w:style>
  <w:style w:type="paragraph" w:customStyle="1" w:styleId="1f8">
    <w:name w:val="Обычный с отступом 1 см"/>
    <w:basedOn w:val="a1"/>
    <w:rsid w:val="00B43B37"/>
    <w:pPr>
      <w:widowControl w:val="0"/>
      <w:ind w:firstLine="680"/>
    </w:pPr>
    <w:rPr>
      <w:rFonts w:ascii="Arial" w:eastAsia="Times New Roman" w:hAnsi="Arial"/>
      <w:bCs/>
      <w:iCs/>
      <w:sz w:val="28"/>
      <w:szCs w:val="20"/>
      <w:lang w:eastAsia="ru-RU"/>
    </w:rPr>
  </w:style>
  <w:style w:type="character" w:styleId="affff4">
    <w:name w:val="endnote reference"/>
    <w:basedOn w:val="a4"/>
    <w:unhideWhenUsed/>
    <w:rsid w:val="00B43B37"/>
    <w:rPr>
      <w:vertAlign w:val="superscript"/>
    </w:rPr>
  </w:style>
  <w:style w:type="character" w:customStyle="1" w:styleId="ListLabel67">
    <w:name w:val="ListLabel 67"/>
    <w:qFormat/>
    <w:rsid w:val="00B43B37"/>
    <w:rPr>
      <w:sz w:val="20"/>
    </w:rPr>
  </w:style>
  <w:style w:type="paragraph" w:customStyle="1" w:styleId="affff5">
    <w:name w:val="Содержимое таблицы"/>
    <w:basedOn w:val="a1"/>
    <w:qFormat/>
    <w:rsid w:val="00B43B37"/>
    <w:pPr>
      <w:suppressLineNumbers/>
      <w:ind w:firstLine="0"/>
      <w:jc w:val="left"/>
    </w:pPr>
    <w:rPr>
      <w:rFonts w:cs="Tahoma"/>
    </w:rPr>
  </w:style>
  <w:style w:type="character" w:styleId="affff6">
    <w:name w:val="Placeholder Text"/>
    <w:basedOn w:val="a4"/>
    <w:uiPriority w:val="99"/>
    <w:semiHidden/>
    <w:rsid w:val="00B43B37"/>
    <w:rPr>
      <w:color w:val="808080"/>
    </w:rPr>
  </w:style>
  <w:style w:type="character" w:customStyle="1" w:styleId="highlight">
    <w:name w:val="highlight"/>
    <w:basedOn w:val="a4"/>
    <w:rsid w:val="00B43B37"/>
  </w:style>
  <w:style w:type="character" w:customStyle="1" w:styleId="WW8Num60z8">
    <w:name w:val="WW8Num60z8"/>
    <w:rsid w:val="00B43B37"/>
  </w:style>
  <w:style w:type="character" w:customStyle="1" w:styleId="1f9">
    <w:name w:val="Строгий1"/>
    <w:basedOn w:val="a4"/>
    <w:rsid w:val="00B43B37"/>
    <w:rPr>
      <w:b/>
      <w:bCs/>
    </w:rPr>
  </w:style>
  <w:style w:type="character" w:customStyle="1" w:styleId="WW8Num37z5">
    <w:name w:val="WW8Num37z5"/>
    <w:rsid w:val="00B43B37"/>
  </w:style>
  <w:style w:type="character" w:customStyle="1" w:styleId="WW8Num37z0">
    <w:name w:val="WW8Num37z0"/>
    <w:rsid w:val="00B43B37"/>
  </w:style>
  <w:style w:type="paragraph" w:customStyle="1" w:styleId="ConsPlusNormal">
    <w:name w:val="ConsPlusNormal"/>
    <w:qFormat/>
    <w:rsid w:val="00B43B37"/>
    <w:pPr>
      <w:widowControl w:val="0"/>
      <w:autoSpaceDE w:val="0"/>
      <w:autoSpaceDN w:val="0"/>
    </w:pPr>
    <w:rPr>
      <w:rFonts w:eastAsia="Times New Roman" w:cs="Calibri"/>
      <w:sz w:val="22"/>
    </w:rPr>
  </w:style>
  <w:style w:type="paragraph" w:customStyle="1" w:styleId="-51">
    <w:name w:val="Светлый список - Акцент 51"/>
    <w:basedOn w:val="a1"/>
    <w:uiPriority w:val="34"/>
    <w:qFormat/>
    <w:rsid w:val="00B43B37"/>
    <w:pPr>
      <w:suppressAutoHyphens/>
      <w:ind w:left="708" w:firstLine="0"/>
    </w:pPr>
    <w:rPr>
      <w:lang w:eastAsia="zh-CN"/>
    </w:rPr>
  </w:style>
  <w:style w:type="paragraph" w:customStyle="1" w:styleId="1fa">
    <w:name w:val="Абзац списка1"/>
    <w:basedOn w:val="a1"/>
    <w:uiPriority w:val="34"/>
    <w:qFormat/>
    <w:rsid w:val="00B43B37"/>
    <w:pPr>
      <w:spacing w:after="160"/>
      <w:ind w:left="720"/>
      <w:contextualSpacing/>
    </w:pPr>
    <w:rPr>
      <w:rFonts w:eastAsia="Times New Roman"/>
    </w:rPr>
  </w:style>
  <w:style w:type="character" w:customStyle="1" w:styleId="af7">
    <w:name w:val="Основной текст Знак"/>
    <w:basedOn w:val="a4"/>
    <w:link w:val="a3"/>
    <w:rsid w:val="00B43B37"/>
    <w:rPr>
      <w:rFonts w:ascii="Times New Roman" w:hAnsi="Times New Roman"/>
      <w:sz w:val="24"/>
      <w:szCs w:val="22"/>
      <w:lang w:eastAsia="en-US"/>
    </w:rPr>
  </w:style>
  <w:style w:type="paragraph" w:styleId="1fb">
    <w:name w:val="index 1"/>
    <w:basedOn w:val="a1"/>
    <w:next w:val="a1"/>
    <w:autoRedefine/>
    <w:uiPriority w:val="99"/>
    <w:semiHidden/>
    <w:unhideWhenUsed/>
    <w:rsid w:val="00B43B37"/>
    <w:pPr>
      <w:ind w:left="240" w:hanging="240"/>
    </w:pPr>
    <w:rPr>
      <w:rFonts w:eastAsiaTheme="minorHAnsi" w:cstheme="minorBidi"/>
    </w:rPr>
  </w:style>
  <w:style w:type="character" w:customStyle="1" w:styleId="15">
    <w:name w:val="Верхний колонтитул Знак1"/>
    <w:basedOn w:val="a4"/>
    <w:link w:val="afb"/>
    <w:rsid w:val="00B43B37"/>
    <w:rPr>
      <w:rFonts w:ascii="Times New Roman" w:hAnsi="Times New Roman"/>
      <w:sz w:val="24"/>
      <w:szCs w:val="22"/>
      <w:lang w:eastAsia="en-US"/>
    </w:rPr>
  </w:style>
  <w:style w:type="character" w:customStyle="1" w:styleId="16">
    <w:name w:val="Нижний колонтитул Знак1"/>
    <w:basedOn w:val="a4"/>
    <w:link w:val="afc"/>
    <w:rsid w:val="00B43B37"/>
    <w:rPr>
      <w:rFonts w:ascii="Times New Roman" w:hAnsi="Times New Roman"/>
      <w:sz w:val="24"/>
      <w:szCs w:val="22"/>
      <w:lang w:eastAsia="en-US"/>
    </w:rPr>
  </w:style>
  <w:style w:type="character" w:customStyle="1" w:styleId="19">
    <w:name w:val="Текст выноски Знак1"/>
    <w:basedOn w:val="a4"/>
    <w:link w:val="aff0"/>
    <w:rsid w:val="00B43B37"/>
    <w:rPr>
      <w:rFonts w:ascii="Tahoma" w:hAnsi="Tahoma" w:cs="Tahoma"/>
      <w:sz w:val="16"/>
      <w:szCs w:val="16"/>
      <w:lang w:eastAsia="en-US"/>
    </w:rPr>
  </w:style>
  <w:style w:type="character" w:customStyle="1" w:styleId="1b">
    <w:name w:val="Подзаголовок Знак1"/>
    <w:basedOn w:val="a4"/>
    <w:link w:val="a2"/>
    <w:uiPriority w:val="11"/>
    <w:rsid w:val="00B43B37"/>
    <w:rPr>
      <w:rFonts w:ascii="Times New Roman" w:hAnsi="Times New Roman"/>
      <w:b/>
      <w:sz w:val="24"/>
      <w:szCs w:val="24"/>
      <w:u w:val="single"/>
      <w:lang w:eastAsia="en-US"/>
    </w:rPr>
  </w:style>
  <w:style w:type="character" w:customStyle="1" w:styleId="1d">
    <w:name w:val="Тема примечания Знак1"/>
    <w:basedOn w:val="1c"/>
    <w:link w:val="aff5"/>
    <w:rsid w:val="00B43B37"/>
    <w:rPr>
      <w:rFonts w:ascii="Times New Roman" w:hAnsi="Times New Roman"/>
      <w:b/>
      <w:bCs/>
      <w:lang w:eastAsia="en-US"/>
    </w:rPr>
  </w:style>
  <w:style w:type="character" w:customStyle="1" w:styleId="1f">
    <w:name w:val="Текст сноски Знак1"/>
    <w:basedOn w:val="a4"/>
    <w:link w:val="aff7"/>
    <w:rsid w:val="00B43B37"/>
    <w:rPr>
      <w:lang w:eastAsia="en-US"/>
    </w:rPr>
  </w:style>
  <w:style w:type="paragraph" w:styleId="HTML">
    <w:name w:val="HTML Preformatted"/>
    <w:basedOn w:val="a1"/>
    <w:link w:val="HTML0"/>
    <w:unhideWhenUsed/>
    <w:rsid w:val="00B43B37"/>
    <w:rPr>
      <w:rFonts w:ascii="Consolas" w:eastAsiaTheme="minorHAnsi" w:hAnsi="Consolas" w:cs="Consolas"/>
      <w:sz w:val="20"/>
      <w:szCs w:val="20"/>
    </w:rPr>
  </w:style>
  <w:style w:type="character" w:customStyle="1" w:styleId="HTML0">
    <w:name w:val="Стандартный HTML Знак"/>
    <w:basedOn w:val="a4"/>
    <w:link w:val="HTML"/>
    <w:rsid w:val="00B43B37"/>
    <w:rPr>
      <w:rFonts w:ascii="Consolas" w:eastAsiaTheme="minorHAnsi" w:hAnsi="Consolas" w:cs="Consolas"/>
      <w:lang w:eastAsia="en-US"/>
    </w:rPr>
  </w:style>
  <w:style w:type="paragraph" w:customStyle="1" w:styleId="Numlist">
    <w:name w:val="Num_list"/>
    <w:basedOn w:val="a1"/>
    <w:qFormat/>
    <w:rsid w:val="00B43B37"/>
    <w:pPr>
      <w:overflowPunct w:val="0"/>
      <w:spacing w:line="240" w:lineRule="auto"/>
      <w:ind w:firstLine="708"/>
      <w:jc w:val="left"/>
      <w:textAlignment w:val="baseline"/>
    </w:pPr>
    <w:rPr>
      <w:rFonts w:eastAsia="Times New Roman"/>
      <w:szCs w:val="24"/>
      <w:lang w:eastAsia="ru-RU"/>
    </w:rPr>
  </w:style>
  <w:style w:type="table" w:customStyle="1" w:styleId="1fc">
    <w:name w:val="Сетка таблицы светлая1"/>
    <w:basedOn w:val="a5"/>
    <w:uiPriority w:val="40"/>
    <w:rsid w:val="00B43B37"/>
    <w:rPr>
      <w:rFonts w:asciiTheme="minorHAnsi" w:eastAsiaTheme="minorHAnsi" w:hAnsiTheme="minorHAnsi"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Normal11">
    <w:name w:val="Normal 1"/>
    <w:basedOn w:val="a1"/>
    <w:rsid w:val="00B43B37"/>
    <w:pPr>
      <w:shd w:val="clear" w:color="auto" w:fill="FFFFFF"/>
      <w:tabs>
        <w:tab w:val="left" w:pos="394"/>
      </w:tabs>
      <w:overflowPunct w:val="0"/>
      <w:autoSpaceDE w:val="0"/>
      <w:autoSpaceDN w:val="0"/>
      <w:adjustRightInd w:val="0"/>
      <w:spacing w:before="5" w:line="240" w:lineRule="auto"/>
      <w:ind w:left="10" w:hanging="10"/>
      <w:jc w:val="left"/>
      <w:textAlignment w:val="baseline"/>
    </w:pPr>
    <w:rPr>
      <w:rFonts w:eastAsia="Times New Roman"/>
      <w:color w:val="000000"/>
      <w:spacing w:val="4"/>
      <w:szCs w:val="20"/>
      <w:lang w:eastAsia="ru-RU"/>
    </w:rPr>
  </w:style>
  <w:style w:type="paragraph" w:customStyle="1" w:styleId="Number1">
    <w:name w:val="Number1"/>
    <w:basedOn w:val="a1"/>
    <w:rsid w:val="00B43B37"/>
    <w:pPr>
      <w:shd w:val="clear" w:color="auto" w:fill="FFFFFF"/>
      <w:tabs>
        <w:tab w:val="left" w:pos="394"/>
      </w:tabs>
      <w:overflowPunct w:val="0"/>
      <w:autoSpaceDE w:val="0"/>
      <w:autoSpaceDN w:val="0"/>
      <w:adjustRightInd w:val="0"/>
      <w:spacing w:before="5" w:line="240" w:lineRule="auto"/>
      <w:ind w:left="284" w:hanging="284"/>
      <w:jc w:val="left"/>
      <w:textAlignment w:val="baseline"/>
    </w:pPr>
    <w:rPr>
      <w:rFonts w:eastAsia="Times New Roman"/>
      <w:color w:val="000000"/>
      <w:spacing w:val="-1"/>
      <w:szCs w:val="20"/>
      <w:lang w:eastAsia="ru-RU"/>
    </w:rPr>
  </w:style>
  <w:style w:type="paragraph" w:customStyle="1" w:styleId="Author">
    <w:name w:val="Author"/>
    <w:basedOn w:val="a1"/>
    <w:rsid w:val="00B43B37"/>
    <w:pPr>
      <w:overflowPunct w:val="0"/>
      <w:autoSpaceDE w:val="0"/>
      <w:autoSpaceDN w:val="0"/>
      <w:adjustRightInd w:val="0"/>
      <w:spacing w:line="240" w:lineRule="auto"/>
      <w:ind w:firstLine="284"/>
      <w:jc w:val="center"/>
      <w:textAlignment w:val="baseline"/>
    </w:pPr>
    <w:rPr>
      <w:rFonts w:eastAsia="Times New Roman"/>
      <w:i/>
      <w:szCs w:val="20"/>
      <w:lang w:eastAsia="ru-RU"/>
    </w:rPr>
  </w:style>
  <w:style w:type="paragraph" w:customStyle="1" w:styleId="affff7">
    <w:name w:val="Стиль"/>
    <w:uiPriority w:val="99"/>
    <w:rsid w:val="00B43B37"/>
    <w:pPr>
      <w:keepNext/>
      <w:keepLines/>
      <w:spacing w:line="276" w:lineRule="auto"/>
      <w:outlineLvl w:val="0"/>
    </w:pPr>
    <w:rPr>
      <w:rFonts w:ascii="Times New Roman" w:hAnsi="Times New Roman"/>
      <w:sz w:val="24"/>
      <w:szCs w:val="22"/>
      <w:lang w:eastAsia="en-US"/>
    </w:rPr>
  </w:style>
  <w:style w:type="paragraph" w:customStyle="1" w:styleId="1fd">
    <w:name w:val="УДД1"/>
    <w:aliases w:val="УУР1"/>
    <w:basedOn w:val="afffa"/>
    <w:uiPriority w:val="99"/>
    <w:rsid w:val="00B43B37"/>
    <w:pPr>
      <w:contextualSpacing w:val="0"/>
    </w:pPr>
  </w:style>
  <w:style w:type="paragraph" w:styleId="33">
    <w:name w:val="toc 3"/>
    <w:basedOn w:val="a1"/>
    <w:next w:val="a1"/>
    <w:autoRedefine/>
    <w:uiPriority w:val="39"/>
    <w:unhideWhenUsed/>
    <w:qFormat/>
    <w:rsid w:val="00B43B37"/>
    <w:pPr>
      <w:ind w:left="480"/>
      <w:jc w:val="left"/>
    </w:pPr>
    <w:rPr>
      <w:rFonts w:asciiTheme="minorHAnsi" w:hAnsiTheme="minorHAnsi"/>
      <w:sz w:val="20"/>
      <w:szCs w:val="20"/>
    </w:rPr>
  </w:style>
  <w:style w:type="numbering" w:customStyle="1" w:styleId="1fe">
    <w:name w:val="Нет списка1"/>
    <w:next w:val="a6"/>
    <w:uiPriority w:val="99"/>
    <w:semiHidden/>
    <w:unhideWhenUsed/>
    <w:rsid w:val="00B43B37"/>
  </w:style>
  <w:style w:type="numbering" w:customStyle="1" w:styleId="25">
    <w:name w:val="Нет списка2"/>
    <w:next w:val="a6"/>
    <w:uiPriority w:val="99"/>
    <w:semiHidden/>
    <w:unhideWhenUsed/>
    <w:rsid w:val="00B43B37"/>
  </w:style>
  <w:style w:type="numbering" w:customStyle="1" w:styleId="34">
    <w:name w:val="Нет списка3"/>
    <w:next w:val="a6"/>
    <w:uiPriority w:val="99"/>
    <w:semiHidden/>
    <w:unhideWhenUsed/>
    <w:rsid w:val="00B43B37"/>
  </w:style>
  <w:style w:type="paragraph" w:styleId="affff8">
    <w:name w:val="endnote text"/>
    <w:basedOn w:val="a1"/>
    <w:link w:val="affff9"/>
    <w:uiPriority w:val="99"/>
    <w:unhideWhenUsed/>
    <w:rsid w:val="00B43B37"/>
    <w:pPr>
      <w:spacing w:line="240" w:lineRule="auto"/>
      <w:ind w:firstLine="567"/>
    </w:pPr>
    <w:rPr>
      <w:rFonts w:ascii="Calibri" w:hAnsi="Calibri"/>
      <w:sz w:val="20"/>
      <w:szCs w:val="20"/>
    </w:rPr>
  </w:style>
  <w:style w:type="character" w:customStyle="1" w:styleId="affff9">
    <w:name w:val="Текст концевой сноски Знак"/>
    <w:basedOn w:val="a4"/>
    <w:link w:val="affff8"/>
    <w:uiPriority w:val="99"/>
    <w:rsid w:val="00B43B37"/>
    <w:rPr>
      <w:lang w:eastAsia="en-US"/>
    </w:rPr>
  </w:style>
  <w:style w:type="paragraph" w:customStyle="1" w:styleId="310">
    <w:name w:val="Основной текст с отступом 31"/>
    <w:basedOn w:val="a1"/>
    <w:rsid w:val="00B43B37"/>
    <w:pPr>
      <w:suppressAutoHyphens/>
      <w:spacing w:after="120" w:line="240" w:lineRule="auto"/>
      <w:ind w:left="283" w:firstLine="567"/>
    </w:pPr>
    <w:rPr>
      <w:rFonts w:eastAsia="Times New Roman" w:cs="Calibri"/>
      <w:sz w:val="16"/>
      <w:szCs w:val="16"/>
      <w:lang w:eastAsia="ar-SA"/>
    </w:rPr>
  </w:style>
  <w:style w:type="table" w:customStyle="1" w:styleId="26">
    <w:name w:val="Сетка таблицы2"/>
    <w:basedOn w:val="a5"/>
    <w:next w:val="aff9"/>
    <w:uiPriority w:val="59"/>
    <w:rsid w:val="00B43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B43B37"/>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B43B37"/>
  </w:style>
  <w:style w:type="paragraph" w:customStyle="1" w:styleId="firstlast">
    <w:name w:val="first last"/>
    <w:basedOn w:val="a1"/>
    <w:uiPriority w:val="99"/>
    <w:rsid w:val="00B43B37"/>
    <w:pPr>
      <w:spacing w:before="100" w:beforeAutospacing="1" w:after="100" w:afterAutospacing="1" w:line="240" w:lineRule="auto"/>
      <w:ind w:firstLine="567"/>
    </w:pPr>
    <w:rPr>
      <w:rFonts w:eastAsia="Times New Roman"/>
      <w:szCs w:val="24"/>
      <w:lang w:eastAsia="ru-RU"/>
    </w:rPr>
  </w:style>
  <w:style w:type="paragraph" w:customStyle="1" w:styleId="last">
    <w:name w:val="last"/>
    <w:basedOn w:val="a1"/>
    <w:uiPriority w:val="99"/>
    <w:rsid w:val="00B43B37"/>
    <w:pPr>
      <w:spacing w:before="100" w:beforeAutospacing="1" w:after="100" w:afterAutospacing="1" w:line="240" w:lineRule="auto"/>
      <w:ind w:firstLine="567"/>
    </w:pPr>
    <w:rPr>
      <w:rFonts w:eastAsia="Times New Roman"/>
      <w:szCs w:val="24"/>
      <w:lang w:eastAsia="ru-RU"/>
    </w:rPr>
  </w:style>
  <w:style w:type="paragraph" w:customStyle="1" w:styleId="para">
    <w:name w:val="para"/>
    <w:basedOn w:val="a1"/>
    <w:uiPriority w:val="99"/>
    <w:rsid w:val="00B43B37"/>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B43B37"/>
  </w:style>
  <w:style w:type="character" w:customStyle="1" w:styleId="postbody1">
    <w:name w:val="postbody1"/>
    <w:rsid w:val="00B43B37"/>
    <w:rPr>
      <w:sz w:val="18"/>
      <w:szCs w:val="18"/>
    </w:rPr>
  </w:style>
  <w:style w:type="character" w:customStyle="1" w:styleId="volume">
    <w:name w:val="volume"/>
    <w:rsid w:val="00B43B37"/>
  </w:style>
  <w:style w:type="character" w:customStyle="1" w:styleId="issue">
    <w:name w:val="issue"/>
    <w:rsid w:val="00B43B37"/>
  </w:style>
  <w:style w:type="character" w:customStyle="1" w:styleId="pages">
    <w:name w:val="pages"/>
    <w:rsid w:val="00B43B37"/>
  </w:style>
  <w:style w:type="paragraph" w:customStyle="1" w:styleId="210">
    <w:name w:val="Основной текст 21"/>
    <w:basedOn w:val="a1"/>
    <w:rsid w:val="00B43B37"/>
    <w:pPr>
      <w:suppressAutoHyphens/>
      <w:spacing w:line="240" w:lineRule="auto"/>
      <w:ind w:firstLine="567"/>
    </w:pPr>
    <w:rPr>
      <w:rFonts w:eastAsia="Times New Roman" w:cs="Calibri"/>
      <w:szCs w:val="20"/>
      <w:lang w:eastAsia="ar-SA"/>
    </w:rPr>
  </w:style>
  <w:style w:type="paragraph" w:customStyle="1" w:styleId="220">
    <w:name w:val="Основной текст 22"/>
    <w:basedOn w:val="a1"/>
    <w:rsid w:val="00B43B37"/>
    <w:pPr>
      <w:suppressAutoHyphens/>
      <w:spacing w:line="100" w:lineRule="atLeast"/>
      <w:ind w:firstLine="567"/>
    </w:pPr>
    <w:rPr>
      <w:rFonts w:eastAsia="Times New Roman"/>
      <w:kern w:val="1"/>
      <w:szCs w:val="24"/>
      <w:lang w:eastAsia="ar-SA"/>
    </w:rPr>
  </w:style>
  <w:style w:type="paragraph" w:styleId="affffa">
    <w:name w:val="Body Text Indent"/>
    <w:basedOn w:val="a1"/>
    <w:link w:val="affffb"/>
    <w:uiPriority w:val="99"/>
    <w:unhideWhenUsed/>
    <w:rsid w:val="00B43B37"/>
    <w:pPr>
      <w:spacing w:after="120" w:line="288" w:lineRule="auto"/>
      <w:ind w:left="283" w:firstLine="567"/>
    </w:pPr>
    <w:rPr>
      <w:rFonts w:ascii="Calibri" w:hAnsi="Calibri"/>
      <w:sz w:val="22"/>
    </w:rPr>
  </w:style>
  <w:style w:type="character" w:customStyle="1" w:styleId="affffb">
    <w:name w:val="Основной текст с отступом Знак"/>
    <w:basedOn w:val="a4"/>
    <w:link w:val="affffa"/>
    <w:uiPriority w:val="99"/>
    <w:rsid w:val="00B43B37"/>
    <w:rPr>
      <w:sz w:val="22"/>
      <w:szCs w:val="22"/>
      <w:lang w:eastAsia="en-US"/>
    </w:rPr>
  </w:style>
  <w:style w:type="paragraph" w:customStyle="1" w:styleId="TextDrugs">
    <w:name w:val="Text_Drugs"/>
    <w:basedOn w:val="a1"/>
    <w:rsid w:val="00B43B37"/>
    <w:pPr>
      <w:suppressAutoHyphens/>
      <w:spacing w:line="100" w:lineRule="atLeast"/>
      <w:ind w:firstLine="567"/>
    </w:pPr>
    <w:rPr>
      <w:rFonts w:ascii="Cambria" w:eastAsia="MS Mincho" w:hAnsi="Cambria"/>
      <w:kern w:val="1"/>
      <w:szCs w:val="24"/>
      <w:lang w:val="de-DE" w:eastAsia="ar-SA"/>
    </w:rPr>
  </w:style>
  <w:style w:type="character" w:customStyle="1" w:styleId="jrnl">
    <w:name w:val="jrnl"/>
    <w:rsid w:val="00B43B37"/>
  </w:style>
  <w:style w:type="character" w:customStyle="1" w:styleId="maintextbldleft">
    <w:name w:val="maintextbldleft"/>
    <w:rsid w:val="00B43B37"/>
  </w:style>
  <w:style w:type="character" w:customStyle="1" w:styleId="maintextleft">
    <w:name w:val="maintextleft"/>
    <w:rsid w:val="00B43B37"/>
  </w:style>
  <w:style w:type="paragraph" w:customStyle="1" w:styleId="27">
    <w:name w:val="Абзац списка2"/>
    <w:basedOn w:val="a1"/>
    <w:rsid w:val="00B43B37"/>
    <w:pPr>
      <w:suppressAutoHyphens/>
      <w:spacing w:after="200" w:line="276" w:lineRule="auto"/>
      <w:ind w:firstLine="567"/>
    </w:pPr>
    <w:rPr>
      <w:rFonts w:ascii="Calibri" w:hAnsi="Calibri" w:cs="Calibri"/>
      <w:sz w:val="22"/>
      <w:lang w:val="nl-NL" w:eastAsia="ar-SA"/>
    </w:rPr>
  </w:style>
  <w:style w:type="paragraph" w:customStyle="1" w:styleId="230">
    <w:name w:val="Основной текст 23"/>
    <w:basedOn w:val="a1"/>
    <w:rsid w:val="00B43B37"/>
    <w:pPr>
      <w:suppressAutoHyphens/>
      <w:spacing w:line="100" w:lineRule="atLeast"/>
      <w:ind w:firstLine="567"/>
    </w:pPr>
    <w:rPr>
      <w:rFonts w:eastAsia="Times New Roman"/>
      <w:kern w:val="1"/>
      <w:szCs w:val="24"/>
      <w:lang w:eastAsia="ar-SA"/>
    </w:rPr>
  </w:style>
  <w:style w:type="character" w:customStyle="1" w:styleId="hps">
    <w:name w:val="hps"/>
    <w:rsid w:val="00B43B37"/>
  </w:style>
  <w:style w:type="paragraph" w:styleId="28">
    <w:name w:val="Body Text 2"/>
    <w:basedOn w:val="a1"/>
    <w:link w:val="29"/>
    <w:semiHidden/>
    <w:rsid w:val="00B43B37"/>
    <w:pPr>
      <w:spacing w:line="240" w:lineRule="auto"/>
      <w:ind w:firstLine="567"/>
    </w:pPr>
    <w:rPr>
      <w:rFonts w:eastAsia="Times New Roman"/>
      <w:szCs w:val="20"/>
      <w:lang w:eastAsia="ru-RU"/>
    </w:rPr>
  </w:style>
  <w:style w:type="character" w:customStyle="1" w:styleId="29">
    <w:name w:val="Основной текст 2 Знак"/>
    <w:basedOn w:val="a4"/>
    <w:link w:val="28"/>
    <w:semiHidden/>
    <w:rsid w:val="00B43B37"/>
    <w:rPr>
      <w:rFonts w:ascii="Times New Roman" w:eastAsia="Times New Roman" w:hAnsi="Times New Roman"/>
      <w:sz w:val="24"/>
    </w:rPr>
  </w:style>
  <w:style w:type="character" w:customStyle="1" w:styleId="highwire-citation-authors">
    <w:name w:val="highwire-citation-authors"/>
    <w:rsid w:val="00B43B37"/>
  </w:style>
  <w:style w:type="character" w:customStyle="1" w:styleId="nlm-given-names">
    <w:name w:val="nlm-given-names"/>
    <w:rsid w:val="00B43B37"/>
  </w:style>
  <w:style w:type="character" w:customStyle="1" w:styleId="nlm-surname">
    <w:name w:val="nlm-surname"/>
    <w:rsid w:val="00B43B37"/>
  </w:style>
  <w:style w:type="character" w:customStyle="1" w:styleId="highwire-cite-metadata-journal">
    <w:name w:val="highwire-cite-metadata-journal"/>
    <w:rsid w:val="00B43B37"/>
  </w:style>
  <w:style w:type="character" w:customStyle="1" w:styleId="highwire-cite-metadata-date">
    <w:name w:val="highwire-cite-metadata-date"/>
    <w:rsid w:val="00B43B37"/>
  </w:style>
  <w:style w:type="character" w:customStyle="1" w:styleId="highwire-cite-metadata-volume-pages">
    <w:name w:val="highwire-cite-metadata-volume-pages"/>
    <w:rsid w:val="00B43B37"/>
  </w:style>
  <w:style w:type="character" w:customStyle="1" w:styleId="highwire-cite-metadata-doi">
    <w:name w:val="highwire-cite-metadata-doi"/>
    <w:rsid w:val="00B43B37"/>
  </w:style>
  <w:style w:type="character" w:customStyle="1" w:styleId="freeaccess">
    <w:name w:val="freeaccess"/>
    <w:rsid w:val="00B43B37"/>
  </w:style>
  <w:style w:type="character" w:styleId="affffc">
    <w:name w:val="page number"/>
    <w:uiPriority w:val="99"/>
    <w:rsid w:val="00B43B37"/>
  </w:style>
  <w:style w:type="paragraph" w:customStyle="1" w:styleId="35">
    <w:name w:val="Абзац списка3"/>
    <w:basedOn w:val="a1"/>
    <w:rsid w:val="00B43B37"/>
    <w:pPr>
      <w:spacing w:line="240" w:lineRule="auto"/>
      <w:ind w:left="720" w:firstLine="567"/>
    </w:pPr>
    <w:rPr>
      <w:szCs w:val="24"/>
      <w:lang w:eastAsia="ru-RU"/>
    </w:rPr>
  </w:style>
  <w:style w:type="character" w:customStyle="1" w:styleId="WW8Num3z0">
    <w:name w:val="WW8Num3z0"/>
    <w:rsid w:val="00B43B37"/>
    <w:rPr>
      <w:rFonts w:ascii="Symbol" w:hAnsi="Symbol" w:cs="Symbol"/>
    </w:rPr>
  </w:style>
  <w:style w:type="character" w:customStyle="1" w:styleId="WW8Num3z1">
    <w:name w:val="WW8Num3z1"/>
    <w:rsid w:val="00B43B37"/>
    <w:rPr>
      <w:rFonts w:ascii="Courier New" w:hAnsi="Courier New" w:cs="Courier New"/>
    </w:rPr>
  </w:style>
  <w:style w:type="character" w:customStyle="1" w:styleId="WW8Num3z2">
    <w:name w:val="WW8Num3z2"/>
    <w:rsid w:val="00B43B37"/>
    <w:rPr>
      <w:rFonts w:ascii="Wingdings" w:hAnsi="Wingdings" w:cs="Wingdings"/>
    </w:rPr>
  </w:style>
  <w:style w:type="character" w:customStyle="1" w:styleId="WW8Num4z0">
    <w:name w:val="WW8Num4z0"/>
    <w:rsid w:val="00B43B37"/>
    <w:rPr>
      <w:rFonts w:ascii="Symbol" w:hAnsi="Symbol" w:cs="Symbol"/>
    </w:rPr>
  </w:style>
  <w:style w:type="character" w:customStyle="1" w:styleId="WW8Num5z0">
    <w:name w:val="WW8Num5z0"/>
    <w:rsid w:val="00B43B37"/>
    <w:rPr>
      <w:rFonts w:ascii="Calibri" w:hAnsi="Calibri" w:cs="Calibri"/>
    </w:rPr>
  </w:style>
  <w:style w:type="character" w:customStyle="1" w:styleId="WW8Num5z1">
    <w:name w:val="WW8Num5z1"/>
    <w:rsid w:val="00B43B37"/>
    <w:rPr>
      <w:rFonts w:ascii="Calibri" w:hAnsi="Calibri" w:cs="Calibri"/>
    </w:rPr>
  </w:style>
  <w:style w:type="character" w:customStyle="1" w:styleId="WW8Num5z2">
    <w:name w:val="WW8Num5z2"/>
    <w:rsid w:val="00B43B37"/>
    <w:rPr>
      <w:rFonts w:ascii="Wingdings" w:hAnsi="Wingdings" w:cs="Wingdings"/>
    </w:rPr>
  </w:style>
  <w:style w:type="character" w:customStyle="1" w:styleId="WW8Num5z4">
    <w:name w:val="WW8Num5z4"/>
    <w:rsid w:val="00B43B37"/>
    <w:rPr>
      <w:rFonts w:ascii="Courier New" w:hAnsi="Courier New" w:cs="Courier New"/>
    </w:rPr>
  </w:style>
  <w:style w:type="character" w:customStyle="1" w:styleId="WW8Num6z0">
    <w:name w:val="WW8Num6z0"/>
    <w:rsid w:val="00B43B37"/>
    <w:rPr>
      <w:rFonts w:ascii="Gill Sans" w:hAnsi="Gill Sans" w:cs="Gill Sans"/>
      <w:sz w:val="28"/>
      <w:szCs w:val="22"/>
    </w:rPr>
  </w:style>
  <w:style w:type="character" w:customStyle="1" w:styleId="WW8Num6z1">
    <w:name w:val="WW8Num6z1"/>
    <w:rsid w:val="00B43B37"/>
    <w:rPr>
      <w:rFonts w:ascii="Courier New" w:hAnsi="Courier New" w:cs="Courier New"/>
    </w:rPr>
  </w:style>
  <w:style w:type="character" w:customStyle="1" w:styleId="WW8Num6z2">
    <w:name w:val="WW8Num6z2"/>
    <w:rsid w:val="00B43B37"/>
    <w:rPr>
      <w:rFonts w:ascii="Wingdings" w:hAnsi="Wingdings" w:cs="Wingdings"/>
    </w:rPr>
  </w:style>
  <w:style w:type="character" w:customStyle="1" w:styleId="WW8Num7z0">
    <w:name w:val="WW8Num7z0"/>
    <w:rsid w:val="00B43B37"/>
    <w:rPr>
      <w:rFonts w:ascii="Symbol" w:hAnsi="Symbol" w:cs="Symbol"/>
    </w:rPr>
  </w:style>
  <w:style w:type="character" w:customStyle="1" w:styleId="WW8Num7z1">
    <w:name w:val="WW8Num7z1"/>
    <w:rsid w:val="00B43B37"/>
    <w:rPr>
      <w:rFonts w:ascii="Calibri" w:hAnsi="Calibri" w:cs="Calibri"/>
    </w:rPr>
  </w:style>
  <w:style w:type="character" w:customStyle="1" w:styleId="WW8Num8z0">
    <w:name w:val="WW8Num8z0"/>
    <w:rsid w:val="00B43B37"/>
    <w:rPr>
      <w:rFonts w:ascii="Symbol" w:hAnsi="Symbol" w:cs="Symbol"/>
    </w:rPr>
  </w:style>
  <w:style w:type="character" w:customStyle="1" w:styleId="WW8Num9z0">
    <w:name w:val="WW8Num9z0"/>
    <w:rsid w:val="00B43B37"/>
    <w:rPr>
      <w:rFonts w:ascii="Calibri" w:eastAsia="Times New Roman" w:hAnsi="Calibri" w:cs="Times New Roman"/>
    </w:rPr>
  </w:style>
  <w:style w:type="character" w:customStyle="1" w:styleId="WW8Num10z0">
    <w:name w:val="WW8Num10z0"/>
    <w:rsid w:val="00B43B37"/>
    <w:rPr>
      <w:b w:val="0"/>
      <w:i w:val="0"/>
    </w:rPr>
  </w:style>
  <w:style w:type="character" w:customStyle="1" w:styleId="WW8Num11z0">
    <w:name w:val="WW8Num11z0"/>
    <w:rsid w:val="00B43B37"/>
    <w:rPr>
      <w:rFonts w:ascii="Symbol" w:hAnsi="Symbol" w:cs="Symbol"/>
    </w:rPr>
  </w:style>
  <w:style w:type="character" w:customStyle="1" w:styleId="WW8Num12z0">
    <w:name w:val="WW8Num12z0"/>
    <w:rsid w:val="00B43B37"/>
    <w:rPr>
      <w:rFonts w:ascii="Symbol" w:hAnsi="Symbol" w:cs="Symbol"/>
    </w:rPr>
  </w:style>
  <w:style w:type="character" w:customStyle="1" w:styleId="WW8Num13z0">
    <w:name w:val="WW8Num13z0"/>
    <w:rsid w:val="00B43B37"/>
    <w:rPr>
      <w:rFonts w:ascii="Symbol" w:hAnsi="Symbol" w:cs="Symbol"/>
    </w:rPr>
  </w:style>
  <w:style w:type="character" w:customStyle="1" w:styleId="WW8Num14z0">
    <w:name w:val="WW8Num14z0"/>
    <w:rsid w:val="00B43B37"/>
    <w:rPr>
      <w:rFonts w:ascii="Calibri" w:hAnsi="Calibri" w:cs="Calibri"/>
    </w:rPr>
  </w:style>
  <w:style w:type="character" w:customStyle="1" w:styleId="WW8Num15z0">
    <w:name w:val="WW8Num15z0"/>
    <w:rsid w:val="00B43B37"/>
    <w:rPr>
      <w:rFonts w:ascii="Symbol" w:hAnsi="Symbol" w:cs="Symbol"/>
    </w:rPr>
  </w:style>
  <w:style w:type="character" w:customStyle="1" w:styleId="WW8Num16z0">
    <w:name w:val="WW8Num16z0"/>
    <w:rsid w:val="00B43B37"/>
    <w:rPr>
      <w:rFonts w:ascii="Symbol" w:hAnsi="Symbol" w:cs="Symbol"/>
    </w:rPr>
  </w:style>
  <w:style w:type="character" w:customStyle="1" w:styleId="WW8Num17z0">
    <w:name w:val="WW8Num17z0"/>
    <w:rsid w:val="00B43B37"/>
    <w:rPr>
      <w:rFonts w:ascii="Calibri" w:hAnsi="Calibri" w:cs="Calibri"/>
    </w:rPr>
  </w:style>
  <w:style w:type="character" w:customStyle="1" w:styleId="WW8Num18z0">
    <w:name w:val="WW8Num18z0"/>
    <w:rsid w:val="00B43B37"/>
    <w:rPr>
      <w:rFonts w:ascii="Symbol" w:hAnsi="Symbol" w:cs="Symbol"/>
    </w:rPr>
  </w:style>
  <w:style w:type="character" w:customStyle="1" w:styleId="WW8Num19z0">
    <w:name w:val="WW8Num19z0"/>
    <w:rsid w:val="00B43B37"/>
    <w:rPr>
      <w:rFonts w:ascii="Symbol" w:hAnsi="Symbol" w:cs="Symbol"/>
    </w:rPr>
  </w:style>
  <w:style w:type="character" w:customStyle="1" w:styleId="WW8Num20z0">
    <w:name w:val="WW8Num20z0"/>
    <w:rsid w:val="00B43B37"/>
    <w:rPr>
      <w:rFonts w:ascii="Symbol" w:hAnsi="Symbol" w:cs="Symbol"/>
    </w:rPr>
  </w:style>
  <w:style w:type="character" w:customStyle="1" w:styleId="WW8Num21z0">
    <w:name w:val="WW8Num21z0"/>
    <w:rsid w:val="00B43B37"/>
    <w:rPr>
      <w:rFonts w:ascii="Symbol" w:hAnsi="Symbol" w:cs="Symbol"/>
    </w:rPr>
  </w:style>
  <w:style w:type="character" w:customStyle="1" w:styleId="WW8Num22z0">
    <w:name w:val="WW8Num22z0"/>
    <w:rsid w:val="00B43B37"/>
    <w:rPr>
      <w:rFonts w:ascii="Symbol" w:hAnsi="Symbol" w:cs="Symbol"/>
    </w:rPr>
  </w:style>
  <w:style w:type="character" w:customStyle="1" w:styleId="WW8Num23z0">
    <w:name w:val="WW8Num23z0"/>
    <w:rsid w:val="00B43B37"/>
    <w:rPr>
      <w:rFonts w:ascii="Symbol" w:hAnsi="Symbol" w:cs="Symbol"/>
    </w:rPr>
  </w:style>
  <w:style w:type="character" w:customStyle="1" w:styleId="WW8Num24z0">
    <w:name w:val="WW8Num24z0"/>
    <w:rsid w:val="00B43B37"/>
    <w:rPr>
      <w:rFonts w:ascii="Symbol" w:hAnsi="Symbol" w:cs="Symbol"/>
    </w:rPr>
  </w:style>
  <w:style w:type="character" w:customStyle="1" w:styleId="WW8Num25z0">
    <w:name w:val="WW8Num25z0"/>
    <w:rsid w:val="00B43B37"/>
    <w:rPr>
      <w:rFonts w:ascii="Symbol" w:hAnsi="Symbol" w:cs="Symbol"/>
    </w:rPr>
  </w:style>
  <w:style w:type="character" w:customStyle="1" w:styleId="WW8Num26z0">
    <w:name w:val="WW8Num26z0"/>
    <w:rsid w:val="00B43B37"/>
    <w:rPr>
      <w:rFonts w:ascii="Symbol" w:hAnsi="Symbol" w:cs="Symbol"/>
    </w:rPr>
  </w:style>
  <w:style w:type="character" w:customStyle="1" w:styleId="WW8Num27z0">
    <w:name w:val="WW8Num27z0"/>
    <w:rsid w:val="00B43B37"/>
    <w:rPr>
      <w:rFonts w:ascii="Calibri" w:hAnsi="Calibri" w:cs="Calibri"/>
    </w:rPr>
  </w:style>
  <w:style w:type="character" w:customStyle="1" w:styleId="WW8Num27z1">
    <w:name w:val="WW8Num27z1"/>
    <w:rsid w:val="00B43B37"/>
    <w:rPr>
      <w:rFonts w:ascii="Courier New" w:hAnsi="Courier New" w:cs="Courier New"/>
    </w:rPr>
  </w:style>
  <w:style w:type="character" w:customStyle="1" w:styleId="WW8Num27z2">
    <w:name w:val="WW8Num27z2"/>
    <w:rsid w:val="00B43B37"/>
    <w:rPr>
      <w:rFonts w:ascii="Wingdings" w:hAnsi="Wingdings" w:cs="Wingdings"/>
    </w:rPr>
  </w:style>
  <w:style w:type="character" w:customStyle="1" w:styleId="WW8Num27z4">
    <w:name w:val="WW8Num27z4"/>
    <w:rsid w:val="00B43B37"/>
    <w:rPr>
      <w:rFonts w:ascii="Courier New" w:hAnsi="Courier New" w:cs="Courier New"/>
    </w:rPr>
  </w:style>
  <w:style w:type="character" w:customStyle="1" w:styleId="WW8Num28z0">
    <w:name w:val="WW8Num28z0"/>
    <w:rsid w:val="00B43B37"/>
    <w:rPr>
      <w:rFonts w:ascii="Symbol" w:hAnsi="Symbol" w:cs="Symbol"/>
    </w:rPr>
  </w:style>
  <w:style w:type="character" w:customStyle="1" w:styleId="WW8Num29z0">
    <w:name w:val="WW8Num29z0"/>
    <w:rsid w:val="00B43B37"/>
    <w:rPr>
      <w:rFonts w:ascii="Symbol" w:hAnsi="Symbol" w:cs="Symbol"/>
    </w:rPr>
  </w:style>
  <w:style w:type="character" w:customStyle="1" w:styleId="WW8Num30z0">
    <w:name w:val="WW8Num30z0"/>
    <w:rsid w:val="00B43B37"/>
    <w:rPr>
      <w:rFonts w:ascii="Symbol" w:hAnsi="Symbol" w:cs="Symbol"/>
    </w:rPr>
  </w:style>
  <w:style w:type="character" w:customStyle="1" w:styleId="WW8Num31z0">
    <w:name w:val="WW8Num31z0"/>
    <w:rsid w:val="00B43B37"/>
    <w:rPr>
      <w:b w:val="0"/>
      <w:i w:val="0"/>
      <w:kern w:val="1"/>
    </w:rPr>
  </w:style>
  <w:style w:type="character" w:customStyle="1" w:styleId="WW8Num32z0">
    <w:name w:val="WW8Num32z0"/>
    <w:rsid w:val="00B43B37"/>
    <w:rPr>
      <w:rFonts w:ascii="Symbol" w:hAnsi="Symbol" w:cs="Symbol"/>
    </w:rPr>
  </w:style>
  <w:style w:type="character" w:customStyle="1" w:styleId="WW8Num34z0">
    <w:name w:val="WW8Num34z0"/>
    <w:rsid w:val="00B43B37"/>
    <w:rPr>
      <w:rFonts w:ascii="Symbol" w:hAnsi="Symbol" w:cs="Symbol"/>
    </w:rPr>
  </w:style>
  <w:style w:type="character" w:customStyle="1" w:styleId="WW8Num34z1">
    <w:name w:val="WW8Num34z1"/>
    <w:rsid w:val="00B43B37"/>
    <w:rPr>
      <w:rFonts w:ascii="Courier New" w:hAnsi="Courier New" w:cs="Courier New"/>
    </w:rPr>
  </w:style>
  <w:style w:type="character" w:customStyle="1" w:styleId="WW8Num34z2">
    <w:name w:val="WW8Num34z2"/>
    <w:rsid w:val="00B43B37"/>
    <w:rPr>
      <w:rFonts w:ascii="Wingdings" w:hAnsi="Wingdings" w:cs="Wingdings"/>
    </w:rPr>
  </w:style>
  <w:style w:type="character" w:customStyle="1" w:styleId="WW8Num34z4">
    <w:name w:val="WW8Num34z4"/>
    <w:rsid w:val="00B43B37"/>
    <w:rPr>
      <w:rFonts w:ascii="Courier New" w:hAnsi="Courier New" w:cs="Courier New"/>
    </w:rPr>
  </w:style>
  <w:style w:type="character" w:customStyle="1" w:styleId="WW8Num35z0">
    <w:name w:val="WW8Num35z0"/>
    <w:rsid w:val="00B43B37"/>
    <w:rPr>
      <w:rFonts w:ascii="Calibri" w:hAnsi="Calibri" w:cs="Calibri"/>
    </w:rPr>
  </w:style>
  <w:style w:type="character" w:customStyle="1" w:styleId="WW8Num36z0">
    <w:name w:val="WW8Num36z0"/>
    <w:rsid w:val="00B43B37"/>
    <w:rPr>
      <w:rFonts w:ascii="Symbol" w:hAnsi="Symbol" w:cs="Symbol"/>
    </w:rPr>
  </w:style>
  <w:style w:type="character" w:customStyle="1" w:styleId="WW8Num38z0">
    <w:name w:val="WW8Num38z0"/>
    <w:rsid w:val="00B43B37"/>
    <w:rPr>
      <w:rFonts w:ascii="Symbol" w:hAnsi="Symbol" w:cs="Symbol"/>
    </w:rPr>
  </w:style>
  <w:style w:type="character" w:customStyle="1" w:styleId="WW8Num39z0">
    <w:name w:val="WW8Num39z0"/>
    <w:rsid w:val="00B43B37"/>
    <w:rPr>
      <w:rFonts w:ascii="Symbol" w:hAnsi="Symbol" w:cs="Symbol"/>
    </w:rPr>
  </w:style>
  <w:style w:type="character" w:customStyle="1" w:styleId="WW8Num40z0">
    <w:name w:val="WW8Num40z0"/>
    <w:rsid w:val="00B43B37"/>
    <w:rPr>
      <w:rFonts w:ascii="Symbol" w:hAnsi="Symbol" w:cs="Symbol"/>
    </w:rPr>
  </w:style>
  <w:style w:type="character" w:customStyle="1" w:styleId="WW8Num41z0">
    <w:name w:val="WW8Num41z0"/>
    <w:rsid w:val="00B43B37"/>
    <w:rPr>
      <w:rFonts w:ascii="Calibri" w:hAnsi="Calibri" w:cs="Calibri"/>
    </w:rPr>
  </w:style>
  <w:style w:type="character" w:customStyle="1" w:styleId="WW8Num42z0">
    <w:name w:val="WW8Num42z0"/>
    <w:rsid w:val="00B43B37"/>
    <w:rPr>
      <w:rFonts w:ascii="Symbol" w:hAnsi="Symbol" w:cs="Symbol"/>
    </w:rPr>
  </w:style>
  <w:style w:type="character" w:customStyle="1" w:styleId="WW8Num43z0">
    <w:name w:val="WW8Num43z0"/>
    <w:rsid w:val="00B43B37"/>
    <w:rPr>
      <w:rFonts w:ascii="Symbol" w:hAnsi="Symbol" w:cs="Symbol"/>
    </w:rPr>
  </w:style>
  <w:style w:type="character" w:customStyle="1" w:styleId="WW8Num44z0">
    <w:name w:val="WW8Num44z0"/>
    <w:rsid w:val="00B43B37"/>
    <w:rPr>
      <w:rFonts w:ascii="Symbol" w:hAnsi="Symbol" w:cs="Symbol"/>
    </w:rPr>
  </w:style>
  <w:style w:type="character" w:customStyle="1" w:styleId="WW8Num45z0">
    <w:name w:val="WW8Num45z0"/>
    <w:rsid w:val="00B43B37"/>
    <w:rPr>
      <w:rFonts w:ascii="Symbol" w:hAnsi="Symbol" w:cs="Symbol"/>
    </w:rPr>
  </w:style>
  <w:style w:type="character" w:customStyle="1" w:styleId="WW8Num46z0">
    <w:name w:val="WW8Num46z0"/>
    <w:rsid w:val="00B43B37"/>
    <w:rPr>
      <w:rFonts w:ascii="Symbol" w:hAnsi="Symbol" w:cs="Symbol"/>
    </w:rPr>
  </w:style>
  <w:style w:type="character" w:customStyle="1" w:styleId="WW8Num47z0">
    <w:name w:val="WW8Num47z0"/>
    <w:rsid w:val="00B43B37"/>
    <w:rPr>
      <w:rFonts w:ascii="Calibri" w:hAnsi="Calibri" w:cs="Calibri"/>
    </w:rPr>
  </w:style>
  <w:style w:type="character" w:customStyle="1" w:styleId="WW8Num48z0">
    <w:name w:val="WW8Num48z0"/>
    <w:rsid w:val="00B43B37"/>
    <w:rPr>
      <w:rFonts w:ascii="Symbol" w:hAnsi="Symbol" w:cs="Symbol"/>
    </w:rPr>
  </w:style>
  <w:style w:type="character" w:customStyle="1" w:styleId="WW8Num49z0">
    <w:name w:val="WW8Num49z0"/>
    <w:rsid w:val="00B43B37"/>
    <w:rPr>
      <w:rFonts w:ascii="Symbol" w:hAnsi="Symbol" w:cs="Symbol"/>
    </w:rPr>
  </w:style>
  <w:style w:type="character" w:customStyle="1" w:styleId="WW8Num49z1">
    <w:name w:val="WW8Num49z1"/>
    <w:rsid w:val="00B43B37"/>
    <w:rPr>
      <w:rFonts w:ascii="Courier New" w:hAnsi="Courier New" w:cs="Courier New"/>
    </w:rPr>
  </w:style>
  <w:style w:type="character" w:customStyle="1" w:styleId="WW8Num49z2">
    <w:name w:val="WW8Num49z2"/>
    <w:rsid w:val="00B43B37"/>
    <w:rPr>
      <w:rFonts w:ascii="Wingdings" w:hAnsi="Wingdings" w:cs="Wingdings"/>
    </w:rPr>
  </w:style>
  <w:style w:type="character" w:customStyle="1" w:styleId="WW8Num50z0">
    <w:name w:val="WW8Num50z0"/>
    <w:rsid w:val="00B43B37"/>
    <w:rPr>
      <w:rFonts w:ascii="Symbol" w:hAnsi="Symbol" w:cs="Symbol"/>
    </w:rPr>
  </w:style>
  <w:style w:type="character" w:customStyle="1" w:styleId="2a">
    <w:name w:val="Основной шрифт абзаца2"/>
    <w:rsid w:val="00B43B37"/>
  </w:style>
  <w:style w:type="character" w:customStyle="1" w:styleId="WW8Num4z1">
    <w:name w:val="WW8Num4z1"/>
    <w:rsid w:val="00B43B37"/>
    <w:rPr>
      <w:rFonts w:ascii="Courier New" w:hAnsi="Courier New" w:cs="Courier New"/>
      <w:color w:val="000000"/>
    </w:rPr>
  </w:style>
  <w:style w:type="character" w:customStyle="1" w:styleId="WW8Num4z2">
    <w:name w:val="WW8Num4z2"/>
    <w:rsid w:val="00B43B37"/>
    <w:rPr>
      <w:rFonts w:ascii="Wingdings" w:hAnsi="Wingdings" w:cs="Wingdings"/>
    </w:rPr>
  </w:style>
  <w:style w:type="character" w:customStyle="1" w:styleId="WW8Num4z4">
    <w:name w:val="WW8Num4z4"/>
    <w:rsid w:val="00B43B37"/>
    <w:rPr>
      <w:rFonts w:ascii="Courier New" w:hAnsi="Courier New" w:cs="Courier New"/>
    </w:rPr>
  </w:style>
  <w:style w:type="character" w:customStyle="1" w:styleId="WW8Num7z2">
    <w:name w:val="WW8Num7z2"/>
    <w:rsid w:val="00B43B37"/>
    <w:rPr>
      <w:rFonts w:ascii="Wingdings" w:hAnsi="Wingdings" w:cs="Wingdings"/>
    </w:rPr>
  </w:style>
  <w:style w:type="character" w:customStyle="1" w:styleId="WW8Num7z4">
    <w:name w:val="WW8Num7z4"/>
    <w:rsid w:val="00B43B37"/>
    <w:rPr>
      <w:rFonts w:ascii="Courier New" w:hAnsi="Courier New" w:cs="Courier New"/>
    </w:rPr>
  </w:style>
  <w:style w:type="character" w:customStyle="1" w:styleId="WW8Num8z1">
    <w:name w:val="WW8Num8z1"/>
    <w:rsid w:val="00B43B37"/>
    <w:rPr>
      <w:rFonts w:ascii="Courier New" w:hAnsi="Courier New" w:cs="Courier New"/>
    </w:rPr>
  </w:style>
  <w:style w:type="character" w:customStyle="1" w:styleId="WW8Num8z2">
    <w:name w:val="WW8Num8z2"/>
    <w:rsid w:val="00B43B37"/>
    <w:rPr>
      <w:rFonts w:ascii="Wingdings" w:hAnsi="Wingdings" w:cs="Wingdings"/>
    </w:rPr>
  </w:style>
  <w:style w:type="character" w:customStyle="1" w:styleId="WW8Num9z1">
    <w:name w:val="WW8Num9z1"/>
    <w:rsid w:val="00B43B37"/>
    <w:rPr>
      <w:rFonts w:ascii="Symbol" w:hAnsi="Symbol" w:cs="Courier New"/>
    </w:rPr>
  </w:style>
  <w:style w:type="character" w:customStyle="1" w:styleId="WW8Num15z1">
    <w:name w:val="WW8Num15z1"/>
    <w:rsid w:val="00B43B37"/>
    <w:rPr>
      <w:rFonts w:ascii="Courier New" w:hAnsi="Courier New" w:cs="Courier New"/>
    </w:rPr>
  </w:style>
  <w:style w:type="character" w:customStyle="1" w:styleId="WW8Num15z2">
    <w:name w:val="WW8Num15z2"/>
    <w:rsid w:val="00B43B37"/>
    <w:rPr>
      <w:rFonts w:ascii="Wingdings" w:hAnsi="Wingdings" w:cs="Wingdings"/>
    </w:rPr>
  </w:style>
  <w:style w:type="character" w:customStyle="1" w:styleId="WW8Num16z1">
    <w:name w:val="WW8Num16z1"/>
    <w:rsid w:val="00B43B37"/>
    <w:rPr>
      <w:rFonts w:ascii="Courier New" w:hAnsi="Courier New" w:cs="Courier New"/>
    </w:rPr>
  </w:style>
  <w:style w:type="character" w:customStyle="1" w:styleId="WW8Num16z2">
    <w:name w:val="WW8Num16z2"/>
    <w:rsid w:val="00B43B37"/>
    <w:rPr>
      <w:rFonts w:ascii="Wingdings" w:hAnsi="Wingdings" w:cs="Wingdings"/>
    </w:rPr>
  </w:style>
  <w:style w:type="character" w:customStyle="1" w:styleId="WW8Num17z1">
    <w:name w:val="WW8Num17z1"/>
    <w:rsid w:val="00B43B37"/>
    <w:rPr>
      <w:rFonts w:ascii="Courier New" w:hAnsi="Courier New" w:cs="Courier New"/>
    </w:rPr>
  </w:style>
  <w:style w:type="character" w:customStyle="1" w:styleId="WW8Num17z2">
    <w:name w:val="WW8Num17z2"/>
    <w:rsid w:val="00B43B37"/>
    <w:rPr>
      <w:rFonts w:ascii="Wingdings" w:hAnsi="Wingdings" w:cs="Wingdings"/>
    </w:rPr>
  </w:style>
  <w:style w:type="character" w:customStyle="1" w:styleId="WW8Num17z3">
    <w:name w:val="WW8Num17z3"/>
    <w:rsid w:val="00B43B37"/>
    <w:rPr>
      <w:rFonts w:ascii="Symbol" w:hAnsi="Symbol" w:cs="Symbol"/>
    </w:rPr>
  </w:style>
  <w:style w:type="character" w:customStyle="1" w:styleId="WW8Num18z1">
    <w:name w:val="WW8Num18z1"/>
    <w:rsid w:val="00B43B37"/>
    <w:rPr>
      <w:rFonts w:ascii="Courier New" w:hAnsi="Courier New" w:cs="Courier New"/>
    </w:rPr>
  </w:style>
  <w:style w:type="character" w:customStyle="1" w:styleId="WW8Num18z2">
    <w:name w:val="WW8Num18z2"/>
    <w:rsid w:val="00B43B37"/>
    <w:rPr>
      <w:rFonts w:ascii="Wingdings" w:hAnsi="Wingdings" w:cs="Wingdings"/>
    </w:rPr>
  </w:style>
  <w:style w:type="character" w:customStyle="1" w:styleId="WW8Num19z1">
    <w:name w:val="WW8Num19z1"/>
    <w:rsid w:val="00B43B37"/>
    <w:rPr>
      <w:rFonts w:ascii="Courier New" w:hAnsi="Courier New" w:cs="Courier New"/>
    </w:rPr>
  </w:style>
  <w:style w:type="character" w:customStyle="1" w:styleId="WW8Num19z2">
    <w:name w:val="WW8Num19z2"/>
    <w:rsid w:val="00B43B37"/>
    <w:rPr>
      <w:rFonts w:ascii="Wingdings" w:hAnsi="Wingdings" w:cs="Wingdings"/>
    </w:rPr>
  </w:style>
  <w:style w:type="character" w:customStyle="1" w:styleId="WW8Num20z1">
    <w:name w:val="WW8Num20z1"/>
    <w:rsid w:val="00B43B37"/>
    <w:rPr>
      <w:rFonts w:ascii="Courier New" w:hAnsi="Courier New" w:cs="Courier New"/>
    </w:rPr>
  </w:style>
  <w:style w:type="character" w:customStyle="1" w:styleId="WW8Num20z2">
    <w:name w:val="WW8Num20z2"/>
    <w:rsid w:val="00B43B37"/>
    <w:rPr>
      <w:rFonts w:ascii="Wingdings" w:hAnsi="Wingdings" w:cs="Wingdings"/>
    </w:rPr>
  </w:style>
  <w:style w:type="character" w:customStyle="1" w:styleId="WW8Num21z1">
    <w:name w:val="WW8Num21z1"/>
    <w:rsid w:val="00B43B37"/>
    <w:rPr>
      <w:rFonts w:ascii="Courier New" w:hAnsi="Courier New" w:cs="Courier New"/>
    </w:rPr>
  </w:style>
  <w:style w:type="character" w:customStyle="1" w:styleId="WW8Num21z2">
    <w:name w:val="WW8Num21z2"/>
    <w:rsid w:val="00B43B37"/>
    <w:rPr>
      <w:rFonts w:ascii="Wingdings" w:hAnsi="Wingdings" w:cs="Wingdings"/>
    </w:rPr>
  </w:style>
  <w:style w:type="character" w:customStyle="1" w:styleId="WW8Num22z1">
    <w:name w:val="WW8Num22z1"/>
    <w:rsid w:val="00B43B37"/>
    <w:rPr>
      <w:rFonts w:ascii="Courier New" w:hAnsi="Courier New" w:cs="Courier New"/>
    </w:rPr>
  </w:style>
  <w:style w:type="character" w:customStyle="1" w:styleId="WW8Num22z2">
    <w:name w:val="WW8Num22z2"/>
    <w:rsid w:val="00B43B37"/>
    <w:rPr>
      <w:rFonts w:ascii="Wingdings" w:hAnsi="Wingdings" w:cs="Wingdings"/>
    </w:rPr>
  </w:style>
  <w:style w:type="character" w:customStyle="1" w:styleId="WW8Num23z1">
    <w:name w:val="WW8Num23z1"/>
    <w:rsid w:val="00B43B37"/>
    <w:rPr>
      <w:rFonts w:ascii="Courier New" w:hAnsi="Courier New" w:cs="Courier New"/>
    </w:rPr>
  </w:style>
  <w:style w:type="character" w:customStyle="1" w:styleId="WW8Num23z2">
    <w:name w:val="WW8Num23z2"/>
    <w:rsid w:val="00B43B37"/>
    <w:rPr>
      <w:rFonts w:ascii="Wingdings" w:hAnsi="Wingdings" w:cs="Wingdings"/>
    </w:rPr>
  </w:style>
  <w:style w:type="character" w:customStyle="1" w:styleId="WW8Num24z1">
    <w:name w:val="WW8Num24z1"/>
    <w:rsid w:val="00B43B37"/>
    <w:rPr>
      <w:rFonts w:ascii="Courier New" w:hAnsi="Courier New" w:cs="Courier New"/>
    </w:rPr>
  </w:style>
  <w:style w:type="character" w:customStyle="1" w:styleId="WW8Num24z2">
    <w:name w:val="WW8Num24z2"/>
    <w:rsid w:val="00B43B37"/>
    <w:rPr>
      <w:rFonts w:ascii="Wingdings" w:hAnsi="Wingdings" w:cs="Wingdings"/>
    </w:rPr>
  </w:style>
  <w:style w:type="character" w:customStyle="1" w:styleId="WW8Num25z1">
    <w:name w:val="WW8Num25z1"/>
    <w:rsid w:val="00B43B37"/>
    <w:rPr>
      <w:rFonts w:ascii="Courier New" w:hAnsi="Courier New" w:cs="Courier New"/>
    </w:rPr>
  </w:style>
  <w:style w:type="character" w:customStyle="1" w:styleId="WW8Num25z2">
    <w:name w:val="WW8Num25z2"/>
    <w:rsid w:val="00B43B37"/>
    <w:rPr>
      <w:rFonts w:ascii="Wingdings" w:hAnsi="Wingdings" w:cs="Wingdings"/>
    </w:rPr>
  </w:style>
  <w:style w:type="character" w:customStyle="1" w:styleId="WW8Num26z1">
    <w:name w:val="WW8Num26z1"/>
    <w:rsid w:val="00B43B37"/>
    <w:rPr>
      <w:rFonts w:ascii="Courier New" w:hAnsi="Courier New" w:cs="Courier New"/>
    </w:rPr>
  </w:style>
  <w:style w:type="character" w:customStyle="1" w:styleId="WW8Num26z2">
    <w:name w:val="WW8Num26z2"/>
    <w:rsid w:val="00B43B37"/>
    <w:rPr>
      <w:rFonts w:ascii="Wingdings" w:hAnsi="Wingdings" w:cs="Wingdings"/>
    </w:rPr>
  </w:style>
  <w:style w:type="character" w:customStyle="1" w:styleId="WW8Num27z3">
    <w:name w:val="WW8Num27z3"/>
    <w:rsid w:val="00B43B37"/>
    <w:rPr>
      <w:rFonts w:ascii="Symbol" w:hAnsi="Symbol" w:cs="Symbol"/>
    </w:rPr>
  </w:style>
  <w:style w:type="character" w:customStyle="1" w:styleId="WW8Num28z1">
    <w:name w:val="WW8Num28z1"/>
    <w:rsid w:val="00B43B37"/>
    <w:rPr>
      <w:rFonts w:ascii="Courier New" w:hAnsi="Courier New" w:cs="Courier New"/>
    </w:rPr>
  </w:style>
  <w:style w:type="character" w:customStyle="1" w:styleId="WW8Num28z2">
    <w:name w:val="WW8Num28z2"/>
    <w:rsid w:val="00B43B37"/>
    <w:rPr>
      <w:rFonts w:ascii="Wingdings" w:hAnsi="Wingdings" w:cs="Wingdings"/>
    </w:rPr>
  </w:style>
  <w:style w:type="character" w:customStyle="1" w:styleId="WW8Num29z1">
    <w:name w:val="WW8Num29z1"/>
    <w:rsid w:val="00B43B37"/>
    <w:rPr>
      <w:rFonts w:ascii="Courier New" w:hAnsi="Courier New" w:cs="Courier New"/>
    </w:rPr>
  </w:style>
  <w:style w:type="character" w:customStyle="1" w:styleId="WW8Num29z2">
    <w:name w:val="WW8Num29z2"/>
    <w:rsid w:val="00B43B37"/>
    <w:rPr>
      <w:rFonts w:ascii="Wingdings" w:hAnsi="Wingdings" w:cs="Wingdings"/>
    </w:rPr>
  </w:style>
  <w:style w:type="character" w:customStyle="1" w:styleId="WW8Num32z1">
    <w:name w:val="WW8Num32z1"/>
    <w:rsid w:val="00B43B37"/>
    <w:rPr>
      <w:rFonts w:ascii="Calibri" w:hAnsi="Calibri" w:cs="Calibri"/>
    </w:rPr>
  </w:style>
  <w:style w:type="character" w:customStyle="1" w:styleId="WW8Num32z2">
    <w:name w:val="WW8Num32z2"/>
    <w:rsid w:val="00B43B37"/>
    <w:rPr>
      <w:rFonts w:ascii="Wingdings" w:hAnsi="Wingdings" w:cs="Wingdings"/>
    </w:rPr>
  </w:style>
  <w:style w:type="character" w:customStyle="1" w:styleId="WW8Num32z4">
    <w:name w:val="WW8Num32z4"/>
    <w:rsid w:val="00B43B37"/>
    <w:rPr>
      <w:rFonts w:ascii="Courier New" w:hAnsi="Courier New" w:cs="Courier New"/>
    </w:rPr>
  </w:style>
  <w:style w:type="character" w:customStyle="1" w:styleId="WW8Num33z0">
    <w:name w:val="WW8Num33z0"/>
    <w:rsid w:val="00B43B37"/>
    <w:rPr>
      <w:rFonts w:ascii="Symbol" w:hAnsi="Symbol" w:cs="Symbol"/>
    </w:rPr>
  </w:style>
  <w:style w:type="character" w:customStyle="1" w:styleId="WW8Num35z1">
    <w:name w:val="WW8Num35z1"/>
    <w:rsid w:val="00B43B37"/>
    <w:rPr>
      <w:rFonts w:ascii="Courier New" w:hAnsi="Courier New" w:cs="Courier New"/>
    </w:rPr>
  </w:style>
  <w:style w:type="character" w:customStyle="1" w:styleId="WW8Num35z2">
    <w:name w:val="WW8Num35z2"/>
    <w:rsid w:val="00B43B37"/>
    <w:rPr>
      <w:rFonts w:ascii="Wingdings" w:hAnsi="Wingdings" w:cs="Wingdings"/>
    </w:rPr>
  </w:style>
  <w:style w:type="character" w:customStyle="1" w:styleId="WW8Num35z3">
    <w:name w:val="WW8Num35z3"/>
    <w:rsid w:val="00B43B37"/>
    <w:rPr>
      <w:rFonts w:ascii="Symbol" w:hAnsi="Symbol" w:cs="Symbol"/>
    </w:rPr>
  </w:style>
  <w:style w:type="character" w:customStyle="1" w:styleId="WW8Num36z1">
    <w:name w:val="WW8Num36z1"/>
    <w:rsid w:val="00B43B37"/>
    <w:rPr>
      <w:rFonts w:ascii="Courier New" w:hAnsi="Courier New" w:cs="Courier New"/>
    </w:rPr>
  </w:style>
  <w:style w:type="character" w:customStyle="1" w:styleId="WW8Num36z2">
    <w:name w:val="WW8Num36z2"/>
    <w:rsid w:val="00B43B37"/>
    <w:rPr>
      <w:rFonts w:ascii="Wingdings" w:hAnsi="Wingdings" w:cs="Wingdings"/>
    </w:rPr>
  </w:style>
  <w:style w:type="character" w:customStyle="1" w:styleId="WW8Num37z1">
    <w:name w:val="WW8Num37z1"/>
    <w:rsid w:val="00B43B37"/>
    <w:rPr>
      <w:rFonts w:ascii="Courier New" w:hAnsi="Courier New" w:cs="Courier New"/>
    </w:rPr>
  </w:style>
  <w:style w:type="character" w:customStyle="1" w:styleId="WW8Num37z2">
    <w:name w:val="WW8Num37z2"/>
    <w:rsid w:val="00B43B37"/>
    <w:rPr>
      <w:rFonts w:ascii="Wingdings" w:hAnsi="Wingdings" w:cs="Wingdings"/>
    </w:rPr>
  </w:style>
  <w:style w:type="character" w:customStyle="1" w:styleId="WW8Num39z1">
    <w:name w:val="WW8Num39z1"/>
    <w:rsid w:val="00B43B37"/>
    <w:rPr>
      <w:rFonts w:ascii="Calibri" w:hAnsi="Calibri" w:cs="Calibri"/>
    </w:rPr>
  </w:style>
  <w:style w:type="character" w:customStyle="1" w:styleId="WW8Num39z2">
    <w:name w:val="WW8Num39z2"/>
    <w:rsid w:val="00B43B37"/>
    <w:rPr>
      <w:rFonts w:ascii="Wingdings" w:hAnsi="Wingdings" w:cs="Wingdings"/>
    </w:rPr>
  </w:style>
  <w:style w:type="character" w:customStyle="1" w:styleId="WW8Num39z4">
    <w:name w:val="WW8Num39z4"/>
    <w:rsid w:val="00B43B37"/>
    <w:rPr>
      <w:rFonts w:ascii="Courier New" w:hAnsi="Courier New" w:cs="Courier New"/>
    </w:rPr>
  </w:style>
  <w:style w:type="character" w:customStyle="1" w:styleId="WW8Num40z1">
    <w:name w:val="WW8Num40z1"/>
    <w:rsid w:val="00B43B37"/>
    <w:rPr>
      <w:rFonts w:ascii="Courier New" w:hAnsi="Courier New" w:cs="Courier New"/>
    </w:rPr>
  </w:style>
  <w:style w:type="character" w:customStyle="1" w:styleId="WW8Num40z2">
    <w:name w:val="WW8Num40z2"/>
    <w:rsid w:val="00B43B37"/>
    <w:rPr>
      <w:rFonts w:ascii="Wingdings" w:hAnsi="Wingdings" w:cs="Wingdings"/>
    </w:rPr>
  </w:style>
  <w:style w:type="character" w:customStyle="1" w:styleId="WW8Num41z1">
    <w:name w:val="WW8Num41z1"/>
    <w:rsid w:val="00B43B37"/>
    <w:rPr>
      <w:rFonts w:ascii="Courier New" w:hAnsi="Courier New" w:cs="Courier New"/>
    </w:rPr>
  </w:style>
  <w:style w:type="character" w:customStyle="1" w:styleId="WW8Num41z2">
    <w:name w:val="WW8Num41z2"/>
    <w:rsid w:val="00B43B37"/>
    <w:rPr>
      <w:rFonts w:ascii="Wingdings" w:hAnsi="Wingdings" w:cs="Wingdings"/>
    </w:rPr>
  </w:style>
  <w:style w:type="character" w:customStyle="1" w:styleId="WW8Num41z3">
    <w:name w:val="WW8Num41z3"/>
    <w:rsid w:val="00B43B37"/>
    <w:rPr>
      <w:rFonts w:ascii="Symbol" w:hAnsi="Symbol" w:cs="Symbol"/>
    </w:rPr>
  </w:style>
  <w:style w:type="character" w:customStyle="1" w:styleId="WW8Num42z1">
    <w:name w:val="WW8Num42z1"/>
    <w:rsid w:val="00B43B37"/>
    <w:rPr>
      <w:rFonts w:ascii="Courier New" w:hAnsi="Courier New" w:cs="Courier New"/>
    </w:rPr>
  </w:style>
  <w:style w:type="character" w:customStyle="1" w:styleId="WW8Num42z2">
    <w:name w:val="WW8Num42z2"/>
    <w:rsid w:val="00B43B37"/>
    <w:rPr>
      <w:rFonts w:ascii="Wingdings" w:hAnsi="Wingdings" w:cs="Wingdings"/>
    </w:rPr>
  </w:style>
  <w:style w:type="character" w:customStyle="1" w:styleId="WW8Num43z1">
    <w:name w:val="WW8Num43z1"/>
    <w:rsid w:val="00B43B37"/>
    <w:rPr>
      <w:rFonts w:ascii="Courier New" w:hAnsi="Courier New" w:cs="Courier New"/>
    </w:rPr>
  </w:style>
  <w:style w:type="character" w:customStyle="1" w:styleId="WW8Num43z2">
    <w:name w:val="WW8Num43z2"/>
    <w:rsid w:val="00B43B37"/>
    <w:rPr>
      <w:rFonts w:ascii="Wingdings" w:hAnsi="Wingdings" w:cs="Wingdings"/>
    </w:rPr>
  </w:style>
  <w:style w:type="character" w:customStyle="1" w:styleId="WW8Num44z1">
    <w:name w:val="WW8Num44z1"/>
    <w:rsid w:val="00B43B37"/>
    <w:rPr>
      <w:rFonts w:ascii="Courier New" w:hAnsi="Courier New" w:cs="Courier New"/>
    </w:rPr>
  </w:style>
  <w:style w:type="character" w:customStyle="1" w:styleId="WW8Num44z2">
    <w:name w:val="WW8Num44z2"/>
    <w:rsid w:val="00B43B37"/>
    <w:rPr>
      <w:rFonts w:ascii="Wingdings" w:hAnsi="Wingdings" w:cs="Wingdings"/>
    </w:rPr>
  </w:style>
  <w:style w:type="character" w:customStyle="1" w:styleId="WW8Num45z1">
    <w:name w:val="WW8Num45z1"/>
    <w:rsid w:val="00B43B37"/>
    <w:rPr>
      <w:rFonts w:ascii="Courier New" w:hAnsi="Courier New" w:cs="Courier New"/>
    </w:rPr>
  </w:style>
  <w:style w:type="character" w:customStyle="1" w:styleId="WW8Num45z2">
    <w:name w:val="WW8Num45z2"/>
    <w:rsid w:val="00B43B37"/>
    <w:rPr>
      <w:rFonts w:ascii="Wingdings" w:hAnsi="Wingdings" w:cs="Wingdings"/>
    </w:rPr>
  </w:style>
  <w:style w:type="character" w:customStyle="1" w:styleId="WW8Num46z1">
    <w:name w:val="WW8Num46z1"/>
    <w:rsid w:val="00B43B37"/>
    <w:rPr>
      <w:rFonts w:ascii="Courier New" w:hAnsi="Courier New" w:cs="Courier New"/>
    </w:rPr>
  </w:style>
  <w:style w:type="character" w:customStyle="1" w:styleId="WW8Num46z2">
    <w:name w:val="WW8Num46z2"/>
    <w:rsid w:val="00B43B37"/>
    <w:rPr>
      <w:rFonts w:ascii="Wingdings" w:hAnsi="Wingdings" w:cs="Wingdings"/>
    </w:rPr>
  </w:style>
  <w:style w:type="character" w:customStyle="1" w:styleId="WW8Num47z1">
    <w:name w:val="WW8Num47z1"/>
    <w:rsid w:val="00B43B37"/>
    <w:rPr>
      <w:rFonts w:ascii="Courier New" w:hAnsi="Courier New" w:cs="Courier New"/>
    </w:rPr>
  </w:style>
  <w:style w:type="character" w:customStyle="1" w:styleId="WW8Num47z2">
    <w:name w:val="WW8Num47z2"/>
    <w:rsid w:val="00B43B37"/>
    <w:rPr>
      <w:rFonts w:ascii="Wingdings" w:hAnsi="Wingdings" w:cs="Wingdings"/>
    </w:rPr>
  </w:style>
  <w:style w:type="character" w:customStyle="1" w:styleId="WW8Num47z3">
    <w:name w:val="WW8Num47z3"/>
    <w:rsid w:val="00B43B37"/>
    <w:rPr>
      <w:rFonts w:ascii="Symbol" w:hAnsi="Symbol" w:cs="Symbol"/>
    </w:rPr>
  </w:style>
  <w:style w:type="character" w:customStyle="1" w:styleId="WW8Num48z1">
    <w:name w:val="WW8Num48z1"/>
    <w:rsid w:val="00B43B37"/>
    <w:rPr>
      <w:rFonts w:ascii="Courier New" w:hAnsi="Courier New" w:cs="Courier New"/>
    </w:rPr>
  </w:style>
  <w:style w:type="character" w:customStyle="1" w:styleId="WW8Num48z2">
    <w:name w:val="WW8Num48z2"/>
    <w:rsid w:val="00B43B37"/>
    <w:rPr>
      <w:rFonts w:ascii="Wingdings" w:hAnsi="Wingdings" w:cs="Wingdings"/>
    </w:rPr>
  </w:style>
  <w:style w:type="character" w:customStyle="1" w:styleId="WW8Num50z1">
    <w:name w:val="WW8Num50z1"/>
    <w:rsid w:val="00B43B37"/>
    <w:rPr>
      <w:rFonts w:ascii="Courier New" w:hAnsi="Courier New" w:cs="Courier New"/>
    </w:rPr>
  </w:style>
  <w:style w:type="character" w:customStyle="1" w:styleId="WW8Num50z2">
    <w:name w:val="WW8Num50z2"/>
    <w:rsid w:val="00B43B37"/>
    <w:rPr>
      <w:rFonts w:ascii="Wingdings" w:hAnsi="Wingdings" w:cs="Wingdings"/>
    </w:rPr>
  </w:style>
  <w:style w:type="character" w:customStyle="1" w:styleId="WW8Num51z0">
    <w:name w:val="WW8Num51z0"/>
    <w:rsid w:val="00B43B37"/>
    <w:rPr>
      <w:rFonts w:ascii="Symbol" w:hAnsi="Symbol" w:cs="Symbol"/>
    </w:rPr>
  </w:style>
  <w:style w:type="character" w:customStyle="1" w:styleId="WW8Num51z1">
    <w:name w:val="WW8Num51z1"/>
    <w:rsid w:val="00B43B37"/>
    <w:rPr>
      <w:rFonts w:ascii="Courier New" w:hAnsi="Courier New" w:cs="Courier New"/>
    </w:rPr>
  </w:style>
  <w:style w:type="character" w:customStyle="1" w:styleId="WW8Num51z2">
    <w:name w:val="WW8Num51z2"/>
    <w:rsid w:val="00B43B37"/>
    <w:rPr>
      <w:rFonts w:ascii="Wingdings" w:hAnsi="Wingdings" w:cs="Wingdings"/>
    </w:rPr>
  </w:style>
  <w:style w:type="character" w:customStyle="1" w:styleId="WW8Num52z0">
    <w:name w:val="WW8Num52z0"/>
    <w:rsid w:val="00B43B37"/>
    <w:rPr>
      <w:rFonts w:ascii="Symbol" w:hAnsi="Symbol" w:cs="Symbol"/>
    </w:rPr>
  </w:style>
  <w:style w:type="character" w:customStyle="1" w:styleId="WW8Num52z1">
    <w:name w:val="WW8Num52z1"/>
    <w:rsid w:val="00B43B37"/>
    <w:rPr>
      <w:rFonts w:ascii="Courier New" w:hAnsi="Courier New" w:cs="Courier New"/>
    </w:rPr>
  </w:style>
  <w:style w:type="character" w:customStyle="1" w:styleId="WW8Num52z2">
    <w:name w:val="WW8Num52z2"/>
    <w:rsid w:val="00B43B37"/>
    <w:rPr>
      <w:rFonts w:ascii="Wingdings" w:hAnsi="Wingdings" w:cs="Wingdings"/>
    </w:rPr>
  </w:style>
  <w:style w:type="character" w:customStyle="1" w:styleId="WW8Num53z0">
    <w:name w:val="WW8Num53z0"/>
    <w:rsid w:val="00B43B37"/>
    <w:rPr>
      <w:rFonts w:ascii="Symbol" w:hAnsi="Symbol" w:cs="Symbol"/>
    </w:rPr>
  </w:style>
  <w:style w:type="character" w:customStyle="1" w:styleId="WW8Num53z1">
    <w:name w:val="WW8Num53z1"/>
    <w:rsid w:val="00B43B37"/>
    <w:rPr>
      <w:rFonts w:ascii="Courier New" w:hAnsi="Courier New" w:cs="Courier New"/>
    </w:rPr>
  </w:style>
  <w:style w:type="character" w:customStyle="1" w:styleId="WW8Num53z2">
    <w:name w:val="WW8Num53z2"/>
    <w:rsid w:val="00B43B37"/>
    <w:rPr>
      <w:rFonts w:ascii="Wingdings" w:hAnsi="Wingdings" w:cs="Wingdings"/>
    </w:rPr>
  </w:style>
  <w:style w:type="character" w:customStyle="1" w:styleId="WW8Num54z0">
    <w:name w:val="WW8Num54z0"/>
    <w:rsid w:val="00B43B37"/>
    <w:rPr>
      <w:rFonts w:ascii="Symbol" w:hAnsi="Symbol" w:cs="Symbol"/>
    </w:rPr>
  </w:style>
  <w:style w:type="character" w:customStyle="1" w:styleId="WW8Num54z1">
    <w:name w:val="WW8Num54z1"/>
    <w:rsid w:val="00B43B37"/>
    <w:rPr>
      <w:rFonts w:ascii="Courier New" w:hAnsi="Courier New" w:cs="Courier New"/>
    </w:rPr>
  </w:style>
  <w:style w:type="character" w:customStyle="1" w:styleId="WW8Num54z2">
    <w:name w:val="WW8Num54z2"/>
    <w:rsid w:val="00B43B37"/>
    <w:rPr>
      <w:rFonts w:ascii="Wingdings" w:hAnsi="Wingdings" w:cs="Wingdings"/>
    </w:rPr>
  </w:style>
  <w:style w:type="character" w:customStyle="1" w:styleId="1ff">
    <w:name w:val="Основной шрифт абзаца1"/>
    <w:rsid w:val="00B43B37"/>
  </w:style>
  <w:style w:type="character" w:customStyle="1" w:styleId="affffd">
    <w:name w:val="Символ сноски"/>
    <w:rsid w:val="00B43B37"/>
    <w:rPr>
      <w:rFonts w:cs="Times New Roman"/>
      <w:vertAlign w:val="superscript"/>
    </w:rPr>
  </w:style>
  <w:style w:type="character" w:customStyle="1" w:styleId="affffe">
    <w:name w:val="Символы концевой сноски"/>
    <w:rsid w:val="00B43B37"/>
    <w:rPr>
      <w:vertAlign w:val="superscript"/>
    </w:rPr>
  </w:style>
  <w:style w:type="character" w:customStyle="1" w:styleId="afffff">
    <w:name w:val="Маркеры списка"/>
    <w:rsid w:val="00B43B37"/>
    <w:rPr>
      <w:rFonts w:ascii="OpenSymbol" w:eastAsia="OpenSymbol" w:hAnsi="OpenSymbol" w:cs="OpenSymbol"/>
    </w:rPr>
  </w:style>
  <w:style w:type="paragraph" w:customStyle="1" w:styleId="2b">
    <w:name w:val="Название2"/>
    <w:basedOn w:val="a1"/>
    <w:rsid w:val="00B43B37"/>
    <w:pPr>
      <w:suppressLineNumbers/>
      <w:suppressAutoHyphens/>
      <w:spacing w:before="120" w:after="120" w:line="288" w:lineRule="auto"/>
      <w:ind w:firstLine="567"/>
    </w:pPr>
    <w:rPr>
      <w:rFonts w:ascii="Calibri" w:hAnsi="Calibri" w:cs="Mangal"/>
      <w:i/>
      <w:iCs/>
      <w:szCs w:val="24"/>
      <w:lang w:eastAsia="ar-SA"/>
    </w:rPr>
  </w:style>
  <w:style w:type="paragraph" w:customStyle="1" w:styleId="2c">
    <w:name w:val="Указатель2"/>
    <w:basedOn w:val="a1"/>
    <w:rsid w:val="00B43B37"/>
    <w:pPr>
      <w:suppressLineNumbers/>
      <w:suppressAutoHyphens/>
      <w:spacing w:line="288" w:lineRule="auto"/>
      <w:ind w:firstLine="567"/>
    </w:pPr>
    <w:rPr>
      <w:rFonts w:ascii="Calibri" w:hAnsi="Calibri" w:cs="Mangal"/>
      <w:sz w:val="22"/>
      <w:lang w:eastAsia="ar-SA"/>
    </w:rPr>
  </w:style>
  <w:style w:type="paragraph" w:customStyle="1" w:styleId="1ff0">
    <w:name w:val="Указатель1"/>
    <w:basedOn w:val="a1"/>
    <w:rsid w:val="00B43B37"/>
    <w:pPr>
      <w:suppressLineNumbers/>
      <w:suppressAutoHyphens/>
      <w:spacing w:line="288" w:lineRule="auto"/>
      <w:ind w:firstLine="567"/>
    </w:pPr>
    <w:rPr>
      <w:rFonts w:ascii="Calibri" w:hAnsi="Calibri" w:cs="Mangal"/>
      <w:sz w:val="22"/>
      <w:lang w:eastAsia="ar-SA"/>
    </w:rPr>
  </w:style>
  <w:style w:type="paragraph" w:customStyle="1" w:styleId="afffff0">
    <w:name w:val="Заголовок таблицы"/>
    <w:basedOn w:val="affff5"/>
    <w:rsid w:val="00B43B37"/>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B43B37"/>
    <w:rPr>
      <w:b/>
      <w:bCs/>
    </w:rPr>
  </w:style>
  <w:style w:type="character" w:customStyle="1" w:styleId="slug-vol">
    <w:name w:val="slug-vol"/>
    <w:rsid w:val="00B43B37"/>
  </w:style>
  <w:style w:type="character" w:customStyle="1" w:styleId="slug-issue">
    <w:name w:val="slug-issue"/>
    <w:rsid w:val="00B43B37"/>
  </w:style>
  <w:style w:type="character" w:customStyle="1" w:styleId="slug-pages3">
    <w:name w:val="slug-pages3"/>
    <w:rsid w:val="00B43B37"/>
    <w:rPr>
      <w:b/>
      <w:bCs/>
    </w:rPr>
  </w:style>
  <w:style w:type="paragraph" w:customStyle="1" w:styleId="LTGliederung1">
    <w:name w:val="???????~LT~Gliederung 1"/>
    <w:rsid w:val="00B43B3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B43B37"/>
    <w:rPr>
      <w:rFonts w:ascii="Palatino Linotype" w:hAnsi="Palatino Linotype" w:cs="Palatino Linotype"/>
      <w:spacing w:val="0"/>
      <w:sz w:val="15"/>
      <w:szCs w:val="15"/>
    </w:rPr>
  </w:style>
  <w:style w:type="table" w:customStyle="1" w:styleId="510">
    <w:name w:val="Таблица простая 51"/>
    <w:basedOn w:val="a5"/>
    <w:uiPriority w:val="45"/>
    <w:rsid w:val="00B43B37"/>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B43B37"/>
  </w:style>
  <w:style w:type="character" w:customStyle="1" w:styleId="WW-Absatz-Standardschriftart">
    <w:name w:val="WW-Absatz-Standardschriftart"/>
    <w:rsid w:val="00B43B37"/>
  </w:style>
  <w:style w:type="paragraph" w:customStyle="1" w:styleId="p1">
    <w:name w:val="p1"/>
    <w:basedOn w:val="a1"/>
    <w:rsid w:val="00B43B37"/>
    <w:pPr>
      <w:spacing w:line="240" w:lineRule="auto"/>
      <w:ind w:firstLine="0"/>
      <w:jc w:val="left"/>
    </w:pPr>
    <w:rPr>
      <w:rFonts w:ascii="Helvetica Neue" w:hAnsi="Helvetica Neue"/>
      <w:color w:val="000000"/>
      <w:sz w:val="20"/>
      <w:szCs w:val="20"/>
      <w:lang w:eastAsia="ru-RU"/>
    </w:rPr>
  </w:style>
  <w:style w:type="paragraph" w:customStyle="1" w:styleId="ListParagraph1">
    <w:name w:val="List Paragraph1"/>
    <w:basedOn w:val="a1"/>
    <w:rsid w:val="00B43B37"/>
    <w:pPr>
      <w:suppressAutoHyphens/>
      <w:spacing w:after="200" w:line="276" w:lineRule="auto"/>
      <w:ind w:firstLine="0"/>
      <w:jc w:val="left"/>
    </w:pPr>
    <w:rPr>
      <w:rFonts w:ascii="Calibri" w:hAnsi="Calibri" w:cs="Calibri"/>
      <w:sz w:val="22"/>
      <w:lang w:val="nl-NL" w:eastAsia="ar-SA"/>
    </w:rPr>
  </w:style>
  <w:style w:type="character" w:customStyle="1" w:styleId="Caaieiaie1Ciae">
    <w:name w:val="Caaieiaie 1 Ciae"/>
    <w:uiPriority w:val="99"/>
    <w:rsid w:val="00B43B37"/>
    <w:rPr>
      <w:rFonts w:ascii="Cambria" w:hAnsi="Cambria" w:cs="Cambria"/>
      <w:b/>
      <w:bCs/>
      <w:kern w:val="32"/>
      <w:sz w:val="32"/>
      <w:szCs w:val="32"/>
    </w:rPr>
  </w:style>
  <w:style w:type="character" w:customStyle="1" w:styleId="Caaieiaie2Ciae">
    <w:name w:val="Caaieiaie 2 Ciae"/>
    <w:uiPriority w:val="99"/>
    <w:rsid w:val="00B43B37"/>
    <w:rPr>
      <w:rFonts w:ascii="Cambria" w:hAnsi="Cambria" w:cs="Cambria"/>
      <w:b/>
      <w:bCs/>
      <w:i/>
      <w:iCs/>
      <w:sz w:val="28"/>
      <w:szCs w:val="28"/>
    </w:rPr>
  </w:style>
  <w:style w:type="character" w:customStyle="1" w:styleId="Caaieiaie3Ciae">
    <w:name w:val="Caaieiaie 3 Ciae"/>
    <w:uiPriority w:val="99"/>
    <w:rsid w:val="00B43B37"/>
    <w:rPr>
      <w:rFonts w:ascii="Cambria" w:hAnsi="Cambria" w:cs="Cambria"/>
      <w:b/>
      <w:bCs/>
      <w:sz w:val="26"/>
      <w:szCs w:val="26"/>
    </w:rPr>
  </w:style>
  <w:style w:type="character" w:customStyle="1" w:styleId="Caaieiaie4Ciae">
    <w:name w:val="Caaieiaie 4 Ciae"/>
    <w:uiPriority w:val="99"/>
    <w:rsid w:val="00B43B37"/>
    <w:rPr>
      <w:rFonts w:ascii="Times New Roman" w:hAnsi="Times New Roman" w:cs="Times New Roman"/>
      <w:b/>
      <w:bCs/>
      <w:sz w:val="28"/>
      <w:szCs w:val="28"/>
    </w:rPr>
  </w:style>
  <w:style w:type="character" w:customStyle="1" w:styleId="Caaieiaie5Ciae">
    <w:name w:val="Caaieiaie 5 Ciae"/>
    <w:uiPriority w:val="99"/>
    <w:rsid w:val="00B43B37"/>
    <w:rPr>
      <w:rFonts w:cs="Times New Roman"/>
      <w:b/>
      <w:bCs/>
      <w:i/>
      <w:iCs/>
      <w:sz w:val="26"/>
      <w:szCs w:val="26"/>
    </w:rPr>
  </w:style>
  <w:style w:type="character" w:customStyle="1" w:styleId="Caaieiaie6Ciae">
    <w:name w:val="Caaieiaie 6 Ciae"/>
    <w:uiPriority w:val="99"/>
    <w:rsid w:val="00B43B37"/>
    <w:rPr>
      <w:rFonts w:cs="Times New Roman"/>
      <w:b/>
      <w:bCs/>
    </w:rPr>
  </w:style>
  <w:style w:type="character" w:customStyle="1" w:styleId="Caaieiaie7Ciae">
    <w:name w:val="Caaieiaie 7 Ciae"/>
    <w:uiPriority w:val="99"/>
    <w:rsid w:val="00B43B37"/>
    <w:rPr>
      <w:rFonts w:cs="Times New Roman"/>
      <w:sz w:val="24"/>
      <w:szCs w:val="24"/>
    </w:rPr>
  </w:style>
  <w:style w:type="character" w:customStyle="1" w:styleId="Caaieiaie1Ciae1">
    <w:name w:val="Caaieiaie 1 Ciae1"/>
    <w:uiPriority w:val="99"/>
    <w:rsid w:val="00B43B37"/>
    <w:rPr>
      <w:rFonts w:ascii="Cambria" w:hAnsi="Cambria" w:cs="Cambria"/>
      <w:b/>
      <w:bCs/>
      <w:kern w:val="32"/>
      <w:sz w:val="32"/>
      <w:szCs w:val="32"/>
    </w:rPr>
  </w:style>
  <w:style w:type="character" w:customStyle="1" w:styleId="Caaieiaie2Ciae1">
    <w:name w:val="Caaieiaie 2 Ciae1"/>
    <w:uiPriority w:val="99"/>
    <w:rsid w:val="00B43B37"/>
    <w:rPr>
      <w:rFonts w:ascii="Cambria" w:hAnsi="Cambria" w:cs="Cambria"/>
      <w:b/>
      <w:bCs/>
      <w:i/>
      <w:iCs/>
      <w:sz w:val="28"/>
      <w:szCs w:val="28"/>
    </w:rPr>
  </w:style>
  <w:style w:type="character" w:customStyle="1" w:styleId="Caaieiaie3Ciae1">
    <w:name w:val="Caaieiaie 3 Ciae1"/>
    <w:uiPriority w:val="99"/>
    <w:rsid w:val="00B43B37"/>
    <w:rPr>
      <w:rFonts w:ascii="Cambria" w:hAnsi="Cambria" w:cs="Cambria"/>
      <w:b/>
      <w:bCs/>
      <w:sz w:val="26"/>
      <w:szCs w:val="26"/>
    </w:rPr>
  </w:style>
  <w:style w:type="character" w:customStyle="1" w:styleId="Caaieiaie4Ciae1">
    <w:name w:val="Caaieiaie 4 Ciae1"/>
    <w:uiPriority w:val="99"/>
    <w:rsid w:val="00B43B37"/>
    <w:rPr>
      <w:rFonts w:ascii="Times New Roman" w:hAnsi="Times New Roman" w:cs="Times New Roman"/>
      <w:b/>
      <w:bCs/>
      <w:sz w:val="28"/>
      <w:szCs w:val="28"/>
    </w:rPr>
  </w:style>
  <w:style w:type="character" w:customStyle="1" w:styleId="Caaieiaie5Ciae1">
    <w:name w:val="Caaieiaie 5 Ciae1"/>
    <w:uiPriority w:val="99"/>
    <w:rsid w:val="00B43B37"/>
    <w:rPr>
      <w:rFonts w:cs="Times New Roman"/>
      <w:b/>
      <w:bCs/>
      <w:i/>
      <w:iCs/>
      <w:sz w:val="26"/>
      <w:szCs w:val="26"/>
    </w:rPr>
  </w:style>
  <w:style w:type="character" w:customStyle="1" w:styleId="Caaieiaie6Ciae1">
    <w:name w:val="Caaieiaie 6 Ciae1"/>
    <w:uiPriority w:val="99"/>
    <w:rsid w:val="00B43B37"/>
    <w:rPr>
      <w:rFonts w:cs="Times New Roman"/>
      <w:b/>
      <w:bCs/>
    </w:rPr>
  </w:style>
  <w:style w:type="character" w:customStyle="1" w:styleId="Caaieiaie7Ciae1">
    <w:name w:val="Caaieiaie 7 Ciae1"/>
    <w:uiPriority w:val="99"/>
    <w:rsid w:val="00B43B37"/>
    <w:rPr>
      <w:rFonts w:cs="Times New Roman"/>
      <w:sz w:val="24"/>
      <w:szCs w:val="24"/>
    </w:rPr>
  </w:style>
  <w:style w:type="paragraph" w:customStyle="1" w:styleId="Heading5">
    <w:name w:val="Heading5"/>
    <w:basedOn w:val="a1"/>
    <w:uiPriority w:val="99"/>
    <w:rsid w:val="00B43B37"/>
    <w:pPr>
      <w:autoSpaceDE w:val="0"/>
      <w:autoSpaceDN w:val="0"/>
      <w:adjustRightInd w:val="0"/>
      <w:spacing w:before="100" w:after="100" w:line="240" w:lineRule="auto"/>
      <w:ind w:firstLine="0"/>
      <w:jc w:val="left"/>
    </w:pPr>
    <w:rPr>
      <w:rFonts w:eastAsia="Times New Roman"/>
      <w:b/>
      <w:bCs/>
      <w:i/>
      <w:iCs/>
      <w:szCs w:val="24"/>
      <w:lang w:eastAsia="ru-RU"/>
    </w:rPr>
  </w:style>
  <w:style w:type="paragraph" w:customStyle="1" w:styleId="FitzBullet">
    <w:name w:val="FitzBullet"/>
    <w:basedOn w:val="a1"/>
    <w:uiPriority w:val="99"/>
    <w:rsid w:val="00B43B37"/>
    <w:pPr>
      <w:shd w:val="clear" w:color="auto" w:fill="FFFFFF"/>
      <w:tabs>
        <w:tab w:val="left" w:pos="317"/>
      </w:tabs>
      <w:autoSpaceDE w:val="0"/>
      <w:autoSpaceDN w:val="0"/>
      <w:adjustRightInd w:val="0"/>
      <w:spacing w:before="60" w:after="60" w:line="240" w:lineRule="auto"/>
      <w:ind w:left="283" w:hanging="283"/>
      <w:jc w:val="left"/>
    </w:pPr>
    <w:rPr>
      <w:rFonts w:eastAsia="Times New Roman"/>
      <w:color w:val="000000"/>
      <w:szCs w:val="24"/>
      <w:lang w:eastAsia="ru-RU"/>
    </w:rPr>
  </w:style>
  <w:style w:type="paragraph" w:customStyle="1" w:styleId="author0">
    <w:name w:val="author"/>
    <w:basedOn w:val="3"/>
    <w:uiPriority w:val="99"/>
    <w:rsid w:val="00B43B37"/>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B43B37"/>
    <w:pPr>
      <w:tabs>
        <w:tab w:val="clear" w:pos="317"/>
        <w:tab w:val="left" w:pos="1134"/>
      </w:tabs>
      <w:ind w:left="1417"/>
    </w:pPr>
    <w:rPr>
      <w:lang w:val="en-US"/>
    </w:rPr>
  </w:style>
  <w:style w:type="character" w:customStyle="1" w:styleId="sokr">
    <w:name w:val="sokr"/>
    <w:rsid w:val="00B43B37"/>
  </w:style>
  <w:style w:type="paragraph" w:customStyle="1" w:styleId="opisdvfld">
    <w:name w:val="opis_dvfld"/>
    <w:basedOn w:val="a1"/>
    <w:rsid w:val="00B43B37"/>
    <w:pPr>
      <w:spacing w:before="100" w:beforeAutospacing="1" w:after="100" w:afterAutospacing="1" w:line="240" w:lineRule="auto"/>
      <w:ind w:firstLine="0"/>
      <w:jc w:val="left"/>
    </w:pPr>
    <w:rPr>
      <w:rFonts w:eastAsia="Times New Roman"/>
      <w:szCs w:val="24"/>
      <w:lang w:eastAsia="ru-RU"/>
    </w:rPr>
  </w:style>
  <w:style w:type="paragraph" w:customStyle="1" w:styleId="afffff1">
    <w:name w:val="Литература"/>
    <w:basedOn w:val="a1"/>
    <w:qFormat/>
    <w:rsid w:val="00B43B37"/>
    <w:pPr>
      <w:suppressAutoHyphens/>
      <w:spacing w:after="120" w:line="240" w:lineRule="auto"/>
      <w:ind w:firstLine="0"/>
      <w:jc w:val="left"/>
    </w:pPr>
    <w:rPr>
      <w:i/>
      <w:kern w:val="2"/>
      <w:szCs w:val="24"/>
      <w:lang w:val="en-US"/>
    </w:rPr>
  </w:style>
  <w:style w:type="character" w:customStyle="1" w:styleId="al-author-delim">
    <w:name w:val="al-author-delim"/>
    <w:basedOn w:val="a4"/>
    <w:rsid w:val="00B43B37"/>
  </w:style>
  <w:style w:type="character" w:styleId="afffff2">
    <w:name w:val="line number"/>
    <w:basedOn w:val="a4"/>
    <w:uiPriority w:val="99"/>
    <w:semiHidden/>
    <w:unhideWhenUsed/>
    <w:rsid w:val="00B43B37"/>
  </w:style>
  <w:style w:type="character" w:customStyle="1" w:styleId="author-sup-separator">
    <w:name w:val="author-sup-separator"/>
    <w:rsid w:val="00B43B37"/>
  </w:style>
  <w:style w:type="character" w:customStyle="1" w:styleId="comma">
    <w:name w:val="comma"/>
    <w:rsid w:val="00B43B37"/>
  </w:style>
  <w:style w:type="character" w:customStyle="1" w:styleId="citation-doi">
    <w:name w:val="citation-doi"/>
    <w:rsid w:val="00B43B37"/>
  </w:style>
  <w:style w:type="character" w:customStyle="1" w:styleId="st">
    <w:name w:val="st"/>
    <w:rsid w:val="00B43B37"/>
  </w:style>
  <w:style w:type="character" w:customStyle="1" w:styleId="2d">
    <w:name w:val="Строгий2"/>
    <w:rsid w:val="00B43B37"/>
  </w:style>
  <w:style w:type="character" w:customStyle="1" w:styleId="pagelast">
    <w:name w:val="pagelast"/>
    <w:uiPriority w:val="99"/>
    <w:rsid w:val="00B43B37"/>
    <w:rPr>
      <w:rFonts w:cs="Times New Roman"/>
    </w:rPr>
  </w:style>
  <w:style w:type="paragraph" w:customStyle="1" w:styleId="Autor">
    <w:name w:val="Autor"/>
    <w:basedOn w:val="a1"/>
    <w:rsid w:val="00B43B37"/>
    <w:pPr>
      <w:widowControl w:val="0"/>
      <w:shd w:val="clear" w:color="auto" w:fill="FFFFFF"/>
      <w:overflowPunct w:val="0"/>
      <w:autoSpaceDE w:val="0"/>
      <w:autoSpaceDN w:val="0"/>
      <w:adjustRightInd w:val="0"/>
      <w:spacing w:before="120" w:line="240" w:lineRule="atLeast"/>
      <w:ind w:firstLine="0"/>
      <w:jc w:val="left"/>
      <w:textAlignment w:val="baseline"/>
    </w:pPr>
    <w:rPr>
      <w:i/>
      <w:iCs/>
      <w:sz w:val="22"/>
      <w:lang w:val="en-US" w:eastAsia="ru-RU"/>
    </w:rPr>
  </w:style>
  <w:style w:type="paragraph" w:customStyle="1" w:styleId="table-name">
    <w:name w:val="table-name"/>
    <w:basedOn w:val="a1"/>
    <w:rsid w:val="00B43B37"/>
    <w:pPr>
      <w:autoSpaceDE w:val="0"/>
      <w:autoSpaceDN w:val="0"/>
      <w:adjustRightInd w:val="0"/>
      <w:spacing w:before="40" w:line="240" w:lineRule="auto"/>
      <w:ind w:firstLine="425"/>
      <w:jc w:val="left"/>
    </w:pPr>
    <w:rPr>
      <w:rFonts w:eastAsia="Times New Roman"/>
      <w:b/>
      <w:bCs/>
      <w:color w:val="000000"/>
      <w:sz w:val="20"/>
      <w:szCs w:val="20"/>
      <w:lang w:val="en-US" w:eastAsia="ru-RU"/>
    </w:rPr>
  </w:style>
  <w:style w:type="paragraph" w:customStyle="1" w:styleId="Table-head-italic">
    <w:name w:val="Table-head-italic"/>
    <w:basedOn w:val="a1"/>
    <w:rsid w:val="00B43B37"/>
    <w:pPr>
      <w:widowControl w:val="0"/>
      <w:shd w:val="clear" w:color="auto" w:fill="FFFFFF"/>
      <w:autoSpaceDE w:val="0"/>
      <w:autoSpaceDN w:val="0"/>
      <w:adjustRightInd w:val="0"/>
      <w:spacing w:line="240" w:lineRule="auto"/>
      <w:ind w:firstLine="0"/>
      <w:jc w:val="left"/>
    </w:pPr>
    <w:rPr>
      <w:rFonts w:eastAsia="Times New Roman"/>
      <w:i/>
      <w:iCs/>
      <w:sz w:val="18"/>
      <w:szCs w:val="18"/>
      <w:lang w:val="en-US" w:eastAsia="ru-RU"/>
    </w:rPr>
  </w:style>
  <w:style w:type="paragraph" w:customStyle="1" w:styleId="table-text-0">
    <w:name w:val="table-text-0"/>
    <w:basedOn w:val="a1"/>
    <w:rsid w:val="00B43B37"/>
    <w:pPr>
      <w:autoSpaceDE w:val="0"/>
      <w:autoSpaceDN w:val="0"/>
      <w:adjustRightInd w:val="0"/>
      <w:spacing w:before="40" w:line="240" w:lineRule="auto"/>
      <w:ind w:left="113" w:firstLine="425"/>
      <w:jc w:val="left"/>
    </w:pPr>
    <w:rPr>
      <w:rFonts w:eastAsia="Times New Roman"/>
      <w:sz w:val="20"/>
      <w:szCs w:val="20"/>
      <w:lang w:val="en-US" w:eastAsia="ru-RU"/>
    </w:rPr>
  </w:style>
  <w:style w:type="paragraph" w:customStyle="1" w:styleId="FitzFootnote">
    <w:name w:val="FitzFootnote"/>
    <w:basedOn w:val="a1"/>
    <w:rsid w:val="00B43B37"/>
    <w:pPr>
      <w:shd w:val="clear" w:color="auto" w:fill="FFFFFF"/>
      <w:autoSpaceDE w:val="0"/>
      <w:autoSpaceDN w:val="0"/>
      <w:adjustRightInd w:val="0"/>
      <w:spacing w:before="60" w:after="60" w:line="240" w:lineRule="auto"/>
      <w:ind w:firstLine="0"/>
      <w:jc w:val="left"/>
    </w:pPr>
    <w:rPr>
      <w:rFonts w:eastAsia="Times New Roman"/>
      <w:color w:val="000000"/>
      <w:sz w:val="18"/>
      <w:szCs w:val="18"/>
      <w:lang w:val="en-US" w:eastAsia="ru-RU"/>
    </w:rPr>
  </w:style>
  <w:style w:type="paragraph" w:customStyle="1" w:styleId="table-text-1">
    <w:name w:val="table-text-1"/>
    <w:basedOn w:val="a1"/>
    <w:rsid w:val="00B43B37"/>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1"/>
    <w:rsid w:val="00B43B37"/>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paragraph" w:customStyle="1" w:styleId="1ff1">
    <w:name w:val="Обычный (веб)1"/>
    <w:basedOn w:val="a1"/>
    <w:uiPriority w:val="99"/>
    <w:unhideWhenUsed/>
    <w:qFormat/>
    <w:rsid w:val="00B43B37"/>
    <w:pPr>
      <w:spacing w:beforeAutospacing="1" w:afterAutospacing="1" w:line="288" w:lineRule="auto"/>
      <w:ind w:firstLine="0"/>
      <w:jc w:val="left"/>
    </w:pPr>
    <w:rPr>
      <w:rFonts w:eastAsia="Times New Roman"/>
      <w:szCs w:val="24"/>
      <w:lang w:eastAsia="ru-RU"/>
    </w:rPr>
  </w:style>
  <w:style w:type="character" w:customStyle="1" w:styleId="highlight1">
    <w:name w:val="highlight1"/>
    <w:basedOn w:val="a4"/>
    <w:rsid w:val="00B43B37"/>
  </w:style>
  <w:style w:type="character" w:customStyle="1" w:styleId="element-citation">
    <w:name w:val="element-citation"/>
    <w:basedOn w:val="a4"/>
    <w:rsid w:val="00B43B37"/>
  </w:style>
  <w:style w:type="character" w:customStyle="1" w:styleId="ref-journal">
    <w:name w:val="ref-journal"/>
    <w:basedOn w:val="a4"/>
    <w:rsid w:val="00B43B37"/>
  </w:style>
  <w:style w:type="character" w:customStyle="1" w:styleId="ref-vol">
    <w:name w:val="ref-vol"/>
    <w:basedOn w:val="a4"/>
    <w:rsid w:val="00B43B37"/>
  </w:style>
  <w:style w:type="character" w:customStyle="1" w:styleId="nowrap">
    <w:name w:val="nowrap"/>
    <w:basedOn w:val="a4"/>
    <w:rsid w:val="00B43B37"/>
  </w:style>
  <w:style w:type="paragraph" w:customStyle="1" w:styleId="1ff2">
    <w:name w:val="Заголовок оглавления1"/>
    <w:basedOn w:val="11"/>
    <w:rsid w:val="00B43B37"/>
    <w:pPr>
      <w:suppressAutoHyphens w:val="0"/>
      <w:spacing w:after="120" w:line="276" w:lineRule="auto"/>
      <w:jc w:val="center"/>
    </w:pPr>
    <w:rPr>
      <w:rFonts w:eastAsia="Times New Roman"/>
      <w:sz w:val="22"/>
      <w:szCs w:val="20"/>
      <w:u w:val="none"/>
    </w:rPr>
  </w:style>
  <w:style w:type="paragraph" w:customStyle="1" w:styleId="36">
    <w:name w:val="3"/>
    <w:basedOn w:val="a1"/>
    <w:link w:val="37"/>
    <w:qFormat/>
    <w:rsid w:val="00B43B37"/>
    <w:pPr>
      <w:ind w:left="142" w:firstLine="0"/>
      <w:contextualSpacing/>
    </w:pPr>
  </w:style>
  <w:style w:type="character" w:customStyle="1" w:styleId="37">
    <w:name w:val="3 Знак"/>
    <w:basedOn w:val="a4"/>
    <w:link w:val="36"/>
    <w:rsid w:val="00B43B37"/>
    <w:rPr>
      <w:rFonts w:ascii="Times New Roman" w:hAnsi="Times New Roman"/>
      <w:sz w:val="24"/>
      <w:szCs w:val="22"/>
      <w:lang w:eastAsia="en-US"/>
    </w:rPr>
  </w:style>
  <w:style w:type="paragraph" w:styleId="43">
    <w:name w:val="toc 4"/>
    <w:basedOn w:val="a1"/>
    <w:next w:val="a1"/>
    <w:autoRedefine/>
    <w:uiPriority w:val="39"/>
    <w:unhideWhenUsed/>
    <w:rsid w:val="00B43B37"/>
    <w:pPr>
      <w:ind w:left="720"/>
      <w:jc w:val="left"/>
    </w:pPr>
    <w:rPr>
      <w:rFonts w:asciiTheme="minorHAnsi" w:hAnsiTheme="minorHAnsi"/>
      <w:sz w:val="20"/>
      <w:szCs w:val="20"/>
    </w:rPr>
  </w:style>
  <w:style w:type="paragraph" w:styleId="53">
    <w:name w:val="toc 5"/>
    <w:basedOn w:val="a1"/>
    <w:next w:val="a1"/>
    <w:autoRedefine/>
    <w:uiPriority w:val="39"/>
    <w:unhideWhenUsed/>
    <w:rsid w:val="00B43B37"/>
    <w:pPr>
      <w:ind w:left="960"/>
      <w:jc w:val="left"/>
    </w:pPr>
    <w:rPr>
      <w:rFonts w:asciiTheme="minorHAnsi" w:hAnsiTheme="minorHAnsi"/>
      <w:sz w:val="20"/>
      <w:szCs w:val="20"/>
    </w:rPr>
  </w:style>
  <w:style w:type="paragraph" w:styleId="61">
    <w:name w:val="toc 6"/>
    <w:basedOn w:val="a1"/>
    <w:next w:val="a1"/>
    <w:autoRedefine/>
    <w:uiPriority w:val="39"/>
    <w:unhideWhenUsed/>
    <w:rsid w:val="00B43B37"/>
    <w:pPr>
      <w:ind w:left="1200"/>
      <w:jc w:val="left"/>
    </w:pPr>
    <w:rPr>
      <w:rFonts w:asciiTheme="minorHAnsi" w:hAnsiTheme="minorHAnsi"/>
      <w:sz w:val="20"/>
      <w:szCs w:val="20"/>
    </w:rPr>
  </w:style>
  <w:style w:type="paragraph" w:styleId="72">
    <w:name w:val="toc 7"/>
    <w:basedOn w:val="a1"/>
    <w:next w:val="a1"/>
    <w:autoRedefine/>
    <w:uiPriority w:val="39"/>
    <w:unhideWhenUsed/>
    <w:rsid w:val="00B43B37"/>
    <w:pPr>
      <w:ind w:left="1440"/>
      <w:jc w:val="left"/>
    </w:pPr>
    <w:rPr>
      <w:rFonts w:asciiTheme="minorHAnsi" w:hAnsiTheme="minorHAnsi"/>
      <w:sz w:val="20"/>
      <w:szCs w:val="20"/>
    </w:rPr>
  </w:style>
  <w:style w:type="paragraph" w:styleId="82">
    <w:name w:val="toc 8"/>
    <w:basedOn w:val="a1"/>
    <w:next w:val="a1"/>
    <w:autoRedefine/>
    <w:uiPriority w:val="39"/>
    <w:unhideWhenUsed/>
    <w:rsid w:val="00B43B37"/>
    <w:pPr>
      <w:ind w:left="1680"/>
      <w:jc w:val="left"/>
    </w:pPr>
    <w:rPr>
      <w:rFonts w:asciiTheme="minorHAnsi" w:hAnsiTheme="minorHAnsi"/>
      <w:sz w:val="20"/>
      <w:szCs w:val="20"/>
    </w:rPr>
  </w:style>
  <w:style w:type="paragraph" w:styleId="92">
    <w:name w:val="toc 9"/>
    <w:basedOn w:val="a1"/>
    <w:next w:val="a1"/>
    <w:autoRedefine/>
    <w:uiPriority w:val="39"/>
    <w:unhideWhenUsed/>
    <w:rsid w:val="00B43B37"/>
    <w:pPr>
      <w:ind w:left="1920"/>
      <w:jc w:val="left"/>
    </w:pPr>
    <w:rPr>
      <w:rFonts w:asciiTheme="minorHAnsi" w:hAnsiTheme="minorHAnsi"/>
      <w:sz w:val="20"/>
      <w:szCs w:val="20"/>
    </w:rPr>
  </w:style>
  <w:style w:type="paragraph" w:customStyle="1" w:styleId="table-head-bold">
    <w:name w:val="table-head-bold"/>
    <w:basedOn w:val="a1"/>
    <w:uiPriority w:val="99"/>
    <w:rsid w:val="00B43B37"/>
    <w:pPr>
      <w:autoSpaceDE w:val="0"/>
      <w:autoSpaceDN w:val="0"/>
      <w:adjustRightInd w:val="0"/>
      <w:spacing w:before="40"/>
      <w:ind w:firstLine="0"/>
    </w:pPr>
    <w:rPr>
      <w:b/>
      <w:bCs/>
      <w:sz w:val="20"/>
      <w:szCs w:val="20"/>
      <w:lang w:eastAsia="ru-RU"/>
    </w:rPr>
  </w:style>
  <w:style w:type="paragraph" w:customStyle="1" w:styleId="table-ref">
    <w:name w:val="table-ref"/>
    <w:basedOn w:val="a1"/>
    <w:rsid w:val="00B43B37"/>
    <w:pPr>
      <w:shd w:val="clear" w:color="auto" w:fill="FFFFFF"/>
      <w:tabs>
        <w:tab w:val="left" w:pos="394"/>
      </w:tabs>
      <w:overflowPunct w:val="0"/>
      <w:autoSpaceDE w:val="0"/>
      <w:autoSpaceDN w:val="0"/>
      <w:adjustRightInd w:val="0"/>
      <w:spacing w:before="40" w:after="40"/>
      <w:ind w:left="10" w:firstLine="284"/>
      <w:textAlignment w:val="baseline"/>
    </w:pPr>
    <w:rPr>
      <w:color w:val="000000"/>
      <w:spacing w:val="-5"/>
      <w:sz w:val="15"/>
      <w:szCs w:val="20"/>
      <w:lang w:eastAsia="ru-RU"/>
    </w:rPr>
  </w:style>
  <w:style w:type="paragraph" w:customStyle="1" w:styleId="1ff3">
    <w:name w:val="Обычный1"/>
    <w:rsid w:val="00B43B37"/>
    <w:pPr>
      <w:widowControl w:val="0"/>
      <w:overflowPunct w:val="0"/>
      <w:autoSpaceDE w:val="0"/>
      <w:autoSpaceDN w:val="0"/>
      <w:adjustRightInd w:val="0"/>
      <w:textAlignment w:val="baseline"/>
    </w:pPr>
    <w:rPr>
      <w:rFonts w:ascii="Times New Roman" w:eastAsia="Times New Roman" w:hAnsi="Times New Roman"/>
    </w:rPr>
  </w:style>
  <w:style w:type="paragraph" w:customStyle="1" w:styleId="bullet">
    <w:name w:val="bullet"/>
    <w:rsid w:val="00B43B37"/>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rPr>
  </w:style>
  <w:style w:type="paragraph" w:customStyle="1" w:styleId="Literature">
    <w:name w:val="Literature"/>
    <w:rsid w:val="00B43B37"/>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numbering" w:customStyle="1" w:styleId="1">
    <w:name w:val="Импортированный стиль 1"/>
    <w:rsid w:val="00B43B37"/>
    <w:pPr>
      <w:numPr>
        <w:numId w:val="58"/>
      </w:numPr>
    </w:pPr>
  </w:style>
  <w:style w:type="character" w:customStyle="1" w:styleId="html-italic">
    <w:name w:val="html-italic"/>
    <w:basedOn w:val="a4"/>
    <w:rsid w:val="00B43B37"/>
  </w:style>
  <w:style w:type="character" w:customStyle="1" w:styleId="highwire-cite-metadata-volume">
    <w:name w:val="highwire-cite-metadata-volume"/>
    <w:basedOn w:val="a4"/>
    <w:rsid w:val="00B43B37"/>
  </w:style>
  <w:style w:type="character" w:customStyle="1" w:styleId="infolabel">
    <w:name w:val="info_label"/>
    <w:basedOn w:val="a4"/>
    <w:rsid w:val="00B43B37"/>
  </w:style>
  <w:style w:type="character" w:customStyle="1" w:styleId="infovalue">
    <w:name w:val="info_value"/>
    <w:basedOn w:val="a4"/>
    <w:rsid w:val="00B43B37"/>
  </w:style>
  <w:style w:type="paragraph" w:customStyle="1" w:styleId="table-head-left">
    <w:name w:val="table-head-left"/>
    <w:basedOn w:val="a1"/>
    <w:rsid w:val="00B43B37"/>
    <w:pPr>
      <w:widowControl w:val="0"/>
      <w:shd w:val="clear" w:color="auto" w:fill="FFFFFF"/>
      <w:tabs>
        <w:tab w:val="left" w:pos="394"/>
      </w:tabs>
      <w:overflowPunct w:val="0"/>
      <w:autoSpaceDE w:val="0"/>
      <w:autoSpaceDN w:val="0"/>
      <w:adjustRightInd w:val="0"/>
      <w:spacing w:before="40" w:after="40"/>
      <w:ind w:left="57" w:hanging="57"/>
      <w:textAlignment w:val="baseline"/>
    </w:pPr>
    <w:rPr>
      <w:rFonts w:eastAsia="Arial Unicode MS"/>
      <w:color w:val="000000"/>
      <w:spacing w:val="-5"/>
      <w:sz w:val="17"/>
      <w:szCs w:val="20"/>
      <w:lang w:eastAsia="ru-RU"/>
    </w:rPr>
  </w:style>
  <w:style w:type="paragraph" w:customStyle="1" w:styleId="Insert">
    <w:name w:val="Insert"/>
    <w:basedOn w:val="a1"/>
    <w:autoRedefine/>
    <w:rsid w:val="00B43B37"/>
    <w:pPr>
      <w:widowControl w:val="0"/>
      <w:overflowPunct w:val="0"/>
      <w:autoSpaceDE w:val="0"/>
      <w:autoSpaceDN w:val="0"/>
      <w:adjustRightInd w:val="0"/>
      <w:spacing w:line="264" w:lineRule="auto"/>
      <w:ind w:left="397" w:firstLine="425"/>
      <w:jc w:val="left"/>
      <w:textAlignment w:val="baseline"/>
    </w:pPr>
    <w:rPr>
      <w:rFonts w:eastAsia="Times New Roman"/>
      <w:color w:val="000000"/>
      <w:szCs w:val="20"/>
      <w:lang w:val="en-US" w:eastAsia="ru-RU"/>
    </w:rPr>
  </w:style>
  <w:style w:type="paragraph" w:customStyle="1" w:styleId="Number2">
    <w:name w:val="Number2"/>
    <w:basedOn w:val="Number1"/>
    <w:rsid w:val="00B43B37"/>
    <w:pPr>
      <w:spacing w:line="264" w:lineRule="auto"/>
      <w:ind w:left="426" w:hanging="142"/>
    </w:pPr>
  </w:style>
  <w:style w:type="paragraph" w:customStyle="1" w:styleId="figure">
    <w:name w:val="figure"/>
    <w:basedOn w:val="a1"/>
    <w:rsid w:val="00B43B37"/>
    <w:pPr>
      <w:overflowPunct w:val="0"/>
      <w:autoSpaceDE w:val="0"/>
      <w:autoSpaceDN w:val="0"/>
      <w:adjustRightInd w:val="0"/>
      <w:spacing w:before="240" w:after="40" w:line="264" w:lineRule="auto"/>
      <w:ind w:firstLine="425"/>
      <w:jc w:val="left"/>
      <w:textAlignment w:val="baseline"/>
    </w:pPr>
    <w:rPr>
      <w:rFonts w:eastAsia="Times New Roman"/>
      <w:szCs w:val="20"/>
      <w:lang w:eastAsia="ru-RU"/>
    </w:rPr>
  </w:style>
  <w:style w:type="paragraph" w:customStyle="1" w:styleId="author-1">
    <w:name w:val="author-1"/>
    <w:basedOn w:val="Author"/>
    <w:rsid w:val="00B43B37"/>
    <w:pPr>
      <w:keepNext/>
      <w:keepLines/>
      <w:overflowPunct/>
      <w:spacing w:before="60" w:after="120" w:line="264" w:lineRule="auto"/>
      <w:ind w:firstLine="425"/>
      <w:jc w:val="right"/>
      <w:textAlignment w:val="auto"/>
    </w:pPr>
    <w:rPr>
      <w:b/>
      <w:iCs/>
      <w:noProof/>
      <w:color w:val="000000"/>
      <w:sz w:val="20"/>
      <w:lang w:val="en-US"/>
    </w:rPr>
  </w:style>
  <w:style w:type="paragraph" w:customStyle="1" w:styleId="Insert1">
    <w:name w:val="Insert 1"/>
    <w:basedOn w:val="Insert"/>
    <w:rsid w:val="00B43B37"/>
    <w:pPr>
      <w:ind w:left="0"/>
    </w:pPr>
    <w:rPr>
      <w:sz w:val="20"/>
      <w:lang w:val="ru-RU"/>
    </w:rPr>
  </w:style>
  <w:style w:type="paragraph" w:customStyle="1" w:styleId="Bullit-2">
    <w:name w:val="Bullit-2"/>
    <w:basedOn w:val="a1"/>
    <w:rsid w:val="00B43B37"/>
    <w:pPr>
      <w:tabs>
        <w:tab w:val="left" w:pos="0"/>
        <w:tab w:val="left" w:pos="1160"/>
      </w:tabs>
      <w:autoSpaceDE w:val="0"/>
      <w:autoSpaceDN w:val="0"/>
      <w:adjustRightInd w:val="0"/>
      <w:spacing w:line="264" w:lineRule="auto"/>
      <w:ind w:left="754" w:hanging="357"/>
      <w:jc w:val="left"/>
    </w:pPr>
    <w:rPr>
      <w:rFonts w:eastAsia="MS Mincho"/>
      <w:color w:val="000000"/>
      <w:lang w:val="en-US" w:eastAsia="ja-JP"/>
    </w:rPr>
  </w:style>
  <w:style w:type="character" w:customStyle="1" w:styleId="extended-textshort">
    <w:name w:val="extended-text__short"/>
    <w:basedOn w:val="a4"/>
    <w:rsid w:val="00B43B37"/>
  </w:style>
  <w:style w:type="paragraph" w:customStyle="1" w:styleId="Normalfirst">
    <w:name w:val="Normalfirst"/>
    <w:basedOn w:val="a1"/>
    <w:rsid w:val="00B43B37"/>
    <w:pPr>
      <w:autoSpaceDE w:val="0"/>
      <w:autoSpaceDN w:val="0"/>
      <w:adjustRightInd w:val="0"/>
      <w:spacing w:line="240" w:lineRule="auto"/>
      <w:ind w:firstLine="0"/>
      <w:jc w:val="left"/>
    </w:pPr>
    <w:rPr>
      <w:rFonts w:eastAsia="MS Mincho"/>
      <w:szCs w:val="24"/>
      <w:lang w:eastAsia="ja-JP"/>
    </w:rPr>
  </w:style>
  <w:style w:type="paragraph" w:customStyle="1" w:styleId="xl68">
    <w:name w:val="xl68"/>
    <w:basedOn w:val="a1"/>
    <w:rsid w:val="00B43B37"/>
    <w:pPr>
      <w:spacing w:before="100" w:beforeAutospacing="1" w:after="100" w:afterAutospacing="1" w:line="240" w:lineRule="auto"/>
      <w:ind w:firstLine="0"/>
      <w:jc w:val="left"/>
    </w:pPr>
    <w:rPr>
      <w:rFonts w:eastAsia="Times New Roman"/>
      <w:szCs w:val="24"/>
      <w:lang w:eastAsia="ru-RU"/>
    </w:rPr>
  </w:style>
  <w:style w:type="paragraph" w:customStyle="1" w:styleId="xl69">
    <w:name w:val="xl69"/>
    <w:basedOn w:val="a1"/>
    <w:rsid w:val="00B43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70">
    <w:name w:val="xl70"/>
    <w:basedOn w:val="a1"/>
    <w:rsid w:val="00B43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71">
    <w:name w:val="xl71"/>
    <w:basedOn w:val="a1"/>
    <w:rsid w:val="00B43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65">
    <w:name w:val="xl65"/>
    <w:basedOn w:val="a1"/>
    <w:rsid w:val="00B43B3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6">
    <w:name w:val="xl66"/>
    <w:basedOn w:val="a1"/>
    <w:rsid w:val="00B43B37"/>
    <w:pPr>
      <w:pBdr>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7">
    <w:name w:val="xl67"/>
    <w:basedOn w:val="a1"/>
    <w:rsid w:val="00B43B37"/>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Arial" w:eastAsia="Times New Roman" w:hAnsi="Arial" w:cs="Arial"/>
      <w:color w:val="000000"/>
      <w:sz w:val="20"/>
      <w:szCs w:val="20"/>
      <w:lang w:eastAsia="ru-RU"/>
    </w:rPr>
  </w:style>
  <w:style w:type="paragraph" w:customStyle="1" w:styleId="Standard">
    <w:name w:val="Standard"/>
    <w:rsid w:val="00B43B37"/>
    <w:pPr>
      <w:suppressAutoHyphens/>
      <w:autoSpaceDN w:val="0"/>
      <w:spacing w:line="264" w:lineRule="auto"/>
      <w:ind w:firstLine="425"/>
      <w:textAlignment w:val="baseline"/>
    </w:pPr>
    <w:rPr>
      <w:rFonts w:ascii="Times New Roman" w:eastAsia="Times New Roman" w:hAnsi="Times New Roman"/>
      <w:kern w:val="3"/>
      <w:sz w:val="24"/>
      <w:lang w:val="en-GB"/>
    </w:rPr>
  </w:style>
  <w:style w:type="character" w:customStyle="1" w:styleId="fontstyle01">
    <w:name w:val="fontstyle01"/>
    <w:rsid w:val="00B43B37"/>
    <w:rPr>
      <w:rFonts w:ascii="TimesNewRomanPS-ItalicMT" w:hAnsi="TimesNewRomanPS-ItalicMT" w:hint="default"/>
      <w:b w:val="0"/>
      <w:bCs w:val="0"/>
      <w:i/>
      <w:iCs/>
      <w:color w:val="FFFFFF"/>
      <w:sz w:val="32"/>
      <w:szCs w:val="32"/>
    </w:rPr>
  </w:style>
  <w:style w:type="character" w:customStyle="1" w:styleId="UnresolvedMention">
    <w:name w:val="Unresolved Mention"/>
    <w:uiPriority w:val="99"/>
    <w:semiHidden/>
    <w:unhideWhenUsed/>
    <w:rsid w:val="00B43B37"/>
    <w:rPr>
      <w:color w:val="605E5C"/>
      <w:shd w:val="clear" w:color="auto" w:fill="E1DFDD"/>
    </w:rPr>
  </w:style>
  <w:style w:type="character" w:customStyle="1" w:styleId="hgkelc">
    <w:name w:val="hgkelc"/>
    <w:basedOn w:val="a4"/>
    <w:rsid w:val="00B43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A0A8-6484-4824-87A6-A32DC024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278</Pages>
  <Words>158788</Words>
  <Characters>905095</Characters>
  <Application>Microsoft Office Word</Application>
  <DocSecurity>0</DocSecurity>
  <Lines>7542</Lines>
  <Paragraphs>2123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1061760</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Аль-Ради Любовь Саттаровна</cp:lastModifiedBy>
  <cp:revision>2</cp:revision>
  <cp:lastPrinted>2016-10-07T09:24:00Z</cp:lastPrinted>
  <dcterms:created xsi:type="dcterms:W3CDTF">2021-03-25T06:21:00Z</dcterms:created>
  <dcterms:modified xsi:type="dcterms:W3CDTF">2021-03-25T06:21:00Z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